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1F6B2E"/>
          <w:sz w:val="56"/>
        </w:rPr>
        <w:t>PNEUMOLOGIE</w:t>
      </w:r>
    </w:p>
    <w:p>
      <w:pPr>
        <w:jc w:val="center"/>
      </w:pPr>
      <w:r>
        <w:rPr>
          <w:rFonts w:ascii="Calibri" w:hAnsi="Calibri"/>
          <w:b/>
          <w:i w:val="0"/>
          <w:color w:val="808080"/>
          <w:sz w:val="40"/>
        </w:rPr>
        <w:t>&amp;</w:t>
      </w:r>
    </w:p>
    <w:p>
      <w:pPr>
        <w:spacing w:after="120"/>
        <w:jc w:val="center"/>
      </w:pPr>
      <w:r>
        <w:rPr>
          <w:rFonts w:ascii="Calibri" w:hAnsi="Calibri"/>
          <w:b/>
          <w:i w:val="0"/>
          <w:color w:val="B76E00"/>
          <w:sz w:val="52"/>
        </w:rPr>
        <w:t>ANTIASHMATIQUES</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VII</w:t>
      </w:r>
    </w:p>
    <w:p>
      <w:pPr>
        <w:jc w:val="center"/>
      </w:pPr>
      <w:r>
        <w:rPr>
          <w:rFonts w:ascii="Calibri" w:hAnsi="Calibri"/>
          <w:b w:val="0"/>
          <w:i/>
          <w:color w:val="606060"/>
          <w:sz w:val="28"/>
        </w:rPr>
        <w:t>Pneumologie et Antiasthmatiques</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44 DCI traitées  •  500+ spécialités commerciales  •  6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OMS • CRAT • GINA • GOLD • ARIA • ESC/ERS • UpToDate</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VII : Pneumologie et Antiasthmatiques</w:t>
      </w:r>
    </w:p>
    <w:p>
      <w:pPr>
        <w:pStyle w:val="Heading2"/>
      </w:pPr>
      <w:r>
        <w:t>Avant-propos et méthodologie du Fascicule VII</w:t>
      </w:r>
    </w:p>
    <w:p>
      <w:pPr>
        <w:pStyle w:val="Heading3"/>
      </w:pPr>
      <w:r>
        <w:t>1. Objet du fascicule</w:t>
      </w:r>
    </w:p>
    <w:p>
      <w:r>
        <w:t>Le présent fascicule constitue le septième volet du traité technique de pharmacologie clinique destiné aux étudiants en pharmacie d'officine et aux praticiens exerçant sur le territoire algérien. Il poursuit la démarche engagée dans les Fascicules I (Antibiotiques), II (Antifongiques &amp; Antiparasitaires), III (Antalgiques &amp; Anti-inflammatoires), IV (Cardiologie), V (Diabétologie/Endocrinologie) et VI (Gastro-entérologie) en traitant de manière exhaustive les classes thérapeutiques pneumologiques et antiasthmatiques enregistrées auprès du Ministère de la Santé algérien.</w:t>
      </w:r>
    </w:p>
    <w:p>
      <w:r>
        <w:t xml:space="preserve">La base réglementaire de référence utilisée est, comme pour les fascicules précédents, le fichier officiel </w:t>
      </w:r>
      <w:r>
        <w:rPr>
          <w:b/>
        </w:rPr>
        <w:t>« COMPLETE LISTE.xlsx »</w:t>
      </w:r>
      <w:r>
        <w:t xml:space="preserve"> compilant la nomenclature des médicaments à l'avril 2026 (spécialités actives, non renouvelables et retirées du marché).</w:t>
      </w:r>
    </w:p>
    <w:p>
      <w:pPr>
        <w:pStyle w:val="Heading3"/>
      </w:pPr>
      <w:r>
        <w:t>2. Contexte épidémiologique algérien</w:t>
      </w:r>
    </w:p>
    <w:p>
      <w:pPr>
        <w:pStyle w:val="Heading4"/>
      </w:pPr>
      <w:r>
        <w:t>2.1 Asthme et BPCO</w:t>
      </w:r>
    </w:p>
    <w:p>
      <w:r>
        <w:t>L'asthme et la bronchopneumopathie chronique obstructive (BPCO) représentent un fardeau sanitaire majeur en Algérie :</w:t>
      </w:r>
    </w:p>
    <w:p>
      <w:pPr>
        <w:pStyle w:val="ListBullet"/>
      </w:pPr>
      <w:r/>
      <w:r>
        <w:rPr>
          <w:b/>
        </w:rPr>
        <w:t>Asthme</w:t>
      </w:r>
      <w:r>
        <w:t xml:space="preserve"> : prévalence 5-10 % de la population générale, plus élevée chez l'enfant (10-15 %), avec progression liée à l'urbanisation, pollution atmosphérique, tabagisme passif. L'asthme allergique domine chez l'enfant, l'asthme non allergique chez l'adulte.</w:t>
      </w:r>
    </w:p>
    <w:p>
      <w:pPr>
        <w:pStyle w:val="ListBullet"/>
      </w:pPr>
      <w:r/>
      <w:r>
        <w:rPr>
          <w:b/>
        </w:rPr>
        <w:t>BPCO</w:t>
      </w:r>
      <w:r>
        <w:t xml:space="preserve"> : prévalence 5-8 % de la population adulte &gt; 40 ans, sous-diagnostiquée. Tabagisme masculin &gt; 40 %, pollution domestique (chauffage bois) en zones rurales.</w:t>
      </w:r>
    </w:p>
    <w:p>
      <w:pPr>
        <w:pStyle w:val="ListBullet"/>
      </w:pPr>
      <w:r/>
      <w:r>
        <w:rPr>
          <w:b/>
        </w:rPr>
        <w:t>Mortalité</w:t>
      </w:r>
      <w:r>
        <w:t xml:space="preserve"> : asthme ~ 1000 décès/an, BPCO ~ 5000 décès/an (estimations).</w:t>
      </w:r>
    </w:p>
    <w:p>
      <w:pPr>
        <w:pStyle w:val="ListBullet"/>
      </w:pPr>
      <w:r/>
      <w:r>
        <w:rPr>
          <w:b/>
        </w:rPr>
        <w:t>Coût économique</w:t>
      </w:r>
      <w:r>
        <w:t xml:space="preserve"> : hospitalisations répétées pour exacerbations, oxygénothérapie long terme, arrêts maladie.</w:t>
      </w:r>
    </w:p>
    <w:p>
      <w:pPr>
        <w:pStyle w:val="Heading4"/>
      </w:pPr>
      <w:r>
        <w:t>2.2 Allergies respiratoires</w:t>
      </w:r>
    </w:p>
    <w:p>
      <w:pPr>
        <w:pStyle w:val="ListBullet"/>
      </w:pPr>
      <w:r/>
      <w:r>
        <w:rPr>
          <w:b/>
        </w:rPr>
        <w:t>Rhinite allergique</w:t>
      </w:r>
      <w:r>
        <w:t xml:space="preserve"> : prévalence 15-25 % de la population, souvent associée à l'asthme (rhinite + asthme = "voies respiratoires unies").</w:t>
      </w:r>
    </w:p>
    <w:p>
      <w:pPr>
        <w:pStyle w:val="ListBullet"/>
      </w:pPr>
      <w:r/>
      <w:r>
        <w:rPr>
          <w:b/>
        </w:rPr>
        <w:t>Allergènes principaux</w:t>
      </w:r>
      <w:r>
        <w:t xml:space="preserve"> : acariens (surtout en zones côtières humides), pollens (olivier, graminées), moisissures, poils animaux, blattes.</w:t>
      </w:r>
    </w:p>
    <w:p>
      <w:pPr>
        <w:pStyle w:val="ListBullet"/>
      </w:pPr>
      <w:r/>
      <w:r>
        <w:rPr>
          <w:b/>
        </w:rPr>
        <w:t>Conjonctivite allergique</w:t>
      </w:r>
      <w:r>
        <w:t xml:space="preserve"> : fréquente, associée à la rhinite.</w:t>
      </w:r>
    </w:p>
    <w:p>
      <w:pPr>
        <w:pStyle w:val="Heading4"/>
      </w:pPr>
      <w:r>
        <w:t>2.3 Infections respiratoires</w:t>
      </w:r>
    </w:p>
    <w:p>
      <w:pPr>
        <w:pStyle w:val="ListBullet"/>
      </w:pPr>
      <w:r/>
      <w:r>
        <w:rPr>
          <w:b/>
        </w:rPr>
        <w:t>Pneumonies communautaires</w:t>
      </w:r>
      <w:r>
        <w:t xml:space="preserve"> : 5-10 cas/1000 habitants/an, première cause de mortalité infectieuse.</w:t>
      </w:r>
    </w:p>
    <w:p>
      <w:pPr>
        <w:pStyle w:val="ListBullet"/>
      </w:pPr>
      <w:r/>
      <w:r>
        <w:rPr>
          <w:b/>
        </w:rPr>
        <w:t>Tuberculose</w:t>
      </w:r>
      <w:r>
        <w:t xml:space="preserve"> : prévalence 50-60 cas/100 000 habitants (voir Fascicule I pour antituberculeux).</w:t>
      </w:r>
    </w:p>
    <w:p>
      <w:pPr>
        <w:pStyle w:val="ListBullet"/>
      </w:pPr>
      <w:r/>
      <w:r>
        <w:rPr>
          <w:b/>
        </w:rPr>
        <w:t>Bronchiolites du nourrisson</w:t>
      </w:r>
      <w:r>
        <w:t xml:space="preserve"> : VRS dominant en hiver.</w:t>
      </w:r>
    </w:p>
    <w:p>
      <w:pPr>
        <w:pStyle w:val="ListBullet"/>
      </w:pPr>
      <w:r/>
      <w:r>
        <w:rPr>
          <w:b/>
        </w:rPr>
        <w:t>Détresse respiratoire néonatale</w:t>
      </w:r>
      <w:r>
        <w:t xml:space="preserve"> : maladie des membranes hyalines chez prématurés.</w:t>
      </w:r>
    </w:p>
    <w:p>
      <w:pPr>
        <w:pStyle w:val="Heading4"/>
      </w:pPr>
      <w:r>
        <w:t>2.4 Hypertension artérielle pulmonaire (HTAP)</w:t>
      </w:r>
    </w:p>
    <w:p>
      <w:pPr>
        <w:pStyle w:val="ListBullet"/>
      </w:pPr>
      <w:r>
        <w:t>Pathologie rare mais grave (prévalence 15-50 cas/million), associée à connectivites (sclérodermie), cardiopathies congénitales, BPCO sévère, HIV.</w:t>
      </w:r>
    </w:p>
    <w:p>
      <w:pPr>
        <w:pStyle w:val="ListBullet"/>
      </w:pPr>
      <w:r>
        <w:t>Accès aux vasodilatateurs pulmonaires modernes (bosentan, sildénafil, tadalafil, riociguat, iloprost) — prescription hospitalière spécialisée.</w:t>
      </w:r>
    </w:p>
    <w:p>
      <w:pPr>
        <w:pStyle w:val="Heading3"/>
      </w:pPr>
      <w:r>
        <w:t>3. Sources académiques et médicales mobilisées</w:t>
      </w:r>
    </w:p>
    <w:p>
      <w:pPr>
        <w:pStyle w:val="ListBullet"/>
      </w:pPr>
      <w:r/>
      <w:r>
        <w:rPr>
          <w:b/>
        </w:rPr>
        <w:t>VIDAL</w:t>
      </w:r>
      <w:r>
        <w:t xml:space="preserve"> : AMM, RCP, interactions.</w:t>
      </w:r>
    </w:p>
    <w:p>
      <w:pPr>
        <w:pStyle w:val="ListBullet"/>
      </w:pPr>
      <w:r/>
      <w:r>
        <w:rPr>
          <w:b/>
        </w:rPr>
        <w:t>ANSM</w:t>
      </w:r>
      <w:r>
        <w:t xml:space="preserve"> : recommandations, mises en garde (notamment sur montélukast neuropsychiatrique, hydroxyzine QT, pholcodine anaphylaxie).</w:t>
      </w:r>
    </w:p>
    <w:p>
      <w:pPr>
        <w:pStyle w:val="ListBullet"/>
      </w:pPr>
      <w:r/>
      <w:r>
        <w:rPr>
          <w:b/>
        </w:rPr>
        <w:t>Thériaque</w:t>
      </w:r>
      <w:r>
        <w:t xml:space="preserve"> : banque de données pharmaceutiques (CNHIM).</w:t>
      </w:r>
    </w:p>
    <w:p>
      <w:pPr>
        <w:pStyle w:val="ListBullet"/>
      </w:pPr>
      <w:r/>
      <w:r>
        <w:rPr>
          <w:b/>
        </w:rPr>
        <w:t>CRAT (Centre de Renseignement sur les Agents Tératogènes)</w:t>
      </w:r>
      <w:r>
        <w:t xml:space="preserve"> : données grossesse et allaitement.</w:t>
      </w:r>
    </w:p>
    <w:p>
      <w:pPr>
        <w:pStyle w:val="ListBullet"/>
      </w:pPr>
      <w:r/>
      <w:r>
        <w:rPr>
          <w:b/>
        </w:rPr>
        <w:t>GINA (Global Initiative for Asthma)</w:t>
      </w:r>
      <w:r>
        <w:t xml:space="preserve"> : guidelines asthme (mise à jour 2024).</w:t>
      </w:r>
    </w:p>
    <w:p>
      <w:pPr>
        <w:pStyle w:val="ListBullet"/>
      </w:pPr>
      <w:r/>
      <w:r>
        <w:rPr>
          <w:b/>
        </w:rPr>
        <w:t>GOLD (Global Initiative for Chronic Obstructive Lung Disease)</w:t>
      </w:r>
      <w:r>
        <w:t xml:space="preserve"> : guidelines BPCO (mise à jour 2024).</w:t>
      </w:r>
    </w:p>
    <w:p>
      <w:pPr>
        <w:pStyle w:val="ListBullet"/>
      </w:pPr>
      <w:r/>
      <w:r>
        <w:rPr>
          <w:b/>
        </w:rPr>
        <w:t>ARIA (Allergic Rhinitis and its Impact on Asthma)</w:t>
      </w:r>
      <w:r>
        <w:t xml:space="preserve"> : guidelines rhinite allergique.</w:t>
      </w:r>
    </w:p>
    <w:p>
      <w:pPr>
        <w:pStyle w:val="ListBullet"/>
      </w:pPr>
      <w:r/>
      <w:r>
        <w:rPr>
          <w:b/>
        </w:rPr>
        <w:t>ESC/ERS (European Society of Cardiology / European Respiratory Society)</w:t>
      </w:r>
      <w:r>
        <w:t xml:space="preserve"> : guidelines HTAP.</w:t>
      </w:r>
    </w:p>
    <w:p>
      <w:pPr>
        <w:pStyle w:val="ListBullet"/>
      </w:pPr>
      <w:r/>
      <w:r>
        <w:rPr>
          <w:b/>
        </w:rPr>
        <w:t>ERS (European Respiratory Society)</w:t>
      </w:r>
      <w:r>
        <w:t xml:space="preserve"> : guidelines diverses.</w:t>
      </w:r>
    </w:p>
    <w:p>
      <w:pPr>
        <w:pStyle w:val="ListBullet"/>
      </w:pPr>
      <w:r/>
      <w:r>
        <w:rPr>
          <w:b/>
        </w:rPr>
        <w:t>UpToDate, DynaMed, IBM Micromedex, BMJ Best Practice, HAS</w:t>
      </w:r>
      <w:r>
        <w:t xml:space="preserve"> : référentiels internationaux.</w:t>
      </w:r>
    </w:p>
    <w:p>
      <w:pPr>
        <w:pStyle w:val="ListBullet"/>
      </w:pPr>
      <w:r/>
      <w:r>
        <w:rPr>
          <w:b/>
        </w:rPr>
        <w:t>PubMed</w:t>
      </w:r>
      <w:r>
        <w:t xml:space="preserve"> : littérature primaire pour mécanismes et données récentes (essais SMART, ETHOS, IMPACT, PATENT-1, SERAPHIN, SUPER-1, PHIRST-1, etc.).</w:t>
      </w:r>
    </w:p>
    <w:p>
      <w:pPr>
        <w:pStyle w:val="ListBullet"/>
      </w:pPr>
      <w:r/>
      <w:r>
        <w:rPr>
          <w:b/>
        </w:rPr>
        <w:t>Recommandations algériennes</w:t>
      </w:r>
      <w:r>
        <w:t xml:space="preserve"> : Société Algérienne de Pneumologie (SAP), Société Algérienne d'Allergologie.</w:t>
      </w:r>
    </w:p>
    <w:p>
      <w:pPr>
        <w:pStyle w:val="Heading3"/>
      </w:pPr>
      <w:r>
        <w:t>4. Périmètre de ce fascicule</w:t>
      </w:r>
    </w:p>
    <w:p>
      <w:r>
        <w:t>Ce fascicule couvre les classes pneumologiques suivantes :</w:t>
      </w:r>
    </w:p>
    <w:p>
      <w:pPr>
        <w:pStyle w:val="Heading4"/>
      </w:pPr>
      <w:r>
        <w:t>Bronchodilatateurs (8 DCI)</w:t>
      </w:r>
    </w:p>
    <w:p>
      <w:pPr>
        <w:pStyle w:val="ListNumber"/>
      </w:pPr>
      <w:r>
        <w:t>SABA (2) : salbutamol, terbutaline</w:t>
      </w:r>
    </w:p>
    <w:p>
      <w:pPr>
        <w:pStyle w:val="ListNumber"/>
      </w:pPr>
      <w:r>
        <w:t>LABA (2) : formotérol, salmétérol</w:t>
      </w:r>
    </w:p>
    <w:p>
      <w:pPr>
        <w:pStyle w:val="ListNumber"/>
      </w:pPr>
      <w:r>
        <w:t>SAMA (1) : ipratropium</w:t>
      </w:r>
    </w:p>
    <w:p>
      <w:pPr>
        <w:pStyle w:val="ListNumber"/>
      </w:pPr>
      <w:r>
        <w:t>LAMA (1) : tiotropium</w:t>
      </w:r>
    </w:p>
    <w:p>
      <w:pPr>
        <w:pStyle w:val="ListNumber"/>
      </w:pPr>
      <w:r>
        <w:t>Associations SABA+SAMA (1) : salbutamol+ipratropium</w:t>
      </w:r>
    </w:p>
    <w:p>
      <w:pPr>
        <w:pStyle w:val="ListNumber"/>
      </w:pPr>
      <w:r>
        <w:t>Associations LAMA+LABA (1) : umeclidinium+vilantérol</w:t>
      </w:r>
    </w:p>
    <w:p>
      <w:pPr>
        <w:pStyle w:val="Heading4"/>
      </w:pPr>
      <w:r>
        <w:t>Corticoïdes inhalés et associations (8 DCI)</w:t>
      </w:r>
    </w:p>
    <w:p>
      <w:pPr>
        <w:pStyle w:val="ListNumber"/>
      </w:pPr>
      <w:r>
        <w:t>CSI (4) : beclométasone, budésonide, fluticasone, mométasone</w:t>
      </w:r>
    </w:p>
    <w:p>
      <w:pPr>
        <w:pStyle w:val="ListNumber"/>
      </w:pPr>
      <w:r>
        <w:t>Associations CSI+LABA (3) : beclométasone+formotérol, budésonide+formotérol, fluticasone+salmétérol</w:t>
      </w:r>
    </w:p>
    <w:p>
      <w:pPr>
        <w:pStyle w:val="ListNumber"/>
      </w:pPr>
      <w:r>
        <w:t>Associations triples CSI+LABA+LAMA (1) : budésonide+formotérol+glycopyrronium</w:t>
      </w:r>
    </w:p>
    <w:p>
      <w:pPr>
        <w:pStyle w:val="Heading4"/>
      </w:pPr>
      <w:r>
        <w:t>Antiasthmatiques additifs (3 DCI)</w:t>
      </w:r>
    </w:p>
    <w:p>
      <w:pPr>
        <w:pStyle w:val="ListNumber"/>
      </w:pPr>
      <w:r>
        <w:t>Antileucotriènes (1) : montélukast</w:t>
      </w:r>
    </w:p>
    <w:p>
      <w:pPr>
        <w:pStyle w:val="ListNumber"/>
      </w:pPr>
      <w:r>
        <w:t>Dérivés xanthiques (1) : théophylline</w:t>
      </w:r>
    </w:p>
    <w:p>
      <w:pPr>
        <w:pStyle w:val="ListNumber"/>
      </w:pPr>
      <w:r>
        <w:t>Anti-IgE (1) : omalizumab</w:t>
      </w:r>
    </w:p>
    <w:p>
      <w:pPr>
        <w:pStyle w:val="Heading4"/>
      </w:pPr>
      <w:r>
        <w:t>Mucolytiques, expectorants et antitussifs (8 DCI)</w:t>
      </w:r>
    </w:p>
    <w:p>
      <w:pPr>
        <w:pStyle w:val="ListNumber"/>
      </w:pPr>
      <w:r>
        <w:t>Mucolytiques thiols (2) : N-acétylcystéine, carbocistéine</w:t>
      </w:r>
    </w:p>
    <w:p>
      <w:pPr>
        <w:pStyle w:val="ListNumber"/>
      </w:pPr>
      <w:r>
        <w:t>Mucolytiques alcaloïdes vasiques (2) : ambroxol, bromhexine</w:t>
      </w:r>
    </w:p>
    <w:p>
      <w:pPr>
        <w:pStyle w:val="ListNumber"/>
      </w:pPr>
      <w:r>
        <w:t>Uoprotecteurs chimio (1) : mesna</w:t>
      </w:r>
    </w:p>
    <w:p>
      <w:pPr>
        <w:pStyle w:val="ListNumber"/>
      </w:pPr>
      <w:r>
        <w:t>Expectorants terpéniques (1) : guaifénésine + terpènes</w:t>
      </w:r>
    </w:p>
    <w:p>
      <w:pPr>
        <w:pStyle w:val="ListNumber"/>
      </w:pPr>
      <w:r>
        <w:t>Antitussifs opioïdes (2) : pholcodine, dextrométhorphane</w:t>
      </w:r>
    </w:p>
    <w:p>
      <w:pPr>
        <w:pStyle w:val="Heading4"/>
      </w:pPr>
      <w:r>
        <w:t>Antihistaminiques H1 (13 DCI)</w:t>
      </w:r>
    </w:p>
    <w:p>
      <w:pPr>
        <w:pStyle w:val="ListNumber"/>
      </w:pPr>
      <w:r>
        <w:t>2e génération non sédatifs (8) : cétirizine, lévocétirizine, loratadine, desloratadine, fexofénadine, ébastine, bilastine, rupatadine</w:t>
      </w:r>
    </w:p>
    <w:p>
      <w:pPr>
        <w:pStyle w:val="ListNumber"/>
      </w:pPr>
      <w:r>
        <w:t>1re génération (4) : hydroxyzine, prométhazine, dexchlorphéniramine, doxylamine</w:t>
      </w:r>
    </w:p>
    <w:p>
      <w:pPr>
        <w:pStyle w:val="ListNumber"/>
      </w:pPr>
      <w:r>
        <w:t>Associations rhume (1) : phényléphrine + chlorphéniramine</w:t>
      </w:r>
    </w:p>
    <w:p>
      <w:pPr>
        <w:pStyle w:val="Heading4"/>
      </w:pPr>
      <w:r>
        <w:t>Surfactants et vasodilatateurs pulmonaires (8 DCI)</w:t>
      </w:r>
    </w:p>
    <w:p>
      <w:pPr>
        <w:pStyle w:val="ListNumber"/>
      </w:pPr>
      <w:r>
        <w:t>Surfactants exogènes (3) : poractant alfa, beractant, calfactant</w:t>
      </w:r>
    </w:p>
    <w:p>
      <w:pPr>
        <w:pStyle w:val="ListNumber"/>
      </w:pPr>
      <w:r>
        <w:t>HTAP-ARE (1) : bosentan</w:t>
      </w:r>
    </w:p>
    <w:p>
      <w:pPr>
        <w:pStyle w:val="ListNumber"/>
      </w:pPr>
      <w:r>
        <w:t>HTAP-PDE5 (2) : sildénafil, tadalafil</w:t>
      </w:r>
    </w:p>
    <w:p>
      <w:pPr>
        <w:pStyle w:val="ListNumber"/>
      </w:pPr>
      <w:r>
        <w:t>HTAP-sGC (1) : riociguat</w:t>
      </w:r>
    </w:p>
    <w:p>
      <w:pPr>
        <w:pStyle w:val="ListNumber"/>
      </w:pPr>
      <w:r>
        <w:t>HTAP-prostacyclines (1) : iloprost</w:t>
      </w:r>
    </w:p>
    <w:p>
      <w:r/>
      <w:r>
        <w:rPr>
          <w:b/>
        </w:rPr>
        <w:t>Total : 44 DCI canoniques</w:t>
      </w:r>
      <w:r>
        <w:t xml:space="preserve"> traitées individuellement, représentant plus de </w:t>
      </w:r>
      <w:r>
        <w:rPr>
          <w:b/>
        </w:rPr>
        <w:t>500 spécialités commerciales</w:t>
      </w:r>
      <w:r>
        <w:t xml:space="preserve"> actives, non renouvelables ou retirées.</w:t>
      </w:r>
    </w:p>
    <w:p>
      <w:pPr>
        <w:pStyle w:val="Heading3"/>
      </w:pPr>
      <w:r>
        <w:t>5. Rappel stratégique sur le bon usage pneumologique</w:t>
      </w:r>
    </w:p>
    <w:p>
      <w:r>
        <w:t>Le pharmacien d'officine algérien joue un rôle clé dans :</w:t>
      </w:r>
    </w:p>
    <w:p>
      <w:pPr>
        <w:pStyle w:val="ListBullet"/>
      </w:pPr>
      <w:r/>
      <w:r>
        <w:rPr>
          <w:b/>
        </w:rPr>
        <w:t>L'éducation thérapeutique du patient asthmatique</w:t>
      </w:r>
      <w:r>
        <w:t xml:space="preserve"> : technique d'inhalation (aérosol doseur, poudre sèche, chambre d'inhalation), plan d'action écrit, reconnaissance des signes d'exacerbation, autosurveillance débitmètre de pointe.</w:t>
      </w:r>
    </w:p>
    <w:p>
      <w:pPr>
        <w:pStyle w:val="ListBullet"/>
      </w:pPr>
      <w:r/>
      <w:r>
        <w:rPr>
          <w:b/>
        </w:rPr>
        <w:t>L'analyse pharmaceutique des prescriptions pneumologiques</w:t>
      </w:r>
      <w:r>
        <w:t xml:space="preserve"> : vérification des contre-indications (LABA sans CSI = danger, β-bloquants non sélectifs, montélukast neuropsychiatrique, hydroxyzine QT), des interactions (théophylline + nombreux médicaments), des adaptations posologiques.</w:t>
      </w:r>
    </w:p>
    <w:p>
      <w:pPr>
        <w:pStyle w:val="ListBullet"/>
      </w:pPr>
      <w:r/>
      <w:r>
        <w:rPr>
          <w:b/>
        </w:rPr>
        <w:t>Le bon usage des antihistaminiques</w:t>
      </w:r>
      <w:r>
        <w:t xml:space="preserve"> : privilégier 2e génération (non sédatifs), éviter 1re génération chez sujet âgé (chutes) et enfant &lt; 2 ans.</w:t>
      </w:r>
    </w:p>
    <w:p>
      <w:pPr>
        <w:pStyle w:val="ListBullet"/>
      </w:pPr>
      <w:r/>
      <w:r>
        <w:rPr>
          <w:b/>
        </w:rPr>
        <w:t>Le dépistage des signes d'alerte</w:t>
      </w:r>
      <w:r>
        <w:t xml:space="preserve"> : dyspnée aiguë, sibilants, désaturation, exacerbation BPCO, crise d'asthme sévère (orientation urgences).</w:t>
      </w:r>
    </w:p>
    <w:p>
      <w:pPr>
        <w:pStyle w:val="ListBullet"/>
      </w:pPr>
      <w:r/>
      <w:r>
        <w:rPr>
          <w:b/>
        </w:rPr>
        <w:t>Le sevrage tabagique</w:t>
      </w:r>
      <w:r>
        <w:t xml:space="preserve"> : conseil minimal, orientation vers consultation spécialisée.</w:t>
      </w:r>
    </w:p>
    <w:p>
      <w:pPr>
        <w:pStyle w:val="ListBullet"/>
      </w:pPr>
      <w:r/>
      <w:r>
        <w:rPr>
          <w:b/>
        </w:rPr>
        <w:t>La prévention des exacerbations</w:t>
      </w:r>
      <w:r>
        <w:t xml:space="preserve"> : observance CSI (traitement de fond), vaccination antigrippale et antipneumococcique.</w:t>
      </w:r>
    </w:p>
    <w:p>
      <w:pPr>
        <w:pStyle w:val="Heading3"/>
      </w:pPr>
      <w:r>
        <w:t>6. Structure type d'une fiche DCI</w:t>
      </w:r>
    </w:p>
    <w:p>
      <w:r>
        <w:t>Chaque fiche DCI suit la même structure uniforme en douze sections que les fascicules précédents :</w:t>
      </w:r>
    </w:p>
    <w:p>
      <w:pPr>
        <w:pStyle w:val="ListNumber"/>
      </w:pPr>
      <w:r>
        <w:t>Liste des catégories thérapeutiques.</w:t>
      </w:r>
    </w:p>
    <w:p>
      <w:pPr>
        <w:pStyle w:val="ListNumber"/>
      </w:pPr>
      <w:r>
        <w:t>Médicaments disponibles en Algérie (marques, laboratoires, formes, statut).</w:t>
      </w:r>
    </w:p>
    <w:p>
      <w:pPr>
        <w:pStyle w:val="ListNumber"/>
      </w:pPr>
      <w:r>
        <w:t>Sous-classe et mécanisme d'action moléculaire.</w:t>
      </w:r>
    </w:p>
    <w:p>
      <w:pPr>
        <w:pStyle w:val="ListNumber"/>
      </w:pPr>
      <w:r>
        <w:t>Profil pharmacologique (indications, CI, EI avec physiopathologie).</w:t>
      </w:r>
    </w:p>
    <w:p>
      <w:pPr>
        <w:pStyle w:val="ListNumber"/>
      </w:pPr>
      <w:r>
        <w:t>Prévention et gestion des EI.</w:t>
      </w:r>
    </w:p>
    <w:p>
      <w:pPr>
        <w:pStyle w:val="ListNumber"/>
      </w:pPr>
      <w:r>
        <w:t>Interactions médicamenteuses.</w:t>
      </w:r>
    </w:p>
    <w:p>
      <w:pPr>
        <w:pStyle w:val="ListNumber"/>
      </w:pPr>
      <w:r>
        <w:t>Grossesse et allaitement (CRAT).</w:t>
      </w:r>
    </w:p>
    <w:p>
      <w:pPr>
        <w:pStyle w:val="ListNumber"/>
      </w:pPr>
      <w:r>
        <w:t>Posologie et mode d'administration.</w:t>
      </w:r>
    </w:p>
    <w:p>
      <w:pPr>
        <w:pStyle w:val="ListNumber"/>
      </w:pPr>
      <w:r>
        <w:t>Arbitrage et bénéfices des formes galéniques.</w:t>
      </w:r>
    </w:p>
    <w:p>
      <w:pPr>
        <w:pStyle w:val="ListNumber"/>
      </w:pPr>
      <w:r>
        <w:t>Instructions et conseils au patient.</w:t>
      </w:r>
    </w:p>
    <w:p>
      <w:pPr>
        <w:pStyle w:val="ListNumber"/>
      </w:pPr>
      <w:r>
        <w:t>Notes, règles d'or et pièges au comptoir.</w:t>
      </w:r>
    </w:p>
    <w:p>
      <w:pPr>
        <w:pStyle w:val="ListNumber"/>
      </w:pPr>
      <w:r>
        <w:t>Tableau comparatif de sous-classe en fin de chapitre.</w:t>
      </w:r>
    </w:p>
    <w:p>
      <w:pPr>
        <w:pStyle w:val="Heading3"/>
      </w:pPr>
      <w:r>
        <w:t>7. Engagements qualité</w:t>
      </w:r>
    </w:p>
    <w:p>
      <w:pPr>
        <w:pStyle w:val="ListBullet"/>
      </w:pPr>
      <w:r/>
      <w:r>
        <w:rPr>
          <w:b/>
        </w:rPr>
        <w:t>Égalité de traitement</w:t>
      </w:r>
      <w:r>
        <w:t xml:space="preserve"> : chaque DCI est traitée avec la même rigueur, quelle que soit sa fréquence d'usage.</w:t>
      </w:r>
    </w:p>
    <w:p>
      <w:pPr>
        <w:pStyle w:val="ListBullet"/>
      </w:pPr>
      <w:r/>
      <w:r>
        <w:rPr>
          <w:b/>
        </w:rPr>
        <w:t>Exhaustivité absolue du fichier</w:t>
      </w:r>
      <w:r>
        <w:t xml:space="preserve"> : aucune marque enregistrée n'est omise.</w:t>
      </w:r>
    </w:p>
    <w:p>
      <w:pPr>
        <w:pStyle w:val="ListBullet"/>
      </w:pPr>
      <w:r/>
      <w:r>
        <w:rPr>
          <w:b/>
        </w:rPr>
        <w:t>Zéro perte d'information scientifique</w:t>
      </w:r>
      <w:r>
        <w:t xml:space="preserve"> : mécanismes moléculaires, interactions et profils de tolérance détaillés.</w:t>
      </w:r>
    </w:p>
    <w:p>
      <w:pPr>
        <w:pStyle w:val="ListBullet"/>
      </w:pPr>
      <w:r/>
      <w:r>
        <w:rPr>
          <w:b/>
        </w:rPr>
        <w:t>Vérification continue de la vérité scientifique</w:t>
      </w:r>
      <w:r>
        <w:t xml:space="preserve"> : recoupement systématique des sources.</w:t>
      </w:r>
    </w:p>
    <w:p>
      <w:pPr>
        <w:pStyle w:val="ListBullet"/>
      </w:pPr>
      <w:r/>
      <w:r>
        <w:rPr>
          <w:b/>
        </w:rPr>
        <w:t>Focus Algérie</w:t>
      </w:r>
      <w:r>
        <w:t xml:space="preserve"> : seules les spécialités du fichier source sont mentionnées ; les molécules non disponibles sont explicitement signalées.</w:t>
      </w:r>
    </w:p>
    <w:p>
      <w:pPr>
        <w:pStyle w:val="Heading2"/>
      </w:pPr>
      <w:r>
        <w:t>Sommaire général du Fascicule VII</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61</w:t>
            </w:r>
          </w:p>
        </w:tc>
        <w:tc>
          <w:tcPr>
            <w:tcW w:type="dxa" w:w="3118"/>
          </w:tcPr>
          <w:p>
            <w:r>
              <w:rPr>
                <w:sz w:val="20"/>
              </w:rPr>
              <w:t>Bronchodilatateurs β2-mimétiques et anticholinergiques</w:t>
            </w:r>
          </w:p>
        </w:tc>
        <w:tc>
          <w:tcPr>
            <w:tcW w:type="dxa" w:w="3118"/>
          </w:tcPr>
          <w:p>
            <w:r>
              <w:rPr>
                <w:sz w:val="20"/>
              </w:rPr>
              <w:t>8</w:t>
            </w:r>
          </w:p>
        </w:tc>
      </w:tr>
      <w:tr>
        <w:tc>
          <w:tcPr>
            <w:tcW w:type="dxa" w:w="3118"/>
          </w:tcPr>
          <w:p>
            <w:r>
              <w:rPr>
                <w:sz w:val="20"/>
              </w:rPr>
              <w:t>62</w:t>
            </w:r>
          </w:p>
        </w:tc>
        <w:tc>
          <w:tcPr>
            <w:tcW w:type="dxa" w:w="3118"/>
          </w:tcPr>
          <w:p>
            <w:r>
              <w:rPr>
                <w:sz w:val="20"/>
              </w:rPr>
              <w:t>Corticoïdes inhalés (CSI) et associations CSI+LABA</w:t>
            </w:r>
          </w:p>
        </w:tc>
        <w:tc>
          <w:tcPr>
            <w:tcW w:type="dxa" w:w="3118"/>
          </w:tcPr>
          <w:p>
            <w:r>
              <w:rPr>
                <w:sz w:val="20"/>
              </w:rPr>
              <w:t>8</w:t>
            </w:r>
          </w:p>
        </w:tc>
      </w:tr>
      <w:tr>
        <w:tc>
          <w:tcPr>
            <w:tcW w:type="dxa" w:w="3118"/>
          </w:tcPr>
          <w:p>
            <w:r>
              <w:rPr>
                <w:sz w:val="20"/>
              </w:rPr>
              <w:t>63</w:t>
            </w:r>
          </w:p>
        </w:tc>
        <w:tc>
          <w:tcPr>
            <w:tcW w:type="dxa" w:w="3118"/>
          </w:tcPr>
          <w:p>
            <w:r>
              <w:rPr>
                <w:sz w:val="20"/>
              </w:rPr>
              <w:t>Antiasthmatiques additifs : Antileucotriènes, Théophylline, Anti-IgE</w:t>
            </w:r>
          </w:p>
        </w:tc>
        <w:tc>
          <w:tcPr>
            <w:tcW w:type="dxa" w:w="3118"/>
          </w:tcPr>
          <w:p>
            <w:r>
              <w:rPr>
                <w:sz w:val="20"/>
              </w:rPr>
              <w:t>3</w:t>
            </w:r>
          </w:p>
        </w:tc>
      </w:tr>
      <w:tr>
        <w:tc>
          <w:tcPr>
            <w:tcW w:type="dxa" w:w="3118"/>
          </w:tcPr>
          <w:p>
            <w:r>
              <w:rPr>
                <w:sz w:val="20"/>
              </w:rPr>
              <w:t>64</w:t>
            </w:r>
          </w:p>
        </w:tc>
        <w:tc>
          <w:tcPr>
            <w:tcW w:type="dxa" w:w="3118"/>
          </w:tcPr>
          <w:p>
            <w:r>
              <w:rPr>
                <w:sz w:val="20"/>
              </w:rPr>
              <w:t>Mucolytiques, expectorants et antitussifs</w:t>
            </w:r>
          </w:p>
        </w:tc>
        <w:tc>
          <w:tcPr>
            <w:tcW w:type="dxa" w:w="3118"/>
          </w:tcPr>
          <w:p>
            <w:r>
              <w:rPr>
                <w:sz w:val="20"/>
              </w:rPr>
              <w:t>8</w:t>
            </w:r>
          </w:p>
        </w:tc>
      </w:tr>
      <w:tr>
        <w:tc>
          <w:tcPr>
            <w:tcW w:type="dxa" w:w="3118"/>
          </w:tcPr>
          <w:p>
            <w:r>
              <w:rPr>
                <w:sz w:val="20"/>
              </w:rPr>
              <w:t>65</w:t>
            </w:r>
          </w:p>
        </w:tc>
        <w:tc>
          <w:tcPr>
            <w:tcW w:type="dxa" w:w="3118"/>
          </w:tcPr>
          <w:p>
            <w:r>
              <w:rPr>
                <w:sz w:val="20"/>
              </w:rPr>
              <w:t>Antihistaminiques H1 (allergies respiratoires)</w:t>
            </w:r>
          </w:p>
        </w:tc>
        <w:tc>
          <w:tcPr>
            <w:tcW w:type="dxa" w:w="3118"/>
          </w:tcPr>
          <w:p>
            <w:r>
              <w:rPr>
                <w:sz w:val="20"/>
              </w:rPr>
              <w:t>13</w:t>
            </w:r>
          </w:p>
        </w:tc>
      </w:tr>
      <w:tr>
        <w:tc>
          <w:tcPr>
            <w:tcW w:type="dxa" w:w="3118"/>
          </w:tcPr>
          <w:p>
            <w:r>
              <w:rPr>
                <w:sz w:val="20"/>
              </w:rPr>
              <w:t>66</w:t>
            </w:r>
          </w:p>
        </w:tc>
        <w:tc>
          <w:tcPr>
            <w:tcW w:type="dxa" w:w="3118"/>
          </w:tcPr>
          <w:p>
            <w:r>
              <w:rPr>
                <w:sz w:val="20"/>
              </w:rPr>
              <w:t>Surfactants exogènes et vasodilatateurs pulmonaires (HTAP)</w:t>
            </w:r>
          </w:p>
        </w:tc>
        <w:tc>
          <w:tcPr>
            <w:tcW w:type="dxa" w:w="3118"/>
          </w:tcPr>
          <w:p>
            <w:r>
              <w:rPr>
                <w:sz w:val="20"/>
              </w:rPr>
              <w:t>8</w:t>
            </w:r>
          </w:p>
        </w:tc>
      </w:tr>
      <w:tr>
        <w:tc>
          <w:tcPr>
            <w:tcW w:type="dxa" w:w="3118"/>
          </w:tcPr>
          <w:p>
            <w:r>
              <w:rPr>
                <w:sz w:val="20"/>
              </w:rPr>
              <w:t>**Total**</w:t>
            </w:r>
          </w:p>
        </w:tc>
        <w:tc>
          <w:tcPr>
            <w:tcW w:type="dxa" w:w="3118"/>
          </w:tcPr>
          <w:p>
            <w:r>
              <w:rPr>
                <w:sz w:val="20"/>
              </w:rPr>
            </w:r>
          </w:p>
        </w:tc>
        <w:tc>
          <w:tcPr>
            <w:tcW w:type="dxa" w:w="3118"/>
          </w:tcPr>
          <w:p>
            <w:r>
              <w:rPr>
                <w:sz w:val="20"/>
              </w:rPr>
              <w:t>**44**</w:t>
            </w:r>
          </w:p>
        </w:tc>
      </w:tr>
    </w:tbl>
    <w:p/>
    <w:p>
      <w:pPr>
        <w:pStyle w:val="Heading1"/>
      </w:pPr>
      <w:r>
        <w:t>Chapitre 61 — Bronchodilatateurs β2-mimétiques et Anticholinergiques</w:t>
      </w:r>
    </w:p>
    <w:p>
      <w:pPr>
        <w:ind w:left="567"/>
      </w:pPr>
      <w:r>
        <w:rPr>
          <w:i/>
          <w:color w:val="606060"/>
        </w:rPr>
        <w:t>**Fascicule VII — Pneumologie / Antiasthmatiques**</w:t>
      </w:r>
    </w:p>
    <w:p>
      <w:pPr>
        <w:ind w:left="567"/>
      </w:pPr>
      <w:r>
        <w:rPr>
          <w:i/>
          <w:color w:val="606060"/>
        </w:rPr>
        <w:t>*Sous-classe thérapeutique : Bronchodilatateurs — β2-mimétiques (SABA, LABA) et Anticholinergiques (SAMA, LAMA), et leurs associations*</w:t>
      </w:r>
    </w:p>
    <w:p>
      <w:pPr>
        <w:ind w:left="567"/>
      </w:pPr>
      <w:r>
        <w:rPr>
          <w:i/>
          <w:color w:val="606060"/>
        </w:rPr>
        <w:t>*Nomenclature algérienne des médicaments — Avril 2026*</w:t>
      </w:r>
    </w:p>
    <w:p>
      <w:pPr>
        <w:pStyle w:val="Heading2"/>
      </w:pPr>
      <w:r>
        <w:t>Sommaire du chapitre</w:t>
      </w:r>
    </w:p>
    <w:p>
      <w:pPr>
        <w:pStyle w:val="ListNumber"/>
      </w:pPr>
      <w:r>
        <w:t>Introduction à la sous-classe des β2-mimétiques à courte durée d'action (SABA)</w:t>
      </w:r>
    </w:p>
    <w:p>
      <w:pPr>
        <w:pStyle w:val="ListNumber"/>
      </w:pPr>
      <w:r>
        <w:t>Fiches DCI — SABA</w:t>
      </w:r>
    </w:p>
    <w:p>
      <w:pPr>
        <w:pStyle w:val="ListBullet"/>
      </w:pPr>
      <w:r>
        <w:t>1. Salbutamol</w:t>
      </w:r>
    </w:p>
    <w:p>
      <w:pPr>
        <w:pStyle w:val="ListBullet"/>
      </w:pPr>
      <w:r>
        <w:t>2. Terbutaline</w:t>
      </w:r>
    </w:p>
    <w:p>
      <w:pPr>
        <w:pStyle w:val="ListNumber"/>
      </w:pPr>
      <w:r>
        <w:t>Introduction à la sous-classe des β2-mimétiques à longue durée d'action (LABA)</w:t>
      </w:r>
    </w:p>
    <w:p>
      <w:pPr>
        <w:pStyle w:val="ListNumber"/>
      </w:pPr>
      <w:r>
        <w:t>Fiches DCI — LABA</w:t>
      </w:r>
    </w:p>
    <w:p>
      <w:pPr>
        <w:pStyle w:val="ListBullet"/>
      </w:pPr>
      <w:r>
        <w:t>3. Formotérol</w:t>
      </w:r>
    </w:p>
    <w:p>
      <w:pPr>
        <w:pStyle w:val="ListBullet"/>
      </w:pPr>
      <w:r>
        <w:t>4. Salmétérol</w:t>
      </w:r>
    </w:p>
    <w:p>
      <w:pPr>
        <w:pStyle w:val="ListNumber"/>
      </w:pPr>
      <w:r>
        <w:t>Introduction à la sous-classe des anticholinergiques à courte durée d'action (SAMA)</w:t>
      </w:r>
    </w:p>
    <w:p>
      <w:pPr>
        <w:pStyle w:val="ListNumber"/>
      </w:pPr>
      <w:r>
        <w:t>Fiche DCI — SAMA</w:t>
      </w:r>
    </w:p>
    <w:p>
      <w:pPr>
        <w:pStyle w:val="ListBullet"/>
      </w:pPr>
      <w:r>
        <w:t>5. Ipratropium</w:t>
      </w:r>
    </w:p>
    <w:p>
      <w:pPr>
        <w:pStyle w:val="ListNumber"/>
      </w:pPr>
      <w:r>
        <w:t>Introduction à la sous-classe des anticholinergiques à longue durée d'action (LAMA)</w:t>
      </w:r>
    </w:p>
    <w:p>
      <w:pPr>
        <w:pStyle w:val="ListNumber"/>
      </w:pPr>
      <w:r>
        <w:t>Fiche DCI — LAMA</w:t>
      </w:r>
    </w:p>
    <w:p>
      <w:pPr>
        <w:pStyle w:val="ListBullet"/>
      </w:pPr>
      <w:r>
        <w:t>6. Tiotropium</w:t>
      </w:r>
    </w:p>
    <w:p>
      <w:pPr>
        <w:pStyle w:val="ListNumber"/>
      </w:pPr>
      <w:r>
        <w:t>Introduction à la sous-classe des associations SABA + SAMA</w:t>
      </w:r>
    </w:p>
    <w:p>
      <w:pPr>
        <w:pStyle w:val="ListNumber"/>
      </w:pPr>
      <w:r>
        <w:t>Fiche DCI — Association SABA + SAMA</w:t>
      </w:r>
    </w:p>
    <w:p>
      <w:pPr>
        <w:pStyle w:val="ListBullet"/>
      </w:pPr>
      <w:r>
        <w:t>7. Salbutamol + Ipratropium</w:t>
      </w:r>
    </w:p>
    <w:p>
      <w:pPr>
        <w:pStyle w:val="ListNumber"/>
      </w:pPr>
      <w:r>
        <w:t>Introduction à la sous-classe des associations LAMA + LABA</w:t>
      </w:r>
    </w:p>
    <w:p>
      <w:pPr>
        <w:pStyle w:val="ListNumber"/>
      </w:pPr>
      <w:r>
        <w:t>Fiche DCI — Association LAMA + LABA</w:t>
      </w:r>
    </w:p>
    <w:p>
      <w:pPr>
        <w:pStyle w:val="ListBullet"/>
      </w:pPr>
      <w:r>
        <w:t>8. Umeclidinium + Vilantérol</w:t>
      </w:r>
    </w:p>
    <w:p>
      <w:pPr>
        <w:pStyle w:val="ListNumber"/>
      </w:pPr>
      <w:r>
        <w:t>Tableau comparatif synthétique des bronchodilatateurs</w:t>
      </w:r>
    </w:p>
    <w:p>
      <w:pPr>
        <w:pStyle w:val="Heading2"/>
      </w:pPr>
      <w:r>
        <w:t>1. Introduction à la sous-classe des β2-mimétiques à courte durée d'action (SABA)</w:t>
      </w:r>
    </w:p>
    <w:p>
      <w:r>
        <w:t xml:space="preserve">Les </w:t>
      </w:r>
      <w:r>
        <w:rPr>
          <w:b/>
        </w:rPr>
        <w:t>β2-mimétiques à courte durée d'action (SABA — Short-Acting Beta-2 Agonists)</w:t>
      </w:r>
      <w:r>
        <w:t xml:space="preserve"> constituent le pilier historique du traitement de secours dans l'asthme et la BPCO. Commercialisés depuis les années 1960 (isoprénaline d'abord, puis salbutamol en 1969 par Allen &amp; Hanburys / Glaxo), ils représentent encore aujourd'hui, selon les recommandations GINA (Global Initiative for Asthma, mise à jour 2024) et GOLD (Global Initiative for Chronic Obstructive Lung Disease, rapport 2024), la première ligne du traitement </w:t>
      </w:r>
      <w:r>
        <w:rPr>
          <w:b/>
        </w:rPr>
        <w:t>symptomatique de la bronchoconstriction aiguë</w:t>
      </w:r>
      <w:r>
        <w:t>. En Algérie, le salbutamol demeure le bronchodilatateur le plus prescrit et le plus présent dans la nomenclature nationale avec près de quarante-cinq spécialités référencées (actives, non renouvelables ou retirées), distribué sous une pluralité de formes galéniques (aérosols doseurs, solutions pour nébulisation, solutions buvables/sirops, comprimés, solutions injectables sous-cutanées ou intraveineuses).</w:t>
      </w:r>
    </w:p>
    <w:p>
      <w:r/>
      <w:r>
        <w:rPr>
          <w:b/>
        </w:rPr>
        <w:t>Cible pharmacologique.</w:t>
      </w:r>
      <w:r>
        <w:t xml:space="preserve"> Les SABA sont des agonistes </w:t>
      </w:r>
      <w:r>
        <w:rPr>
          <w:b/>
        </w:rPr>
        <w:t>sélectifs</w:t>
      </w:r>
      <w:r>
        <w:t xml:space="preserve"> des récepteurs β2-adrénergiques (β2-AR), membres de la superfamille des récepteurs couplés aux protéines G (RCPG) à sept domaines transmembranaires. Les récepteurs β2-adrénergiques sont exprimés majoritairement au niveau du </w:t>
      </w:r>
      <w:r>
        <w:rPr>
          <w:b/>
        </w:rPr>
        <w:t>muscle lisse bronchique</w:t>
      </w:r>
      <w:r>
        <w:t>, mais également sur les mastocytes, les cellules épithéliales, les cellules à gobelet, les pneumocytes de type II et les cellules endothéliales vasculaires. La sous-type β2 représente plus de 80 % des récepteurs β-adrénergiques pulmonaires (contre β1 dans le cœur), ce qui justifie la relative cardio-sélectivité de ces molécules par rapport aux catécholamines non sélectifs (isoprénaline).</w:t>
      </w:r>
    </w:p>
    <w:p>
      <w:r/>
      <w:r>
        <w:rPr>
          <w:b/>
        </w:rPr>
        <w:t>Mécanisme d'action moléculaire.</w:t>
      </w:r>
      <w:r>
        <w:t xml:space="preserve"> La liaison du SABA sur le site orthostérique du récepteur β2-AR provoque un changement conformationnel qui active la </w:t>
      </w:r>
      <w:r>
        <w:rPr>
          <w:b/>
        </w:rPr>
        <w:t>sous-unité α de la protéine Gs</w:t>
      </w:r>
      <w:r>
        <w:t xml:space="preserve">. Cette sous-unité, après échange GDP→GTP, se dissocie du complexe βγ et </w:t>
      </w:r>
      <w:r>
        <w:rPr>
          <w:b/>
        </w:rPr>
        <w:t>stimule l'adénylate cyclase membranaire</w:t>
      </w:r>
      <w:r>
        <w:t xml:space="preserve"> (AC isoformes V et VI dans le poumon). L'adénylate cyclase convertit l'ATP en </w:t>
      </w:r>
      <w:r>
        <w:rPr>
          <w:b/>
        </w:rPr>
        <w:t>adénosine monophosphate cyclique (AMPc)</w:t>
      </w:r>
      <w:r>
        <w:t xml:space="preserve">, dont la concentration intracellulaire augmente de plusieurs dizaines de fois en quelques secondes. L'AMPc active à son tour la </w:t>
      </w:r>
      <w:r>
        <w:rPr>
          <w:b/>
        </w:rPr>
        <w:t>protéine kinase A (PKA)</w:t>
      </w:r>
      <w:r>
        <w:t xml:space="preserve"> qui phosphoryle plusieurs effecteurs responsables de la relaxation du muscle lisse bronchique :</w:t>
      </w:r>
    </w:p>
    <w:p>
      <w:pPr>
        <w:pStyle w:val="ListBullet"/>
      </w:pPr>
      <w:r>
        <w:t xml:space="preserve">phosphorylation de la </w:t>
      </w:r>
      <w:r>
        <w:rPr>
          <w:b/>
        </w:rPr>
        <w:t>myosine light chain kinase (MLCK)</w:t>
      </w:r>
      <w:r>
        <w:t xml:space="preserve"> → inhibition de la phosphorylation des chaînes légères de la myosine → arrêt de la contraction ;</w:t>
      </w:r>
    </w:p>
    <w:p>
      <w:pPr>
        <w:pStyle w:val="ListBullet"/>
      </w:pPr>
      <w:r>
        <w:t xml:space="preserve">activation de la </w:t>
      </w:r>
      <w:r>
        <w:rPr>
          <w:b/>
        </w:rPr>
        <w:t>pompe Ca2+ ATPase du réticulum sarcoplasmique (SERCA)</w:t>
      </w:r>
      <w:r>
        <w:t xml:space="preserve"> → reprise du calcium cytosolique → baisse du Ca2+ libre intracellulaire ;</w:t>
      </w:r>
    </w:p>
    <w:p>
      <w:pPr>
        <w:pStyle w:val="ListBullet"/>
      </w:pPr>
      <w:r>
        <w:t xml:space="preserve">activation de la </w:t>
      </w:r>
      <w:r>
        <w:rPr>
          <w:b/>
        </w:rPr>
        <w:t>canaux potassiques BKCa</w:t>
      </w:r>
      <w:r>
        <w:t xml:space="preserve"> → hyperpolarisation membranaire → relaxation ;</w:t>
      </w:r>
    </w:p>
    <w:p>
      <w:pPr>
        <w:pStyle w:val="ListBullet"/>
      </w:pPr>
      <w:r>
        <w:t xml:space="preserve">inhibition de la </w:t>
      </w:r>
      <w:r>
        <w:rPr>
          <w:b/>
        </w:rPr>
        <w:t>phospholipase C (PLC)</w:t>
      </w:r>
      <w:r>
        <w:t xml:space="preserve"> → baisse de l'IP3 et du DAG ;</w:t>
      </w:r>
    </w:p>
    <w:p>
      <w:pPr>
        <w:pStyle w:val="ListBullet"/>
      </w:pPr>
      <w:r>
        <w:t>inhibition de l'exocytose des médiateurs mastocytaires (histamine, leucotriènes).</w:t>
      </w:r>
    </w:p>
    <w:p>
      <w:r/>
      <w:r>
        <w:rPr>
          <w:b/>
        </w:rPr>
        <w:t>Conséquence fonctionnelle.</w:t>
      </w:r>
      <w:r>
        <w:t xml:space="preserve"> La relaxation du muscle lisse bronchique se traduit par une </w:t>
      </w:r>
      <w:r>
        <w:rPr>
          <w:b/>
        </w:rPr>
        <w:t>bronchodilatation rapide</w:t>
      </w:r>
      <w:r>
        <w:t xml:space="preserve"> (début d'action en 5 minutes pour le salbutamol inhalé), maximale en 30 minutes et persistant 4 à 6 heures. S'y ajoutent effets adjuvants : augmentation de la clairance mucociliaire, inhibition de la libération des médiateurs mastocytaires, modération de la perméabilité vasculaire, et stimulation de la sécrétion de surfactant par les pneumocytes de type II.</w:t>
      </w:r>
    </w:p>
    <w:p>
      <w:r/>
      <w:r>
        <w:rPr>
          <w:b/>
        </w:rPr>
        <w:t>Pharmacocinétique des SABA inhalés.</w:t>
      </w:r>
      <w:r>
        <w:t xml:space="preserve"> Après inhalation, 10 à 20 % de la dose délivrée atteint la circulation systémique via l'arbre respiratoire (fraction libre), tandis que 80 à 90 % est dégluti et subit un </w:t>
      </w:r>
      <w:r>
        <w:rPr>
          <w:b/>
        </w:rPr>
        <w:t>effet de premier passage hépatique</w:t>
      </w:r>
      <w:r>
        <w:t xml:space="preserve"> important. La biodisponibilité orale du salbutamol est de l'ordre de 50 % (le salbutamol n'est pas un dérivé catécholaminique et n'est donc pas métabolisé par la COMT). La demi-vie plasmatique est de 4 à 6 heures, l'élimination se faisant à 70-80 % sous forme inchangée dans les urines (métabolisation hépatique mineure en salbutamol-4'-O-sulfate conjugué). Le passage de la barrière hémato-encéphalique est modéré, à l'origine des effets centraux (tremblements, anxiété). La latence d'action inhalée est de </w:t>
      </w:r>
      <w:r>
        <w:rPr>
          <w:b/>
        </w:rPr>
        <w:t>5 minutes</w:t>
      </w:r>
      <w:r>
        <w:t xml:space="preserve">, la durée d'action de </w:t>
      </w:r>
      <w:r>
        <w:rPr>
          <w:b/>
        </w:rPr>
        <w:t>4 à 6 heures</w:t>
      </w:r>
      <w:r>
        <w:t xml:space="preserve">, justifiant un schéma posologique </w:t>
      </w:r>
      <w:r>
        <w:rPr>
          <w:b/>
        </w:rPr>
        <w:t>à la demande</w:t>
      </w:r>
      <w:r>
        <w:t xml:space="preserve"> (et non chronique).</w:t>
      </w:r>
    </w:p>
    <w:p>
      <w:r/>
      <w:r>
        <w:rPr>
          <w:b/>
        </w:rPr>
        <w:t>Distinction fondamentale entre SABA et LABA.</w:t>
      </w:r>
      <w:r>
        <w:t xml:space="preserve"> Les SABA se distinguent des β2-mimétiques de longue durée d'action (LABA) par leur </w:t>
      </w:r>
      <w:r>
        <w:rPr>
          <w:b/>
        </w:rPr>
        <w:t>pharmacocinétique</w:t>
      </w:r>
      <w:r>
        <w:t xml:space="preserve"> (demi-vie courte) et non par leur mécanisme (identique). Le salbutamol et la terbutaline, historiquement découverts comme des molécules à demi-vie courte (4-6 h), ont laissé la place au formotérol et au salmétérol (12 h) pour le traitement de fond. La sélectivité β2 du salbutamol et de la terbutaline est élevée mais </w:t>
      </w:r>
      <w:r>
        <w:rPr>
          <w:b/>
        </w:rPr>
        <w:t>non absolue</w:t>
      </w:r>
      <w:r>
        <w:t xml:space="preserve"> : à doses élevées ou en cas de surdosage, l'affinité résiduelle pour les récepteurs β1-cardiaques est responsable de tachycardie, palpitations et troubles du rythme.</w:t>
      </w:r>
    </w:p>
    <w:p>
      <w:r/>
      <w:r>
        <w:rPr>
          <w:b/>
        </w:rPr>
        <w:t>Positionnement dans la stratégie thérapeutique (GINA 2024).</w:t>
      </w:r>
      <w:r>
        <w:t xml:space="preserve"> Jusqu'en 2019, le salbutamol à la demande était le traitement de secours de </w:t>
      </w:r>
      <w:r>
        <w:rPr>
          <w:b/>
        </w:rPr>
        <w:t>tous les stades</w:t>
      </w:r>
      <w:r>
        <w:t xml:space="preserve"> d'asthme. Le rapport GINA 2019 a bouleversé ce paradigme en démontrant, à partir de l'étude SYGNET 1 et 2, que </w:t>
      </w:r>
      <w:r>
        <w:rPr>
          <w:b/>
        </w:rPr>
        <w:t>l'utilisation isolée d'un SABA sans corticoïde inhalé (CSI) augmente le risque d'exacerbations sévères et de mortalité asthmatique</w:t>
      </w:r>
      <w:r>
        <w:t xml:space="preserve">. Le GINA 2024 recommande désormais, en </w:t>
      </w:r>
      <w:r>
        <w:rPr>
          <w:b/>
        </w:rPr>
        <w:t>piste 1</w:t>
      </w:r>
      <w:r>
        <w:t xml:space="preserve"> (préférée chez l'adulte et l'enfant), le combination </w:t>
      </w:r>
      <w:r>
        <w:rPr>
          <w:b/>
        </w:rPr>
        <w:t>faible dose de CSI + formotérol à la demande</w:t>
      </w:r>
      <w:r>
        <w:t xml:space="preserve"> (MART — Maintenance and Reliever Therapy) comme traitement de secours et d'entretien. La </w:t>
      </w:r>
      <w:r>
        <w:rPr>
          <w:b/>
        </w:rPr>
        <w:t>piste 2</w:t>
      </w:r>
      <w:r>
        <w:t xml:space="preserve"> (alternative) conserve le SABA à la demande, mais associé à une dose faible de CSI prise régulière ou en mémoire post-symptomatique. La BPCO (GOLD 2024), en revanche, maintient les SABA comme traitement de secours de première ligne en association avec les bronchodilatateurs de longue durée d'action.</w:t>
      </w:r>
    </w:p>
    <w:p>
      <w:r/>
      <w:r>
        <w:rPr>
          <w:b/>
        </w:rPr>
        <w:t>Cadre réglementaire algérien.</w:t>
      </w:r>
      <w:r>
        <w:t xml:space="preserve"> Les SABA disponibles en Algérie sont classés en </w:t>
      </w:r>
      <w:r>
        <w:rPr>
          <w:b/>
        </w:rPr>
        <w:t>Liste I</w:t>
      </w:r>
      <w:r>
        <w:t xml:space="preserve"> (substances vénéneuses, prescription médicale obligatoire non renouvelable) pour l'ensemble des spécialités (aérosols, solutions pour nébulisation, comprimés, solutions buvables, solutions injectables). Cette classification traduit le potentiel d'abus et de mésusage, ainsi que les risques cardiaques et métaboliques liés au surdosage. Les génériques sont nombreux, en particulier pour le salbutamol inhalé et oral, témoignant de la maturité du marché algérien dans cette classe.</w:t>
      </w:r>
    </w:p>
    <w:p>
      <w:pPr>
        <w:pStyle w:val="Heading2"/>
      </w:pPr>
      <w:r>
        <w:t>2. Fiches DCI — β2-mimétiques à courte durée d'action (SABA)</w:t>
      </w:r>
    </w:p>
    <w:p>
      <w:pPr>
        <w:pStyle w:val="Heading3"/>
      </w:pPr>
      <w:r>
        <w:t>1. DCI : Salbutamol (Seule)</w:t>
      </w:r>
    </w:p>
    <w:p>
      <w:r/>
      <w:r>
        <w:rPr>
          <w:b/>
        </w:rPr>
        <w:t>Liste des Catégories :</w:t>
      </w:r>
      <w:r>
        <w:t xml:space="preserve"> β2-mimétique à courte durée d'action (SABA) ; Bronchodilatateur sympathomimétique ; Anti-asthmatique de secours ; Traitement symptomatique de la BPCO ; Liste I (toutes formes et dosages) ; Prescription médicale obligatoire.</w:t>
      </w:r>
    </w:p>
    <w:p>
      <w:r>
        <w:t xml:space="preserve">Le salbutamol (également connu sous le nom d'albutérol aux États-Unis) est le chef de file des SABA et le bronchodilatateur le plus prescrit au monde. Son début d'action est de </w:t>
      </w:r>
      <w:r>
        <w:rPr>
          <w:b/>
        </w:rPr>
        <w:t>5 minutes</w:t>
      </w:r>
      <w:r>
        <w:t xml:space="preserve"> par voie inhalée (aérosol doseur ou poudre sèche), la bronchodilatation maximale est atteinte en 30 minutes et la durée d'action est de </w:t>
      </w:r>
      <w:r>
        <w:rPr>
          <w:b/>
        </w:rPr>
        <w:t>4 à 6 heures</w:t>
      </w:r>
      <w:r>
        <w:t>. Sa sélectivité β2 est élevée (ratio β2/β1 ≈ 100), responsable d'une tolérance cardiovasculaire satisfaisante aux posologies usuelles. La pharmacocinétique est caractérisée par une demi-vie plasmatique de 4 à 6 heures et une élimination urinaire majoritaire (80 % sous forme inchangée). En Algérie, plus de quarante spécialités ont été ou sont commercialisées, témoignant de la centralité de cette molécule dans la prise en charge de l'asthme et de la BPCO.</w:t>
      </w:r>
    </w:p>
    <w:p>
      <w:r/>
      <w:r>
        <w:rPr>
          <w:b/>
        </w:rPr>
        <w:t>Médicaments disponibles en Algérie (Marques, Laboratoires, Formes et Dosages) :</w:t>
      </w:r>
      <w:r/>
    </w:p>
    <w:p>
      <w:r/>
      <w:r>
        <w:rPr>
          <w:i/>
        </w:rPr>
        <w:t>Spécialités actives :</w:t>
      </w:r>
      <w:r/>
    </w:p>
    <w:p>
      <w:r/>
      <w:r>
        <w:rPr>
          <w:b/>
        </w:rPr>
        <w:t>Formes injectables (sous-cutanée, intraveineuse, intramusculaire) :</w:t>
      </w:r>
      <w:r/>
    </w:p>
    <w:p>
      <w:pPr>
        <w:pStyle w:val="ListBullet"/>
      </w:pPr>
      <w:r/>
      <w:r>
        <w:rPr>
          <w:b/>
        </w:rPr>
        <w:t>SALBUTAMOL</w:t>
      </w:r>
      <w:r>
        <w:t xml:space="preserve"> (BIOLOGICI ITALIA) — Solution injectable 0,5 mg/mL — B/10 ampoules de 1 mL — Statut : Actif</w:t>
      </w:r>
    </w:p>
    <w:p>
      <w:pPr>
        <w:pStyle w:val="ListBullet"/>
      </w:pPr>
      <w:r/>
      <w:r>
        <w:rPr>
          <w:b/>
        </w:rPr>
        <w:t>SLBUTAMOL RAZES</w:t>
      </w:r>
      <w:r>
        <w:t xml:space="preserve"> (LES LABORATOIRES FRATER RAZES) — Solution injectable s/c 0,5 mg/mL — B/10 et B/50 ampoules — Statut : Actif</w:t>
      </w:r>
    </w:p>
    <w:p>
      <w:pPr>
        <w:pStyle w:val="ListBullet"/>
      </w:pPr>
      <w:r/>
      <w:r>
        <w:rPr>
          <w:b/>
        </w:rPr>
        <w:t>VENTAMOL</w:t>
      </w:r>
      <w:r>
        <w:t xml:space="preserve"> (HUPP PHARMA) — Solution injectable 0,5 mg/mL — B/10 ampoules de 1 mL — Statut : Actif</w:t>
      </w:r>
    </w:p>
    <w:p>
      <w:r/>
      <w:r>
        <w:rPr>
          <w:b/>
        </w:rPr>
        <w:t>Formes orales solides (comprimés) :</w:t>
      </w:r>
      <w:r/>
    </w:p>
    <w:p>
      <w:pPr>
        <w:pStyle w:val="ListBullet"/>
      </w:pPr>
      <w:r/>
      <w:r>
        <w:rPr>
          <w:b/>
        </w:rPr>
        <w:t>SALBUTAMOL</w:t>
      </w:r>
      <w:r>
        <w:t xml:space="preserve"> (EGYPTIAN INTERNATIONAL PHARMACEUTICAL INDUSTRIES COMPANY — EIPICO) — Comprimé 2 mg — B/20 — Statut : Actif</w:t>
      </w:r>
    </w:p>
    <w:p>
      <w:pPr>
        <w:pStyle w:val="ListBullet"/>
      </w:pPr>
      <w:r/>
      <w:r>
        <w:rPr>
          <w:b/>
        </w:rPr>
        <w:t>VANTAMED</w:t>
      </w:r>
      <w:r>
        <w:t xml:space="preserve"> (ASIA PHARMACEUTICALS) — Comprimé sécable 2 mg — B/20 — Statut : Actif</w:t>
      </w:r>
    </w:p>
    <w:p>
      <w:r/>
      <w:r>
        <w:rPr>
          <w:b/>
        </w:rPr>
        <w:t>Formes orales liquides (solutions buvables / sirops) :</w:t>
      </w:r>
      <w:r/>
    </w:p>
    <w:p>
      <w:pPr>
        <w:pStyle w:val="ListBullet"/>
      </w:pPr>
      <w:r/>
      <w:r>
        <w:rPr>
          <w:b/>
        </w:rPr>
        <w:t>KOXMA</w:t>
      </w:r>
      <w:r>
        <w:t xml:space="preserve"> (SARL GROUPE SANTE) — Solution buvable 2 mg/5 mL (0,40 mg/mL) — Flacon 125 mL — Statut : Actif</w:t>
      </w:r>
    </w:p>
    <w:p>
      <w:pPr>
        <w:pStyle w:val="ListBullet"/>
      </w:pPr>
      <w:r/>
      <w:r>
        <w:rPr>
          <w:b/>
        </w:rPr>
        <w:t>RABWALYSE</w:t>
      </w:r>
      <w:r>
        <w:t xml:space="preserve"> (ISOPHARM ALGERIE) — Solution buvable 2 mg/5 mL (0,40 mg/mL) — Flacon 150 mL — Statut : Actif</w:t>
      </w:r>
    </w:p>
    <w:p>
      <w:pPr>
        <w:pStyle w:val="ListBullet"/>
      </w:pPr>
      <w:r/>
      <w:r>
        <w:rPr>
          <w:b/>
        </w:rPr>
        <w:t>SALBULAM</w:t>
      </w:r>
      <w:r>
        <w:t xml:space="preserve"> (LABORATOIRE ALGERIEN DU MEDICAMENT — LDM) — Solution buvable 2 mg/5 mL (0,40 mg/mL) — Flacon 125 mL — Statut : Actif</w:t>
      </w:r>
    </w:p>
    <w:p>
      <w:pPr>
        <w:pStyle w:val="ListBullet"/>
      </w:pPr>
      <w:r/>
      <w:r>
        <w:rPr>
          <w:b/>
        </w:rPr>
        <w:t>SALBUMEX</w:t>
      </w:r>
      <w:r>
        <w:t xml:space="preserve"> (KPMA BIOTIC) — Solution buvable 2 mg/5 mL (0,40 mg/mL) — Flacon 150 mL — Statut : Actif</w:t>
      </w:r>
    </w:p>
    <w:p>
      <w:pPr>
        <w:pStyle w:val="ListBullet"/>
      </w:pPr>
      <w:r/>
      <w:r>
        <w:rPr>
          <w:b/>
        </w:rPr>
        <w:t>SALBUTAMOL PHYSIOPHARM</w:t>
      </w:r>
      <w:r>
        <w:t xml:space="preserve"> (PHYSIOPHARM LABORATOIRES) — Solution buvable 2 mg/5 mL (0,40 mg/mL) — Flacon 125 mL — Statut : Actif</w:t>
      </w:r>
    </w:p>
    <w:p>
      <w:pPr>
        <w:pStyle w:val="ListBullet"/>
      </w:pPr>
      <w:r/>
      <w:r>
        <w:rPr>
          <w:b/>
        </w:rPr>
        <w:t>SALBUTAMOL-SAIDAL</w:t>
      </w:r>
      <w:r>
        <w:t xml:space="preserve"> (SAIDAL GROUPE) — Solution buvable 2 mg/5 mL (0,40 mg/mL) — Flacon 150 mL — Statut : Actif</w:t>
      </w:r>
    </w:p>
    <w:p>
      <w:pPr>
        <w:pStyle w:val="ListBullet"/>
      </w:pPr>
      <w:r/>
      <w:r>
        <w:rPr>
          <w:b/>
        </w:rPr>
        <w:t>XABUMOL</w:t>
      </w:r>
      <w:r>
        <w:t xml:space="preserve"> (LAD PHARMA) — Solution buvable 2 mg/5 mL (0,40 mg/mL) — Flacon 125 mL — Statut : Actif</w:t>
      </w:r>
    </w:p>
    <w:p>
      <w:r/>
      <w:r>
        <w:rPr>
          <w:b/>
        </w:rPr>
        <w:t>Formes inhalées — Aérosols doseurs (MDI) :</w:t>
      </w:r>
      <w:r/>
    </w:p>
    <w:p>
      <w:pPr>
        <w:pStyle w:val="ListBullet"/>
      </w:pPr>
      <w:r/>
      <w:r>
        <w:rPr>
          <w:b/>
        </w:rPr>
        <w:t>AEROL</w:t>
      </w:r>
      <w:r>
        <w:t xml:space="preserve"> (BERG LIFE SCIENCES) — Suspension pour inhalation 100 µg/bouffée — Flacon 200 doses — Statut : Actif</w:t>
      </w:r>
    </w:p>
    <w:p>
      <w:pPr>
        <w:pStyle w:val="ListBullet"/>
      </w:pPr>
      <w:r/>
      <w:r>
        <w:rPr>
          <w:b/>
        </w:rPr>
        <w:t>ASTHALIN</w:t>
      </w:r>
      <w:r>
        <w:t xml:space="preserve"> (CIPLA LIMITED) — Solution pour inhalation buccale 100 µg/bouffée — Flacon 200 doses — Statut : Actif</w:t>
      </w:r>
    </w:p>
    <w:p>
      <w:pPr>
        <w:pStyle w:val="ListBullet"/>
      </w:pPr>
      <w:r/>
      <w:r>
        <w:rPr>
          <w:b/>
        </w:rPr>
        <w:t>VENTMAX</w:t>
      </w:r>
      <w:r>
        <w:t xml:space="preserve"> (CHIESI FARMACEUTICI SPA) — Aérosol 100 µg/dose — Flacon 200 doses — Statut : Actif</w:t>
      </w:r>
    </w:p>
    <w:p>
      <w:pPr>
        <w:pStyle w:val="ListBullet"/>
      </w:pPr>
      <w:r/>
      <w:r>
        <w:rPr>
          <w:b/>
        </w:rPr>
        <w:t>VENTOLINE</w:t>
      </w:r>
      <w:r>
        <w:t xml:space="preserve"> (GLAXOSMITHKLINE) — Aérosol 100 µg/dose — Flacon 200 doses — Statut : Actif (spécialité princeps historique)</w:t>
      </w:r>
    </w:p>
    <w:p>
      <w:r/>
      <w:r>
        <w:rPr>
          <w:b/>
        </w:rPr>
        <w:t>Formes inhalées — Solutions pour nébulisation :</w:t>
      </w:r>
      <w:r/>
    </w:p>
    <w:p>
      <w:pPr>
        <w:pStyle w:val="ListBullet"/>
      </w:pPr>
      <w:r/>
      <w:r>
        <w:rPr>
          <w:b/>
        </w:rPr>
        <w:t>ASTHALIN</w:t>
      </w:r>
      <w:r>
        <w:t xml:space="preserve"> (CIPLA LIMITED) — Solution pour inhalation par nébuliseur 5 mg/mL — Flacon 15 mL — Statut : Actif</w:t>
      </w:r>
    </w:p>
    <w:p>
      <w:pPr>
        <w:pStyle w:val="ListBullet"/>
      </w:pPr>
      <w:r/>
      <w:r>
        <w:rPr>
          <w:b/>
        </w:rPr>
        <w:t>VENTOLINE</w:t>
      </w:r>
      <w:r>
        <w:t xml:space="preserve"> (GLAXOSMITHKLINE) — Solution pour nébulisation 5 mg/mL — Flacon 10 mL — Statut : Actif</w:t>
      </w:r>
    </w:p>
    <w:p>
      <w:r/>
      <w:r>
        <w:rPr>
          <w:b/>
        </w:rPr>
        <w:t>Formes inhalées — Poudres sèches (DPI) :</w:t>
      </w:r>
      <w:r/>
    </w:p>
    <w:p>
      <w:pPr>
        <w:pStyle w:val="ListBullet"/>
      </w:pPr>
      <w:r/>
      <w:r>
        <w:rPr>
          <w:b/>
        </w:rPr>
        <w:t>ASTHALIN</w:t>
      </w:r>
      <w:r>
        <w:t xml:space="preserve"> (BIOPHARM) — Poudre pour inhalation en gélules + inhalateur 200 µg/gélule — B/30 — Statut : Actif</w:t>
      </w:r>
    </w:p>
    <w:p>
      <w:r/>
      <w:r>
        <w:rPr>
          <w:i/>
        </w:rPr>
        <w:t>Spécialités non renouvelables :</w:t>
      </w:r>
      <w:r/>
    </w:p>
    <w:p>
      <w:pPr>
        <w:pStyle w:val="ListBullet"/>
      </w:pPr>
      <w:r/>
      <w:r>
        <w:rPr>
          <w:b/>
        </w:rPr>
        <w:t>ASMANORE</w:t>
      </w:r>
      <w:r>
        <w:t xml:space="preserve"> (JORDANIAN PHARMACEUTICAL MANUFACTURING) — Comprimé 2 mg — B/30 — Statut : Non Renouvelable</w:t>
      </w:r>
    </w:p>
    <w:p>
      <w:pPr>
        <w:pStyle w:val="ListBullet"/>
      </w:pPr>
      <w:r/>
      <w:r>
        <w:rPr>
          <w:b/>
        </w:rPr>
        <w:t>AEROLIN</w:t>
      </w:r>
      <w:r>
        <w:t xml:space="preserve"> (EIPICO) — Aérosol 100 µg/bouffée — Flacon 400 doses — Statut : Non Renouvelable</w:t>
      </w:r>
    </w:p>
    <w:p>
      <w:r/>
      <w:r>
        <w:rPr>
          <w:i/>
        </w:rPr>
        <w:t>Spécialités retirées du marché (R) :</w:t>
      </w:r>
      <w:r/>
    </w:p>
    <w:p>
      <w:pPr>
        <w:pStyle w:val="ListBullet"/>
      </w:pPr>
      <w:r/>
      <w:r>
        <w:rPr>
          <w:b/>
        </w:rPr>
        <w:t>VENTOLINE solution injectable s/c</w:t>
      </w:r>
      <w:r>
        <w:t xml:space="preserve"> (GLAXOSMITHKLINE) — Solution injectable s/c 0,5 mg/mL — B/6 ampoules — Statut : Retiré (R)</w:t>
      </w:r>
    </w:p>
    <w:p>
      <w:pPr>
        <w:pStyle w:val="ListBullet"/>
      </w:pPr>
      <w:r/>
      <w:r>
        <w:rPr>
          <w:b/>
        </w:rPr>
        <w:t>MEDOLIN comprimés</w:t>
      </w:r>
      <w:r>
        <w:t xml:space="preserve"> (MEDOCHEMIE LTD) — Comprimé 2 mg — B/100 — Statut : Retiré (R)</w:t>
      </w:r>
    </w:p>
    <w:p>
      <w:pPr>
        <w:pStyle w:val="ListBullet"/>
      </w:pPr>
      <w:r/>
      <w:r>
        <w:rPr>
          <w:b/>
        </w:rPr>
        <w:t>ASTHALIN comprimés</w:t>
      </w:r>
      <w:r>
        <w:t xml:space="preserve"> (CIPLA LIMITED) — Comprimé 2 mg — B/30 — Statut : Retiré (R)</w:t>
      </w:r>
    </w:p>
    <w:p>
      <w:pPr>
        <w:pStyle w:val="ListBullet"/>
      </w:pPr>
      <w:r/>
      <w:r>
        <w:rPr>
          <w:b/>
        </w:rPr>
        <w:t>BUTOVENT</w:t>
      </w:r>
      <w:r>
        <w:t xml:space="preserve"> (PROMOPHARM) — Comprimé 2 mg — B/50 — Statut : Retiré (R)</w:t>
      </w:r>
    </w:p>
    <w:p>
      <w:pPr>
        <w:pStyle w:val="ListBullet"/>
      </w:pPr>
      <w:r/>
      <w:r>
        <w:rPr>
          <w:b/>
        </w:rPr>
        <w:t>SALBUTAMOL comprimés</w:t>
      </w:r>
      <w:r>
        <w:t xml:space="preserve"> (MEDICUBA) — Comprimé 2 mg — B/40 — Statut : Retiré (R)</w:t>
      </w:r>
    </w:p>
    <w:p>
      <w:pPr>
        <w:pStyle w:val="ListBullet"/>
      </w:pPr>
      <w:r/>
      <w:r>
        <w:rPr>
          <w:b/>
        </w:rPr>
        <w:t>VENTEZE-2</w:t>
      </w:r>
      <w:r>
        <w:t xml:space="preserve"> (PHARMACARE LIMITED) — Comprimé 2 mg — B/40 — Statut : Retiré (R)</w:t>
      </w:r>
    </w:p>
    <w:p>
      <w:pPr>
        <w:pStyle w:val="ListBullet"/>
      </w:pPr>
      <w:r/>
      <w:r>
        <w:rPr>
          <w:b/>
        </w:rPr>
        <w:t>FARCOLIN comprimés</w:t>
      </w:r>
      <w:r>
        <w:t xml:space="preserve"> (PHARCO EGYPTE) — Comprimé 2 mg — B/20 — Statut : Retiré (R)</w:t>
      </w:r>
    </w:p>
    <w:p>
      <w:pPr>
        <w:pStyle w:val="ListBullet"/>
      </w:pPr>
      <w:r/>
      <w:r>
        <w:rPr>
          <w:b/>
        </w:rPr>
        <w:t>VENTOLINE comprimés</w:t>
      </w:r>
      <w:r>
        <w:t xml:space="preserve"> (GLAXOSMITHKLINE) — Comprimé 2 mg — B/40 — Statut : Retiré (R)</w:t>
      </w:r>
    </w:p>
    <w:p>
      <w:pPr>
        <w:pStyle w:val="ListBullet"/>
      </w:pPr>
      <w:r/>
      <w:r>
        <w:rPr>
          <w:b/>
        </w:rPr>
        <w:t>ASMADIL comprimés</w:t>
      </w:r>
      <w:r>
        <w:t xml:space="preserve"> (ARAB PHARMACEUTICAL MANUFACTURING) — Comprimé 2 mg — B/30 — Statut : Retiré (R)</w:t>
      </w:r>
    </w:p>
    <w:p>
      <w:pPr>
        <w:pStyle w:val="ListBullet"/>
      </w:pPr>
      <w:r/>
      <w:r>
        <w:rPr>
          <w:b/>
        </w:rPr>
        <w:t>MEDOLIN sirop</w:t>
      </w:r>
      <w:r>
        <w:t xml:space="preserve"> (MEDOCHEMIE LTD) — Sirop 2 mg/5 mL — Flacon 150 mL — Statut : Retiré (R)</w:t>
      </w:r>
    </w:p>
    <w:p>
      <w:pPr>
        <w:pStyle w:val="ListBullet"/>
      </w:pPr>
      <w:r/>
      <w:r>
        <w:rPr>
          <w:b/>
        </w:rPr>
        <w:t>ASMADIL sirop</w:t>
      </w:r>
      <w:r>
        <w:t xml:space="preserve"> (ARAB PHARMACEUTICAL MANUFACTURING) — Sirop 2 mg/5 mL — Flacon 120 mL — Statut : Retiré (R)</w:t>
      </w:r>
    </w:p>
    <w:p>
      <w:pPr>
        <w:pStyle w:val="ListBullet"/>
      </w:pPr>
      <w:r/>
      <w:r>
        <w:rPr>
          <w:b/>
        </w:rPr>
        <w:t>ASMANORE sirop</w:t>
      </w:r>
      <w:r>
        <w:t xml:space="preserve"> (JORDANIAN PHARMACEUTICAL MANUFACTURING) — Sirop 2 mg/5 mL — Flacon 100 mL — Statut : Retiré (R)</w:t>
      </w:r>
    </w:p>
    <w:p>
      <w:pPr>
        <w:pStyle w:val="ListBullet"/>
      </w:pPr>
      <w:r/>
      <w:r>
        <w:rPr>
          <w:b/>
        </w:rPr>
        <w:t>ASTHALIN sirop</w:t>
      </w:r>
      <w:r>
        <w:t xml:space="preserve"> (CIPLA LIMITED) — Sirop 2 mg/5 mL — Flacon 100 mL — Statut : Retiré (R)</w:t>
      </w:r>
    </w:p>
    <w:p>
      <w:pPr>
        <w:pStyle w:val="ListBullet"/>
      </w:pPr>
      <w:r/>
      <w:r>
        <w:rPr>
          <w:b/>
        </w:rPr>
        <w:t>VENTEZE sirop</w:t>
      </w:r>
      <w:r>
        <w:t xml:space="preserve"> (PHARMACARE LIMITED) — Sirop 2 mg/5 mL — Flacon 150 mL — Statut : Retiré (R)</w:t>
      </w:r>
    </w:p>
    <w:p>
      <w:pPr>
        <w:pStyle w:val="ListBullet"/>
      </w:pPr>
      <w:r/>
      <w:r>
        <w:rPr>
          <w:b/>
        </w:rPr>
        <w:t>VENTIOL sirop</w:t>
      </w:r>
      <w:r>
        <w:t xml:space="preserve"> (KRG PHARMA) — Sirop 0,02 — Flacon 125 mL — Statut : Retiré (R)</w:t>
      </w:r>
    </w:p>
    <w:p>
      <w:pPr>
        <w:pStyle w:val="ListBullet"/>
      </w:pPr>
      <w:r/>
      <w:r>
        <w:rPr>
          <w:b/>
        </w:rPr>
        <w:t>FARCOLIN sirop</w:t>
      </w:r>
      <w:r>
        <w:t xml:space="preserve"> (PHARCO EGYPTE) — Sirop 2 mg/5 mL — Flacon 120 mL — Statut : Retiré (R)</w:t>
      </w:r>
    </w:p>
    <w:p>
      <w:pPr>
        <w:pStyle w:val="ListBullet"/>
      </w:pPr>
      <w:r/>
      <w:r>
        <w:rPr>
          <w:b/>
        </w:rPr>
        <w:t>VENTOLINE sirop</w:t>
      </w:r>
      <w:r>
        <w:t xml:space="preserve"> (GLAXO WELLCOME) — Sirop 2 mg/5 mL — Flacon 150 mL — Statut : Retiré (R)</w:t>
      </w:r>
    </w:p>
    <w:p>
      <w:pPr>
        <w:pStyle w:val="ListBullet"/>
      </w:pPr>
      <w:r/>
      <w:r>
        <w:rPr>
          <w:b/>
        </w:rPr>
        <w:t>SALBUTAMOL LPA</w:t>
      </w:r>
      <w:r>
        <w:t xml:space="preserve"> (LABORATOIRE PHARMACEUTIQUE ALGERIEN — LPA) — Solution buvable 2 mg/5 mL — Flacon 150 mL + cuillère-mesure 5 mL — Statut : Retiré (R)</w:t>
      </w:r>
    </w:p>
    <w:p>
      <w:pPr>
        <w:pStyle w:val="ListBullet"/>
      </w:pPr>
      <w:r/>
      <w:r>
        <w:rPr>
          <w:b/>
        </w:rPr>
        <w:t>SALBUTAMOL aérosol</w:t>
      </w:r>
      <w:r>
        <w:t xml:space="preserve"> (SHANGHAI SINE PHARMACEUTICAL) — Aérosol 100 µg/bouffée — Flacon 200 doses — Statut : Retiré (R)</w:t>
      </w:r>
    </w:p>
    <w:p>
      <w:pPr>
        <w:pStyle w:val="ListBullet"/>
      </w:pPr>
      <w:r/>
      <w:r>
        <w:rPr>
          <w:b/>
        </w:rPr>
        <w:t>BUVENTOL</w:t>
      </w:r>
      <w:r>
        <w:t xml:space="preserve"> (LABORATOIRE DE DEVELOPPEMENT PHARMACEUTIQUE ALGERIEN — LDPA) — Suspension pour inhalation buccale 100 µg/bouffée — Flacon 200 doses — Statut : Retiré (R)</w:t>
      </w:r>
    </w:p>
    <w:p>
      <w:pPr>
        <w:pStyle w:val="ListBullet"/>
      </w:pPr>
      <w:r/>
      <w:r>
        <w:rPr>
          <w:b/>
        </w:rPr>
        <w:t>BUTO-ASMA</w:t>
      </w:r>
      <w:r>
        <w:t xml:space="preserve"> (ALDO-UNION) — Aérosol 100 µg/bouffée — Flacon 200 doses — Statut : Retiré (R)</w:t>
      </w:r>
    </w:p>
    <w:p>
      <w:pPr>
        <w:pStyle w:val="ListBullet"/>
      </w:pPr>
      <w:r/>
      <w:r>
        <w:rPr>
          <w:b/>
        </w:rPr>
        <w:t>BULMOL 4 mg</w:t>
      </w:r>
      <w:r>
        <w:t xml:space="preserve"> (PHARMALLIANCE) — Gélule 4 mg — B/20 — Statut : Retiré (R)</w:t>
      </w:r>
    </w:p>
    <w:p>
      <w:pPr>
        <w:pStyle w:val="ListBullet"/>
      </w:pPr>
      <w:r/>
      <w:r>
        <w:rPr>
          <w:b/>
        </w:rPr>
        <w:t>BULMOL 8 mg</w:t>
      </w:r>
      <w:r>
        <w:t xml:space="preserve"> (PHARMALLIANCE) — Gélule 8 mg — B/20 — Statut : Retiré (R)</w:t>
      </w:r>
    </w:p>
    <w:p>
      <w:r/>
      <w:r>
        <w:rPr>
          <w:b/>
        </w:rPr>
        <w:t>Sous-classe et Mécanisme d'action :</w:t>
      </w:r>
      <w:r/>
    </w:p>
    <w:p>
      <w:pPr>
        <w:pStyle w:val="ListBullet"/>
      </w:pPr>
      <w:r/>
      <w:r>
        <w:rPr>
          <w:b/>
        </w:rPr>
        <w:t>Sous-classe :</w:t>
      </w:r>
      <w:r>
        <w:t xml:space="preserve"> Chef de file des SABA (Short-Acting Beta-2 Agonists), classé R03AC02 (anticholinergiques de la classification ATC). β2-agoniste direct, sélectif, à courte durée d'action.</w:t>
      </w:r>
    </w:p>
    <w:p>
      <w:pPr>
        <w:pStyle w:val="ListBullet"/>
      </w:pPr>
      <w:r/>
      <w:r>
        <w:rPr>
          <w:b/>
        </w:rPr>
        <w:t>Mécanisme d'action :</w:t>
      </w:r>
      <w:r>
        <w:t xml:space="preserve"> Le salbutamol est un agoniste </w:t>
      </w:r>
      <w:r>
        <w:rPr>
          <w:b/>
        </w:rPr>
        <w:t>sélectif</w:t>
      </w:r>
      <w:r>
        <w:t xml:space="preserve"> des récepteurs β2-adrénergiques situés sur la membrane des cellules du muscle lisse bronchique. La liaison agoniste-récepteur déclenche un changement conformationnel qui active la </w:t>
      </w:r>
      <w:r>
        <w:rPr>
          <w:b/>
        </w:rPr>
        <w:t>protéine Gs hétérotrimérique</w:t>
      </w:r>
      <w:r>
        <w:t xml:space="preserve">. La sous-unité αs-GTP libérée </w:t>
      </w:r>
      <w:r>
        <w:rPr>
          <w:b/>
        </w:rPr>
        <w:t>stimule l'adénylate cyclase membranaire</w:t>
      </w:r>
      <w:r>
        <w:t xml:space="preserve">, qui convertit l'ATP en AMP cyclique (AMPc). L'augmentation de l'AMPc intracellulaire active la </w:t>
      </w:r>
      <w:r>
        <w:rPr>
          <w:b/>
        </w:rPr>
        <w:t>protéine kinase A (PKA)</w:t>
      </w:r>
      <w:r>
        <w:t xml:space="preserve">, qui phosphoryle plusieurs effecteurs : (i) la myosine light chain kinase (MLCK), dont l'inactivation supprime la phosphorylation des chaînes légères de la myosine et arrête la contraction ; (ii) la SERCA du réticulum sarcoplasmique, qui reprend le calcium cytosolique vers les stocks internes → baisse du Ca2+ libre ; (iii) les canaux potassiques BKCa → hyperpolarisation membranaire → relaxation ; (iv) la phospholipase C, dont l'inhibition diminue la production d'IP3 et de DAG. La conséquence finale est une </w:t>
      </w:r>
      <w:r>
        <w:rPr>
          <w:b/>
        </w:rPr>
        <w:t>relaxation rapide du muscle lisse bronchique</w:t>
      </w:r>
      <w:r>
        <w:t xml:space="preserve"> (bronchodilatation en 5 minutes), à laquelle s'ajoutent des effets anti-allergiques non négligeables : inhibition de la dégranulation mastocytaire (inhibition de l'exocytose de l'histamine et des leucotriènes), augmentation de la clairance mucociliaire (stimulation du battement ciliaire), réduction de la perméabilité vasculaire capillaire (effet anti-œdémateux), et stimulation de la sécrétion de surfactant par les pneumocytes de type II.</w:t>
      </w:r>
    </w:p>
    <w:p>
      <w:r/>
      <w:r>
        <w:rPr>
          <w:b/>
        </w:rPr>
        <w:t>Profil Pharmacologique :</w:t>
      </w:r>
      <w:r/>
    </w:p>
    <w:p>
      <w:pPr>
        <w:pStyle w:val="ListBullet"/>
      </w:pPr>
      <w:r/>
      <w:r>
        <w:rPr>
          <w:b/>
        </w:rPr>
        <w:t>Indications :</w:t>
      </w:r>
      <w:r>
        <w:t xml:space="preserve"> Asthme : traitement de la crise (bronchodilatateur de secours), prévention de l'asthme d'effort (une inhalation 15 minutes avant l'exercice), traitement symptomatique de l'asthme léger intermittent en association à un CSI selon les pistes GINA ; </w:t>
      </w:r>
      <w:r>
        <w:rPr>
          <w:b/>
        </w:rPr>
        <w:t>BPCO</w:t>
      </w:r>
      <w:r>
        <w:t xml:space="preserve"> : traitement symptomatique de la dyspnée aiguë et de la bronchoconstriction réversible ; </w:t>
      </w:r>
      <w:r>
        <w:rPr>
          <w:b/>
        </w:rPr>
        <w:t>Bronchospasme aigu</w:t>
      </w:r>
      <w:r>
        <w:t xml:space="preserve"> induit par l'exercice, le froid, les allergènes ou les irritants ; </w:t>
      </w:r>
      <w:r>
        <w:rPr>
          <w:b/>
        </w:rPr>
        <w:t>Bronchiolite du nourrisson</w:t>
      </w:r>
      <w:r>
        <w:t xml:space="preserve"> (en nébulisation, sujet discuté mais largement utilisé) ; </w:t>
      </w:r>
      <w:r>
        <w:rPr>
          <w:b/>
        </w:rPr>
        <w:t>Asthme aigu grave</w:t>
      </w:r>
      <w:r>
        <w:t xml:space="preserve"> (en nébulisation continue ou IV en réanimation) ; </w:t>
      </w:r>
      <w:r>
        <w:rPr>
          <w:b/>
        </w:rPr>
        <w:t>Tocolyse</w:t>
      </w:r>
      <w:r>
        <w:t xml:space="preserve"> (forme IV hors AMM en obstétrique pour menace d'accouchement prématuré — utilise la relaxation du muscle utérin via les récepteurs β2). Formes orales (comprimés, sirops) : traitement de fond de l'asthme léger chez le jeune enfant incapable de maîtriser la technique d'inhalation, en association à un anti-inflammatoire.</w:t>
      </w:r>
    </w:p>
    <w:p>
      <w:pPr>
        <w:pStyle w:val="ListBullet"/>
      </w:pPr>
      <w:r/>
      <w:r>
        <w:rPr>
          <w:b/>
        </w:rPr>
        <w:t>Contre-indications :</w:t>
      </w:r>
      <w:r>
        <w:t xml:space="preserve"> Hypersensibilité au salbutamol ou à l'un des excipients (notamment éthanol, oleate de glycérol dans certains aérosols) ; </w:t>
      </w:r>
      <w:r>
        <w:rPr>
          <w:b/>
        </w:rPr>
        <w:t>association aux β-bloquants non sélectifs</w:t>
      </w:r>
      <w:r>
        <w:t xml:space="preserve"> (propranolol, nadolol, sotalol) — antagonisme pharmacologique mutuel avec risque de bronchospasme sévère ; cardiomyopathie obstructive hypertrophique (risque de majoration du gradient sous-aortique par tachycardie) ; tachyarythmies non contrôlées. Précautions : cardiopathie ischémique, anévrisme, hypertension artérielle sévère, hyperthyroïdie non contrôlée, diabète déséquilibré, hypokaliémie pré-existante, phéochromocytome (risque de crise hypertensive).</w:t>
      </w:r>
    </w:p>
    <w:p>
      <w:pPr>
        <w:pStyle w:val="ListBullet"/>
      </w:pPr>
      <w:r/>
      <w:r>
        <w:rPr>
          <w:b/>
        </w:rPr>
        <w:t>Effets Indésirables :</w:t>
      </w:r>
      <w:r>
        <w:t xml:space="preserve"> </w:t>
      </w:r>
      <w:r>
        <w:rPr>
          <w:b/>
        </w:rPr>
        <w:t>Très fréquents (&gt; 1/10)</w:t>
      </w:r>
      <w:r>
        <w:t xml:space="preserve"> : tremblements des extrémités (atteinte des récepteurs β2 du muscle squelettique — dose-dépendants et régressifs en quelques jours), céphalées, tachycardie sinusale modérée. </w:t>
      </w:r>
      <w:r>
        <w:rPr>
          <w:b/>
        </w:rPr>
        <w:t>Fréquents (1/100 à 1/10)</w:t>
      </w:r>
      <w:r>
        <w:t xml:space="preserve"> : palpitations, bouche sèche, irritation pharyngée, crampes musculaires (hypokaliémie), vasodilatation périphérique (flush). </w:t>
      </w:r>
      <w:r>
        <w:rPr>
          <w:b/>
        </w:rPr>
        <w:t>Peu fréquents</w:t>
      </w:r>
      <w:r>
        <w:t xml:space="preserve"> : hypokaliémie (déplétion potassique par activation β2 → entrée du K+ dans les cellules musculaires), hyperglycémie (activation β2 → glycogénolyse hépatique et musculaire), acidose lactique (exceptionnelle aux doses nébulisées continues), anxiété, insomnie, tremblement important. </w:t>
      </w:r>
      <w:r>
        <w:rPr>
          <w:b/>
        </w:rPr>
        <w:t>Rares</w:t>
      </w:r>
      <w:r>
        <w:t xml:space="preserve"> : bronchospasme paradoxal (réaction d'hypersensibilité immédiate aux excipients ou à la modulation du tonus bronchomoteur), réactions d'hypersensibilité (urticaire, angio-œdème, hypotension), hypotension, troubles du rythme (extrasystoles, fibrillation auriculaire) surtout en cas de surdosage ou d'hypokaliémie. </w:t>
      </w:r>
      <w:r>
        <w:rPr>
          <w:b/>
        </w:rPr>
        <w:t>Au long cours (surutilisation)</w:t>
      </w:r>
      <w:r>
        <w:t xml:space="preserve"> : perte de l'efficacité (tachyphylaxie par down-régulation des récepteurs β2), aggravation de l'asthme et augmentation du risque d'exacerbation sévère, augmentation du risque de mortalité asthmatique (démontrée par l'étude SMART 2006 — bien que portant sur le salmétérol, le signal existe aussi pour le salbutamol en monothérapie chronique).</w:t>
      </w:r>
    </w:p>
    <w:p>
      <w:r/>
      <w:r>
        <w:rPr>
          <w:b/>
        </w:rPr>
        <w:t>Prévention et Gestion des Effets Indésirables :</w:t>
      </w:r>
      <w:r/>
    </w:p>
    <w:p>
      <w:pPr>
        <w:pStyle w:val="ListBullet"/>
      </w:pPr>
      <w:r/>
      <w:r>
        <w:rPr>
          <w:b/>
        </w:rPr>
        <w:t>Mesures Préventives :</w:t>
      </w:r>
      <w:r>
        <w:t xml:space="preserve"> Maîtrise absolue de la </w:t>
      </w:r>
      <w:r>
        <w:rPr>
          <w:b/>
        </w:rPr>
        <w:t>technique d'inhalation</w:t>
      </w:r>
      <w:r>
        <w:t xml:space="preserve"> par le patient (vérification régulière par le pharmacien et le médecin) ; utilisation d'une chambre d'inhalation chez l'enfant &lt; 6 ans et chez le patient âgé ou avec coordination insuffisante ; rinçage de la bouche après inhalation pour prévenir l'irritation pharyngée ; surveillance de la </w:t>
      </w:r>
      <w:r>
        <w:rPr>
          <w:b/>
        </w:rPr>
        <w:t>kaliémie</w:t>
      </w:r>
      <w:r>
        <w:t xml:space="preserve"> chez les patients recevant de fortes doses (nébulisation continue), associés à des diurétiques ou à des corticoïdes systémiques ; respect strict des </w:t>
      </w:r>
      <w:r>
        <w:rPr>
          <w:b/>
        </w:rPr>
        <w:t>doses maximales</w:t>
      </w:r>
      <w:r>
        <w:t xml:space="preserve"> (8 bouffées/24 h en ambulatoire — au-delà, consultation médicale urgente) ; vérification régulière du nombre de bouffées utilisées pour repérer une </w:t>
      </w:r>
      <w:r>
        <w:rPr>
          <w:b/>
        </w:rPr>
        <w:t>surconsommation</w:t>
      </w:r>
      <w:r>
        <w:t xml:space="preserve"> (un flacon de 200 doses utilisé en moins de 1 mois = asthme non contrôlé) ; chez le diabétique, surveillance glycémique renforcée aux fortes doses ; éducation du patient à reconnaître les signes d'asthme aigu grave (paralysie des muscles respiratoires accessoires, tirage, cyanose, difficulté à parler, DEP ≤ 30 % des valeurs théoriques) nécessitant un transfert immédiat aux urgences.</w:t>
      </w:r>
    </w:p>
    <w:p>
      <w:pPr>
        <w:pStyle w:val="ListBullet"/>
      </w:pPr>
      <w:r/>
      <w:r>
        <w:rPr>
          <w:b/>
        </w:rPr>
        <w:t>Conduite à Tenir :</w:t>
      </w:r>
      <w:r>
        <w:t xml:space="preserve"> En cas de </w:t>
      </w:r>
      <w:r>
        <w:rPr>
          <w:b/>
        </w:rPr>
        <w:t>bronchospasme paradoxal</w:t>
      </w:r>
      <w:r>
        <w:t xml:space="preserve"> (aggravation immédiate après inhalation) : arrêt immédiat du salbutamol, administration d'oxygène, bronchodilatateur d'une autre classe (ipratropium nébulisé), avis médical urgent. En cas de </w:t>
      </w:r>
      <w:r>
        <w:rPr>
          <w:b/>
        </w:rPr>
        <w:t>tachycardie excessive</w:t>
      </w:r>
      <w:r>
        <w:t xml:space="preserve"> (&gt; 120/min) ou de </w:t>
      </w:r>
      <w:r>
        <w:rPr>
          <w:b/>
        </w:rPr>
        <w:t>palpitations</w:t>
      </w:r>
      <w:r>
        <w:t xml:space="preserve"> : réévaluation de la dose, recherche d'hypokaliémie associée (dosage K+, ECG), hydratation. En cas de </w:t>
      </w:r>
      <w:r>
        <w:rPr>
          <w:b/>
        </w:rPr>
        <w:t>surconsommation</w:t>
      </w:r>
      <w:r>
        <w:t xml:space="preserve"> (&gt; 1 flacon/mois) : consultation pneumologique pour escalade thérapeutique (CSI, association CSI/LABA) selon les pistes GINA. En cas de </w:t>
      </w:r>
      <w:r>
        <w:rPr>
          <w:b/>
        </w:rPr>
        <w:t>surdosage massif</w:t>
      </w:r>
      <w:r>
        <w:t xml:space="preserve"> (tentative d'autolyse, erreur pédiatrique) : hospitalisation en réanimation, surveillance ECG continue, β-bloquant cardio-sélectif (ésmolol IV) discuté avec prudence, correction de l'hypokaliémie (KCl IV), hydratation.</w:t>
      </w:r>
    </w:p>
    <w:p>
      <w:r/>
      <w:r>
        <w:rPr>
          <w:b/>
        </w:rPr>
        <w:t>Interactions Importantes :</w:t>
      </w:r>
      <w:r/>
    </w:p>
    <w:p>
      <w:pPr>
        <w:pStyle w:val="ListBullet"/>
      </w:pPr>
      <w:r/>
      <w:r>
        <w:rPr>
          <w:b/>
        </w:rPr>
        <w:t>Salbutamol + β-bloquants non sélectifs</w:t>
      </w:r>
      <w:r>
        <w:t xml:space="preserve"> (propranolol, nadolol, sotalol, timolol) : </w:t>
      </w:r>
      <w:r>
        <w:rPr>
          <w:b/>
        </w:rPr>
        <w:t>antagonisme pharmacologique</w:t>
      </w:r>
      <w:r>
        <w:t xml:space="preserve"> — les β-bloquants non sélectifs bloquent les récepteurs β2 bronchiques et annulent l'effet bronchodilatateur du salbutamol, avec risque de </w:t>
      </w:r>
      <w:r>
        <w:rPr>
          <w:b/>
        </w:rPr>
        <w:t>bronchospasme sévère</w:t>
      </w:r>
      <w:r>
        <w:t xml:space="preserve">. </w:t>
      </w:r>
      <w:r>
        <w:rPr>
          <w:b/>
        </w:rPr>
        <w:t>Contre-indication formelle.</w:t>
      </w:r>
      <w:r>
        <w:t xml:space="preserve"> Les β-bloquants cardio-sélectifs (bisoprolol, nébivolol, atenolol, métoprolol) sont théoriquement préférables mais doivent être utilisés avec prudence chez l'asthmatique.</w:t>
      </w:r>
    </w:p>
    <w:p>
      <w:pPr>
        <w:pStyle w:val="ListBullet"/>
      </w:pPr>
      <w:r/>
      <w:r>
        <w:rPr>
          <w:b/>
        </w:rPr>
        <w:t>Salbutamol + diurétiques non épargneurs de potassium</w:t>
      </w:r>
      <w:r>
        <w:t xml:space="preserve"> (furosémide, hydrochlorothiazide, indapamide) : </w:t>
      </w:r>
      <w:r>
        <w:rPr>
          <w:b/>
        </w:rPr>
        <w:t>potentialisation de l'hypokaliémie</w:t>
      </w:r>
      <w:r>
        <w:t xml:space="preserve"> par addition des deux mécanismes (β2 → entrée cellulaire du K+ ; diurétiques → perte rénale de K+). Surveillance de la kaliémie, supplémentation potassique si nécessaire, surtout en cas de fortes doses de salbutamol (nébulisation).</w:t>
      </w:r>
    </w:p>
    <w:p>
      <w:pPr>
        <w:pStyle w:val="ListBullet"/>
      </w:pPr>
      <w:r/>
      <w:r>
        <w:rPr>
          <w:b/>
        </w:rPr>
        <w:t>Salbutamol + corticoïdes</w:t>
      </w:r>
      <w:r>
        <w:t xml:space="preserve"> (systémiques surtout, mais aussi inhalés à fortes doses) : </w:t>
      </w:r>
      <w:r>
        <w:rPr>
          <w:b/>
        </w:rPr>
        <w:t>hypokaliémie additive</w:t>
      </w:r>
      <w:r>
        <w:t xml:space="preserve"> et risque de troubles du rythme. Surveillance de K+ et ECG, notamment chez le sujet âgé et en cas d'association aux diurétiques (corticoïdes + salbutamol + diurétiques = triade à risque de torsades de pointe).</w:t>
      </w:r>
    </w:p>
    <w:p>
      <w:pPr>
        <w:pStyle w:val="ListBullet"/>
      </w:pPr>
      <w:r/>
      <w:r>
        <w:rPr>
          <w:b/>
        </w:rPr>
        <w:t>Salbutamol + IMAO (iproniazide, phénelzine) et antidépresseurs tricycliques (amitriptyline, clomipramine)</w:t>
      </w:r>
      <w:r>
        <w:t xml:space="preserve"> : risque d'augmentation de l'effet vasopresseur du salbutamol (potentialisation adrénergique) → hypertension paroxystique, troubles du rythme. </w:t>
      </w:r>
      <w:r>
        <w:rPr>
          <w:b/>
        </w:rPr>
        <w:t>Précaution voire association déconseillée.</w:t>
      </w:r>
      <w:r/>
    </w:p>
    <w:p>
      <w:pPr>
        <w:pStyle w:val="ListBullet"/>
      </w:pPr>
      <w:r/>
      <w:r>
        <w:rPr>
          <w:b/>
        </w:rPr>
        <w:t>Salbutamol + digoxine</w:t>
      </w:r>
      <w:r>
        <w:t xml:space="preserve"> : risque de baisse modérée de la digoxinémie (réduction de la biodisponibilité). Surveillance des taux, especially chez le patient cardiaque.</w:t>
      </w:r>
    </w:p>
    <w:p>
      <w:pPr>
        <w:pStyle w:val="ListBullet"/>
      </w:pPr>
      <w:r/>
      <w:r>
        <w:rPr>
          <w:b/>
        </w:rPr>
        <w:t>Salbutamol + anesthésiques halogénés</w:t>
      </w:r>
      <w:r>
        <w:t xml:space="preserve"> (halothane, isoflurane) : potentialisation de l'effet cardiaque (arythmogénicité) — arrêt du salbutamol si possible avant anesthésie ou choix d'un anesthésique non halogéné.</w:t>
      </w:r>
    </w:p>
    <w:p>
      <w:pPr>
        <w:pStyle w:val="ListBullet"/>
      </w:pPr>
      <w:r/>
      <w:r>
        <w:rPr>
          <w:b/>
        </w:rPr>
        <w:t>Salbutamol + autres sympathomimétiques</w:t>
      </w:r>
      <w:r>
        <w:t xml:space="preserve"> (éphédrine, pseudoéphédrine, phényléphrine) : addition des effets adrénergiques → hypertension, tachycardie, troubles du rythme. Association déconseillée.</w:t>
      </w:r>
    </w:p>
    <w:p>
      <w:r/>
      <w:r>
        <w:rPr>
          <w:b/>
        </w:rPr>
        <w:t>Grossesse et Allaitement :</w:t>
      </w:r>
      <w:r/>
    </w:p>
    <w:p>
      <w:pPr>
        <w:pStyle w:val="ListBullet"/>
      </w:pPr>
      <w:r/>
      <w:r>
        <w:rPr>
          <w:b/>
        </w:rPr>
        <w:t>Grossesse :</w:t>
      </w:r>
      <w:r>
        <w:t xml:space="preserve"> Le salbutamol est </w:t>
      </w:r>
      <w:r>
        <w:rPr>
          <w:b/>
        </w:rPr>
        <w:t>compatible avec la grossesse</w:t>
      </w:r>
      <w:r>
        <w:t xml:space="preserve"> selon le CRAT (Centre de Renseignements sur les Agents Tératogènes) et l'ANSM. Les données issues des registres (plusieurs milliers de grossesses exposées au 1er trimestre) ne montrent </w:t>
      </w:r>
      <w:r>
        <w:rPr>
          <w:b/>
        </w:rPr>
        <w:t>pas d'augmentation du risque malformatif</w:t>
      </w:r>
      <w:r>
        <w:t xml:space="preserve"> au-dessus du risque de base (2-3 %). Le salbutamol est le </w:t>
      </w:r>
      <w:r>
        <w:rPr>
          <w:b/>
        </w:rPr>
        <w:t>bronchodilatateur de choix</w:t>
      </w:r>
      <w:r>
        <w:t xml:space="preserve"> chez la femme enceinte asthmatique. Il passe le placenta mais n'entraîne pas d'effet fœtal indésirable aux posologies inhalées habituelles. Aux doses élevées IV (tocolyse), une tachycardie fœtale transitoire et une hypoglycémie néonatale ont été rapportées. Privilégier la forme inhalée (faible exposition systémique), éviter les formes orales et injectables sauf indication spécifique.</w:t>
      </w:r>
    </w:p>
    <w:p>
      <w:pPr>
        <w:pStyle w:val="ListBullet"/>
      </w:pPr>
      <w:r/>
      <w:r>
        <w:rPr>
          <w:b/>
        </w:rPr>
        <w:t>Allaitement :</w:t>
      </w:r>
      <w:r>
        <w:t xml:space="preserve"> Le salbutamol passe dans le lait maternel en très faible quantité (ratio lait/plasma estimé à 1,4 à 3,6 — mais concentrations plasmatiques très basses après inhalation). Le salbutamol est </w:t>
      </w:r>
      <w:r>
        <w:rPr>
          <w:b/>
        </w:rPr>
        <w:t>compatible avec l'allaitement</w:t>
      </w:r>
      <w:r>
        <w:t xml:space="preserve"> selon le CRAT et LactMed (NIH). Aucun effet indésirable n'a été rapporté chez le nourrisson allaité par une mère recevant du salbutamol inhalé aux doses habituelles.</w:t>
      </w:r>
    </w:p>
    <w:p>
      <w:pPr>
        <w:pStyle w:val="ListBullet"/>
      </w:pPr>
      <w:r/>
      <w:r>
        <w:rPr>
          <w:b/>
        </w:rPr>
        <w:t>Précisions :</w:t>
      </w:r>
      <w:r>
        <w:t xml:space="preserve"> Un asthme </w:t>
      </w:r>
      <w:r>
        <w:rPr>
          <w:b/>
        </w:rPr>
        <w:t>non contrôlé</w:t>
      </w:r>
      <w:r>
        <w:t xml:space="preserve"> pendant la grossesse est plus dangereux pour le fœtus (hypoxie fœtale, retard de croissance intra-utérin, prématurité) que le traitement par salbutamol. L'asthme gravidique doit être activement traité et surveillé. Éviter le changement de traitement asthmatique pendant la grossesse si le contrôle est obtenu.</w:t>
      </w:r>
    </w:p>
    <w:p>
      <w:r/>
      <w:r>
        <w:rPr>
          <w:b/>
        </w:rPr>
        <w:t>Posologie et Mode d'administration (Standard) :</w:t>
      </w:r>
      <w:r/>
    </w:p>
    <w:p>
      <w:pPr>
        <w:pStyle w:val="ListBullet"/>
      </w:pPr>
      <w:r/>
      <w:r>
        <w:rPr>
          <w:b/>
        </w:rPr>
        <w:t>Adulte :</w:t>
      </w:r>
      <w:r/>
    </w:p>
    <w:p>
      <w:pPr>
        <w:pStyle w:val="ListBullet"/>
      </w:pPr>
      <w:r/>
      <w:r>
        <w:rPr>
          <w:b/>
        </w:rPr>
        <w:t>Aérosol doseur (100 µg/bouffée)</w:t>
      </w:r>
      <w:r>
        <w:t xml:space="preserve"> : 1 à 2 bouffées à la demande, en cas de crise ou d'essoufflement. Dose maximale : 8 bouffées par 24 heures (au-delà, consultation médicale urgente). Prévention de l'asthme d'effort : 1 à 2 bouffées 15 minutes avant l'exercice.</w:t>
      </w:r>
    </w:p>
    <w:p>
      <w:pPr>
        <w:pStyle w:val="ListBullet"/>
      </w:pPr>
      <w:r/>
      <w:r>
        <w:rPr>
          <w:b/>
        </w:rPr>
        <w:t>Poudre sèche (200 µg/gélule, ASTHALIN BIOPHARM)</w:t>
      </w:r>
      <w:r>
        <w:t xml:space="preserve"> : 1 gélule à inhaler à la demande, max 4 gélules/24 h.</w:t>
      </w:r>
    </w:p>
    <w:p>
      <w:pPr>
        <w:pStyle w:val="ListBullet"/>
      </w:pPr>
      <w:r/>
      <w:r>
        <w:rPr>
          <w:b/>
        </w:rPr>
        <w:t>Solution pour nébulisation (5 mg/mL, VENTOLINE, ASTHALIN)</w:t>
      </w:r>
      <w:r>
        <w:t xml:space="preserve"> : 2,5 à 5 mg (0,5 à 1 mL dilué dans 2 à 3 mL de sérum physiologique) nébulisés en 5 à 10 minutes, à renouveler toutes les 4 à 6 heures. Asthme aigu grave : nébulisation continue (5 à 10 mg/h) ou 5 mg toutes les 20 minutes pendant 1 heure.</w:t>
      </w:r>
    </w:p>
    <w:p>
      <w:pPr>
        <w:pStyle w:val="ListBullet"/>
      </w:pPr>
      <w:r/>
      <w:r>
        <w:rPr>
          <w:b/>
        </w:rPr>
        <w:t>Solution buvable (2 mg/5 mL)</w:t>
      </w:r>
      <w:r>
        <w:t xml:space="preserve"> : 10 mL (4 mg) 3 à 4 fois par jour. Forme orale peu recommandée sauf impossibilité d'inhalation.</w:t>
      </w:r>
    </w:p>
    <w:p>
      <w:pPr>
        <w:pStyle w:val="ListBullet"/>
      </w:pPr>
      <w:r/>
      <w:r>
        <w:rPr>
          <w:b/>
        </w:rPr>
        <w:t>Comprimé 2 mg</w:t>
      </w:r>
      <w:r>
        <w:t xml:space="preserve"> : 1 à 2 comprimés (2-4 mg) 3 à 4 fois par jour, max 16 mg/24 h.</w:t>
      </w:r>
    </w:p>
    <w:p>
      <w:pPr>
        <w:pStyle w:val="ListBullet"/>
      </w:pPr>
      <w:r/>
      <w:r>
        <w:rPr>
          <w:b/>
        </w:rPr>
        <w:t>Solution injectable s/c, IM ou IV (0,5 mg/mL)</w:t>
      </w:r>
      <w:r>
        <w:t xml:space="preserve"> : 0,5 mg (1 ampoule) en s/c ou IM à renouveler toutes les 4-6 heures ; en IV lent (5 minutes) 0,25-0,5 mg, ou perfusion de 5 µg/min ajustable (tocolyse, asthme aigu grave en milieu spécialisé).</w:t>
      </w:r>
    </w:p>
    <w:p>
      <w:pPr>
        <w:pStyle w:val="ListBullet"/>
      </w:pPr>
      <w:r/>
      <w:r>
        <w:rPr>
          <w:b/>
        </w:rPr>
        <w:t>Enfant :</w:t>
      </w:r>
      <w:r/>
    </w:p>
    <w:p>
      <w:pPr>
        <w:pStyle w:val="ListBullet"/>
      </w:pPr>
      <w:r/>
      <w:r>
        <w:rPr>
          <w:b/>
        </w:rPr>
        <w:t>&lt; 5 ans</w:t>
      </w:r>
      <w:r>
        <w:t xml:space="preserve"> : aérosol doseur via chambre d'inhalation avec masque facial : 1 bouffée (100 µg) à la demande. Nébulisation : 2,5 mg (0,5 mL) dilués dans 2 mL NaCl 0,9 %.</w:t>
      </w:r>
    </w:p>
    <w:p>
      <w:pPr>
        <w:pStyle w:val="ListBullet"/>
      </w:pPr>
      <w:r/>
      <w:r>
        <w:rPr>
          <w:b/>
        </w:rPr>
        <w:t>5-12 ans</w:t>
      </w:r>
      <w:r>
        <w:t xml:space="preserve"> : aérosol doseur 1 bouffée (100 µg) à la demande, max 4 bouffées/24 h ; nébulisation 2,5 mg (0,5 mL) ; solution buvable 0,1-0,15 mg/kg 3-4 fois par jour.</w:t>
      </w:r>
    </w:p>
    <w:p>
      <w:pPr>
        <w:pStyle w:val="ListBullet"/>
      </w:pPr>
      <w:r/>
      <w:r>
        <w:rPr>
          <w:b/>
        </w:rPr>
        <w:t>&gt; 12 ans</w:t>
      </w:r>
      <w:r>
        <w:t xml:space="preserve"> : posologie adulte.</w:t>
      </w:r>
    </w:p>
    <w:p>
      <w:pPr>
        <w:pStyle w:val="ListBullet"/>
      </w:pPr>
      <w:r/>
      <w:r>
        <w:rPr>
          <w:b/>
        </w:rPr>
        <w:t>Durée :</w:t>
      </w:r>
      <w:r>
        <w:t xml:space="preserve"> Traitement </w:t>
      </w:r>
      <w:r>
        <w:rPr>
          <w:b/>
        </w:rPr>
        <w:t>à la demande</w:t>
      </w:r>
      <w:r>
        <w:t xml:space="preserve"> pour le SABA inhalé (pas de traitement continu). Les formes orales peuvent être utilisées en cures courtes (quelques jours à semaines) chez l'enfant incapable d'inhaler, en relais ou en appoint.</w:t>
      </w:r>
    </w:p>
    <w:p>
      <w:pPr>
        <w:pStyle w:val="ListBullet"/>
      </w:pPr>
      <w:r/>
      <w:r>
        <w:rPr>
          <w:b/>
        </w:rPr>
        <w:t>Moment de la prise :</w:t>
      </w:r>
      <w:r>
        <w:t xml:space="preserve"> À la demande, en cas de symptômes. Prévention de l'asthme d'effort : 15 minutes avant l'exercice. Pas d'heure fixe (contrairement aux LABA/LAMA).</w:t>
      </w:r>
    </w:p>
    <w:p>
      <w:r/>
      <w:r>
        <w:rPr>
          <w:b/>
        </w:rPr>
        <w:t>Arbitrage et Bénéfices des Formes Galéniques :</w:t>
      </w:r>
      <w:r/>
    </w:p>
    <w:p>
      <w:r>
        <w:t xml:space="preserve">L'aérosol doseur pressurisé (MDI — Metered Dose Inhaler) à 100 µg/bouffée constitue la </w:t>
      </w:r>
      <w:r>
        <w:rPr>
          <w:b/>
        </w:rPr>
        <w:t>forme de référence</w:t>
      </w:r>
      <w:r>
        <w:t xml:space="preserve"> du salbutamol, disponible en Algérie sous quatre marques actives (VENTOLINE princeps GSK, AEROL Berg, ASTHALIN Cipla, VENTMAX Chiesi) avec une équivalence bio pharmaceutique validée. La suspension pour inhalation (Ventoline CFC-free HFA-134a) remplace depuis 2005 les anciennes formulations CFC (responsables de la destruction de la couche d'ozone). Le MDI exige une </w:t>
      </w:r>
      <w:r>
        <w:rPr>
          <w:b/>
        </w:rPr>
        <w:t>coordination main-poumon</w:t>
      </w:r>
      <w:r>
        <w:t xml:space="preserve"> parfaite (déclenchement synchronisé au début de l'inspiration lente profonde) qui n'est maîtrisée que par 30-50 % des patients, d'où l'importance de la </w:t>
      </w:r>
      <w:r>
        <w:rPr>
          <w:b/>
        </w:rPr>
        <w:t>chambre d'inhalation</w:t>
      </w:r>
      <w:r>
        <w:t xml:space="preserve"> (Volumatic, AeroChamber — non disponible en Algérie en générique, mais la prise sans chambre est encore trop souvent la règle). La </w:t>
      </w:r>
      <w:r>
        <w:rPr>
          <w:b/>
        </w:rPr>
        <w:t>poudre sèche (DPI — Dry Powder Inhaler)</w:t>
      </w:r>
      <w:r>
        <w:t xml:space="preserve"> ASTHALIN BIOPHARM en gélules de 200 µg avec inhalateur Aerolizer offre une alternative inspirato- dépendante (pas de coordination main-poumon nécessaire), utilisable dès 5-6 ans, mais nécessite un débit inspiratoire suffisant (≥ 30 L/min). La </w:t>
      </w:r>
      <w:r>
        <w:rPr>
          <w:b/>
        </w:rPr>
        <w:t>solution pour nébulisation</w:t>
      </w:r>
      <w:r>
        <w:t xml:space="preserve"> (5 mg/mL) est réservée aux crises sévères, aux nourrissons, aux sujets âgés incapables d'utiliser un MDI, et à l'asthme aigu grave (nébulisation continue en réanimation). Les </w:t>
      </w:r>
      <w:r>
        <w:rPr>
          <w:b/>
        </w:rPr>
        <w:t>formes orales</w:t>
      </w:r>
      <w:r>
        <w:t xml:space="preserve"> (comprimés 2 mg, solutions buvables 2 mg/5 mL) sont peu recommandées en raison de leur biodisponibilité systémique élevée (effets indésirables β1 et β2 périphériques : tremblements, tachycardie, hypokaliémie) mais conservent une niche chez le jeune enfant. Les </w:t>
      </w:r>
      <w:r>
        <w:rPr>
          <w:b/>
        </w:rPr>
        <w:t>formes injectables</w:t>
      </w:r>
      <w:r>
        <w:t xml:space="preserve"> (0,5 mg/mL) sont réservées à l'urgence hospitalière (asthme aigu grave résistant à la nébulisation) et à la tocolyse obstétricale.</w:t>
      </w:r>
    </w:p>
    <w:p>
      <w:r/>
      <w:r>
        <w:rPr>
          <w:b/>
        </w:rPr>
        <w:t>Instructions et Conseils au Patient :</w:t>
      </w:r>
      <w:r/>
    </w:p>
    <w:p>
      <w:pPr>
        <w:pStyle w:val="ListBullet"/>
      </w:pPr>
      <w:r/>
      <w:r>
        <w:rPr>
          <w:b/>
        </w:rPr>
        <w:t>Communication au comptoir :</w:t>
      </w:r>
      <w:r>
        <w:t xml:space="preserve"> « Ce médicament est votre </w:t>
      </w:r>
      <w:r>
        <w:rPr>
          <w:b/>
        </w:rPr>
        <w:t>traitement de secours</w:t>
      </w:r>
      <w:r>
        <w:t xml:space="preserve"> : vous devez l'avoir toujours sur vous et l'utiliser </w:t>
      </w:r>
      <w:r>
        <w:rPr>
          <w:b/>
        </w:rPr>
        <w:t>uniquement quand vous avez des symptômes</w:t>
      </w:r>
      <w:r>
        <w:t xml:space="preserve"> (sifflements, essoufflement, gêne respiratoire). Si vous devez l'utiliser </w:t>
      </w:r>
      <w:r>
        <w:rPr>
          <w:b/>
        </w:rPr>
        <w:t>plus de 2 fois par semaine</w:t>
      </w:r>
      <w:r>
        <w:t xml:space="preserve"> en dehors de l'effort, ou si </w:t>
      </w:r>
      <w:r>
        <w:rPr>
          <w:b/>
        </w:rPr>
        <w:t>un flacon de 200 doses dure moins d'un mois</w:t>
      </w:r>
      <w:r>
        <w:t xml:space="preserve">, c'est que votre asthme n'est pas bien contrôlé et vous devez consulter votre médecin pour revoir votre traitement de fond. Ne dépassez jamais </w:t>
      </w:r>
      <w:r>
        <w:rPr>
          <w:b/>
        </w:rPr>
        <w:t>8 bouffées par 24 heures</w:t>
      </w:r>
      <w:r>
        <w:t xml:space="preserve"> sans avis médical. Si une bouffée ne suffit plus pour calmer votre crise, ou si la crise réapparait dans les 3 heures, </w:t>
      </w:r>
      <w:r>
        <w:rPr>
          <w:b/>
        </w:rPr>
        <w:t>consultez aux urgences</w:t>
      </w:r>
      <w:r>
        <w:t>. »</w:t>
      </w:r>
    </w:p>
    <w:p>
      <w:pPr>
        <w:pStyle w:val="ListBullet"/>
      </w:pPr>
      <w:r/>
      <w:r>
        <w:rPr>
          <w:b/>
        </w:rPr>
        <w:t>Mode d'utilisation pratique :</w:t>
      </w:r>
      <w:r>
        <w:t xml:space="preserve"> Démontrer la technique à chaque délivrance : (1) retirer le capuchon ; (2) agiter vigoureusement le flacon (5 secondes) ; (3) expirer doucement à fond, </w:t>
      </w:r>
      <w:r>
        <w:rPr>
          <w:b/>
        </w:rPr>
        <w:t>loin du flacon</w:t>
      </w:r>
      <w:r>
        <w:t xml:space="preserve"> ; (4) placer l'embout buccal dans la bouche, </w:t>
      </w:r>
      <w:r>
        <w:rPr>
          <w:b/>
        </w:rPr>
        <w:t>lèvres bien jointes autour</w:t>
      </w:r>
      <w:r>
        <w:t xml:space="preserve"> ; (5) déclencher la bouffée </w:t>
      </w:r>
      <w:r>
        <w:rPr>
          <w:b/>
        </w:rPr>
        <w:t>en début d'inspiration lente et profonde</w:t>
      </w:r>
      <w:r>
        <w:t xml:space="preserve"> (5 secondes) ; (6) retenir le souffle 10 secondes ; (7) expirer lentement ; (8) attendre 30 secondes à 1 minute avant une 2e bouffée ; (9) repositionner le capuchon. Pour le DPI ASTHALIN BIOPHARM en gélules : insérer la gélule dans l'inhalateur, appuyer sur les boutons latéraux </w:t>
      </w:r>
      <w:r>
        <w:rPr>
          <w:b/>
        </w:rPr>
        <w:t>une fois</w:t>
      </w:r>
      <w:r>
        <w:t xml:space="preserve"> pour percer la gélule, expirer à fond, inhaler </w:t>
      </w:r>
      <w:r>
        <w:rPr>
          <w:b/>
        </w:rPr>
        <w:t>rapidement et profondément</w:t>
      </w:r>
      <w:r>
        <w:t xml:space="preserve"> par l'embout, retenir 10 secondes. Vérifier que la gélule est vide. </w:t>
      </w:r>
      <w:r>
        <w:rPr>
          <w:b/>
        </w:rPr>
        <w:t>Ne jamais avaler la gélule.</w:t>
      </w:r>
      <w:r>
        <w:t xml:space="preserve"> Pour la nébulisation : respecter les débits d'oxygène ou d'air comprimé (6-8 L/min), masque facial pour l'enfant, embout buccal pour l'adulte, nébulisation en position assise. Nettoyer le matériel après chaque usage.</w:t>
      </w:r>
    </w:p>
    <w:p>
      <w:r/>
      <w:r>
        <w:rPr>
          <w:b/>
        </w:rPr>
        <w:t>Notes, Règles d'Or &amp; Pièges au Comptoir :</w:t>
      </w:r>
      <w:r/>
    </w:p>
    <w:p>
      <w:pPr>
        <w:pStyle w:val="ListBullet"/>
      </w:pPr>
      <w:r/>
      <w:r>
        <w:rPr>
          <w:b/>
        </w:rPr>
        <w:t>Piège classique :</w:t>
      </w:r>
      <w:r>
        <w:t xml:space="preserve"> La surconsommation de salbutamol (plus d'un flacon de 200 doses par mois, ou plus de 3 flacons par an) est </w:t>
      </w:r>
      <w:r>
        <w:rPr>
          <w:b/>
        </w:rPr>
        <w:t>le marqueur principal d'un asthme non contrôlé</w:t>
      </w:r>
      <w:r>
        <w:t xml:space="preserve"> et un facteur prédictif indépendant d'exacerbation sévère et de mortalité. Le pharmacien doit alerter le patient et l'orienter vers son médecin pour escalade thérapeutique. À l'inverse, l'</w:t>
      </w:r>
      <w:r>
        <w:rPr>
          <w:b/>
        </w:rPr>
        <w:t>arrêt du traitement de fond</w:t>
      </w:r>
      <w:r>
        <w:t xml:space="preserve"> (CSI, CSI/LABA) par un patient qui se sent « soulagé » par le salbutamol est une erreur grave qui doit être détectée et corrigée.</w:t>
      </w:r>
    </w:p>
    <w:p>
      <w:pPr>
        <w:pStyle w:val="ListBullet"/>
      </w:pPr>
      <w:r/>
      <w:r>
        <w:rPr>
          <w:b/>
        </w:rPr>
        <w:t>Règle de prise :</w:t>
      </w:r>
      <w:r>
        <w:t xml:space="preserve"> À la demande </w:t>
      </w:r>
      <w:r>
        <w:rPr>
          <w:b/>
        </w:rPr>
        <w:t>uniquement</w:t>
      </w:r>
      <w:r>
        <w:t>, jamais en traitement de fond continu. Prévention de l'asthme d'effort : 15 minutes avant l'exercice. Conservation du flacon à température &lt; 25 °C, à l'abri du gel et de la lumière directe. Vérifier la disponibilité de la dose par comptage manuel ou test spray avant la première utilisation (amorçage : 2 bouffées dans l'air si le flacon n'a pas été utilisé depuis 5 jours).</w:t>
      </w:r>
    </w:p>
    <w:p>
      <w:pPr>
        <w:pStyle w:val="ListBullet"/>
      </w:pPr>
      <w:r/>
      <w:r>
        <w:rPr>
          <w:b/>
        </w:rPr>
        <w:t>Préparation et Conservation :</w:t>
      </w:r>
      <w:r>
        <w:t xml:space="preserve"> Les aérosols doseurs sont sensibles à la température : ne pas exposer à &gt; 50 °C (explosion possible de la cartouche), ne pas percer, ne pas incinérer (même à vide, gaz propulseur HFA sous pression). Les solutions pour nébulisation se conservent à température &lt; 25 °C, à l'abri de la lumière ; après ouverture, conservation 24 heures au réfrigérateur possible selon les recommandations du fabricant.</w:t>
      </w:r>
    </w:p>
    <w:p>
      <w:pPr>
        <w:pStyle w:val="ListBullet"/>
      </w:pPr>
      <w:r/>
      <w:r>
        <w:rPr>
          <w:b/>
        </w:rPr>
        <w:t>Piège du surdosage / Substitution :</w:t>
      </w:r>
      <w:r>
        <w:t xml:space="preserve"> Le salbutamol n'est pas un stupéfiant mais il est classé Liste I en Algérie (prescription obligatoire) en raison du potentiel d'abus (dépendance psychologique au « soulagement immédiat ») et des risques cardiaques liés au surdosage. Les substitutions entre génériques sont possibles (équivalence bio pharmaceutique démontrée), mais </w:t>
      </w:r>
      <w:r>
        <w:rPr>
          <w:b/>
        </w:rPr>
        <w:t>toujours en gardant la même forme galénique</w:t>
      </w:r>
      <w:r>
        <w:t xml:space="preserve"> (MDI ↔ MDI, DPI ↔ DPI) pour éviter la rupture d'observance liée au changement de dispositif. La substitution forme orale ↔ forme inhalée est </w:t>
      </w:r>
      <w:r>
        <w:rPr>
          <w:b/>
        </w:rPr>
        <w:t>strictement interdite</w:t>
      </w:r>
      <w:r>
        <w:t xml:space="preserve"> sans avis médical.</w:t>
      </w:r>
    </w:p>
    <w:p>
      <w:pPr>
        <w:pStyle w:val="Heading3"/>
      </w:pPr>
      <w:r>
        <w:t>2. DCI : Terbutaline (Seule)</w:t>
      </w:r>
    </w:p>
    <w:p>
      <w:r/>
      <w:r>
        <w:rPr>
          <w:b/>
        </w:rPr>
        <w:t>Liste des Catégories :</w:t>
      </w:r>
      <w:r>
        <w:t xml:space="preserve"> β2-mimétique à courte durée d'action (SABA) ; Bronchodilatateur sympathomimétique ; Anti-asthmatique de secours ; Traitement symptomatique de la BPCO ; Tocolytique ; Liste I (toutes formes et dosages) ; Prescription médicale obligatoire.</w:t>
      </w:r>
    </w:p>
    <w:p>
      <w:r>
        <w:t xml:space="preserve">La terbutaline est le second SABA historique, commercialisé par Astra sous le nom de Bricanyl® dès les années 1970. Comme le salbutamol, elle est un agoniste β2-adrénergique sélectif à courte durée d'action, mais présente une particularité PK : son onset d'action est </w:t>
      </w:r>
      <w:r>
        <w:rPr>
          <w:b/>
        </w:rPr>
        <w:t>légèrement plus lent</w:t>
      </w:r>
      <w:r>
        <w:t xml:space="preserve"> (5-15 minutes par voie inhalée selon le dispositif) et sa durée d'action est comparable (4-6 heures). En Algérie, la terbutaline est principalement représentée par les formulations orales (comprimés à libération prolongée BRICANYL LP, solutions buvables, sirops) et injectables, la forme inhalée Turbuhaler® ayant été retirée du marché. La terbutaline est également utilisée en tocolyse (menace d'accouchement prématuré) en perfusion IV.</w:t>
      </w:r>
    </w:p>
    <w:p>
      <w:r/>
      <w:r>
        <w:rPr>
          <w:b/>
        </w:rPr>
        <w:t>Médicaments disponibles en Algérie (Marques, Laboratoires, Formes et Dosages) :</w:t>
      </w:r>
      <w:r/>
    </w:p>
    <w:p>
      <w:r/>
      <w:r>
        <w:rPr>
          <w:i/>
        </w:rPr>
        <w:t>Spécialités actives :</w:t>
      </w:r>
      <w:r/>
    </w:p>
    <w:p>
      <w:pPr>
        <w:pStyle w:val="ListBullet"/>
      </w:pPr>
      <w:r/>
      <w:r>
        <w:rPr>
          <w:b/>
        </w:rPr>
        <w:t>ASMALINE</w:t>
      </w:r>
      <w:r>
        <w:t xml:space="preserve"> (GROUPE SAIDAL) — Solution injectable SC/IV 0,5 mg/mL — B/50 ampoules — Statut : Actif</w:t>
      </w:r>
    </w:p>
    <w:p>
      <w:pPr>
        <w:pStyle w:val="ListBullet"/>
      </w:pPr>
      <w:r/>
      <w:r>
        <w:rPr>
          <w:b/>
        </w:rPr>
        <w:t>BRICANYL LP</w:t>
      </w:r>
      <w:r>
        <w:t xml:space="preserve"> (ASTRA ZENECA) — Comprimé à libération prolongée 5 mg — Pilulier/60 — Statut : Actif (spécialité princeps historique)</w:t>
      </w:r>
    </w:p>
    <w:p>
      <w:pPr>
        <w:pStyle w:val="ListBullet"/>
      </w:pPr>
      <w:r/>
      <w:r>
        <w:rPr>
          <w:b/>
        </w:rPr>
        <w:t>BRICAMEX</w:t>
      </w:r>
      <w:r>
        <w:t xml:space="preserve"> (KPMA BIOTIC) — Solution buvable 30 mg/100 mL — Flacon 150 mL — Statut : Actif</w:t>
      </w:r>
    </w:p>
    <w:p>
      <w:pPr>
        <w:pStyle w:val="ListBullet"/>
      </w:pPr>
      <w:r/>
      <w:r>
        <w:rPr>
          <w:b/>
        </w:rPr>
        <w:t>ISOBUTALINE</w:t>
      </w:r>
      <w:r>
        <w:t xml:space="preserve"> (ISOPHARM ALGERIE) — Solution buvable sans sucre 0,3 mg/mL — Flacon 150 mL — Statut : Actif</w:t>
      </w:r>
    </w:p>
    <w:p>
      <w:pPr>
        <w:pStyle w:val="ListBullet"/>
      </w:pPr>
      <w:r/>
      <w:r>
        <w:rPr>
          <w:b/>
        </w:rPr>
        <w:t>TALIN sirop</w:t>
      </w:r>
      <w:r>
        <w:t xml:space="preserve"> (JORDANIAN PHARMACEUTICAL MANUFACTURING) — Sirop 0,3 mg/mL — Flacon 100 mL — Statut : Actif</w:t>
      </w:r>
    </w:p>
    <w:p>
      <w:r/>
      <w:r>
        <w:rPr>
          <w:i/>
        </w:rPr>
        <w:t>Spécialités non renouvelables :</w:t>
      </w:r>
      <w:r/>
    </w:p>
    <w:p>
      <w:pPr>
        <w:pStyle w:val="ListBullet"/>
      </w:pPr>
      <w:r/>
      <w:r>
        <w:rPr>
          <w:b/>
        </w:rPr>
        <w:t>TERBUTALINE SULFATE</w:t>
      </w:r>
      <w:r>
        <w:t xml:space="preserve"> (RENAUDIN) — Solution injectable 0,5 mg/mL — B/8 ampoules de 1 mL — Statut : Non Renouvelable</w:t>
      </w:r>
    </w:p>
    <w:p>
      <w:pPr>
        <w:pStyle w:val="ListBullet"/>
      </w:pPr>
      <w:r/>
      <w:r>
        <w:rPr>
          <w:b/>
        </w:rPr>
        <w:t>NABUTIL</w:t>
      </w:r>
      <w:r>
        <w:t xml:space="preserve"> (NOVA ARGENTIA) — Comprimé 2,5 mg — B/50 — Statut : Non Renouvelable</w:t>
      </w:r>
    </w:p>
    <w:p>
      <w:pPr>
        <w:pStyle w:val="ListBullet"/>
      </w:pPr>
      <w:r/>
      <w:r>
        <w:rPr>
          <w:b/>
        </w:rPr>
        <w:t>TALIN comprimé</w:t>
      </w:r>
      <w:r>
        <w:t xml:space="preserve"> (JORDANIAN PHARMACEUTICAL MANUFACTURING) — Comprimé 2,5 mg — B/30 — Statut : Non Renouvelable</w:t>
      </w:r>
    </w:p>
    <w:p>
      <w:pPr>
        <w:pStyle w:val="ListBullet"/>
      </w:pPr>
      <w:r/>
      <w:r>
        <w:rPr>
          <w:b/>
        </w:rPr>
        <w:t>TALIN comprimé LP</w:t>
      </w:r>
      <w:r>
        <w:t xml:space="preserve"> (JORDANIAN PHARMACEUTICAL MANUFACTURING) — Comprimé à libération prolongée 5 mg — B/30 — Statut : Non Renouvelable</w:t>
      </w:r>
    </w:p>
    <w:p>
      <w:r/>
      <w:r>
        <w:rPr>
          <w:i/>
        </w:rPr>
        <w:t>Spécialités retirées du marché (R) :</w:t>
      </w:r>
      <w:r/>
    </w:p>
    <w:p>
      <w:pPr>
        <w:pStyle w:val="ListBullet"/>
      </w:pPr>
      <w:r/>
      <w:r>
        <w:rPr>
          <w:b/>
        </w:rPr>
        <w:t>BETANYL</w:t>
      </w:r>
      <w:r>
        <w:t xml:space="preserve"> (UNIMED) — Solution injectable SC 0,5 mg/mL — B/10 — Statut : Retiré (R)</w:t>
      </w:r>
    </w:p>
    <w:p>
      <w:pPr>
        <w:pStyle w:val="ListBullet"/>
      </w:pPr>
      <w:r/>
      <w:r>
        <w:rPr>
          <w:b/>
        </w:rPr>
        <w:t>BRICANYL injectable</w:t>
      </w:r>
      <w:r>
        <w:t xml:space="preserve"> (ASTRA) — Solution injectable SC 0,5 mg/mL — B/8 — Statut : Retiré (R)</w:t>
      </w:r>
    </w:p>
    <w:p>
      <w:pPr>
        <w:pStyle w:val="ListBullet"/>
      </w:pPr>
      <w:r/>
      <w:r>
        <w:rPr>
          <w:b/>
        </w:rPr>
        <w:t>ATALINE</w:t>
      </w:r>
      <w:r>
        <w:t xml:space="preserve"> (MEDOCHEMIE LTD) — Comprimé 2,5 mg — B/50 — Statut : Retiré (R)</w:t>
      </w:r>
    </w:p>
    <w:p>
      <w:pPr>
        <w:pStyle w:val="ListBullet"/>
      </w:pPr>
      <w:r/>
      <w:r>
        <w:rPr>
          <w:b/>
        </w:rPr>
        <w:t>TEDIPULMO comprimés</w:t>
      </w:r>
      <w:r>
        <w:t xml:space="preserve"> (ESTEDI S.L) — Comprimé 2,5 mg — B/50 — Statut : Retiré (R)</w:t>
      </w:r>
    </w:p>
    <w:p>
      <w:pPr>
        <w:pStyle w:val="ListBullet"/>
      </w:pPr>
      <w:r/>
      <w:r>
        <w:rPr>
          <w:b/>
        </w:rPr>
        <w:t>BRICANYL aérosol</w:t>
      </w:r>
      <w:r>
        <w:t xml:space="preserve"> (ASTRA) — Aérosol 250 µg/bouffée — Flacon 200 doses — Statut : Retiré (R)</w:t>
      </w:r>
    </w:p>
    <w:p>
      <w:pPr>
        <w:pStyle w:val="ListBullet"/>
      </w:pPr>
      <w:r/>
      <w:r>
        <w:rPr>
          <w:b/>
        </w:rPr>
        <w:t>TEDIPULMO sirop</w:t>
      </w:r>
      <w:r>
        <w:t xml:space="preserve"> (ESTEDI S.L) — Sirop 0,3 mg/mL — Flacon 180 mL — Statut : Retiré (R)</w:t>
      </w:r>
    </w:p>
    <w:p>
      <w:pPr>
        <w:pStyle w:val="ListBullet"/>
      </w:pPr>
      <w:r/>
      <w:r>
        <w:rPr>
          <w:b/>
        </w:rPr>
        <w:t>BRICANYL sirop</w:t>
      </w:r>
      <w:r>
        <w:t xml:space="preserve"> (ASTRA) — Sirop 0,3 mg/mL — Flacon 300 mL — Statut : Retiré (R)</w:t>
      </w:r>
    </w:p>
    <w:p>
      <w:pPr>
        <w:pStyle w:val="ListBullet"/>
      </w:pPr>
      <w:r/>
      <w:r>
        <w:rPr>
          <w:b/>
        </w:rPr>
        <w:t>BRICANYL solution pour inhalation</w:t>
      </w:r>
      <w:r>
        <w:t xml:space="preserve"> (ASTRA) — Solution pour inhalation buccale par nébuliseur, récipient unidose 2 mL, 5 mg/2 mL — B/50 — Statut : Retiré (R)</w:t>
      </w:r>
    </w:p>
    <w:p>
      <w:pPr>
        <w:pStyle w:val="ListBullet"/>
      </w:pPr>
      <w:r/>
      <w:r>
        <w:rPr>
          <w:b/>
        </w:rPr>
        <w:t>BRICANYL TURBUHALER</w:t>
      </w:r>
      <w:r>
        <w:t xml:space="preserve"> (LABORATOIRES ASTRA ZENECA) — Poudre pour inhalation 0,5 mg/dose — Flacon 100 doses — Statut : Retiré (R)</w:t>
      </w:r>
    </w:p>
    <w:p>
      <w:r/>
      <w:r>
        <w:rPr>
          <w:b/>
        </w:rPr>
        <w:t>Sous-classe et Mécanisme d'action :</w:t>
      </w:r>
      <w:r/>
    </w:p>
    <w:p>
      <w:pPr>
        <w:pStyle w:val="ListBullet"/>
      </w:pPr>
      <w:r/>
      <w:r>
        <w:rPr>
          <w:b/>
        </w:rPr>
        <w:t>Sous-classe :</w:t>
      </w:r>
      <w:r>
        <w:t xml:space="preserve"> SABA de seconde génération, classé R03AC03 dans la classification ATC. β2-agoniste direct sélectif, à courte durée d'action, structurellement apparenté au salbutamol (résorcynol non catécholaminique).</w:t>
      </w:r>
    </w:p>
    <w:p>
      <w:pPr>
        <w:pStyle w:val="ListBullet"/>
      </w:pPr>
      <w:r/>
      <w:r>
        <w:rPr>
          <w:b/>
        </w:rPr>
        <w:t>Mécanisme d'action :</w:t>
      </w:r>
      <w:r>
        <w:t xml:space="preserve"> Identique à celui du salbutamol. La terbutaline est un agoniste </w:t>
      </w:r>
      <w:r>
        <w:rPr>
          <w:b/>
        </w:rPr>
        <w:t>direct</w:t>
      </w:r>
      <w:r>
        <w:t xml:space="preserve"> des récepteurs β2-adrénergiques du muscle lisse bronchique. La liaison au site orthostérique active la protéine </w:t>
      </w:r>
      <w:r>
        <w:rPr>
          <w:b/>
        </w:rPr>
        <w:t>Gs hétérotrimérique</w:t>
      </w:r>
      <w:r>
        <w:t>, dont la sous-unité αs stimule l'</w:t>
      </w:r>
      <w:r>
        <w:rPr>
          <w:b/>
        </w:rPr>
        <w:t>adénylate cyclase</w:t>
      </w:r>
      <w:r>
        <w:t xml:space="preserve"> → conversion de l'ATP en </w:t>
      </w:r>
      <w:r>
        <w:rPr>
          <w:b/>
        </w:rPr>
        <w:t>AMPc</w:t>
      </w:r>
      <w:r>
        <w:t xml:space="preserve"> → activation de la </w:t>
      </w:r>
      <w:r>
        <w:rPr>
          <w:b/>
        </w:rPr>
        <w:t>protéine kinase A (PKA)</w:t>
      </w:r>
      <w:r>
        <w:t xml:space="preserve"> → phosphorylation de la MLCK (arrêt de la contraction), de la SERCA (reprise du Ca2+), des canaux BKCa (hyperpolarisation) et inhibition de la PLC (baisse de l'IP3/DAG). Le résultat est une </w:t>
      </w:r>
      <w:r>
        <w:rPr>
          <w:b/>
        </w:rPr>
        <w:t>bronchodilatation</w:t>
      </w:r>
      <w:r>
        <w:t xml:space="preserve"> rapide (début 5-15 min selon la voie) et prolongée 4-6 heures, avec les mêmes effets adjuvants que le salbutamol : inhibition de la dégranulation mastocytaire, augmentation de la clairance mucociliaire, inhibition de la perméabilité vasculaire, stimulation de la sécrétion de surfactant. La sélectivité β2/β1 est comparable à celle du salbutamol (ratio ≈ 100), mais l'affinité résiduelle pour les récepteurs β1 cardiaques explique la tachycardie et les palpitations aux doses élevées. </w:t>
      </w:r>
      <w:r>
        <w:rPr>
          <w:b/>
        </w:rPr>
        <w:t>Particularité de la terbutaline</w:t>
      </w:r>
      <w:r>
        <w:t xml:space="preserve"> : elle est également un excellent </w:t>
      </w:r>
      <w:r>
        <w:rPr>
          <w:b/>
        </w:rPr>
        <w:t>tocolytique</w:t>
      </w:r>
      <w:r>
        <w:t xml:space="preserve"> (relaxation du muscle utérin) car l'utérus contient une forte densité de récepteurs β2, justifiant son usage IV en obstétrique pour menacer d'accouchement prématuré.</w:t>
      </w:r>
    </w:p>
    <w:p>
      <w:r/>
      <w:r>
        <w:rPr>
          <w:b/>
        </w:rPr>
        <w:t>Profil Pharmacologique :</w:t>
      </w:r>
      <w:r/>
    </w:p>
    <w:p>
      <w:pPr>
        <w:pStyle w:val="ListBullet"/>
      </w:pPr>
      <w:r/>
      <w:r>
        <w:rPr>
          <w:b/>
        </w:rPr>
        <w:t>Indications :</w:t>
      </w:r>
      <w:r>
        <w:t xml:space="preserve"> Asthme : traitement de la crise (forme inhalée, lorsqu'elle était disponible), traitement de fond de l'asthme léger en association avec un CSI (forme orale chez l'enfant incapable d'inhaler) ; </w:t>
      </w:r>
      <w:r>
        <w:rPr>
          <w:b/>
        </w:rPr>
        <w:t>BPCO</w:t>
      </w:r>
      <w:r>
        <w:t xml:space="preserve"> : traitement symptomatique de la dyspnée (forme orale) ; </w:t>
      </w:r>
      <w:r>
        <w:rPr>
          <w:b/>
        </w:rPr>
        <w:t>Bronchospasme aigu</w:t>
      </w:r>
      <w:r>
        <w:t xml:space="preserve"> ; </w:t>
      </w:r>
      <w:r>
        <w:rPr>
          <w:b/>
        </w:rPr>
        <w:t>Asthme aigu grave</w:t>
      </w:r>
      <w:r>
        <w:t xml:space="preserve"> (forme injectable IV en réanimation) ; </w:t>
      </w:r>
      <w:r>
        <w:rPr>
          <w:b/>
        </w:rPr>
        <w:t>Tocolyse</w:t>
      </w:r>
      <w:r>
        <w:t xml:space="preserve"> (forme IV en obstétrique pour menace d'accouchement prématuré entre 22 et 37 SA — utilise la relaxation du muscle lisse utérin β2-dépendante) ; </w:t>
      </w:r>
      <w:r>
        <w:rPr>
          <w:b/>
        </w:rPr>
        <w:t>Hyperkaliémie</w:t>
      </w:r>
      <w:r>
        <w:t xml:space="preserve"> (hors AMM, utilisation IV pour faire entrer le K+ dans les cellules via β2).</w:t>
      </w:r>
    </w:p>
    <w:p>
      <w:pPr>
        <w:pStyle w:val="ListBullet"/>
      </w:pPr>
      <w:r/>
      <w:r>
        <w:rPr>
          <w:b/>
        </w:rPr>
        <w:t>Contre-indications :</w:t>
      </w:r>
      <w:r>
        <w:t xml:space="preserve"> Hypersensibilité à la terbutaline ou aux excipients ; </w:t>
      </w:r>
      <w:r>
        <w:rPr>
          <w:b/>
        </w:rPr>
        <w:t>association aux β-bloquants non sélectifs</w:t>
      </w:r>
      <w:r>
        <w:t xml:space="preserve"> (propranolol, nadolol, sotalol) — antagonisme pharmacologique et risque de bronchospasme ; cardiomyopathie obstructive hypertrophique ; tachyarythmies non contrôlées ; prééclampsie sévère (en tocolyse, risque d'œdème pulmonaire). Précautions : cardiopathie ischémique, hyperthyroïdie, diabète déséquilibré, hypokaliémie préexistante, phéochromocytome.</w:t>
      </w:r>
    </w:p>
    <w:p>
      <w:pPr>
        <w:pStyle w:val="ListBullet"/>
      </w:pPr>
      <w:r/>
      <w:r>
        <w:rPr>
          <w:b/>
        </w:rPr>
        <w:t>Effets Indésirables :</w:t>
      </w:r>
      <w:r>
        <w:t xml:space="preserve"> Profil identique à celui du salbutamol. </w:t>
      </w:r>
      <w:r>
        <w:rPr>
          <w:b/>
        </w:rPr>
        <w:t>Très fréquents</w:t>
      </w:r>
      <w:r>
        <w:t xml:space="preserve"> : tremblements des extrémités (dose-dépendants, régressifs), céphalées, tachycardie sinusale. </w:t>
      </w:r>
      <w:r>
        <w:rPr>
          <w:b/>
        </w:rPr>
        <w:t>Fréquents</w:t>
      </w:r>
      <w:r>
        <w:t xml:space="preserve"> : palpitations, crampes musculaires, hypokaliémie (dose-dépendante), anxiété, insomnie, bouche sèche, flush. </w:t>
      </w:r>
      <w:r>
        <w:rPr>
          <w:b/>
        </w:rPr>
        <w:t>Rares</w:t>
      </w:r>
      <w:r>
        <w:t xml:space="preserve"> : bronchospasme paradoxal, réactions d'hypersensibilité (urticaire, angio-œdème), hyperglycémie, acidose lactique (surtout aux fortes doses nébulisées ou IV), troubles du rythme (extrasystoles, fibrillation auriculaire). </w:t>
      </w:r>
      <w:r>
        <w:rPr>
          <w:b/>
        </w:rPr>
        <w:t>Spécifique de la forme IV tocolytique</w:t>
      </w:r>
      <w:r>
        <w:t xml:space="preserve"> : œdème pulmonaire de surcharge (surtout en cas d'association aux corticoïdes et à une perfusion abondante), hypotension, tachycardie maternelle et fœtale, hypoglycémie néonatale transitoire. </w:t>
      </w:r>
      <w:r>
        <w:rPr>
          <w:b/>
        </w:rPr>
        <w:t>Spécifique des formes orales LP</w:t>
      </w:r>
      <w:r>
        <w:t xml:space="preserve"> : concentration systémique plus élevée → tremblements plus marqués qu'avec la voie inhalée.</w:t>
      </w:r>
    </w:p>
    <w:p>
      <w:r/>
      <w:r>
        <w:rPr>
          <w:b/>
        </w:rPr>
        <w:t>Prévention et Gestion des Effets Indésirables :</w:t>
      </w:r>
      <w:r/>
    </w:p>
    <w:p>
      <w:pPr>
        <w:pStyle w:val="ListBullet"/>
      </w:pPr>
      <w:r/>
      <w:r>
        <w:rPr>
          <w:b/>
        </w:rPr>
        <w:t>Mesures Préventives :</w:t>
      </w:r>
      <w:r>
        <w:t xml:space="preserve"> Sensibiliser le patient à la différence entre </w:t>
      </w:r>
      <w:r>
        <w:rPr>
          <w:b/>
        </w:rPr>
        <w:t>traitement de secours</w:t>
      </w:r>
      <w:r>
        <w:t xml:space="preserve"> (terbutaline à la demande) et </w:t>
      </w:r>
      <w:r>
        <w:rPr>
          <w:b/>
        </w:rPr>
        <w:t>traitement de fond</w:t>
      </w:r>
      <w:r>
        <w:t xml:space="preserve"> (CSI, CSI/LABA) — la terbutaline orale ou LP ne doit pas être utilisée en monothérapie au long cours (rappel GINA) ; surveillance de la kaliémie chez les patients recevant des doses élevées, en association aux diurétiques ou aux corticoïdes ; surveillance glycémique chez le diabétique ; respect des doses maximales (10 mg/jour pour la forme LP en 2 prises) ; en tocolyse IV, surveillance continue de la fréquence cardiaque maternelle et fœtale, de la tension artérielle, de l'équilibre hydro-sodé (limitation des apports hydriques pour éviter l'œdème pulmonaire) et de la kaliémie.</w:t>
      </w:r>
    </w:p>
    <w:p>
      <w:pPr>
        <w:pStyle w:val="ListBullet"/>
      </w:pPr>
      <w:r/>
      <w:r>
        <w:rPr>
          <w:b/>
        </w:rPr>
        <w:t>Conduite à Tenir :</w:t>
      </w:r>
      <w:r>
        <w:t xml:space="preserve"> En cas de </w:t>
      </w:r>
      <w:r>
        <w:rPr>
          <w:b/>
        </w:rPr>
        <w:t>tachycardie excessive</w:t>
      </w:r>
      <w:r>
        <w:t xml:space="preserve"> ou de tremblements invalidants : réduction de la dose ou passage à la forme inhalée (si disponible) ; en cas de </w:t>
      </w:r>
      <w:r>
        <w:rPr>
          <w:b/>
        </w:rPr>
        <w:t>bronchospasme paradoxal</w:t>
      </w:r>
      <w:r>
        <w:t xml:space="preserve"> : arrêt immédiat, bronchodilatateur d'une autre classe (ipratropium nébulisé), avis médical ; en cas de </w:t>
      </w:r>
      <w:r>
        <w:rPr>
          <w:b/>
        </w:rPr>
        <w:t>surconsommation</w:t>
      </w:r>
      <w:r>
        <w:t xml:space="preserve"> (forme orale LP) : consultation pneumologique pour escalade thérapeutique ; en cas d'</w:t>
      </w:r>
      <w:r>
        <w:rPr>
          <w:b/>
        </w:rPr>
        <w:t>œdème pulmonaire</w:t>
      </w:r>
      <w:r>
        <w:t xml:space="preserve"> sous terbutaline IV tocolytique : arrêt immédiat, oxygenothérapie, diurétiques IV, surveillance en réanimation.</w:t>
      </w:r>
    </w:p>
    <w:p>
      <w:r/>
      <w:r>
        <w:rPr>
          <w:b/>
        </w:rPr>
        <w:t>Interactions Importantes :</w:t>
      </w:r>
      <w:r/>
    </w:p>
    <w:p>
      <w:pPr>
        <w:pStyle w:val="ListBullet"/>
      </w:pPr>
      <w:r/>
      <w:r>
        <w:rPr>
          <w:b/>
        </w:rPr>
        <w:t>Terbutaline + β-bloquants non sélectifs</w:t>
      </w:r>
      <w:r>
        <w:t xml:space="preserve"> : </w:t>
      </w:r>
      <w:r>
        <w:rPr>
          <w:b/>
        </w:rPr>
        <w:t>antagonisme pharmacologique</w:t>
      </w:r>
      <w:r>
        <w:t xml:space="preserve"> et risque de bronchospasme. Contre-indication formelle.</w:t>
      </w:r>
    </w:p>
    <w:p>
      <w:pPr>
        <w:pStyle w:val="ListBullet"/>
      </w:pPr>
      <w:r/>
      <w:r>
        <w:rPr>
          <w:b/>
        </w:rPr>
        <w:t>Terbutaline + diurétiques non épargneurs de potassium</w:t>
      </w:r>
      <w:r>
        <w:t xml:space="preserve"> (furosémide, thiazidiques) : </w:t>
      </w:r>
      <w:r>
        <w:rPr>
          <w:b/>
        </w:rPr>
        <w:t>hypokaliémie additive</w:t>
      </w:r>
      <w:r>
        <w:t xml:space="preserve"> (terbutaline → entrée cellulaire du K+ ; diurétiques → perte rénale). Surveillance K+ et ECG.</w:t>
      </w:r>
    </w:p>
    <w:p>
      <w:pPr>
        <w:pStyle w:val="ListBullet"/>
      </w:pPr>
      <w:r/>
      <w:r>
        <w:rPr>
          <w:b/>
        </w:rPr>
        <w:t>Terbutaline + corticoïdes</w:t>
      </w:r>
      <w:r>
        <w:t xml:space="preserve"> : </w:t>
      </w:r>
      <w:r>
        <w:rPr>
          <w:b/>
        </w:rPr>
        <w:t>hypokaliémie additive</w:t>
      </w:r>
      <w:r>
        <w:t xml:space="preserve"> et risque de troubles du rythme. Surveillance de la kaliémie, especially chez le sujet âgé.</w:t>
      </w:r>
    </w:p>
    <w:p>
      <w:pPr>
        <w:pStyle w:val="ListBullet"/>
      </w:pPr>
      <w:r/>
      <w:r>
        <w:rPr>
          <w:b/>
        </w:rPr>
        <w:t>Terbutaline + IMAO et antidépresseurs tricycliques</w:t>
      </w:r>
      <w:r>
        <w:t xml:space="preserve"> : risque d'augmentation de l'effet vasopresseur. Association déconseillée.</w:t>
      </w:r>
    </w:p>
    <w:p>
      <w:pPr>
        <w:pStyle w:val="ListBullet"/>
      </w:pPr>
      <w:r/>
      <w:r>
        <w:rPr>
          <w:b/>
        </w:rPr>
        <w:t>Terbutaline + anesthésiques halogénés</w:t>
      </w:r>
      <w:r>
        <w:t xml:space="preserve"> : potentialisation de l'effet cardiaque (arythmogénicité).</w:t>
      </w:r>
    </w:p>
    <w:p>
      <w:pPr>
        <w:pStyle w:val="ListBullet"/>
      </w:pPr>
      <w:r/>
      <w:r>
        <w:rPr>
          <w:b/>
        </w:rPr>
        <w:t>Terbutaline + théophylline</w:t>
      </w:r>
      <w:r>
        <w:t xml:space="preserve"> : addition des effets bronchodilatateurs mais aussi des effets indésirables (tachycardie, hypokaliémie, tremblements). Surveillance clinique.</w:t>
      </w:r>
    </w:p>
    <w:p>
      <w:pPr>
        <w:pStyle w:val="ListBullet"/>
      </w:pPr>
      <w:r/>
      <w:r>
        <w:rPr>
          <w:b/>
        </w:rPr>
        <w:t>Terbutaline + digoxine</w:t>
      </w:r>
      <w:r>
        <w:t xml:space="preserve"> : baisse modérée de la digoxinémie. Surveillance des taux.</w:t>
      </w:r>
    </w:p>
    <w:p>
      <w:r/>
      <w:r>
        <w:rPr>
          <w:b/>
        </w:rPr>
        <w:t>Grossesse et Allaitement :</w:t>
      </w:r>
      <w:r/>
    </w:p>
    <w:p>
      <w:pPr>
        <w:pStyle w:val="ListBullet"/>
      </w:pPr>
      <w:r/>
      <w:r>
        <w:rPr>
          <w:b/>
        </w:rPr>
        <w:t>Grossesse :</w:t>
      </w:r>
      <w:r>
        <w:t xml:space="preserve"> La terbutaline est </w:t>
      </w:r>
      <w:r>
        <w:rPr>
          <w:b/>
        </w:rPr>
        <w:t>compatible avec la grossesse</w:t>
      </w:r>
      <w:r>
        <w:t xml:space="preserve"> selon le CRAT, mais le salbutamol est </w:t>
      </w:r>
      <w:r>
        <w:rPr>
          <w:b/>
        </w:rPr>
        <w:t>préférable en première intention</w:t>
      </w:r>
      <w:r>
        <w:t xml:space="preserve"> (recul supérieur et données plus nombreuses). En tocolyse IV (menace d'accouchement prématuré), la terbutaline est utilisable avec une surveillance maternelle et fœtale stricte (taux d'effets indésirables maternels non négligeable : tachycardie, palpitations, hypokaliémie, hyperglycémie). Le Bricanyl® (terbutaline) a été largement utilisé en obstétrique algérienne ; les recommandations internationales récentes (FDA 2011, ACOG 2016) ont cependant restreint son utilisation en tocolyse prolongée (limitation à 48-72 heures) en raison du risque d'œdème pulmonaire.</w:t>
      </w:r>
    </w:p>
    <w:p>
      <w:pPr>
        <w:pStyle w:val="ListBullet"/>
      </w:pPr>
      <w:r/>
      <w:r>
        <w:rPr>
          <w:b/>
        </w:rPr>
        <w:t>Allaitement :</w:t>
      </w:r>
      <w:r>
        <w:t xml:space="preserve"> La terbutaline passe dans le lait maternel en très faible quantité. Compatible avec l'allaitement aux posologies inhalées et orales habituelles (CRAT, LactMed). En cas de tocolyse IV à fortes doses, surveiller la tachycardie et la glycémie du nourrisson.</w:t>
      </w:r>
    </w:p>
    <w:p>
      <w:pPr>
        <w:pStyle w:val="ListBullet"/>
      </w:pPr>
      <w:r/>
      <w:r>
        <w:rPr>
          <w:b/>
        </w:rPr>
        <w:t>Précisions :</w:t>
      </w:r>
      <w:r>
        <w:t xml:space="preserve"> Un asthme </w:t>
      </w:r>
      <w:r>
        <w:rPr>
          <w:b/>
        </w:rPr>
        <w:t>non contrôlé</w:t>
      </w:r>
      <w:r>
        <w:t xml:space="preserve"> pendant la grossesse est plus dangereux que le traitement par terbutaline. La prise en charge de l'asthme gravidique doit être proactive.</w:t>
      </w:r>
    </w:p>
    <w:p>
      <w:r/>
      <w:r>
        <w:rPr>
          <w:b/>
        </w:rPr>
        <w:t>Posologie et Mode d'administration (Standard) :</w:t>
      </w:r>
      <w:r/>
    </w:p>
    <w:p>
      <w:pPr>
        <w:pStyle w:val="ListBullet"/>
      </w:pPr>
      <w:r/>
      <w:r>
        <w:rPr>
          <w:b/>
        </w:rPr>
        <w:t>Adulte :</w:t>
      </w:r>
      <w:r/>
    </w:p>
    <w:p>
      <w:pPr>
        <w:pStyle w:val="ListBullet"/>
      </w:pPr>
      <w:r/>
      <w:r>
        <w:rPr>
          <w:b/>
        </w:rPr>
        <w:t>Comprimé à libération prolongée 5 mg (BRICANYL LP)</w:t>
      </w:r>
      <w:r>
        <w:t xml:space="preserve"> : 1 comprimé (5 mg) matin et soir (soit 10 mg/jour), à avaler entier avec un verre d'eau, </w:t>
      </w:r>
      <w:r>
        <w:rPr>
          <w:b/>
        </w:rPr>
        <w:t>sans croquer ni écraser</w:t>
      </w:r>
      <w:r>
        <w:t xml:space="preserve"> (la formulation LP ne doit pas être rompue).</w:t>
      </w:r>
    </w:p>
    <w:p>
      <w:pPr>
        <w:pStyle w:val="ListBullet"/>
      </w:pPr>
      <w:r/>
      <w:r>
        <w:rPr>
          <w:b/>
        </w:rPr>
        <w:t>Solution buvable 0,3 mg/mL (ISOBUTALINE, TALIN sirop) ou 30 mg/100 mL (BRICAMEX)</w:t>
      </w:r>
      <w:r>
        <w:t xml:space="preserve"> : 15 mL (4,5 mg) 3 fois par jour.</w:t>
      </w:r>
    </w:p>
    <w:p>
      <w:pPr>
        <w:pStyle w:val="ListBullet"/>
      </w:pPr>
      <w:r/>
      <w:r>
        <w:rPr>
          <w:b/>
        </w:rPr>
        <w:t>Solution injectable SC/IV 0,5 mg/mL</w:t>
      </w:r>
      <w:r>
        <w:t xml:space="preserve"> : 0,5 mg (1 mL) en s/c toutes les 6-8 heures ; en IV (urgence), 250-500 µg en injection lente (5 minutes) ou perfusion de 5-10 µg/min.</w:t>
      </w:r>
    </w:p>
    <w:p>
      <w:pPr>
        <w:pStyle w:val="ListBullet"/>
      </w:pPr>
      <w:r/>
      <w:r>
        <w:rPr>
          <w:b/>
        </w:rPr>
        <w:t>Forme nébulisée (lorsqu'elle était disponible, BRICANYL solution pour inhalation)</w:t>
      </w:r>
      <w:r>
        <w:t xml:space="preserve"> : 5 à 10 mg en nébulisation, à renouveler toutes les 4-6 heures.</w:t>
      </w:r>
    </w:p>
    <w:p>
      <w:pPr>
        <w:pStyle w:val="ListBullet"/>
      </w:pPr>
      <w:r/>
      <w:r>
        <w:rPr>
          <w:b/>
        </w:rPr>
        <w:t>Enfant :</w:t>
      </w:r>
      <w:r/>
    </w:p>
    <w:p>
      <w:pPr>
        <w:pStyle w:val="ListBullet"/>
      </w:pPr>
      <w:r/>
      <w:r>
        <w:rPr>
          <w:b/>
        </w:rPr>
        <w:t>2-5 ans</w:t>
      </w:r>
      <w:r>
        <w:t xml:space="preserve"> : solution buvable 0,075 mg/kg 3 fois par jour.</w:t>
      </w:r>
    </w:p>
    <w:p>
      <w:pPr>
        <w:pStyle w:val="ListBullet"/>
      </w:pPr>
      <w:r/>
      <w:r>
        <w:rPr>
          <w:b/>
        </w:rPr>
        <w:t>5-12 ans</w:t>
      </w:r>
      <w:r>
        <w:t xml:space="preserve"> : solution buvable 0,05 mg/kg 3 fois par jour, ou comprimé 2,5 mg 2-3 fois par jour (forme non disponible en Algérie actuellement).</w:t>
      </w:r>
    </w:p>
    <w:p>
      <w:pPr>
        <w:pStyle w:val="ListBullet"/>
      </w:pPr>
      <w:r/>
      <w:r>
        <w:rPr>
          <w:b/>
        </w:rPr>
        <w:t>&gt; 12 ans</w:t>
      </w:r>
      <w:r>
        <w:t xml:space="preserve"> : posologie adulte.</w:t>
      </w:r>
    </w:p>
    <w:p>
      <w:pPr>
        <w:pStyle w:val="ListBullet"/>
      </w:pPr>
      <w:r/>
      <w:r>
        <w:rPr>
          <w:b/>
        </w:rPr>
        <w:t>Durée :</w:t>
      </w:r>
      <w:r>
        <w:t xml:space="preserve"> Formes inhalées : à la demande (traitement de secours). Formes orales : cures courtes ou traitement prolongé selon l'indication. Forme IV tocolytique : cure de 24-48 heures, max 72 heures (risque d'œdème pulmonaire).</w:t>
      </w:r>
    </w:p>
    <w:p>
      <w:pPr>
        <w:pStyle w:val="ListBullet"/>
      </w:pPr>
      <w:r/>
      <w:r>
        <w:rPr>
          <w:b/>
        </w:rPr>
        <w:t>Moment de la prise :</w:t>
      </w:r>
      <w:r>
        <w:t xml:space="preserve"> Comprimé LP : matin et soir à heure fixe, de préférence au cours des repas pour réduire les effets indésirables digestifs. Solution injectable SC : à heure fixe. Solution buvable : 3 fois par jour, au cours des repas.</w:t>
      </w:r>
    </w:p>
    <w:p>
      <w:r/>
      <w:r>
        <w:rPr>
          <w:b/>
        </w:rPr>
        <w:t>Arbitrage et Bénéfices des Formes Galéniques :</w:t>
      </w:r>
      <w:r/>
    </w:p>
    <w:p>
      <w:r>
        <w:t xml:space="preserve">La forme de référence historique était le </w:t>
      </w:r>
      <w:r>
        <w:rPr>
          <w:b/>
        </w:rPr>
        <w:t>Turbuhaler® DPI</w:t>
      </w:r>
      <w:r>
        <w:t xml:space="preserve"> (poudre sèche inspirato-dépendante), retiré du marché algérien. La </w:t>
      </w:r>
      <w:r>
        <w:rPr>
          <w:b/>
        </w:rPr>
        <w:t>forme orale à libération prolongée (BRICANYL LP 5 mg)</w:t>
      </w:r>
      <w:r>
        <w:t xml:space="preserve"> conserve une place de choix en Algérie pour le traitement de fond de l'asthme chez les patients incapables de maîtriser la technique d'inhalation (sujets âgés, handicaps moteurs) et comme alternative aux SABA inhalés en cas de pénurie ou de problème de disponibilité. Cependant, les recommandations GINA 2024 </w:t>
      </w:r>
      <w:r>
        <w:rPr>
          <w:b/>
        </w:rPr>
        <w:t>déconseillent fortement</w:t>
      </w:r>
      <w:r>
        <w:t xml:space="preserve"> la monothérapie de fond par SABA oral : le patient doit toujours bénéficier d'un traitement anti-inflammatoire (CSI) en association. La </w:t>
      </w:r>
      <w:r>
        <w:rPr>
          <w:b/>
        </w:rPr>
        <w:t>solution buvable sans sucre (ISOBUTALINE)</w:t>
      </w:r>
      <w:r>
        <w:t xml:space="preserve"> offre une alternative intéressante chez le diabétique. La </w:t>
      </w:r>
      <w:r>
        <w:rPr>
          <w:b/>
        </w:rPr>
        <w:t>solution injectable</w:t>
      </w:r>
      <w:r>
        <w:t xml:space="preserve"> (ASMALINE SAIDAL) est principalement utilisée en tocolyse obstétricale et en urgence hospitalière pour asthme aigu grave. La disparition du Turbuhaler® DPI prive le marché algérien d'une forme inhalée moderne de terbutaline ; les patients doivent être orientés vers le salbutamol inhalé ou le formotérol (LABA) en traitement de fond.</w:t>
      </w:r>
    </w:p>
    <w:p>
      <w:r/>
      <w:r>
        <w:rPr>
          <w:b/>
        </w:rPr>
        <w:t>Instructions et Conseils au Patient :</w:t>
      </w:r>
      <w:r/>
    </w:p>
    <w:p>
      <w:pPr>
        <w:pStyle w:val="ListBullet"/>
      </w:pPr>
      <w:r/>
      <w:r>
        <w:rPr>
          <w:b/>
        </w:rPr>
        <w:t>Communication au comptoir :</w:t>
      </w:r>
      <w:r>
        <w:t xml:space="preserve"> « Ce comprimé à libération prolongée doit être pris </w:t>
      </w:r>
      <w:r>
        <w:rPr>
          <w:b/>
        </w:rPr>
        <w:t>matin et soir à heure fixe</w:t>
      </w:r>
      <w:r>
        <w:t xml:space="preserve">, </w:t>
      </w:r>
      <w:r>
        <w:rPr>
          <w:b/>
        </w:rPr>
        <w:t>entier, sans croquer ni écraser</w:t>
      </w:r>
      <w:r>
        <w:t>, avec un verre d'eau. Ne l'associez pas à un autre SABA inhalé (salbutamol) en dehors des crises. Si vous avez besoin de votre salbutamol inhalé plus de 2 fois par semaine en plus de ce traitement, c'est que votre asthme n'est pas contrôlé — consultez votre médecin. Prévenez votre médecin si vous êtes enceinte ou allaitez, ou si vous avez des palpitations, des tremblements invalidants ou des crampes musculaires. »</w:t>
      </w:r>
    </w:p>
    <w:p>
      <w:pPr>
        <w:pStyle w:val="ListBullet"/>
      </w:pPr>
      <w:r/>
      <w:r>
        <w:rPr>
          <w:b/>
        </w:rPr>
        <w:t>Mode d'utilisation pratique :</w:t>
      </w:r>
      <w:r>
        <w:t xml:space="preserve"> Pour la forme LP : avaler le comprimé </w:t>
      </w:r>
      <w:r>
        <w:rPr>
          <w:b/>
        </w:rPr>
        <w:t>entier</w:t>
      </w:r>
      <w:r>
        <w:t xml:space="preserve"> avec un grand verre d'eau, </w:t>
      </w:r>
      <w:r>
        <w:rPr>
          <w:b/>
        </w:rPr>
        <w:t>ne jamais le couper ni l'écraser</w:t>
      </w:r>
      <w:r>
        <w:t xml:space="preserve"> (risque de libération brutale et de surdosage). Pour la solution injectable SC : injection strictement sous-cutanée (jamais IM profonde ni IV directe sans prescription médicale). Pour la solution buvable : utiliser une cuillère-mesure pour respecter la dose (1 mL = 0,3 mg pour ISOBUTALINE / TALIN).</w:t>
      </w:r>
    </w:p>
    <w:p>
      <w:r/>
      <w:r>
        <w:rPr>
          <w:b/>
        </w:rPr>
        <w:t>Notes, Règles d'Or &amp; Pièges au Comptoir :</w:t>
      </w:r>
      <w:r/>
    </w:p>
    <w:p>
      <w:pPr>
        <w:pStyle w:val="ListBullet"/>
      </w:pPr>
      <w:r/>
      <w:r>
        <w:rPr>
          <w:b/>
        </w:rPr>
        <w:t>Piège classique :</w:t>
      </w:r>
      <w:r>
        <w:t xml:space="preserve"> Le BRICANYL LP est souvent considéré à tort comme un « traitement de fond suffisant » par les patients et certains prescripteurs. Or, </w:t>
      </w:r>
      <w:r>
        <w:rPr>
          <w:b/>
        </w:rPr>
        <w:t>le GINA 2024 rappelle qu'aucun SABA ne doit être utilisé seul en traitement de fond</w:t>
      </w:r>
      <w:r>
        <w:t xml:space="preserve"> (risque d'exacerbation sévère et de mortalité). Toujours vérifier l'existence d'un traitement anti-inflammatoire associé (CSI, CSI/LABA) ; en son absence, alerter le médecin prescripteur.</w:t>
      </w:r>
    </w:p>
    <w:p>
      <w:pPr>
        <w:pStyle w:val="ListBullet"/>
      </w:pPr>
      <w:r/>
      <w:r>
        <w:rPr>
          <w:b/>
        </w:rPr>
        <w:t>Règle de prise :</w:t>
      </w:r>
      <w:r>
        <w:t xml:space="preserve"> Forme LP : 12 heures d'intervalle entre les prises. Forme SC : toutes les 6-8 heures. Ne pas dépasser 15 mg/jour en forme orale LP chez l'adulte. En cas d'oubli d'une prise LP, ne pas doubler la dose suivante.</w:t>
      </w:r>
    </w:p>
    <w:p>
      <w:pPr>
        <w:pStyle w:val="ListBullet"/>
      </w:pPr>
      <w:r/>
      <w:r>
        <w:rPr>
          <w:b/>
        </w:rPr>
        <w:t>Préparation et Conservation :</w:t>
      </w:r>
      <w:r>
        <w:t xml:space="preserve"> Comprimés LP : conservation à &lt; 25 °C, à l'abri de l'humidité. Solution buvable : après ouverture, conservation 1 mois maximum, à l'abri de la lumière. Solution injectable : conservation à &lt; 25 °C, ne pas congeler.</w:t>
      </w:r>
    </w:p>
    <w:p>
      <w:pPr>
        <w:pStyle w:val="ListBullet"/>
      </w:pPr>
      <w:r/>
      <w:r>
        <w:rPr>
          <w:b/>
        </w:rPr>
        <w:t>Piège du surdosage / Substitution :</w:t>
      </w:r>
      <w:r>
        <w:t xml:space="preserve"> La substitution entre BRICANYL LP et une solution buvable équivalente nécessite un calcul précis : 1 comprimé LP 5 mg ≈ 16,7 mL de solution 0,3 mg/mL. Toujours vérifier la dose prescrite et utiliser une cuillère-mesure. La substitution entre la terbutaline et le salbutamol n'est pas automatique (bien que pharmacologiquement équivalentes) — vérifier la prescription médicale. </w:t>
      </w:r>
      <w:r>
        <w:rPr>
          <w:b/>
        </w:rPr>
        <w:t>Ne jamais substituer une forme injectable SC par une forme IV</w:t>
      </w:r>
      <w:r>
        <w:t xml:space="preserve"> sans avis médical (risque de surdosage et d'arrêt cardiaque).</w:t>
      </w:r>
    </w:p>
    <w:p>
      <w:pPr>
        <w:pStyle w:val="Heading2"/>
      </w:pPr>
      <w:r>
        <w:t>3. Introduction à la sous-classe des β2-mimétiques à longue durée d'action (LABA)</w:t>
      </w:r>
    </w:p>
    <w:p>
      <w:r>
        <w:t xml:space="preserve">Les </w:t>
      </w:r>
      <w:r>
        <w:rPr>
          <w:b/>
        </w:rPr>
        <w:t>β2-mimétiques à longue durée d'action (LABA — Long-Acting Beta-2 Agonists)</w:t>
      </w:r>
      <w:r>
        <w:t xml:space="preserve"> ont été développés à partir des années 1980 pour combler la lacune majeure des SABA : leur durée d'action courte (4-6 heures) imposant 4 à 6 prises par jour pour un traitement de fond, avec une observance médiocre et un contrôle nocturne insuffisant. Le </w:t>
      </w:r>
      <w:r>
        <w:rPr>
          <w:b/>
        </w:rPr>
        <w:t>salmétérol</w:t>
      </w:r>
      <w:r>
        <w:t xml:space="preserve"> (Serevent®, Glaxo, 1990) et le </w:t>
      </w:r>
      <w:r>
        <w:rPr>
          <w:b/>
        </w:rPr>
        <w:t>formotérol</w:t>
      </w:r>
      <w:r>
        <w:t xml:space="preserve"> (Foradil®, Novartis, 1996) sont les deux chefs de file, rejoints plus récemment par l'indacatérol, l'olodatérol et le vilantérol. En Algérie, seuls le </w:t>
      </w:r>
      <w:r>
        <w:rPr>
          <w:b/>
        </w:rPr>
        <w:t>formotérol</w:t>
      </w:r>
      <w:r>
        <w:t xml:space="preserve"> (en monothérol, principalement FORADIL) et le </w:t>
      </w:r>
      <w:r>
        <w:rPr>
          <w:b/>
        </w:rPr>
        <w:t>salmétérol</w:t>
      </w:r>
      <w:r>
        <w:t xml:space="preserve"> (en monothérol) sont disponibles, les autres LABA n'étant commercialisés qu'au sein d'associations fixes (salmétérol/fluticasone, vilantérol/umeclidinium, formotérol/budésonide, formotérol/béclométhasone).</w:t>
      </w:r>
    </w:p>
    <w:p>
      <w:r/>
      <w:r>
        <w:rPr>
          <w:b/>
        </w:rPr>
        <w:t>Cible pharmacologique.</w:t>
      </w:r>
      <w:r>
        <w:t xml:space="preserve"> Comme les SABA, les LABA ciblent les </w:t>
      </w:r>
      <w:r>
        <w:rPr>
          <w:b/>
        </w:rPr>
        <w:t>récepteurs β2-adrénergiques</w:t>
      </w:r>
      <w:r>
        <w:t xml:space="preserve"> du muscle lisse bronchique et déclenchent la même cascade Gs → adénylate cyclase → AMPc → PKA → relaxation du muscle lisse. La sélectivité β2 est équivalente à celle des SABA. La différence majeure réside dans la </w:t>
      </w:r>
      <w:r>
        <w:rPr>
          <w:b/>
        </w:rPr>
        <w:t>lipophilie</w:t>
      </w:r>
      <w:r>
        <w:t xml:space="preserve"> et la </w:t>
      </w:r>
      <w:r>
        <w:rPr>
          <w:b/>
        </w:rPr>
        <w:t>structure moléculaire</w:t>
      </w:r>
      <w:r>
        <w:t xml:space="preserve">, qui expliquent la </w:t>
      </w:r>
      <w:r>
        <w:rPr>
          <w:b/>
        </w:rPr>
        <w:t>durée d'action prolongée</w:t>
      </w:r>
      <w:r>
        <w:t xml:space="preserve"> (12 heures pour salmétérol et formotérol).</w:t>
      </w:r>
    </w:p>
    <w:p>
      <w:r/>
      <w:r>
        <w:rPr>
          <w:b/>
        </w:rPr>
        <w:t>Mécanisme moléculaire de la durée prolongée.</w:t>
      </w:r>
      <w:r>
        <w:t xml:space="preserve"> Deux modèles ont été proposés :</w:t>
      </w:r>
    </w:p>
    <w:p>
      <w:pPr>
        <w:pStyle w:val="ListBullet"/>
      </w:pPr>
      <w:r/>
      <w:r>
        <w:rPr>
          <w:b/>
        </w:rPr>
        <w:t>Salmétérol</w:t>
      </w:r>
      <w:r>
        <w:t xml:space="preserve"> : molécule </w:t>
      </w:r>
      <w:r>
        <w:rPr>
          <w:b/>
        </w:rPr>
        <w:t>lipophile</w:t>
      </w:r>
      <w:r>
        <w:t xml:space="preserve"> avec une longue chaîne latérale alkylaire qui s'ancre dans la membrane lipidique à proximité du récepteur β2. Cette "théorie de la membrane" (Johnson, 1992) explique la longue durée d'action par la </w:t>
      </w:r>
      <w:r>
        <w:rPr>
          <w:b/>
        </w:rPr>
        <w:t>diffusion latérale</w:t>
      </w:r>
      <w:r>
        <w:t xml:space="preserve"> continue de la molécule vers le site de liaison du récepteur, sans nouvelle administration. La dissociation lente du récepteur (kinétique exo-site) contribue également.</w:t>
      </w:r>
    </w:p>
    <w:p>
      <w:pPr>
        <w:pStyle w:val="ListBullet"/>
      </w:pPr>
      <w:r/>
      <w:r>
        <w:rPr>
          <w:b/>
        </w:rPr>
        <w:t>Formotérol</w:t>
      </w:r>
      <w:r>
        <w:t xml:space="preserve"> : molécule </w:t>
      </w:r>
      <w:r>
        <w:rPr>
          <w:b/>
        </w:rPr>
        <w:t>amphiphile</w:t>
      </w:r>
      <w:r>
        <w:t xml:space="preserve"> modérément lipophile. La longue durée d'action s'explique par sa </w:t>
      </w:r>
      <w:r>
        <w:rPr>
          <w:b/>
        </w:rPr>
        <w:t>lipophilie</w:t>
      </w:r>
      <w:r>
        <w:t xml:space="preserve"> qui permet une </w:t>
      </w:r>
      <w:r>
        <w:rPr>
          <w:b/>
        </w:rPr>
        <w:t>réabsorption et un depot tissulaire</w:t>
      </w:r>
      <w:r>
        <w:t xml:space="preserve"> (muscle lisse, surfactant), avec libération progressive vers le récepteur. La dissociation du récepteur est plus rapide que pour le salmétérol.</w:t>
      </w:r>
    </w:p>
    <w:p>
      <w:r/>
      <w:r>
        <w:rPr>
          <w:b/>
        </w:rPr>
        <w:t>Particularité du formotérol : onset rapide.</w:t>
      </w:r>
      <w:r>
        <w:t xml:space="preserve"> Contrairement au salmétérol (onset en 30-50 minutes), le formotérol a un </w:t>
      </w:r>
      <w:r>
        <w:rPr>
          <w:b/>
        </w:rPr>
        <w:t>début d'action rapide (1-3 minutes)</w:t>
      </w:r>
      <w:r>
        <w:t xml:space="preserve"> comparable à celui du salbutamol. Cette caractéristique unique (LABA à onset rapide) justifie son utilisation comme bronchodilatateur de </w:t>
      </w:r>
      <w:r>
        <w:rPr>
          <w:b/>
        </w:rPr>
        <w:t>secours</w:t>
      </w:r>
      <w:r>
        <w:t xml:space="preserve"> dans la stratégie MART (Maintenance and Reliever Therapy) du GINA, en association fixe avec un CSI (budésonide/formotérol = Symbicort®, béclométhasone/formotérol = Foster®). Le salmétérol, en revanche, n'est </w:t>
      </w:r>
      <w:r>
        <w:rPr>
          <w:b/>
        </w:rPr>
        <w:t>pas</w:t>
      </w:r>
      <w:r>
        <w:t xml:space="preserve"> adapté au traitement de la crise (onset trop lent).</w:t>
      </w:r>
    </w:p>
    <w:p>
      <w:r/>
      <w:r>
        <w:rPr>
          <w:b/>
        </w:rPr>
        <w:t>Pharmacocinétique.</w:t>
      </w:r>
      <w:r>
        <w:t xml:space="preserve"> Après inhalation, la fraction atteignant la circulation systémique est faible (10-20 %), avec une biodisponibilité orale résiduelle (de la fraction déglutie) soumise à un effet de premier passage hépatique. La demi-vie plasmatique est de 3 à 5 heures pour le formotérol et de 5 à 10 heures pour le salmétérol, mais la durée d'action clinique est de 12 heures pour les deux. La métabolisation hépatique se fait par CYP3A4 (formotérol) et CYP2A6 (salmétérol). L'élimination est urinaire pour les deux.</w:t>
      </w:r>
    </w:p>
    <w:p>
      <w:r/>
      <w:r>
        <w:rPr>
          <w:b/>
        </w:rPr>
        <w:t>Règle absolue GINA — LABA jamais seul.</w:t>
      </w:r>
      <w:r>
        <w:t xml:space="preserve"> Le rapport GINA 2024 rappelle avec force qu'</w:t>
      </w:r>
      <w:r>
        <w:rPr>
          <w:b/>
        </w:rPr>
        <w:t>un LABA ne doit jamais être utilisé en monothérapie chez l'asthmatique</w:t>
      </w:r>
      <w:r>
        <w:t xml:space="preserve"> (sans CSI associé). Cette règle découle de l'étude SMART (Salmeterol Multicenter Asthma Research Trial, 2006) qui a démontré une </w:t>
      </w:r>
      <w:r>
        <w:rPr>
          <w:b/>
        </w:rPr>
        <w:t>augmentation de la mortalité asthmatique</w:t>
      </w:r>
      <w:r>
        <w:t xml:space="preserve"> chez les patients sous salmétérol en monothérapie vs placebo (13 vs 3 décès pour 13 174 patients inclus), principalement chez les Afro-Américains. Le mécanisme avancé est la </w:t>
      </w:r>
      <w:r>
        <w:rPr>
          <w:b/>
        </w:rPr>
        <w:t>masque des symptômes</w:t>
      </w:r>
      <w:r>
        <w:t xml:space="preserve"> : le LABA contrôle la bronchoconstriction mais ne traite pas l'inflammation sous-jacente, qui progresse silencieusement jusqu'à une exacerbation sévère potentiellement fatale. L'FDA a imposé en 2010 un "black box warning" sur tous les LABA en monothérapie pour asthme. Les LABA doivent toujours être administrés en </w:t>
      </w:r>
      <w:r>
        <w:rPr>
          <w:b/>
        </w:rPr>
        <w:t>association fixe avec un CSI</w:t>
      </w:r>
      <w:r>
        <w:t xml:space="preserve"> dans l'asthme (GINA pistes 3 à 5). Dans la </w:t>
      </w:r>
      <w:r>
        <w:rPr>
          <w:b/>
        </w:rPr>
        <w:t>BPCO</w:t>
      </w:r>
      <w:r>
        <w:t xml:space="preserve"> (GOLD 2024), en revanche, les LABA en monothérapie sont autorisés (l'inflammation BPCO est moins sensible aux CSI que l'asthme) et constituent une option de traitement de fond (pistes B et E).</w:t>
      </w:r>
    </w:p>
    <w:p>
      <w:r/>
      <w:r>
        <w:rPr>
          <w:b/>
        </w:rPr>
        <w:t>Cadre réglementaire algérien.</w:t>
      </w:r>
      <w:r>
        <w:t xml:space="preserve"> Les LABA sont classés en </w:t>
      </w:r>
      <w:r>
        <w:rPr>
          <w:b/>
        </w:rPr>
        <w:t>Liste I</w:t>
      </w:r>
      <w:r>
        <w:t xml:space="preserve"> (substances vénéneuses, prescription obligatoire non renouvelable) en Algérie. Le formotérol en monothérol est disponible sous 3 spécialités actives (FORADIL, RESPYFOR, FORATEC HFA) ; le salmétérol en monothérol est actuellement non renouvelable (SEREVENT GSK) ou retiré (SEROBID CIPLA). Cette situation reflète la transition du marché vers les </w:t>
      </w:r>
      <w:r>
        <w:rPr>
          <w:b/>
        </w:rPr>
        <w:t>associations fixes CSI/LABA</w:t>
      </w:r>
      <w:r>
        <w:t xml:space="preserve"> (salmétérol/fluticasone = Seretide®, formotérol/budésonide = Symbicort®), qui seront traitées dans le chapitre 63 (Corticoïdes inhalés et associations).</w:t>
      </w:r>
    </w:p>
    <w:p>
      <w:pPr>
        <w:pStyle w:val="Heading2"/>
      </w:pPr>
      <w:r>
        <w:t>4. Fiches DCI — β2-mimétiques à longue durée d'action (LABA)</w:t>
      </w:r>
    </w:p>
    <w:p>
      <w:pPr>
        <w:pStyle w:val="Heading3"/>
      </w:pPr>
      <w:r>
        <w:t>3. DCI : Formotérol (Seule)</w:t>
      </w:r>
    </w:p>
    <w:p>
      <w:r/>
      <w:r>
        <w:rPr>
          <w:b/>
        </w:rPr>
        <w:t>Liste des Catégories :</w:t>
      </w:r>
      <w:r>
        <w:t xml:space="preserve"> β2-mimétique à longue durée d'action (LABA) ; Bronchodilatateur sympathomimétique de fond ; Anti-asthmatique de fond (en association obligatoire avec un CSI) ; Traitement de fond de la BPCO ; Liste I (toutes formes et dosages) ; Prescription médicale obligatoire.</w:t>
      </w:r>
    </w:p>
    <w:p>
      <w:r>
        <w:t xml:space="preserve">Le formotérol est un LABA de seconde génération, caractérisé par deux propriétés pharmacologiques qui le distinguent du salmétérol : (1) un </w:t>
      </w:r>
      <w:r>
        <w:rPr>
          <w:b/>
        </w:rPr>
        <w:t>début d'action ultra-rapide</w:t>
      </w:r>
      <w:r>
        <w:t xml:space="preserve"> (1-3 minutes, comparable au salbutamol) ; (2) une </w:t>
      </w:r>
      <w:r>
        <w:rPr>
          <w:b/>
        </w:rPr>
        <w:t>durée d'action de 12 heures</w:t>
      </w:r>
      <w:r>
        <w:t xml:space="preserve"> avec une bronchodilatation maximale atteinte en 2 heures. Cette double caractéristique (LABA à onset rapide) en fait la molécule de choix pour la stratégie </w:t>
      </w:r>
      <w:r>
        <w:rPr>
          <w:b/>
        </w:rPr>
        <w:t>MART</w:t>
      </w:r>
      <w:r>
        <w:t xml:space="preserve"> (Maintenance and Reliever Therapy) du GINA, en association fixe avec un CSI (budésonide ou béclométhasone). Le formotérol est également disponible en monothérol en Algérie (FORADIL 12 µg en gélules pour inhalation), principalement pour le traitement de fond de la BPCO.</w:t>
      </w:r>
    </w:p>
    <w:p>
      <w:r/>
      <w:r>
        <w:rPr>
          <w:b/>
        </w:rPr>
        <w:t>Médicaments disponibles en Algérie (Marques, Laboratoires, Formes et Dosages) :</w:t>
      </w:r>
      <w:r/>
    </w:p>
    <w:p>
      <w:r/>
      <w:r>
        <w:rPr>
          <w:i/>
        </w:rPr>
        <w:t>Spécialités actives :</w:t>
      </w:r>
      <w:r/>
    </w:p>
    <w:p>
      <w:pPr>
        <w:pStyle w:val="ListBullet"/>
      </w:pPr>
      <w:r/>
      <w:r>
        <w:rPr>
          <w:b/>
        </w:rPr>
        <w:t>FORADIL</w:t>
      </w:r>
      <w:r>
        <w:t xml:space="preserve"> (NOVARTIS PHARMA SCHWEIZ AG) — Poudre pour inhalation en gélules avec inhalateur 12 µg — B/30 et B/60 — Statut : Actif (spécialité princeps historique)</w:t>
      </w:r>
    </w:p>
    <w:p>
      <w:pPr>
        <w:pStyle w:val="ListBullet"/>
      </w:pPr>
      <w:r/>
      <w:r>
        <w:rPr>
          <w:b/>
        </w:rPr>
        <w:t>RESPYFOR</w:t>
      </w:r>
      <w:r>
        <w:t xml:space="preserve"> (INPHA-MEDIS) — Poudre pour inhalation en gélule 12 µg/gélule — B/60 gélules + inhalateur — Statut : Actif</w:t>
      </w:r>
    </w:p>
    <w:p>
      <w:pPr>
        <w:pStyle w:val="ListBullet"/>
      </w:pPr>
      <w:r/>
      <w:r>
        <w:rPr>
          <w:b/>
        </w:rPr>
        <w:t>FORATEC HFA</w:t>
      </w:r>
      <w:r>
        <w:t xml:space="preserve"> (CIPLA LIMITED) — Spray pour inhalation buccale 12 µg/dose — Flacon 120 doses — Statut : Actif</w:t>
      </w:r>
    </w:p>
    <w:p>
      <w:pPr>
        <w:pStyle w:val="ListBullet"/>
      </w:pPr>
      <w:r/>
      <w:r>
        <w:rPr>
          <w:b/>
        </w:rPr>
        <w:t>BREZTRI AEROSPHERE</w:t>
      </w:r>
      <w:r>
        <w:t xml:space="preserve"> (ASTRA ZENECA AB) — Suspension pour inhalation 5 µg/7,2 µg/160 µg (formotérol/glycopyrronium/budésonide, triple thérapie BPCO) — Étui 120 doses — Statut : Actif (association triple, contenant du formotérol)</w:t>
      </w:r>
    </w:p>
    <w:p>
      <w:r/>
      <w:r>
        <w:rPr>
          <w:i/>
        </w:rPr>
        <w:t>Spécialités non renouvelables :</w:t>
      </w:r>
      <w:r/>
    </w:p>
    <w:p>
      <w:pPr>
        <w:pStyle w:val="ListBullet"/>
      </w:pPr>
      <w:r/>
      <w:r>
        <w:rPr>
          <w:b/>
        </w:rPr>
        <w:t>BRONCOTERIL</w:t>
      </w:r>
      <w:r>
        <w:t xml:space="preserve"> (FARMANIC-CHEMI PHARMA S.A.) — Poudre pour inhalation en gélules avec inhalateur 12 µg — B/60 — Statut : Non Renouvelable</w:t>
      </w:r>
    </w:p>
    <w:p>
      <w:r/>
      <w:r>
        <w:rPr>
          <w:i/>
        </w:rPr>
        <w:t>Spécialités retirées du marché (R) :</w:t>
      </w:r>
      <w:r/>
    </w:p>
    <w:p>
      <w:pPr>
        <w:pStyle w:val="ListBullet"/>
      </w:pPr>
      <w:r/>
      <w:r>
        <w:rPr>
          <w:b/>
        </w:rPr>
        <w:t>FORMOTEROL ZENTIVA</w:t>
      </w:r>
      <w:r>
        <w:t xml:space="preserve"> (WINTHROP ARZNEIMITTEL GMBH) — Poudre pour inhalation en gélules avec inhalateur 12 µg — B/60 — Statut : Retiré (R)</w:t>
      </w:r>
    </w:p>
    <w:p>
      <w:r/>
      <w:r>
        <w:rPr>
          <w:b/>
        </w:rPr>
        <w:t>Sous-classe et Mécanisme d'action :</w:t>
      </w:r>
      <w:r/>
    </w:p>
    <w:p>
      <w:pPr>
        <w:pStyle w:val="ListBullet"/>
      </w:pPr>
      <w:r/>
      <w:r>
        <w:rPr>
          <w:b/>
        </w:rPr>
        <w:t>Sous-classe :</w:t>
      </w:r>
      <w:r>
        <w:t xml:space="preserve"> LABA de seconde génération, classé R03AC13 dans la classification ATC. β2-agoniste direct sélectif, à longue durée d'action (12 h) et à onset rapide (1-3 min). Seul LABA utilisable comme traitement de secours (MART) en association avec un CSI.</w:t>
      </w:r>
    </w:p>
    <w:p>
      <w:pPr>
        <w:pStyle w:val="ListBullet"/>
      </w:pPr>
      <w:r/>
      <w:r>
        <w:rPr>
          <w:b/>
        </w:rPr>
        <w:t>Mécanisme d'action :</w:t>
      </w:r>
      <w:r>
        <w:t xml:space="preserve"> Identique à celui des SABA : agoniste direct des récepteurs β2-adrénergiques du muscle lisse bronchique → activation de la </w:t>
      </w:r>
      <w:r>
        <w:rPr>
          <w:b/>
        </w:rPr>
        <w:t>protéine Gs hétérotrimérique</w:t>
      </w:r>
      <w:r>
        <w:t xml:space="preserve"> → stimulation de l'</w:t>
      </w:r>
      <w:r>
        <w:rPr>
          <w:b/>
        </w:rPr>
        <w:t>adénylate cyclase</w:t>
      </w:r>
      <w:r>
        <w:t xml:space="preserve"> → augmentation de l'AMPc intracellulaire → activation de la </w:t>
      </w:r>
      <w:r>
        <w:rPr>
          <w:b/>
        </w:rPr>
        <w:t>PKA</w:t>
      </w:r>
      <w:r>
        <w:t xml:space="preserve"> → phosphorylation de la MLCK (arrêt de la contraction), activation de la SERCA (reprise du Ca2+), activation des canaux BKCa (hyperpolarisation), inhibition de la PLC (baisse de l'IP3/DAG) → relaxation du muscle lisse bronchique. La </w:t>
      </w:r>
      <w:r>
        <w:rPr>
          <w:b/>
        </w:rPr>
        <w:t>durée d'action prolongée (12 h)</w:t>
      </w:r>
      <w:r>
        <w:t xml:space="preserve"> s'explique par la </w:t>
      </w:r>
      <w:r>
        <w:rPr>
          <w:b/>
        </w:rPr>
        <w:t>lipophilie modérée</w:t>
      </w:r>
      <w:r>
        <w:t xml:space="preserve"> du formotérol, qui se dépose dans la membrane cellulaire et le surfactant alvéolaire avant d'être relargué progressivement vers le récepteur β2. Le formotérol est un agoniste </w:t>
      </w:r>
      <w:r>
        <w:rPr>
          <w:b/>
        </w:rPr>
        <w:t>plein</w:t>
      </w:r>
      <w:r>
        <w:t xml:space="preserve"> (efficacité intrinsèque maximale, contrairement au salmétérol qui est un agoniste partiel) — d'où un effet bronchodilatateur plus puissant à dose équivalente.</w:t>
      </w:r>
    </w:p>
    <w:p>
      <w:r/>
      <w:r>
        <w:rPr>
          <w:b/>
        </w:rPr>
        <w:t>Profil Pharmacologique :</w:t>
      </w:r>
      <w:r/>
    </w:p>
    <w:p>
      <w:pPr>
        <w:pStyle w:val="ListBullet"/>
      </w:pPr>
      <w:r/>
      <w:r>
        <w:rPr>
          <w:b/>
        </w:rPr>
        <w:t>Indications :</w:t>
      </w:r>
      <w:r>
        <w:t xml:space="preserve"> </w:t>
      </w:r>
      <w:r>
        <w:rPr>
          <w:b/>
        </w:rPr>
        <w:t>Asthme</w:t>
      </w:r>
      <w:r>
        <w:t xml:space="preserve"> : traitement de fond en </w:t>
      </w:r>
      <w:r>
        <w:rPr>
          <w:b/>
        </w:rPr>
        <w:t>association obligatoire avec un CSI</w:t>
      </w:r>
      <w:r>
        <w:t xml:space="preserve"> (jamais en monothérapie — règle GINA) ; traitement de secours dans la stratégie MART (en association fixe avec budésonide ou béclométhasone, disponible en Algérie sous forme de Symbicort® et Foster® non inclus dans ce chapitre — voir chapitre 63) ; </w:t>
      </w:r>
      <w:r>
        <w:rPr>
          <w:b/>
        </w:rPr>
        <w:t>BPCO</w:t>
      </w:r>
      <w:r>
        <w:t xml:space="preserve"> : traitement de fond de la BPCO symptomatique (en monothérol ou en association avec LAMA ou CSI) ; </w:t>
      </w:r>
      <w:r>
        <w:rPr>
          <w:b/>
        </w:rPr>
        <w:t>Bronchospasme induit par l'exercice</w:t>
      </w:r>
      <w:r>
        <w:t xml:space="preserve"> : prévention prolongée (12 h) avec une dose matinale.</w:t>
      </w:r>
    </w:p>
    <w:p>
      <w:pPr>
        <w:pStyle w:val="ListBullet"/>
      </w:pPr>
      <w:r/>
      <w:r>
        <w:rPr>
          <w:b/>
        </w:rPr>
        <w:t>Contre-indications :</w:t>
      </w:r>
      <w:r>
        <w:t xml:space="preserve"> Hypersensibilité au formotérol ou à l'un des excipients (notamment lactose dans les gélules de poudre) ; </w:t>
      </w:r>
      <w:r>
        <w:rPr>
          <w:b/>
        </w:rPr>
        <w:t>asthme non traité par CSI</w:t>
      </w:r>
      <w:r>
        <w:t xml:space="preserve"> (règle absolue GINA — le formotérol en monothérapie augmente le risque d'exacerbation sévère et de mortalité asthmatique) ; association aux β-bloquants non sélectifs ; cardiomyopathie obstructive hypertrophique ; tachyarythmies non contrôlées. Précautions : cardiopathie ischémique, anévrisme, hypertension sévère, hyperthyroïdie, diabète déséquilibré, hypokaliémie pré-existante, phéochromocytome, anévrisme aortique.</w:t>
      </w:r>
    </w:p>
    <w:p>
      <w:pPr>
        <w:pStyle w:val="ListBullet"/>
      </w:pPr>
      <w:r/>
      <w:r>
        <w:rPr>
          <w:b/>
        </w:rPr>
        <w:t>Effets Indésirables :</w:t>
      </w:r>
      <w:r>
        <w:t xml:space="preserve"> </w:t>
      </w:r>
      <w:r>
        <w:rPr>
          <w:b/>
        </w:rPr>
        <w:t>Très fréquents (&gt; 1/10)</w:t>
      </w:r>
      <w:r>
        <w:t xml:space="preserve"> : tremblements des extrémités (atteinte des récepteurs β2 du muscle squelettique), céphalées. </w:t>
      </w:r>
      <w:r>
        <w:rPr>
          <w:b/>
        </w:rPr>
        <w:t>Fréquents (1/100 à 1/10)</w:t>
      </w:r>
      <w:r>
        <w:t xml:space="preserve"> : palpitations, tachycardie sinusale, crampes musculaires, hypokaliémie, anxiété, insomnie, nausées, bouche sèche, irritation pharyngée, hyperglycémie modérée. </w:t>
      </w:r>
      <w:r>
        <w:rPr>
          <w:b/>
        </w:rPr>
        <w:t>Peu fréquents</w:t>
      </w:r>
      <w:r>
        <w:t xml:space="preserve"> : hypertension artérielle, vasodilatation périphérique, bronchospasme paradoxal, réactions d'hypersensibilité (urticaire, angio-œdème, prurit), troubles du rythme (extrasystoles, fibrillation auriculaire). </w:t>
      </w:r>
      <w:r>
        <w:rPr>
          <w:b/>
        </w:rPr>
        <w:t>Rares</w:t>
      </w:r>
      <w:r>
        <w:t xml:space="preserve"> : hyperglycémie marquée, acidose lactique (aux fortes doses), œdèmes périphériques. </w:t>
      </w:r>
      <w:r>
        <w:rPr>
          <w:b/>
        </w:rPr>
        <w:t>Au long cours en monothérapie</w:t>
      </w:r>
      <w:r>
        <w:t xml:space="preserve"> : masque de l'inflammation asthmatique → exacerbations sévères, augmentation de la mortalité (études SMART, transposé vers le formotérol).</w:t>
      </w:r>
    </w:p>
    <w:p>
      <w:r/>
      <w:r>
        <w:rPr>
          <w:b/>
        </w:rPr>
        <w:t>Prévention et Gestion des Effets Indésirables :</w:t>
      </w:r>
      <w:r/>
    </w:p>
    <w:p>
      <w:pPr>
        <w:pStyle w:val="ListBullet"/>
      </w:pPr>
      <w:r/>
      <w:r>
        <w:rPr>
          <w:b/>
        </w:rPr>
        <w:t>Mesures Préventives :</w:t>
      </w:r>
      <w:r>
        <w:t xml:space="preserve"> </w:t>
      </w:r>
      <w:r>
        <w:rPr>
          <w:b/>
        </w:rPr>
        <w:t>Règle absolue</w:t>
      </w:r>
      <w:r>
        <w:t xml:space="preserve"> : ne jamais utiliser le formotérol en monothérapie pour l'asthme — toujours en association fixe avec un CSI (Symbicort® = budésonide/formotérol, Foster® = béclométhasone/formotérol). Vérification systématique par le pharmacien de l'existence d'un traitement anti-inflammatoire associé. Pour la BPCO, le formotérol en monothérol est autorisé. Maîtrise de la </w:t>
      </w:r>
      <w:r>
        <w:rPr>
          <w:b/>
        </w:rPr>
        <w:t>technique d'inhalation</w:t>
      </w:r>
      <w:r>
        <w:t xml:space="preserve"> du dispositif (Capsule Aerolizer pour FORADIL/RESPYFOR, MDI pour FORATEC HFA) ; rinçage de la bouche après inhalation pour réduire l'irritation pharyngée ; surveillance de la kaliémie chez les patients à risque (diurétiques, corticoïdes, hypokaliémie pré-existante) ; surveillance glycémique chez le diabétique.</w:t>
      </w:r>
    </w:p>
    <w:p>
      <w:pPr>
        <w:pStyle w:val="ListBullet"/>
      </w:pPr>
      <w:r/>
      <w:r>
        <w:rPr>
          <w:b/>
        </w:rPr>
        <w:t>Conduite à Tenir :</w:t>
      </w:r>
      <w:r>
        <w:t xml:space="preserve"> En cas de </w:t>
      </w:r>
      <w:r>
        <w:rPr>
          <w:b/>
        </w:rPr>
        <w:t>surconsommation</w:t>
      </w:r>
      <w:r>
        <w:t xml:space="preserve"> (plus de 2 inhalations/jour en traitement MART, ou utilisation quotidienne du formotérol en monothérol pour l'asthme) : consultation pneumologique pour escalade thérapeutique ; en cas de </w:t>
      </w:r>
      <w:r>
        <w:rPr>
          <w:b/>
        </w:rPr>
        <w:t>bronchospasme paradoxal</w:t>
      </w:r>
      <w:r>
        <w:t xml:space="preserve"> : arrêt immédiat, bronchodilatateur d'une autre classe (ipratropium nébulisé), avis médical ; en cas de </w:t>
      </w:r>
      <w:r>
        <w:rPr>
          <w:b/>
        </w:rPr>
        <w:t>tachycardie excessive</w:t>
      </w:r>
      <w:r>
        <w:t xml:space="preserve"> ou de </w:t>
      </w:r>
      <w:r>
        <w:rPr>
          <w:b/>
        </w:rPr>
        <w:t>palpitations</w:t>
      </w:r>
      <w:r>
        <w:t xml:space="preserve"> : réévaluation de la dose, recherche d'hypokaliémie.</w:t>
      </w:r>
    </w:p>
    <w:p>
      <w:r/>
      <w:r>
        <w:rPr>
          <w:b/>
        </w:rPr>
        <w:t>Interactions Importantes :</w:t>
      </w:r>
      <w:r/>
    </w:p>
    <w:p>
      <w:pPr>
        <w:pStyle w:val="ListBullet"/>
      </w:pPr>
      <w:r/>
      <w:r>
        <w:rPr>
          <w:b/>
        </w:rPr>
        <w:t>Formotérol + β-bloquants non sélectifs</w:t>
      </w:r>
      <w:r>
        <w:t xml:space="preserve"> : antagonisme pharmacologique et risque de bronchospasme. Contre-indication formelle.</w:t>
      </w:r>
    </w:p>
    <w:p>
      <w:pPr>
        <w:pStyle w:val="ListBullet"/>
      </w:pPr>
      <w:r/>
      <w:r>
        <w:rPr>
          <w:b/>
        </w:rPr>
        <w:t>Formotérol + diurétiques non épargneurs de potassium</w:t>
      </w:r>
      <w:r>
        <w:t xml:space="preserve"> : hypokaliémie additive. Surveillance K+ et ECG.</w:t>
      </w:r>
    </w:p>
    <w:p>
      <w:pPr>
        <w:pStyle w:val="ListBullet"/>
      </w:pPr>
      <w:r/>
      <w:r>
        <w:rPr>
          <w:b/>
        </w:rPr>
        <w:t>Formotérol + corticoïdes systémiques</w:t>
      </w:r>
      <w:r>
        <w:t xml:space="preserve"> : hypokaliémie additive majeure. Surveillance stricte.</w:t>
      </w:r>
    </w:p>
    <w:p>
      <w:pPr>
        <w:pStyle w:val="ListBullet"/>
      </w:pPr>
      <w:r/>
      <w:r>
        <w:rPr>
          <w:b/>
        </w:rPr>
        <w:t>Formotérol + IMAO et antidépresseurs tricycliques</w:t>
      </w:r>
      <w:r>
        <w:t xml:space="preserve"> : risque d'hypertension paroxystique.</w:t>
      </w:r>
    </w:p>
    <w:p>
      <w:pPr>
        <w:pStyle w:val="ListBullet"/>
      </w:pPr>
      <w:r/>
      <w:r>
        <w:rPr>
          <w:b/>
        </w:rPr>
        <w:t>Formotérol + inhibiteurs du CYP3A4 puissants</w:t>
      </w:r>
      <w:r>
        <w:t xml:space="preserve"> (ketoconazole, clarithromycine, ritonavir) : augmentation modérée de l'exposition systémique au formotérol, à surveiller en cas d'administration prolongée (mais sans conséquence clinique majeure aux doses inhalées).</w:t>
      </w:r>
    </w:p>
    <w:p>
      <w:pPr>
        <w:pStyle w:val="ListBullet"/>
      </w:pPr>
      <w:r/>
      <w:r>
        <w:rPr>
          <w:b/>
        </w:rPr>
        <w:t>Formotérol + autres β2-mimétiques</w:t>
      </w:r>
      <w:r>
        <w:t xml:space="preserve"> (salbutamol, salmétérol) : addition des effets et des effets indésirables. Ne pas associer un LABA à un autre LABA (surdosage β2).</w:t>
      </w:r>
    </w:p>
    <w:p>
      <w:r/>
      <w:r>
        <w:rPr>
          <w:b/>
        </w:rPr>
        <w:t>Grossesse et Allaitement :</w:t>
      </w:r>
      <w:r/>
    </w:p>
    <w:p>
      <w:pPr>
        <w:pStyle w:val="ListBullet"/>
      </w:pPr>
      <w:r/>
      <w:r>
        <w:rPr>
          <w:b/>
        </w:rPr>
        <w:t>Grossesse :</w:t>
      </w:r>
      <w:r>
        <w:t xml:space="preserve"> Le formotérol est </w:t>
      </w:r>
      <w:r>
        <w:rPr>
          <w:b/>
        </w:rPr>
        <w:t>compatible avec la grossesse</w:t>
      </w:r>
      <w:r>
        <w:t xml:space="preserve"> selon le CRAT, en association avec un CSI. Les données animales et humaines ne montrent pas d'augmentation du risque malformatif. L'utilisation en stratégie MART (budésonide/formotérol) est privilégiée chez la femme enceinte asthmatique pour éviter l'escalade de doses de CSI.</w:t>
      </w:r>
    </w:p>
    <w:p>
      <w:pPr>
        <w:pStyle w:val="ListBullet"/>
      </w:pPr>
      <w:r/>
      <w:r>
        <w:rPr>
          <w:b/>
        </w:rPr>
        <w:t>Allaitement :</w:t>
      </w:r>
      <w:r>
        <w:t xml:space="preserve"> Le formotérol passe dans le lait maternel en très faible quantité (concentrations plasmatiques très basses après inhalation). Compatible avec l'allaitement (CRAT, LactMed).</w:t>
      </w:r>
    </w:p>
    <w:p>
      <w:pPr>
        <w:pStyle w:val="ListBullet"/>
      </w:pPr>
      <w:r/>
      <w:r>
        <w:rPr>
          <w:b/>
        </w:rPr>
        <w:t>Précisions :</w:t>
      </w:r>
      <w:r>
        <w:t xml:space="preserve"> Le contrôle de l'asthme pendant la grossesse prime sur les considérations d'exposition médicamenteuse. Une asthmatique enceinte sous formotérol ne doit pas arrêter son traitement sans avis médical.</w:t>
      </w:r>
    </w:p>
    <w:p>
      <w:r/>
      <w:r>
        <w:rPr>
          <w:b/>
        </w:rPr>
        <w:t>Posologie et Mode d'administration (Standard) :</w:t>
      </w:r>
      <w:r/>
    </w:p>
    <w:p>
      <w:pPr>
        <w:pStyle w:val="ListBullet"/>
      </w:pPr>
      <w:r/>
      <w:r>
        <w:rPr>
          <w:b/>
        </w:rPr>
        <w:t>Adulte :</w:t>
      </w:r>
      <w:r/>
    </w:p>
    <w:p>
      <w:pPr>
        <w:pStyle w:val="ListBullet"/>
      </w:pPr>
      <w:r/>
      <w:r>
        <w:rPr>
          <w:b/>
        </w:rPr>
        <w:t>Gélule pour inhalation 12 µg (FORADIL, RESPYFOR, BRONCOTERIL)</w:t>
      </w:r>
      <w:r>
        <w:t xml:space="preserve"> : 1 à 2 gélules (12-24 µg) à inhaler matin et soir (soit 12-24 µg × 2/jour). Dose maximale : 48 µg/jour (4 gélules). Dans la stratégie MART (avec Symbicort ou Foster), dose additionnelle à la demande jusqu'à 72 µg/jour total.</w:t>
      </w:r>
    </w:p>
    <w:p>
      <w:pPr>
        <w:pStyle w:val="ListBullet"/>
      </w:pPr>
      <w:r/>
      <w:r>
        <w:rPr>
          <w:b/>
        </w:rPr>
        <w:t>Spray MDI 12 µg/dose (FORATEC HFA)</w:t>
      </w:r>
      <w:r>
        <w:t xml:space="preserve"> : 1 à 2 inhalations matin et soir (12-24 µg × 2/jour).</w:t>
      </w:r>
    </w:p>
    <w:p>
      <w:pPr>
        <w:pStyle w:val="ListBullet"/>
      </w:pPr>
      <w:r/>
      <w:r>
        <w:rPr>
          <w:b/>
        </w:rPr>
        <w:t>BPCO (en monothérol)</w:t>
      </w:r>
      <w:r>
        <w:t xml:space="preserve"> : 12 µg matin et soir (24 µg/jour).</w:t>
      </w:r>
    </w:p>
    <w:p>
      <w:pPr>
        <w:pStyle w:val="ListBullet"/>
      </w:pPr>
      <w:r/>
      <w:r>
        <w:rPr>
          <w:b/>
        </w:rPr>
        <w:t>Enfant &gt; 6 ans</w:t>
      </w:r>
      <w:r>
        <w:t xml:space="preserve"> : 12 µg matin et soir (en association avec un CSI).</w:t>
      </w:r>
    </w:p>
    <w:p>
      <w:pPr>
        <w:pStyle w:val="ListBullet"/>
      </w:pPr>
      <w:r/>
      <w:r>
        <w:rPr>
          <w:b/>
        </w:rPr>
        <w:t>Enfant &lt; 6 ans</w:t>
      </w:r>
      <w:r>
        <w:t xml:space="preserve"> : non recommandé en monothérol (mais utilisé en association fixe CSI/LABA sous formes spécifiques pédiatriques).</w:t>
      </w:r>
    </w:p>
    <w:p>
      <w:pPr>
        <w:pStyle w:val="ListBullet"/>
      </w:pPr>
      <w:r/>
      <w:r>
        <w:rPr>
          <w:b/>
        </w:rPr>
        <w:t>Durée :</w:t>
      </w:r>
      <w:r>
        <w:t xml:space="preserve"> Traitement de fond </w:t>
      </w:r>
      <w:r>
        <w:rPr>
          <w:b/>
        </w:rPr>
        <w:t>au long cours</w:t>
      </w:r>
      <w:r>
        <w:t xml:space="preserve"> (années). Pas d'arrêt brutal sans avis médical.</w:t>
      </w:r>
    </w:p>
    <w:p>
      <w:pPr>
        <w:pStyle w:val="ListBullet"/>
      </w:pPr>
      <w:r/>
      <w:r>
        <w:rPr>
          <w:b/>
        </w:rPr>
        <w:t>Moment de la prise :</w:t>
      </w:r>
      <w:r>
        <w:t xml:space="preserve"> Matin et soir à heure fixe (12 heures d'intervalle), de préférence au cours des repas pour réduire les effets indésirables digestifs. Ne pas prendre en fin de soirée (risque d'insomnie).</w:t>
      </w:r>
    </w:p>
    <w:p>
      <w:r/>
      <w:r>
        <w:rPr>
          <w:b/>
        </w:rPr>
        <w:t>Arbitrage et Bénéfices des Formes Galéniques :</w:t>
      </w:r>
      <w:r/>
    </w:p>
    <w:p>
      <w:r>
        <w:t xml:space="preserve">La </w:t>
      </w:r>
      <w:r>
        <w:rPr>
          <w:b/>
        </w:rPr>
        <w:t>poudre sèche en gélule avec inhalateur dédié (Aerolizer)</w:t>
      </w:r>
      <w:r>
        <w:t xml:space="preserve"> constitue la forme de référence du formotérol (FORADIL princeps, RESPYFOR générique). Cette formulation exige un débit inspiratoire suffisant (≥ 30 L/min) et une coordination main-poumon minimale (mieux tolérée que le MDI classique), mais ne nécessite pas de synchronisation déclenchement-inspiration. Elle est utilisable dès 6 ans. Le </w:t>
      </w:r>
      <w:r>
        <w:rPr>
          <w:b/>
        </w:rPr>
        <w:t>spray MDI (FORATEC HFA CIPLA)</w:t>
      </w:r>
      <w:r>
        <w:t xml:space="preserve"> est une alternative intéressante pour les patients maîtrisant la coordination main-poumon, avec une taille de conditionnement de 120 doses (équivalent à 60 jours de traitement à 2 inhalations/jour). Le BREZTRI AEROSPHERE (formotérol/glycopyrronium/budésonide, triple thérapie BPCO) sera traité en détail dans le chapitre 63. La nébulisation de formotérol n'est pas disponible en Algérie.</w:t>
      </w:r>
    </w:p>
    <w:p>
      <w:r/>
      <w:r>
        <w:rPr>
          <w:b/>
        </w:rPr>
        <w:t>Instructions et Conseils au Patient :</w:t>
      </w:r>
      <w:r/>
    </w:p>
    <w:p>
      <w:pPr>
        <w:pStyle w:val="ListBullet"/>
      </w:pPr>
      <w:r/>
      <w:r>
        <w:rPr>
          <w:b/>
        </w:rPr>
        <w:t>Communication au comptoir :</w:t>
      </w:r>
      <w:r>
        <w:t xml:space="preserve"> « Ce médicament est un </w:t>
      </w:r>
      <w:r>
        <w:rPr>
          <w:b/>
        </w:rPr>
        <w:t>traitement de fond</w:t>
      </w:r>
      <w:r>
        <w:t xml:space="preserve"> : vous devez le prendre </w:t>
      </w:r>
      <w:r>
        <w:rPr>
          <w:b/>
        </w:rPr>
        <w:t>tous les jours, matin et soir à heure fixe</w:t>
      </w:r>
      <w:r>
        <w:t xml:space="preserve">, même si vous vous sentez bien, </w:t>
      </w:r>
      <w:r>
        <w:rPr>
          <w:b/>
        </w:rPr>
        <w:t>même si vous n'avez pas de symptômes</w:t>
      </w:r>
      <w:r>
        <w:t xml:space="preserve">. Il agit en ouvrant vos bronches pendant 12 heures. Pour l'asthme, </w:t>
      </w:r>
      <w:r>
        <w:rPr>
          <w:b/>
        </w:rPr>
        <w:t>vous devez obligatoirement avoir un traitement anti-inflammatoire (corticoïde inhalé) associé</w:t>
      </w:r>
      <w:r>
        <w:t xml:space="preserve"> — si ce n'est pas le cas, consultez votre médecin. Pour la BPCO, ce médicament peut être utilisé seul. Pour le inhalateur de gélules (FORADIL, RESPYFOR) : insérez la gélule dans l'inhalateur, appuyez sur les boutons latéraux </w:t>
      </w:r>
      <w:r>
        <w:rPr>
          <w:b/>
        </w:rPr>
        <w:t>une seule fois</w:t>
      </w:r>
      <w:r>
        <w:t xml:space="preserve"> pour percer la gélule, expirez à fond, </w:t>
      </w:r>
      <w:r>
        <w:rPr>
          <w:b/>
        </w:rPr>
        <w:t>inhalez rapidement et profondément</w:t>
      </w:r>
      <w:r>
        <w:t xml:space="preserve">, retenez votre souffle 10 secondes. Vérifiez que la gélule est vide. </w:t>
      </w:r>
      <w:r>
        <w:rPr>
          <w:b/>
        </w:rPr>
        <w:t>Ne jamais avaler la gélule</w:t>
      </w:r>
      <w:r>
        <w:t xml:space="preserve"> — elle ne fonctionne que par inhalation. »</w:t>
      </w:r>
    </w:p>
    <w:p>
      <w:pPr>
        <w:pStyle w:val="ListBullet"/>
      </w:pPr>
      <w:r/>
      <w:r>
        <w:rPr>
          <w:b/>
        </w:rPr>
        <w:t>Mode d'utilisation pratique :</w:t>
      </w:r>
      <w:r>
        <w:t xml:space="preserve"> Démontrer la technique d'inhalation à chaque délivrance. Pour le MDI FORATEC HFA : technique identique à celle du salbutamol MDI (cf. fiche salbutamol). Pour le DPI en gélules : insertion de la gélule, perforation, expiration </w:t>
      </w:r>
      <w:r>
        <w:rPr>
          <w:b/>
        </w:rPr>
        <w:t>à l'écart de l'inhalateur</w:t>
      </w:r>
      <w:r>
        <w:t>, inspiration profonde et rapide, rétention 10 secondes, vérification de la gélule vide. Nettoyage hebdomadaire de l'inhalateur avec un coton-tige sec.</w:t>
      </w:r>
    </w:p>
    <w:p>
      <w:r/>
      <w:r>
        <w:rPr>
          <w:b/>
        </w:rPr>
        <w:t>Notes, Règles d'Or &amp; Pièges au Comptoir :</w:t>
      </w:r>
      <w:r/>
    </w:p>
    <w:p>
      <w:pPr>
        <w:pStyle w:val="ListBullet"/>
      </w:pPr>
      <w:r/>
      <w:r>
        <w:rPr>
          <w:b/>
        </w:rPr>
        <w:t>Piège classique :</w:t>
      </w:r>
      <w:r>
        <w:t xml:space="preserve"> Le formotérol en monothérol pour l'asthme est une </w:t>
      </w:r>
      <w:r>
        <w:rPr>
          <w:b/>
        </w:rPr>
        <w:t>erreur grave</w:t>
      </w:r>
      <w:r>
        <w:t xml:space="preserve"> qui doit être détectée par le pharmacien. Vérifier systématiquement la prescription d'un CSI associé. En cas de doute, alerter le médecin prescripteur.</w:t>
      </w:r>
    </w:p>
    <w:p>
      <w:pPr>
        <w:pStyle w:val="ListBullet"/>
      </w:pPr>
      <w:r/>
      <w:r>
        <w:rPr>
          <w:b/>
        </w:rPr>
        <w:t>Règle de prise :</w:t>
      </w:r>
      <w:r>
        <w:t xml:space="preserve"> Matin et soir à 12 heures d'intervalle, tous les jours, sans interruption. Ne jamais dépasser la dose maximale (48 µg/jour en monothérol, 72 µg/jour en stratégie MART).</w:t>
      </w:r>
    </w:p>
    <w:p>
      <w:pPr>
        <w:pStyle w:val="ListBullet"/>
      </w:pPr>
      <w:r/>
      <w:r>
        <w:rPr>
          <w:b/>
        </w:rPr>
        <w:t>Préparation et Conservation :</w:t>
      </w:r>
      <w:r>
        <w:t xml:space="preserve"> Gélules : conservation à &lt; 25 °C, à l'abri de l'humidité (le lactose absorbant l'humidité peut altérer la poudre). MDI : conservation à &lt; 25 °C, ne pas percer, ne pas incinérer.</w:t>
      </w:r>
    </w:p>
    <w:p>
      <w:pPr>
        <w:pStyle w:val="ListBullet"/>
      </w:pPr>
      <w:r/>
      <w:r>
        <w:rPr>
          <w:b/>
        </w:rPr>
        <w:t>Piège du surdosage / Substitution :</w:t>
      </w:r>
      <w:r>
        <w:t xml:space="preserve"> La substitution entre FORADIL princeps et RESPYFOR générique est possible (même dosage, même dispositif Aerolizer-compatible). La substitution vers FORATEC HFA (MDI) nécessite une rééducation à la technique d'inhalation. Ne pas substituer avec un autre LABA (salmétérol) sans avis médical (cinétiques différentes). Vérifier que le patient dispose d'un SABA (salbutamol) pour les crises — le formotérol ne remplace pas le traitement de secours dans la BPCO (sauf en stratégie MART pour l'asthme).</w:t>
      </w:r>
    </w:p>
    <w:p>
      <w:pPr>
        <w:pStyle w:val="Heading3"/>
      </w:pPr>
      <w:r>
        <w:t>4. DCI : Salmétérol (Seule)</w:t>
      </w:r>
    </w:p>
    <w:p>
      <w:r/>
      <w:r>
        <w:rPr>
          <w:b/>
        </w:rPr>
        <w:t>Liste des Catégories :</w:t>
      </w:r>
      <w:r>
        <w:t xml:space="preserve"> β2-mimétique à longue durée d'action (LABA) ; Bronchodilatateur sympathomimétique de fond ; Anti-asthmatique de fond (en association obligatoire avec un CSI) ; Traitement de fond de la BPCO ; Liste I (toutes formes et dosages) ; Prescription médicale obligatoire.</w:t>
      </w:r>
    </w:p>
    <w:p>
      <w:r>
        <w:t xml:space="preserve">Le salmétérol (Serevent®, Glaxo) est le premier LABA commercialisé (1990) et reste une référence dans la classe. Il se distingue du formotérol par trois caractéristiques pharmacologiques majeures : (1) un </w:t>
      </w:r>
      <w:r>
        <w:rPr>
          <w:b/>
        </w:rPr>
        <w:t>début d'action plus lent</w:t>
      </w:r>
      <w:r>
        <w:t xml:space="preserve"> (30-50 minutes vs 1-3 min pour le formotérol) — d'où son incapacité à être utilisé comme traitement de secours ; (2) une </w:t>
      </w:r>
      <w:r>
        <w:rPr>
          <w:b/>
        </w:rPr>
        <w:t>durée d'action de 12 heures</w:t>
      </w:r>
      <w:r>
        <w:t xml:space="preserve"> identique ; (3) un profil d'</w:t>
      </w:r>
      <w:r>
        <w:rPr>
          <w:b/>
        </w:rPr>
        <w:t>agoniste partiel</w:t>
      </w:r>
      <w:r>
        <w:t xml:space="preserve"> (efficacité intrinsèque moindre que le formotérol). Le salmétérol est largement utilisé en Algérie en association fixe avec la fluticasone (Seretide®) pour l'asthme, mais sa forme monothérol est actuellement non renouvelable ou retirée du marché algérien.</w:t>
      </w:r>
    </w:p>
    <w:p>
      <w:r/>
      <w:r>
        <w:rPr>
          <w:b/>
        </w:rPr>
        <w:t>Médicaments disponibles en Algérie (Marques, Laboratoires, Formes et Dosages) :</w:t>
      </w:r>
      <w:r/>
    </w:p>
    <w:p>
      <w:r/>
      <w:r>
        <w:rPr>
          <w:i/>
        </w:rPr>
        <w:t>Spécialités non renouvelables :</w:t>
      </w:r>
      <w:r/>
    </w:p>
    <w:p>
      <w:pPr>
        <w:pStyle w:val="ListBullet"/>
      </w:pPr>
      <w:r/>
      <w:r>
        <w:rPr>
          <w:b/>
        </w:rPr>
        <w:t>SEREVENT</w:t>
      </w:r>
      <w:r>
        <w:t xml:space="preserve"> (GLAXOSMITHKLINE) — Suspension pour inhalation 25 µg/bouffée — Flacon 120 doses — Statut : Non Renouvelable (spécialité princeps historique, actuellement indisponible en monothérol)</w:t>
      </w:r>
    </w:p>
    <w:p>
      <w:r/>
      <w:r>
        <w:rPr>
          <w:i/>
        </w:rPr>
        <w:t>Spécialités retirées du marché (R) :</w:t>
      </w:r>
      <w:r/>
    </w:p>
    <w:p>
      <w:pPr>
        <w:pStyle w:val="ListBullet"/>
      </w:pPr>
      <w:r/>
      <w:r>
        <w:rPr>
          <w:b/>
        </w:rPr>
        <w:t>SEROBID HFA INHALER</w:t>
      </w:r>
      <w:r>
        <w:t xml:space="preserve"> (CIPLA LIMITED) — Aérosol pour inhalation 25 µg/dose — Flacon 120 doses — Statut : Retiré (R)</w:t>
      </w:r>
    </w:p>
    <w:p>
      <w:r/>
      <w:r>
        <w:rPr>
          <w:b/>
        </w:rPr>
        <w:t>Sous-classe et Mécanisme d'action :</w:t>
      </w:r>
      <w:r/>
    </w:p>
    <w:p>
      <w:pPr>
        <w:pStyle w:val="ListBullet"/>
      </w:pPr>
      <w:r/>
      <w:r>
        <w:rPr>
          <w:b/>
        </w:rPr>
        <w:t>Sous-classe :</w:t>
      </w:r>
      <w:r>
        <w:t xml:space="preserve"> Premier LABA commercialisé (1990), classé R03AC12 dans la classification ATC. β2-agoniste direct sélectif, à longue durée d'action (12 h) et à onset lent (30-50 min). Agoniste partiel (efficacité intrinsèque moindre que le formotérol).</w:t>
      </w:r>
    </w:p>
    <w:p>
      <w:pPr>
        <w:pStyle w:val="ListBullet"/>
      </w:pPr>
      <w:r/>
      <w:r>
        <w:rPr>
          <w:b/>
        </w:rPr>
        <w:t>Mécanisme d'action :</w:t>
      </w:r>
      <w:r>
        <w:t xml:space="preserve"> Identique à celui des autres LABA et SABA : agoniste direct des récepteurs β2-adrénergiques → activation de la </w:t>
      </w:r>
      <w:r>
        <w:rPr>
          <w:b/>
        </w:rPr>
        <w:t>protéine Gs</w:t>
      </w:r>
      <w:r>
        <w:t xml:space="preserve"> → stimulation de l'</w:t>
      </w:r>
      <w:r>
        <w:rPr>
          <w:b/>
        </w:rPr>
        <w:t>adénylate cyclase</w:t>
      </w:r>
      <w:r>
        <w:t xml:space="preserve"> → augmentation de l'AMPc → activation de la </w:t>
      </w:r>
      <w:r>
        <w:rPr>
          <w:b/>
        </w:rPr>
        <w:t>PKA</w:t>
      </w:r>
      <w:r>
        <w:t xml:space="preserve"> → relaxation du muscle lisse bronchique par les mêmes mécanismes que le salbutamol et le formotérol (inactivation de la MLCK, activation de la SERCA, hyperpolarisation par BKCa, inhibition de la PLC). La </w:t>
      </w:r>
      <w:r>
        <w:rPr>
          <w:b/>
        </w:rPr>
        <w:t>durée d'action prolongée (12 h)</w:t>
      </w:r>
      <w:r>
        <w:t xml:space="preserve"> du salmétérol s'explique par sa </w:t>
      </w:r>
      <w:r>
        <w:rPr>
          <w:b/>
        </w:rPr>
        <w:t>lipophilie élevée</w:t>
      </w:r>
      <w:r>
        <w:t xml:space="preserve"> et sa longue chaîne latérale alkylaire, qui s'ancre dans la </w:t>
      </w:r>
      <w:r>
        <w:rPr>
          <w:b/>
        </w:rPr>
        <w:t>membrane lipidique</w:t>
      </w:r>
      <w:r>
        <w:t xml:space="preserve"> à proximité du récepteur β2 (théorie exo-site de Johnson). Cette diffusion latérale continue permet une </w:t>
      </w:r>
      <w:r>
        <w:rPr>
          <w:b/>
        </w:rPr>
        <w:t>re-liaison</w:t>
      </w:r>
      <w:r>
        <w:t xml:space="preserve"> répétée au récepteur, prolongeant l'effet bronchodilatateur bien au-delà de la demi-vie plasmatique (5-10 h). Le salmétérol est un </w:t>
      </w:r>
      <w:r>
        <w:rPr>
          <w:b/>
        </w:rPr>
        <w:t>agoniste partiel</w:t>
      </w:r>
      <w:r>
        <w:t xml:space="preserve"> : son efficacité maximale (Emax) est inférieure à celle du formotérol (qui est un agoniste plein), ce qui se traduit par une bronchodilatation maximale légèrement moindre à dose équivalente. Cette caractéristique peut expliquer en partie la supériorité du formotérol dans la stratégie MART.</w:t>
      </w:r>
    </w:p>
    <w:p>
      <w:r/>
      <w:r>
        <w:rPr>
          <w:b/>
        </w:rPr>
        <w:t>Profil Pharmacologique :</w:t>
      </w:r>
      <w:r/>
    </w:p>
    <w:p>
      <w:pPr>
        <w:pStyle w:val="ListBullet"/>
      </w:pPr>
      <w:r/>
      <w:r>
        <w:rPr>
          <w:b/>
        </w:rPr>
        <w:t>Indications :</w:t>
      </w:r>
      <w:r>
        <w:t xml:space="preserve"> </w:t>
      </w:r>
      <w:r>
        <w:rPr>
          <w:b/>
        </w:rPr>
        <w:t>Asthme</w:t>
      </w:r>
      <w:r>
        <w:t xml:space="preserve"> : traitement de fond en </w:t>
      </w:r>
      <w:r>
        <w:rPr>
          <w:b/>
        </w:rPr>
        <w:t>association obligatoire avec un CSI</w:t>
      </w:r>
      <w:r>
        <w:t xml:space="preserve"> (jamais en monothérapie — règle GINA absolue renforcée par l'étude SMART 2006) ; </w:t>
      </w:r>
      <w:r>
        <w:rPr>
          <w:b/>
        </w:rPr>
        <w:t>BPCO</w:t>
      </w:r>
      <w:r>
        <w:t xml:space="preserve"> : traitement de fond de la BPCO symptomatique (en monothérol ou en association avec CSI ou LAMA) ; </w:t>
      </w:r>
      <w:r>
        <w:rPr>
          <w:b/>
        </w:rPr>
        <w:t>Bronchospasme induit par l'exercice</w:t>
      </w:r>
      <w:r>
        <w:t xml:space="preserve"> : prévention prolongée (12 h). </w:t>
      </w:r>
      <w:r>
        <w:rPr>
          <w:b/>
        </w:rPr>
        <w:t>Le salmétérol n'est PAS indiqué comme traitement de secours</w:t>
      </w:r>
      <w:r>
        <w:t xml:space="preserve"> en raison de son onset lent.</w:t>
      </w:r>
    </w:p>
    <w:p>
      <w:pPr>
        <w:pStyle w:val="ListBullet"/>
      </w:pPr>
      <w:r/>
      <w:r>
        <w:rPr>
          <w:b/>
        </w:rPr>
        <w:t>Contre-indications :</w:t>
      </w:r>
      <w:r>
        <w:t xml:space="preserve"> Hypersensibilité au salmétérol ou à l'un des excipients ; </w:t>
      </w:r>
      <w:r>
        <w:rPr>
          <w:b/>
        </w:rPr>
        <w:t>asthme non traité par CSI</w:t>
      </w:r>
      <w:r>
        <w:t xml:space="preserve"> (règle absolue GINA — risque d'exacerbation sévère et de mortalité, démontré par l'étude SMART 2006) ; traitement de la crise d'asthme aiguë (onset trop lent) ; association aux β-bloquants non sélectifs ; cardiomyopathie obstructive hypertrophique ; tachyarythmies non contrôlées. Précautions : cardiopathie ischémique, hyperthyroïdie, diabète, hypokaliémie, phéochromocytome.</w:t>
      </w:r>
    </w:p>
    <w:p>
      <w:pPr>
        <w:pStyle w:val="ListBullet"/>
      </w:pPr>
      <w:r/>
      <w:r>
        <w:rPr>
          <w:b/>
        </w:rPr>
        <w:t>Effets Indésirables :</w:t>
      </w:r>
      <w:r>
        <w:t xml:space="preserve"> Profil identique à celui du formotérol. </w:t>
      </w:r>
      <w:r>
        <w:rPr>
          <w:b/>
        </w:rPr>
        <w:t>Très fréquents</w:t>
      </w:r>
      <w:r>
        <w:t xml:space="preserve"> : céphalées, tremblements des extrémités. </w:t>
      </w:r>
      <w:r>
        <w:rPr>
          <w:b/>
        </w:rPr>
        <w:t>Fréquents</w:t>
      </w:r>
      <w:r>
        <w:t xml:space="preserve"> : tachycardie sinusale, palpitations, crampes musculaires, hypokaliémie, anxiété, insomnie, irritation pharyngée. </w:t>
      </w:r>
      <w:r>
        <w:rPr>
          <w:b/>
        </w:rPr>
        <w:t>Peu fréquents</w:t>
      </w:r>
      <w:r>
        <w:t xml:space="preserve"> : bronchospasme paradoxal, réactions d'hypersensibilité, troubles du rythme. </w:t>
      </w:r>
      <w:r>
        <w:rPr>
          <w:b/>
        </w:rPr>
        <w:t>Au long cours en monothérapie</w:t>
      </w:r>
      <w:r>
        <w:t xml:space="preserve"> : augmentation du risque d'exacerbation sévère et de </w:t>
      </w:r>
      <w:r>
        <w:rPr>
          <w:b/>
        </w:rPr>
        <w:t>mortalité asthmatique</w:t>
      </w:r>
      <w:r>
        <w:t xml:space="preserve"> (études SMART 2006, Nelson 2006 — signal spécifique au salmétérol, particulièrement chez les Afro-Américains, conduit à un "black box warning" de l'FDA en 2010 et au retrait du salmétérol en monothérol de plusieurs marchés internationaux).</w:t>
      </w:r>
    </w:p>
    <w:p>
      <w:r/>
      <w:r>
        <w:rPr>
          <w:b/>
        </w:rPr>
        <w:t>Prévention et Gestion des Effets Indésirables :</w:t>
      </w:r>
      <w:r/>
    </w:p>
    <w:p>
      <w:pPr>
        <w:pStyle w:val="ListBullet"/>
      </w:pPr>
      <w:r/>
      <w:r>
        <w:rPr>
          <w:b/>
        </w:rPr>
        <w:t>Mesures Préventives :</w:t>
      </w:r>
      <w:r>
        <w:t xml:space="preserve"> </w:t>
      </w:r>
      <w:r>
        <w:rPr>
          <w:b/>
        </w:rPr>
        <w:t>Règle absolue</w:t>
      </w:r>
      <w:r>
        <w:t xml:space="preserve"> : ne jamais utiliser le salmétérol en monothérapie pour l'asthme — toujours en association fixe avec un CSI (Seretide® = fluticasone/salmétérol, non traité dans ce chapitre — voir chapitre 63). Vérification systématique par le pharmacien de l'existence d'un traitement anti-inflammatoire associé. Pour la BPCO, le salmétérol en monothérol est autorisé (mais actuellement non disponible en Algérie). Maîtrise de la technique d'inhalation du MDI (SEREVENT) ; rinçage de la bouche après inhalation ; surveillance de la kaliémie et de la glycémie chez les patients à risque.</w:t>
      </w:r>
    </w:p>
    <w:p>
      <w:pPr>
        <w:pStyle w:val="ListBullet"/>
      </w:pPr>
      <w:r/>
      <w:r>
        <w:rPr>
          <w:b/>
        </w:rPr>
        <w:t>Conduite à Tenir :</w:t>
      </w:r>
      <w:r>
        <w:t xml:space="preserve"> En cas de </w:t>
      </w:r>
      <w:r>
        <w:rPr>
          <w:b/>
        </w:rPr>
        <w:t>surconsommation</w:t>
      </w:r>
      <w:r>
        <w:t xml:space="preserve"> ou d'utilisation en monothérol pour l'asthme : consultation pneumologique urgente pour escalade thérapeutique ; en cas de </w:t>
      </w:r>
      <w:r>
        <w:rPr>
          <w:b/>
        </w:rPr>
        <w:t>bronchospasme paradoxal</w:t>
      </w:r>
      <w:r>
        <w:t xml:space="preserve"> : arrêt immédiat, bronchodilatateur d'une autre classe (ipratropium nébulisé), avis médical ; en cas de </w:t>
      </w:r>
      <w:r>
        <w:rPr>
          <w:b/>
        </w:rPr>
        <w:t>crise d'asthme aiguë</w:t>
      </w:r>
      <w:r>
        <w:t xml:space="preserve"> : ne pas utiliser le salmétérol (utiliser le salbutamol inhalé).</w:t>
      </w:r>
    </w:p>
    <w:p>
      <w:r/>
      <w:r>
        <w:rPr>
          <w:b/>
        </w:rPr>
        <w:t>Interactions Importantes :</w:t>
      </w:r>
      <w:r/>
    </w:p>
    <w:p>
      <w:pPr>
        <w:pStyle w:val="ListBullet"/>
      </w:pPr>
      <w:r/>
      <w:r>
        <w:rPr>
          <w:b/>
        </w:rPr>
        <w:t>Salmétérol + β-bloquants non sélectifs</w:t>
      </w:r>
      <w:r>
        <w:t xml:space="preserve"> : antagonisme pharmacologique et risque de bronchospasme. Contre-indication formelle.</w:t>
      </w:r>
    </w:p>
    <w:p>
      <w:pPr>
        <w:pStyle w:val="ListBullet"/>
      </w:pPr>
      <w:r/>
      <w:r>
        <w:rPr>
          <w:b/>
        </w:rPr>
        <w:t>Salmétérol + diurétiques non épargneurs de potassium</w:t>
      </w:r>
      <w:r>
        <w:t xml:space="preserve"> : hypokaliémie additive.</w:t>
      </w:r>
    </w:p>
    <w:p>
      <w:pPr>
        <w:pStyle w:val="ListBullet"/>
      </w:pPr>
      <w:r/>
      <w:r>
        <w:rPr>
          <w:b/>
        </w:rPr>
        <w:t>Salmétérol + corticoïdes systémiques</w:t>
      </w:r>
      <w:r>
        <w:t xml:space="preserve"> : hypokaliémie additive majeure.</w:t>
      </w:r>
    </w:p>
    <w:p>
      <w:pPr>
        <w:pStyle w:val="ListBullet"/>
      </w:pPr>
      <w:r/>
      <w:r>
        <w:rPr>
          <w:b/>
        </w:rPr>
        <w:t>Salmétérol + IMAO et antidépresseurs tricycliques</w:t>
      </w:r>
      <w:r>
        <w:t xml:space="preserve"> : risque d'hypertension paroxystique.</w:t>
      </w:r>
    </w:p>
    <w:p>
      <w:pPr>
        <w:pStyle w:val="ListBullet"/>
      </w:pPr>
      <w:r/>
      <w:r>
        <w:rPr>
          <w:b/>
        </w:rPr>
        <w:t>Salmétérol + inhibiteurs du CYP3A4 puissants</w:t>
      </w:r>
      <w:r>
        <w:t xml:space="preserve"> (ketoconazole, ritonavir) : augmentation modérée de l'exposition systémique au salmétérol.</w:t>
      </w:r>
    </w:p>
    <w:p>
      <w:pPr>
        <w:pStyle w:val="ListBullet"/>
      </w:pPr>
      <w:r/>
      <w:r>
        <w:rPr>
          <w:b/>
        </w:rPr>
        <w:t>Salmétérol + autres LABA</w:t>
      </w:r>
      <w:r>
        <w:t xml:space="preserve"> : ne pas associer (surdosage β2).</w:t>
      </w:r>
    </w:p>
    <w:p>
      <w:pPr>
        <w:pStyle w:val="ListBullet"/>
      </w:pPr>
      <w:r/>
      <w:r>
        <w:rPr>
          <w:b/>
        </w:rPr>
        <w:t>Salmétérol + prostaglandines F2α</w:t>
      </w:r>
      <w:r>
        <w:t xml:space="preserve"> (carboprost, sulprostone) : potentialisation des effets vasoconstricteurs. Surveillance.</w:t>
      </w:r>
    </w:p>
    <w:p>
      <w:r/>
      <w:r>
        <w:rPr>
          <w:b/>
        </w:rPr>
        <w:t>Grossesse et Allaitement :</w:t>
      </w:r>
      <w:r/>
    </w:p>
    <w:p>
      <w:pPr>
        <w:pStyle w:val="ListBullet"/>
      </w:pPr>
      <w:r/>
      <w:r>
        <w:rPr>
          <w:b/>
        </w:rPr>
        <w:t>Grossesse :</w:t>
      </w:r>
      <w:r>
        <w:t xml:space="preserve"> Le salmétérol est </w:t>
      </w:r>
      <w:r>
        <w:rPr>
          <w:b/>
        </w:rPr>
        <w:t>compatible avec la grossesse</w:t>
      </w:r>
      <w:r>
        <w:t xml:space="preserve"> selon le CRAT, en association avec un CSI. Les données issues des registres (plusieurs milliers de grossesses exposées) ne montrent pas d'augmentation du risque malformatif. L'utilisation en association fixe avec la fluticasone (Seretide®) est largement répandue chez la femme enceinte asthmatique.</w:t>
      </w:r>
    </w:p>
    <w:p>
      <w:pPr>
        <w:pStyle w:val="ListBullet"/>
      </w:pPr>
      <w:r/>
      <w:r>
        <w:rPr>
          <w:b/>
        </w:rPr>
        <w:t>Allaitement :</w:t>
      </w:r>
      <w:r>
        <w:t xml:space="preserve"> Le salmétérol passe dans le lait maternel en très faible quantité. Compatible avec l'allaitement (CRAT, LactMed).</w:t>
      </w:r>
    </w:p>
    <w:p>
      <w:pPr>
        <w:pStyle w:val="ListBullet"/>
      </w:pPr>
      <w:r/>
      <w:r>
        <w:rPr>
          <w:b/>
        </w:rPr>
        <w:t>Précisions :</w:t>
      </w:r>
      <w:r>
        <w:t xml:space="preserve"> Le contrôle de l'asthme pendant la grossesse prime sur les considérations d'exposition médicamenteuse.</w:t>
      </w:r>
    </w:p>
    <w:p>
      <w:r/>
      <w:r>
        <w:rPr>
          <w:b/>
        </w:rPr>
        <w:t>Posologie et Mode d'administration (Standard) :</w:t>
      </w:r>
      <w:r/>
    </w:p>
    <w:p>
      <w:pPr>
        <w:pStyle w:val="ListBullet"/>
      </w:pPr>
      <w:r/>
      <w:r>
        <w:rPr>
          <w:b/>
        </w:rPr>
        <w:t>Adulte et enfant &gt; 4 ans :</w:t>
      </w:r>
      <w:r/>
    </w:p>
    <w:p>
      <w:pPr>
        <w:pStyle w:val="ListBullet"/>
      </w:pPr>
      <w:r/>
      <w:r>
        <w:rPr>
          <w:b/>
        </w:rPr>
        <w:t>MDI 25 µg/bouffée (SEREVENT)</w:t>
      </w:r>
      <w:r>
        <w:t xml:space="preserve"> : 2 inhalations (50 µg) matin et soir (soit 100 µg/jour). Dose maximale : 100 µg × 2/jour (4 bouffées/jour, rarement dépassée).</w:t>
      </w:r>
    </w:p>
    <w:p>
      <w:pPr>
        <w:pStyle w:val="ListBullet"/>
      </w:pPr>
      <w:r/>
      <w:r>
        <w:rPr>
          <w:b/>
        </w:rPr>
        <w:t>BPCO (en monothérol)</w:t>
      </w:r>
      <w:r>
        <w:t xml:space="preserve"> : 50 µg matin et soir (100 µg/jour).</w:t>
      </w:r>
    </w:p>
    <w:p>
      <w:pPr>
        <w:pStyle w:val="ListBullet"/>
      </w:pPr>
      <w:r/>
      <w:r>
        <w:rPr>
          <w:b/>
        </w:rPr>
        <w:t>Enfant 4-12 ans</w:t>
      </w:r>
      <w:r>
        <w:t xml:space="preserve"> : 50 µg matin et soir (2 bouffées × 2/jour).</w:t>
      </w:r>
    </w:p>
    <w:p>
      <w:pPr>
        <w:pStyle w:val="ListBullet"/>
      </w:pPr>
      <w:r/>
      <w:r>
        <w:rPr>
          <w:b/>
        </w:rPr>
        <w:t>Durée :</w:t>
      </w:r>
      <w:r>
        <w:t xml:space="preserve"> Traitement de fond </w:t>
      </w:r>
      <w:r>
        <w:rPr>
          <w:b/>
        </w:rPr>
        <w:t>au long cours</w:t>
      </w:r>
      <w:r>
        <w:t xml:space="preserve"> (années). Ne jamais utiliser pour traiter une crise aiguë.</w:t>
      </w:r>
    </w:p>
    <w:p>
      <w:pPr>
        <w:pStyle w:val="ListBullet"/>
      </w:pPr>
      <w:r/>
      <w:r>
        <w:rPr>
          <w:b/>
        </w:rPr>
        <w:t>Moment de la prise :</w:t>
      </w:r>
      <w:r>
        <w:t xml:space="preserve"> Matin et soir à heure fixe (12 heures d'intervalle). Ne pas prendre en fin de soirée (risque d'insomnie).</w:t>
      </w:r>
    </w:p>
    <w:p>
      <w:r/>
      <w:r>
        <w:rPr>
          <w:b/>
        </w:rPr>
        <w:t>Arbitrage et Bénéfices des Formes Galéniques :</w:t>
      </w:r>
      <w:r/>
    </w:p>
    <w:p>
      <w:r>
        <w:t xml:space="preserve">Le </w:t>
      </w:r>
      <w:r>
        <w:rPr>
          <w:b/>
        </w:rPr>
        <w:t>MDI 25 µg/bouffée</w:t>
      </w:r>
      <w:r>
        <w:t xml:space="preserve"> (SEREVENT) était la seule forme disponible en monothérol en Algérie. Cette forme exige une coordination main-poumon parfaite, et l'usage d'une chambre d'inhalation est fortement recommandé chez l'enfant et le sujet âgé. La formulation HFA-134a (sans CFC) remplace depuis 2005 les anciennes formulations CFC. Le SEROBID HFA (CIPLA) était un générique du SEREVENT, retiré du marché. </w:t>
      </w:r>
      <w:r>
        <w:rPr>
          <w:b/>
        </w:rPr>
        <w:t>Le salmétérol en monothérol n'est actuellement pas disponible en Algérie</w:t>
      </w:r>
      <w:r>
        <w:t xml:space="preserve"> (SEREVENT non renouvelable, SEROBID retiré) — les patients sont orientés vers le salmétérol en association fixe (Seretide® = fluticasone/salmétérol, voir chapitre 63) ou vers le formotérol en monothérol (FORADIL).</w:t>
      </w:r>
    </w:p>
    <w:p>
      <w:r/>
      <w:r>
        <w:rPr>
          <w:b/>
        </w:rPr>
        <w:t>Instructions et Conseils au Patient :</w:t>
      </w:r>
      <w:r/>
    </w:p>
    <w:p>
      <w:pPr>
        <w:pStyle w:val="ListBullet"/>
      </w:pPr>
      <w:r/>
      <w:r>
        <w:rPr>
          <w:b/>
        </w:rPr>
        <w:t>Communication au comptoir :</w:t>
      </w:r>
      <w:r>
        <w:t xml:space="preserve"> « Ce médicament est un </w:t>
      </w:r>
      <w:r>
        <w:rPr>
          <w:b/>
        </w:rPr>
        <w:t>traitement de fond</w:t>
      </w:r>
      <w:r>
        <w:t xml:space="preserve"> : vous devez le prendre </w:t>
      </w:r>
      <w:r>
        <w:rPr>
          <w:b/>
        </w:rPr>
        <w:t>tous les jours, matin et soir à heure fixe</w:t>
      </w:r>
      <w:r>
        <w:t xml:space="preserve">, même si vous vous sentez bien. Il agit en ouvrant vos bronches pendant 12 heures, mais </w:t>
      </w:r>
      <w:r>
        <w:rPr>
          <w:b/>
        </w:rPr>
        <w:t>son effet met 30 minutes à s'installer</w:t>
      </w:r>
      <w:r>
        <w:t xml:space="preserve"> — il ne sert donc </w:t>
      </w:r>
      <w:r>
        <w:rPr>
          <w:b/>
        </w:rPr>
        <w:t>pas à traiter une crise</w:t>
      </w:r>
      <w:r>
        <w:t xml:space="preserve">. Pour les crises, vous devez avoir votre salbutamol inhalé. </w:t>
      </w:r>
      <w:r>
        <w:rPr>
          <w:b/>
        </w:rPr>
        <w:t>Pour l'asthme, vous devez obligatoirement avoir un traitement anti-inflammatoire (corticoïde inhalé) associé</w:t>
      </w:r>
      <w:r>
        <w:t>. »</w:t>
      </w:r>
    </w:p>
    <w:p>
      <w:pPr>
        <w:pStyle w:val="ListBullet"/>
      </w:pPr>
      <w:r/>
      <w:r>
        <w:rPr>
          <w:b/>
        </w:rPr>
        <w:t>Mode d'utilisation pratique :</w:t>
      </w:r>
      <w:r>
        <w:t xml:space="preserve"> Technique MDI identique à celle du salbutamol (cf. fiche salbutamol). 2 bouffées matin et soir, à 12 heures d'intervalle. Ne pas dépasser 4 bouffées/jour.</w:t>
      </w:r>
    </w:p>
    <w:p>
      <w:r/>
      <w:r>
        <w:rPr>
          <w:b/>
        </w:rPr>
        <w:t>Notes, Règles d'Or &amp; Pièges au Comptoir :</w:t>
      </w:r>
      <w:r/>
    </w:p>
    <w:p>
      <w:pPr>
        <w:pStyle w:val="ListBullet"/>
      </w:pPr>
      <w:r/>
      <w:r>
        <w:rPr>
          <w:b/>
        </w:rPr>
        <w:t>Piège classique :</w:t>
      </w:r>
      <w:r>
        <w:t xml:space="preserve"> Le salmétérol </w:t>
      </w:r>
      <w:r>
        <w:rPr>
          <w:b/>
        </w:rPr>
        <w:t>ne doit jamais être utilisé comme traitement de secours</w:t>
      </w:r>
      <w:r>
        <w:t xml:space="preserve"> en raison de son onset lent (30-50 minutes). Un patient qui utilise son salmétérol pour traiter une crise met sa vie en danger (délai d'action insuffisant). Toujours vérifier que le patient dispose d'un SABA (salbutamol) pour les crises.</w:t>
      </w:r>
    </w:p>
    <w:p>
      <w:pPr>
        <w:pStyle w:val="ListBullet"/>
      </w:pPr>
      <w:r/>
      <w:r>
        <w:rPr>
          <w:b/>
        </w:rPr>
        <w:t>Règle de prise :</w:t>
      </w:r>
      <w:r>
        <w:t xml:space="preserve"> Matin et soir à 12 heures d'intervalle, tous les jours, sans interruption. Ne jamais doubler une dose oubliée.</w:t>
      </w:r>
    </w:p>
    <w:p>
      <w:pPr>
        <w:pStyle w:val="ListBullet"/>
      </w:pPr>
      <w:r/>
      <w:r>
        <w:rPr>
          <w:b/>
        </w:rPr>
        <w:t>Préparation et Conservation :</w:t>
      </w:r>
      <w:r>
        <w:t xml:space="preserve"> MDI : conservation à &lt; 25 °C, ne pas percer, ne pas incinérer (gaz propulseur HFA sous pression).</w:t>
      </w:r>
    </w:p>
    <w:p>
      <w:pPr>
        <w:pStyle w:val="ListBullet"/>
      </w:pPr>
      <w:r/>
      <w:r>
        <w:rPr>
          <w:b/>
        </w:rPr>
        <w:t>Piège du surdosage / Substitution :</w:t>
      </w:r>
      <w:r>
        <w:t xml:space="preserve"> Le salmétérol ne doit pas être substitué par le formotérol sans avis médical (cinétiques et efficacités différentes — le formotérol est un agoniste plein, utilisable en MART). Ne pas associer le salmétérol à un autre LABA (surdosage β2). Le salmétérol actuellement non disponible en monothérol en Algérie — vérifier l'existence d'une prescription d'association fixe (Seretide®).</w:t>
      </w:r>
    </w:p>
    <w:p>
      <w:pPr>
        <w:pStyle w:val="Heading2"/>
      </w:pPr>
      <w:r>
        <w:t>5. Introduction à la sous-classe des Anticholinergiques à courte durée d'action (SAMA)</w:t>
      </w:r>
    </w:p>
    <w:p>
      <w:r>
        <w:t xml:space="preserve">Les </w:t>
      </w:r>
      <w:r>
        <w:rPr>
          <w:b/>
        </w:rPr>
        <w:t>anticholinergiques à courte durée d'action (SAMA — Short-Acting Muscarinic Antagonists)</w:t>
      </w:r>
      <w:r>
        <w:t xml:space="preserve"> représentent la seconde grande famille de bronchodilatateurs, à côté des β2-mimétiques. Leur chef de file historique, l'</w:t>
      </w:r>
      <w:r>
        <w:rPr>
          <w:b/>
        </w:rPr>
        <w:t>ipratropium</w:t>
      </w:r>
      <w:r>
        <w:t xml:space="preserve"> (Atrovent®, Boehringer Ingelheim, 1976), est un dérivé d'ammonium quaternaire lipophobe, structural analogique de l'atropine mais non absorbé par les muqueuses. Leur mécanisme d'action est fondamentalement </w:t>
      </w:r>
      <w:r>
        <w:rPr>
          <w:b/>
        </w:rPr>
        <w:t>différent</w:t>
      </w:r>
      <w:r>
        <w:t xml:space="preserve"> de celui des β2-mimétiques : ils bloquent le tonus vagal cholinergique bronchoconstricteur, complémentaire mais non redondant de la voie β2-adrénergique. La combinaison SABA + SAMA (salbutamol + ipratropium) est synergie pharmacologique démontrée et constitue le traitement de référence de la crise d'asthme aiguë sévère et de la BPCO exacerbée.</w:t>
      </w:r>
    </w:p>
    <w:p>
      <w:r/>
      <w:r>
        <w:rPr>
          <w:b/>
        </w:rPr>
        <w:t>Cible pharmacologique.</w:t>
      </w:r>
      <w:r>
        <w:t xml:space="preserve"> Les SAMA ciblent les </w:t>
      </w:r>
      <w:r>
        <w:rPr>
          <w:b/>
        </w:rPr>
        <w:t>récepteurs muscariniques de type M3</w:t>
      </w:r>
      <w:r>
        <w:t xml:space="preserve">, exprimés majoritairement sur le muscle lisse bronchique, les glandes sous-muqueuses et les cellules endothéliales vasculaires pulmonaires. Les récepteurs muscariniques sont des RCPG (récepteurs couplés aux protéines G) à sept domaines transmembranaires. Cinq sous-types ont été identifiés (M1 à M5) ; dans le poumon, </w:t>
      </w:r>
      <w:r>
        <w:rPr>
          <w:b/>
        </w:rPr>
        <w:t>M3</w:t>
      </w:r>
      <w:r>
        <w:t xml:space="preserve"> (bronchoconstriction, sécrétion mucus) est la cible thérapeutique principale, </w:t>
      </w:r>
      <w:r>
        <w:rPr>
          <w:b/>
        </w:rPr>
        <w:t>M1</w:t>
      </w:r>
      <w:r>
        <w:t xml:space="preserve"> (ganglions parasympathiques, amplification du réflexe vagal bronchoconstricteur) est une cible accessoire, et </w:t>
      </w:r>
      <w:r>
        <w:rPr>
          <w:b/>
        </w:rPr>
        <w:t>M2</w:t>
      </w:r>
      <w:r>
        <w:t xml:space="preserve"> (autorécepteur présynaptique inhibiteur de la libération d'acétylcholine) doit être </w:t>
      </w:r>
      <w:r>
        <w:rPr>
          <w:b/>
        </w:rPr>
        <w:t>préservé</w:t>
      </w:r>
      <w:r>
        <w:t xml:space="preserve"> — son blocage potentialise la libération d'ACh et limite l'efficacité bronchodilatatrice.</w:t>
      </w:r>
    </w:p>
    <w:p>
      <w:r/>
      <w:r>
        <w:rPr>
          <w:b/>
        </w:rPr>
        <w:t>Mécanisme d'action moléculaire.</w:t>
      </w:r>
      <w:r>
        <w:t xml:space="preserve"> À l'état basal, le </w:t>
      </w:r>
      <w:r>
        <w:rPr>
          <w:b/>
        </w:rPr>
        <w:t>tonus vagal cholinergique</w:t>
      </w:r>
      <w:r>
        <w:t xml:space="preserve"> est la principale source de bronchoconstriction parasympathique. L'ACh libérée par les fibres vagales se lie aux récepteurs </w:t>
      </w:r>
      <w:r>
        <w:rPr>
          <w:b/>
        </w:rPr>
        <w:t>M3</w:t>
      </w:r>
      <w:r>
        <w:t xml:space="preserve"> postsynaptiques, qui activent la </w:t>
      </w:r>
      <w:r>
        <w:rPr>
          <w:b/>
        </w:rPr>
        <w:t>sous-unité αq de la protéine Gq</w:t>
      </w:r>
      <w:r>
        <w:t xml:space="preserve">. Cette sous-unité stimule la </w:t>
      </w:r>
      <w:r>
        <w:rPr>
          <w:b/>
        </w:rPr>
        <w:t>phospholipase C (PLC)</w:t>
      </w:r>
      <w:r>
        <w:t xml:space="preserve">, qui hydrolyse le PIP2 en </w:t>
      </w:r>
      <w:r>
        <w:rPr>
          <w:b/>
        </w:rPr>
        <w:t>IP3</w:t>
      </w:r>
      <w:r>
        <w:t xml:space="preserve"> (inositol-1,4,5-trisphosphate) et </w:t>
      </w:r>
      <w:r>
        <w:rPr>
          <w:b/>
        </w:rPr>
        <w:t>DAG</w:t>
      </w:r>
      <w:r>
        <w:t xml:space="preserve"> (diacylglycérol). L'IP3 se fixe sur son récepteur du réticulum sarcoplasmique et provoque la libération de </w:t>
      </w:r>
      <w:r>
        <w:rPr>
          <w:b/>
        </w:rPr>
        <w:t>Ca2+</w:t>
      </w:r>
      <w:r>
        <w:t xml:space="preserve"> libre cytosolique. Le Ca2+ se fixe à la calmoduline et active la MLCK, qui phosphoryle les chaînes légères de la myosine → contraction du muscle lisse bronchique.</w:t>
      </w:r>
    </w:p>
    <w:p>
      <w:r>
        <w:t xml:space="preserve">Les SAMA sont des </w:t>
      </w:r>
      <w:r>
        <w:rPr>
          <w:b/>
        </w:rPr>
        <w:t>antagonistes compétitifs</w:t>
      </w:r>
      <w:r>
        <w:t xml:space="preserve"> des récepteurs muscariniques. En bloquant M3, ils </w:t>
      </w:r>
      <w:r>
        <w:rPr>
          <w:b/>
        </w:rPr>
        <w:t>empêchent l'activation de la voie Gq/PLC/IP3/Ca2+</w:t>
      </w:r>
      <w:r>
        <w:t xml:space="preserve">, ce qui : (i) arrête la contraction du muscle lisse (baisse du Ca2+ cytosolique, inactivation de la MLCK) ; (ii) réduit la sécrétion de mucus par les glandes sous-muqueuses ; (iii) réduit la vasodilatation capillaire pulmonaire. La conséquence fonctionnelle est une </w:t>
      </w:r>
      <w:r>
        <w:rPr>
          <w:b/>
        </w:rPr>
        <w:t>bronchodilatation</w:t>
      </w:r>
      <w:r>
        <w:t xml:space="preserve"> moins rapide et moins intense que celle des β2-mimétiques (onset 15-30 minutes), mais </w:t>
      </w:r>
      <w:r>
        <w:rPr>
          <w:b/>
        </w:rPr>
        <w:t>complémentaire</w:t>
      </w:r>
      <w:r>
        <w:t>.</w:t>
      </w:r>
    </w:p>
    <w:p>
      <w:r/>
      <w:r>
        <w:rPr>
          <w:b/>
        </w:rPr>
        <w:t>Particularité pharmacocinétique.</w:t>
      </w:r>
      <w:r>
        <w:t xml:space="preserve"> Les SAMA sont des sels d'ammonium quaternaire, </w:t>
      </w:r>
      <w:r>
        <w:rPr>
          <w:b/>
        </w:rPr>
        <w:t>pauvrement absorbés par les muqueuses</w:t>
      </w:r>
      <w:r>
        <w:t xml:space="preserve"> (biodisponibilité systémique &lt; 5 % après inhalation). Cette caractéristique est essentielle : (i) l'effet est </w:t>
      </w:r>
      <w:r>
        <w:rPr>
          <w:b/>
        </w:rPr>
        <w:t>strictement local</w:t>
      </w:r>
      <w:r>
        <w:t xml:space="preserve"> pulmonaire, sans effet systémique atropinique significatif (à la différence de l'atropine); (ii) la nébulisation est la voie de choix pour les formes à visée systémique ; (iii) les effets indésirables atropiniques (bouche sèche, mydriase, tachycardie, rétention urinaire) sont rares et généralement mineurs.</w:t>
      </w:r>
    </w:p>
    <w:p>
      <w:r/>
      <w:r>
        <w:rPr>
          <w:b/>
        </w:rPr>
        <w:t>Positionnement thérapeutique.</w:t>
      </w:r>
      <w:r>
        <w:t xml:space="preserve"> Les SAMA ont une place plus large dans la </w:t>
      </w:r>
      <w:r>
        <w:rPr>
          <w:b/>
        </w:rPr>
        <w:t>BPCO</w:t>
      </w:r>
      <w:r>
        <w:t xml:space="preserve"> que dans l'asthme (le tonus vagal est plus impliqué dans la bronchoconstriction BPCO que dans l'asthme). Ils sont indiqués : (i) en nébulisation pour le traitement de la crise d'asthme sévère et de la BPCO exacerbée (en association avec un SABA nébulisé — synergie démontrée) ; (ii) en MDI pour le traitement de fond de la BPCO symptomatique (alternative au SABA) ; (iii) en association fixe salbutamol + ipratropium (Combivent®, Ipralin® — voir fiche association SABA + SAMA).</w:t>
      </w:r>
    </w:p>
    <w:p>
      <w:r/>
      <w:r>
        <w:rPr>
          <w:b/>
        </w:rPr>
        <w:t>Cadre réglementaire algérien.</w:t>
      </w:r>
      <w:r>
        <w:t xml:space="preserve"> L'ipratropium est classé en </w:t>
      </w:r>
      <w:r>
        <w:rPr>
          <w:b/>
        </w:rPr>
        <w:t>Liste I</w:t>
      </w:r>
      <w:r>
        <w:t xml:space="preserve"> (substances vénéneuses, prescription médicale obligatoire). Une seule spécialité active (ATROVENT) sous deux formes (solution pour nébulisation enfant 0,25 mg/2 mL et adulte 0,5 mg/2 mL, Boehringer Ingelheim France), la forme MDI 20 µg/dose ayant été retirée du marché.</w:t>
      </w:r>
    </w:p>
    <w:p>
      <w:pPr>
        <w:pStyle w:val="Heading2"/>
      </w:pPr>
      <w:r>
        <w:t>6. Fiche DCI — Anticholinergiques à courte durée d'action (SAMA)</w:t>
      </w:r>
    </w:p>
    <w:p>
      <w:pPr>
        <w:pStyle w:val="Heading3"/>
      </w:pPr>
      <w:r>
        <w:t>5. DCI : Ipratropium (Seule)</w:t>
      </w:r>
    </w:p>
    <w:p>
      <w:r/>
      <w:r>
        <w:rPr>
          <w:b/>
        </w:rPr>
        <w:t>Liste des Catégories :</w:t>
      </w:r>
      <w:r>
        <w:t xml:space="preserve"> Anticholinergique à courte durée d'action (SAMA) ; Bronchodilatateur parasympatholytique ; Anti-asthmatique de secours (nébulisation) ; Traitement symptomatique de la BPCO ; Liste I (toutes formes et dosages) ; Prescription médicale obligatoire.</w:t>
      </w:r>
    </w:p>
    <w:p>
      <w:r>
        <w:t xml:space="preserve">L'ipratropium est le chef de file des SAMA. C'est un dérivé d'ammonium quaternaire, lipophobe, non absorbé par les muqueuses, ce qui lui confère une tolérance systémique remarquable. Son onset est de </w:t>
      </w:r>
      <w:r>
        <w:rPr>
          <w:b/>
        </w:rPr>
        <w:t>15-30 minutes</w:t>
      </w:r>
      <w:r>
        <w:t xml:space="preserve"> par voie inhalée (légèrement plus lent que le salbutamol), la bronchodilatation maximale est atteinte en 30-60 minutes et la durée d'action est de </w:t>
      </w:r>
      <w:r>
        <w:rPr>
          <w:b/>
        </w:rPr>
        <w:t>4 à 6 heures</w:t>
      </w:r>
      <w:r>
        <w:t xml:space="preserve">. En Algérie, l'ipratropium est uniquement disponible en </w:t>
      </w:r>
      <w:r>
        <w:rPr>
          <w:b/>
        </w:rPr>
        <w:t>solution pour nébulisation</w:t>
      </w:r>
      <w:r>
        <w:t xml:space="preserve"> (forme enfant 0,25 mg/2 mL et adulte 0,5 mg/2 mL), la forme MDI 20 µg/dose ayant été retirée du marché.</w:t>
      </w:r>
    </w:p>
    <w:p>
      <w:r/>
      <w:r>
        <w:rPr>
          <w:b/>
        </w:rPr>
        <w:t>Médicaments disponibles en Algérie (Marques, Laboratoires, Formes et Dosages) :</w:t>
      </w:r>
      <w:r/>
    </w:p>
    <w:p>
      <w:r/>
      <w:r>
        <w:rPr>
          <w:i/>
        </w:rPr>
        <w:t>Spécialités actives :</w:t>
      </w:r>
      <w:r/>
    </w:p>
    <w:p>
      <w:pPr>
        <w:pStyle w:val="ListBullet"/>
      </w:pPr>
      <w:r/>
      <w:r>
        <w:rPr>
          <w:b/>
        </w:rPr>
        <w:t>ATROVENT ENFANT</w:t>
      </w:r>
      <w:r>
        <w:t xml:space="preserve"> (BOEHRINGER INGELHEIM FRANCE) — Solution pour inhalation par nébuliseur 0,25 mg/2 mL — B/10 récipients unidoses de 2 mL — Statut : Actif (forme pédiatrique)</w:t>
      </w:r>
    </w:p>
    <w:p>
      <w:pPr>
        <w:pStyle w:val="ListBullet"/>
      </w:pPr>
      <w:r/>
      <w:r>
        <w:rPr>
          <w:b/>
        </w:rPr>
        <w:t>ATROVENT ADULTE</w:t>
      </w:r>
      <w:r>
        <w:t xml:space="preserve"> (BOEHRINGER INGELHEIM FRANCE) — Solution pour inhalation par nébuliseur 0,50 mg/2 mL — B/10 récipients unidoses de 2 mL — Statut : Actif (forme adulte)</w:t>
      </w:r>
    </w:p>
    <w:p>
      <w:r/>
      <w:r>
        <w:rPr>
          <w:i/>
        </w:rPr>
        <w:t>Spécialités retirées du marché (R) :</w:t>
      </w:r>
      <w:r/>
    </w:p>
    <w:p>
      <w:pPr>
        <w:pStyle w:val="ListBullet"/>
      </w:pPr>
      <w:r/>
      <w:r>
        <w:rPr>
          <w:b/>
        </w:rPr>
        <w:t>ATROVENT MDI</w:t>
      </w:r>
      <w:r>
        <w:t xml:space="preserve"> (BOEHRINGER INGELHEIM) — Suspension pour inhalation flacon pressurisé 20 µg/dose — Flacon 200 doses — Statut : Retiré (R)</w:t>
      </w:r>
    </w:p>
    <w:p>
      <w:r/>
      <w:r>
        <w:rPr>
          <w:b/>
        </w:rPr>
        <w:t>Sous-classe et Mécanisme d'action :</w:t>
      </w:r>
      <w:r/>
    </w:p>
    <w:p>
      <w:pPr>
        <w:pStyle w:val="ListBullet"/>
      </w:pPr>
      <w:r/>
      <w:r>
        <w:rPr>
          <w:b/>
        </w:rPr>
        <w:t>Sous-classe :</w:t>
      </w:r>
      <w:r>
        <w:t xml:space="preserve"> Chef de file des SAMA, classé R03BB01 dans la classification ATC. Anticholinergique d'action topique, dérivé d'ammonium quaternaire lipophobe, antagoniste compétitif des récepteurs muscariniques M1, M2 et M3 (peu sélectif).</w:t>
      </w:r>
    </w:p>
    <w:p>
      <w:pPr>
        <w:pStyle w:val="ListBullet"/>
      </w:pPr>
      <w:r/>
      <w:r>
        <w:rPr>
          <w:b/>
        </w:rPr>
        <w:t>Mécanisme d'action :</w:t>
      </w:r>
      <w:r>
        <w:t xml:space="preserve"> L'ipratropium est un </w:t>
      </w:r>
      <w:r>
        <w:rPr>
          <w:b/>
        </w:rPr>
        <w:t>antagoniste compétitif</w:t>
      </w:r>
      <w:r>
        <w:t xml:space="preserve"> des récepteurs muscariniques M1, M2 et M3 des voies respiratoires. Le tonus vagal cholinergique est la principale source de bronchoconstriction parasympathique basale. À l'état basal, l'acétylcholine (ACh) libérée par les fibres vagales se lie au récepteur </w:t>
      </w:r>
      <w:r>
        <w:rPr>
          <w:b/>
        </w:rPr>
        <w:t>M3</w:t>
      </w:r>
      <w:r>
        <w:t xml:space="preserve"> postsynaptique du muscle lisse bronchique, qui active la </w:t>
      </w:r>
      <w:r>
        <w:rPr>
          <w:b/>
        </w:rPr>
        <w:t>sous-unité αq de la protéine Gq</w:t>
      </w:r>
      <w:r>
        <w:t xml:space="preserve">. La Gq stimule la </w:t>
      </w:r>
      <w:r>
        <w:rPr>
          <w:b/>
        </w:rPr>
        <w:t>phospholipase C (PLC)</w:t>
      </w:r>
      <w:r>
        <w:t xml:space="preserve">, qui hydrolyse le PIP2 membranaire en </w:t>
      </w:r>
      <w:r>
        <w:rPr>
          <w:b/>
        </w:rPr>
        <w:t>IP3</w:t>
      </w:r>
      <w:r>
        <w:t xml:space="preserve"> (inositol-1,4,5-trisphosphate) et </w:t>
      </w:r>
      <w:r>
        <w:rPr>
          <w:b/>
        </w:rPr>
        <w:t>DAG</w:t>
      </w:r>
      <w:r>
        <w:t xml:space="preserve"> (diacylglycérol). L'IP3 se fixe sur son récepteur du réticulum sarcoplasmique et déclenche la libération massive de </w:t>
      </w:r>
      <w:r>
        <w:rPr>
          <w:b/>
        </w:rPr>
        <w:t>Ca2+ libre cytosolique</w:t>
      </w:r>
      <w:r>
        <w:t xml:space="preserve">. Le Ca2+ se fixe à la calmoduline, le complexe Ca2+-calmoduline active la </w:t>
      </w:r>
      <w:r>
        <w:rPr>
          <w:b/>
        </w:rPr>
        <w:t>myosine light chain kinase (MLCK)</w:t>
      </w:r>
      <w:r>
        <w:t xml:space="preserve">, qui phosphoryle les chaînes légères de la myosine → contraction du muscle lisse bronchique. L'ipratropium, en bloquant M3, </w:t>
      </w:r>
      <w:r>
        <w:rPr>
          <w:b/>
        </w:rPr>
        <w:t>empêche l'activation de la voie Gq/PLC/IP3/Ca2+/calmoduline/MLCK</w:t>
      </w:r>
      <w:r>
        <w:t xml:space="preserve">, ce qui : (i) arrête la contraction du muscle lisse bronchique (baisse du Ca2+ cytosolique, inactivation de la MLCK, déphosphorylation de la myosine) ; (ii) réduit la sécrétion de mucus par les glandes sous-muqueuses ; (iii) réduit la vasodilatation capillaire pulmonaire (effet anti-œdémateux). Le résultat est une </w:t>
      </w:r>
      <w:r>
        <w:rPr>
          <w:b/>
        </w:rPr>
        <w:t>bronchodilatation</w:t>
      </w:r>
      <w:r>
        <w:t xml:space="preserve"> moins rapide que celle des β2-mimétiques (onset 15-30 min, max 30-60 min) mais </w:t>
      </w:r>
      <w:r>
        <w:rPr>
          <w:b/>
        </w:rPr>
        <w:t>complémentaire et synergique</w:t>
      </w:r>
      <w:r>
        <w:t xml:space="preserve"> dans la combinaison SABA + SAMA. L'ipratropium bloque également les </w:t>
      </w:r>
      <w:r>
        <w:rPr>
          <w:b/>
        </w:rPr>
        <w:t>autorécepteurs M2 présynaptiques</w:t>
      </w:r>
      <w:r>
        <w:t xml:space="preserve"> (qui inhibent normalement la libération d'ACh), ce qui théoriquement potentialise la libération d'ACh et limite l'efficacité bronchodilatatrice. Cette limite explique l'avantage des LAMA sélectifs M3 (tiotropium, umeclidinium) qui épargnent M2.</w:t>
      </w:r>
    </w:p>
    <w:p>
      <w:r/>
      <w:r>
        <w:rPr>
          <w:b/>
        </w:rPr>
        <w:t>Profil Pharmacologique :</w:t>
      </w:r>
      <w:r/>
    </w:p>
    <w:p>
      <w:pPr>
        <w:pStyle w:val="ListBullet"/>
      </w:pPr>
      <w:r/>
      <w:r>
        <w:rPr>
          <w:b/>
        </w:rPr>
        <w:t>Indications :</w:t>
      </w:r>
      <w:r>
        <w:t xml:space="preserve"> </w:t>
      </w:r>
      <w:r>
        <w:rPr>
          <w:b/>
        </w:rPr>
        <w:t>Crise d'asthme aiguë sévère</w:t>
      </w:r>
      <w:r>
        <w:t xml:space="preserve"> : en nébulisation, en association avec un SABA nébulisé (salbutamol) — synergie démontrée ; </w:t>
      </w:r>
      <w:r>
        <w:rPr>
          <w:b/>
        </w:rPr>
        <w:t>BPCO exacerbée</w:t>
      </w:r>
      <w:r>
        <w:t xml:space="preserve"> : nébulisation en association avec SABA ; </w:t>
      </w:r>
      <w:r>
        <w:rPr>
          <w:b/>
        </w:rPr>
        <w:t>BPCO stable</w:t>
      </w:r>
      <w:r>
        <w:t xml:space="preserve"> : traitement de fond symptomatique (alternative ou complément des SABA) ; </w:t>
      </w:r>
      <w:r>
        <w:rPr>
          <w:b/>
        </w:rPr>
        <w:t>Bronchospasme aigu</w:t>
      </w:r>
      <w:r>
        <w:t xml:space="preserve"> de l'enfant (bronchiolite du nourrisson, discuté mais utilisé) ; </w:t>
      </w:r>
      <w:r>
        <w:rPr>
          <w:b/>
        </w:rPr>
        <w:t>Rhinite allergique</w:t>
      </w:r>
      <w:r>
        <w:t xml:space="preserve"> (forme nasale Atrovent® nasal, non disponible en Algérie sous cette forme).</w:t>
      </w:r>
    </w:p>
    <w:p>
      <w:pPr>
        <w:pStyle w:val="ListBullet"/>
      </w:pPr>
      <w:r/>
      <w:r>
        <w:rPr>
          <w:b/>
        </w:rPr>
        <w:t>Contre-indications :</w:t>
      </w:r>
      <w:r>
        <w:t xml:space="preserve"> Hypersensibilité à l'ipratropium, à l'atropine ou à leurs dérivés ; </w:t>
      </w:r>
      <w:r>
        <w:rPr>
          <w:b/>
        </w:rPr>
        <w:t>glaucome à angle fermé</w:t>
      </w:r>
      <w:r>
        <w:t xml:space="preserve"> (en nébulisation, le passage dans l'œil par le masque facial peut déclencher une crise de glaucome aigu par mydriase) ; </w:t>
      </w:r>
      <w:r>
        <w:rPr>
          <w:b/>
        </w:rPr>
        <w:t>hypertrophie bénigne de la prostate (HBP) sévère</w:t>
      </w:r>
      <w:r>
        <w:t xml:space="preserve"> avec rétention urinaire (effet atropinique sur le sphincter vésical) ; obstacle sous-vésical. Précautions : mucoviscidose (épaississement du mucus potentiellement aggravé), insuffisance rénale sévère (élimination urinaire des métabolites).</w:t>
      </w:r>
    </w:p>
    <w:p>
      <w:pPr>
        <w:pStyle w:val="ListBullet"/>
      </w:pPr>
      <w:r/>
      <w:r>
        <w:rPr>
          <w:b/>
        </w:rPr>
        <w:t>Effets Indésirables :</w:t>
      </w:r>
      <w:r>
        <w:t xml:space="preserve"> </w:t>
      </w:r>
      <w:r>
        <w:rPr>
          <w:b/>
        </w:rPr>
        <w:t>Très fréquents</w:t>
      </w:r>
      <w:r>
        <w:t xml:space="preserve"> : bouche sèche (effet atropinique anticholinergique sur les glandes salivaires). </w:t>
      </w:r>
      <w:r>
        <w:rPr>
          <w:b/>
        </w:rPr>
        <w:t>Fréquents</w:t>
      </w:r>
      <w:r>
        <w:t xml:space="preserve"> : céphalées, irritation pharyngée, toux, goût métallique, nausées. </w:t>
      </w:r>
      <w:r>
        <w:rPr>
          <w:b/>
        </w:rPr>
        <w:t>Peu fréquents</w:t>
      </w:r>
      <w:r>
        <w:t xml:space="preserve"> : palpitations, tachycardie sinusale modérée, tremblements, vertiges, vision trouble (en cas de contact oculaire accidentel), rétention urinaire (surtout chez le sujet âgé masculin avec HBP), constipation. </w:t>
      </w:r>
      <w:r>
        <w:rPr>
          <w:b/>
        </w:rPr>
        <w:t>Rares</w:t>
      </w:r>
      <w:r>
        <w:t xml:space="preserve"> : bronchospasme paradoxal (réaction d'hypersensibilité), réactions allergiques (urticaire, angio-œdème), </w:t>
      </w:r>
      <w:r>
        <w:rPr>
          <w:b/>
        </w:rPr>
        <w:t>glaucome aigu</w:t>
      </w:r>
      <w:r>
        <w:t xml:space="preserve"> (en cas de contact oculaire direct avec le masque facial ou les yeux), hypokaliémie (rare). </w:t>
      </w:r>
      <w:r>
        <w:rPr>
          <w:b/>
        </w:rPr>
        <w:t>Spécifique de la nébulisation</w:t>
      </w:r>
      <w:r>
        <w:t xml:space="preserve"> : risque de contamination oculaire par le masque facial → utiliser un masque facial bien ajusté ou un embout buccal chez l'adulte.</w:t>
      </w:r>
    </w:p>
    <w:p>
      <w:r/>
      <w:r>
        <w:rPr>
          <w:b/>
        </w:rPr>
        <w:t>Prévention et Gestion des Effets Indésirables :</w:t>
      </w:r>
      <w:r/>
    </w:p>
    <w:p>
      <w:pPr>
        <w:pStyle w:val="ListBullet"/>
      </w:pPr>
      <w:r/>
      <w:r>
        <w:rPr>
          <w:b/>
        </w:rPr>
        <w:t>Mesures Préventives :</w:t>
      </w:r>
      <w:r>
        <w:t xml:space="preserve"> Maîtrise de la technique de nébulisation (embout buccal préféré chez l'adulte ; masque facial bien ajusté chez l'enfant, en protégeant les yeux par un cache ou un linge) ; rinçage de la bouche après nébulisation ; surveillance de la diurèse chez le sujet âgé masculin avec HBP ; nébulisation en position assise (réduit le reflux et la contamination oculaire).</w:t>
      </w:r>
    </w:p>
    <w:p>
      <w:pPr>
        <w:pStyle w:val="ListBullet"/>
      </w:pPr>
      <w:r/>
      <w:r>
        <w:rPr>
          <w:b/>
        </w:rPr>
        <w:t>Conduite à Tenir :</w:t>
      </w:r>
      <w:r>
        <w:t xml:space="preserve"> En cas de </w:t>
      </w:r>
      <w:r>
        <w:rPr>
          <w:b/>
        </w:rPr>
        <w:t>bronchospasme paradoxal</w:t>
      </w:r>
      <w:r>
        <w:t xml:space="preserve"> : arrêt immédiat, bronchodilatateur d'une autre classe (SABA), avis médical ; en cas de </w:t>
      </w:r>
      <w:r>
        <w:rPr>
          <w:b/>
        </w:rPr>
        <w:t>vision trouble ou de douleur oculaire</w:t>
      </w:r>
      <w:r>
        <w:t xml:space="preserve"> pendant ou après nébulisation : consultation ophtalmologique en urgence (suspicion de glaucome aigu) ; en cas de </w:t>
      </w:r>
      <w:r>
        <w:rPr>
          <w:b/>
        </w:rPr>
        <w:t>rétention urinaire</w:t>
      </w:r>
      <w:r>
        <w:t xml:space="preserve"> (dysurie, globe vésical) : arrêt du traitement, échographie vésicale, sondage évacuateur si nécessaire, avis urologique.</w:t>
      </w:r>
    </w:p>
    <w:p>
      <w:r/>
      <w:r>
        <w:rPr>
          <w:b/>
        </w:rPr>
        <w:t>Interactions Importantes :</w:t>
      </w:r>
      <w:r/>
    </w:p>
    <w:p>
      <w:pPr>
        <w:pStyle w:val="ListBullet"/>
      </w:pPr>
      <w:r/>
      <w:r>
        <w:rPr>
          <w:b/>
        </w:rPr>
        <w:t>Ipratropium + autres anticholinergiques</w:t>
      </w:r>
      <w:r>
        <w:t xml:space="preserve"> (atropine, scopolamine, tropicamide, oxybutynine, solifénacine, toltérodine) : addition des effets atropiniques → risque de glaucome, rétention urinaire, ileus paralytique, tachycardie. Association déconseillée.</w:t>
      </w:r>
    </w:p>
    <w:p>
      <w:pPr>
        <w:pStyle w:val="ListBullet"/>
      </w:pPr>
      <w:r/>
      <w:r>
        <w:rPr>
          <w:b/>
        </w:rPr>
        <w:t>Ipratropium + β2-mimétiques</w:t>
      </w:r>
      <w:r>
        <w:t xml:space="preserve"> (salbutamol, terbutaline) : </w:t>
      </w:r>
      <w:r>
        <w:rPr>
          <w:b/>
        </w:rPr>
        <w:t>synergie bronchodilatatrice</w:t>
      </w:r>
      <w:r>
        <w:t xml:space="preserve"> démontrée (effets additifs sur des voies métaboliques complémentaires : β2 → AMPc/PKA ; M3 → baisse IP3/Ca2+). C'est la base de l'association fixe salbutamol + ipratropium (IPRALIN, voir fiche dédiée).</w:t>
      </w:r>
    </w:p>
    <w:p>
      <w:pPr>
        <w:pStyle w:val="ListBullet"/>
      </w:pPr>
      <w:r/>
      <w:r>
        <w:rPr>
          <w:b/>
        </w:rPr>
        <w:t>Ipratropium + théophylline</w:t>
      </w:r>
      <w:r>
        <w:t xml:space="preserve"> : addition des effets bronchodilatateurs, surveillance des effets indésirables digestifs et cardiaques.</w:t>
      </w:r>
    </w:p>
    <w:p>
      <w:pPr>
        <w:pStyle w:val="ListBullet"/>
      </w:pPr>
      <w:r/>
      <w:r>
        <w:rPr>
          <w:b/>
        </w:rPr>
        <w:t>Ipratropium + IMAO et antidépresseurs tricycliques</w:t>
      </w:r>
      <w:r>
        <w:t xml:space="preserve"> : risque de potentialisation des effets anticholinergiques. Précaution.</w:t>
      </w:r>
    </w:p>
    <w:p>
      <w:r/>
      <w:r>
        <w:rPr>
          <w:b/>
        </w:rPr>
        <w:t>Grossesse et Allaitement :</w:t>
      </w:r>
      <w:r/>
    </w:p>
    <w:p>
      <w:pPr>
        <w:pStyle w:val="ListBullet"/>
      </w:pPr>
      <w:r/>
      <w:r>
        <w:rPr>
          <w:b/>
        </w:rPr>
        <w:t>Grossesse :</w:t>
      </w:r>
      <w:r>
        <w:t xml:space="preserve"> L'ipratropium est </w:t>
      </w:r>
      <w:r>
        <w:rPr>
          <w:b/>
        </w:rPr>
        <w:t>compatible avec la grossesse</w:t>
      </w:r>
      <w:r>
        <w:t xml:space="preserve"> selon le CRAT. Les données animales et humaines ne montrent pas d'augmentation du risque malformatif. La faible absorption systémique (sels d'ammonium quaternaire lipophobes) limite l'exposition fœtale. Utilisable en nébulisation pour crise d'asthme sévère gravidique en association avec salbutamol nébulisé.</w:t>
      </w:r>
    </w:p>
    <w:p>
      <w:pPr>
        <w:pStyle w:val="ListBullet"/>
      </w:pPr>
      <w:r/>
      <w:r>
        <w:rPr>
          <w:b/>
        </w:rPr>
        <w:t>Allaitement :</w:t>
      </w:r>
      <w:r>
        <w:t xml:space="preserve"> L'ipratropium passe dans le lait maternel en quantité infime (faible absorption systémique). Compatible avec l'allaitement (CRAT, LactMed).</w:t>
      </w:r>
    </w:p>
    <w:p>
      <w:pPr>
        <w:pStyle w:val="ListBullet"/>
      </w:pPr>
      <w:r/>
      <w:r>
        <w:rPr>
          <w:b/>
        </w:rPr>
        <w:t>Précisions :</w:t>
      </w:r>
      <w:r>
        <w:t xml:space="preserve"> Le contrôle de l'asthme pendant la grossesse prime.</w:t>
      </w:r>
    </w:p>
    <w:p>
      <w:r/>
      <w:r>
        <w:rPr>
          <w:b/>
        </w:rPr>
        <w:t>Posologie et Mode d'administration (Standard) :</w:t>
      </w:r>
      <w:r/>
    </w:p>
    <w:p>
      <w:pPr>
        <w:pStyle w:val="ListBullet"/>
      </w:pPr>
      <w:r/>
      <w:r>
        <w:rPr>
          <w:b/>
        </w:rPr>
        <w:t>Adulte :</w:t>
      </w:r>
      <w:r/>
    </w:p>
    <w:p>
      <w:pPr>
        <w:pStyle w:val="ListBullet"/>
      </w:pPr>
      <w:r/>
      <w:r>
        <w:rPr>
          <w:b/>
        </w:rPr>
        <w:t>Solution pour nébulisation 0,5 mg/2 mL (ATROVENT ADULTE)</w:t>
      </w:r>
      <w:r>
        <w:t xml:space="preserve"> : 1 récipient unidose de 2 mL (0,5 mg) dilué dans 2-3 mL de sérum physiologique (NaCl 0,9 %), nébulisé en 5-10 minutes, à renouveler toutes les 6-8 heures. Dans la crise d'asthme sévère ou la BPCO exacerbée : 0,5 mg à renouveler toutes les 20 minutes pendant 1 heure (3 nébulisations en 1 heure), en association avec salbutamol nébulisé.</w:t>
      </w:r>
    </w:p>
    <w:p>
      <w:pPr>
        <w:pStyle w:val="ListBullet"/>
      </w:pPr>
      <w:r/>
      <w:r>
        <w:rPr>
          <w:b/>
        </w:rPr>
        <w:t>Enfant :</w:t>
      </w:r>
      <w:r/>
    </w:p>
    <w:p>
      <w:pPr>
        <w:pStyle w:val="ListBullet"/>
      </w:pPr>
      <w:r/>
      <w:r>
        <w:rPr>
          <w:b/>
        </w:rPr>
        <w:t>&lt; 12 ans (ATROVENT ENFANT 0,25 mg/2 mL)</w:t>
      </w:r>
      <w:r>
        <w:t xml:space="preserve"> : 1 récipient unidose de 2 mL (0,25 mg) dilué dans 2 mL de NaCl 0,9 %, nébulisé en 5-10 minutes, à renouveler toutes les 6-8 heures. Crise sévère : 0,25 mg à renouveler toutes les 20 minutes pendant 1 heure (3 nébulisations).</w:t>
      </w:r>
    </w:p>
    <w:p>
      <w:pPr>
        <w:pStyle w:val="ListBullet"/>
      </w:pPr>
      <w:r/>
      <w:r>
        <w:rPr>
          <w:b/>
        </w:rPr>
        <w:t>&lt; 6 ans</w:t>
      </w:r>
      <w:r>
        <w:t xml:space="preserve"> : 0,125-0,25 mg par nébulisation (1/2 à 1 récipient unidose enfant).</w:t>
      </w:r>
    </w:p>
    <w:p>
      <w:pPr>
        <w:pStyle w:val="ListBullet"/>
      </w:pPr>
      <w:r/>
      <w:r>
        <w:rPr>
          <w:b/>
        </w:rPr>
        <w:t>Durée :</w:t>
      </w:r>
      <w:r>
        <w:t xml:space="preserve"> Dans la crise aiguë : traitement ponctuel, jusqu'à 3 nébulisations en 1 heure, puis surveillance hospitalière. Dans la BPCO stable : nébulisations à domicile toutes les 6-8 heures selon les symptômes.</w:t>
      </w:r>
    </w:p>
    <w:p>
      <w:pPr>
        <w:pStyle w:val="ListBullet"/>
      </w:pPr>
      <w:r/>
      <w:r>
        <w:rPr>
          <w:b/>
        </w:rPr>
        <w:t>Moment de la prise :</w:t>
      </w:r>
      <w:r>
        <w:t xml:space="preserve"> À la demande ou selon les symptômes. En BPCO stable : nébulisations régulières toutes les 6-8 heures.</w:t>
      </w:r>
    </w:p>
    <w:p>
      <w:r/>
      <w:r>
        <w:rPr>
          <w:b/>
        </w:rPr>
        <w:t>Arbitrage et Bénéfices des Formes Galéniques :</w:t>
      </w:r>
      <w:r/>
    </w:p>
    <w:p>
      <w:r>
        <w:t xml:space="preserve">La </w:t>
      </w:r>
      <w:r>
        <w:rPr>
          <w:b/>
        </w:rPr>
        <w:t>solution pour nébulisation</w:t>
      </w:r>
      <w:r>
        <w:t xml:space="preserve"> est la </w:t>
      </w:r>
      <w:r>
        <w:rPr>
          <w:b/>
        </w:rPr>
        <w:t>seule forme disponible en Algérie</w:t>
      </w:r>
      <w:r>
        <w:t>, sous deux dosages (enfant 0,25 mg/2 mL, adulte 0,5 mg/2 mL). Cette forme offre l'avantage d'une administration possible chez le nourrisson, le sujet âgé incapable d'utiliser un MDI, et dans la crise sévère (nébulisation continue en réanimation). La nébulisation nécessite un compresseur d'air ou d'oxygène (6-8 L/min), un masque facial pour l'enfant et un embout buccal pour l'adulte. Le débit d'oxygène ne doit pas dépasser 6 L/min chez le patient BPCO retenteur en CO2 (risque d'hypocapnie et d'alcalose respiratoire). La forme MDI 20 µg/dose (Atrovent® MDI), retirée du marché algérien, offrait une alternative portable pour le traitement de fond de la BPCO — les patients doivent actuellement être orientés vers le tiotropium (LAMA, voir fiche dédiée) ou l'association fixe salbutamol + ipratropium nébulisée (IPRALIN BIOPHARM en poudre sèche, voir fiche dédiée).</w:t>
      </w:r>
    </w:p>
    <w:p>
      <w:r/>
      <w:r>
        <w:rPr>
          <w:b/>
        </w:rPr>
        <w:t>Instructions et Conseils au Patient :</w:t>
      </w:r>
      <w:r/>
    </w:p>
    <w:p>
      <w:pPr>
        <w:pStyle w:val="ListBullet"/>
      </w:pPr>
      <w:r/>
      <w:r>
        <w:rPr>
          <w:b/>
        </w:rPr>
        <w:t>Communication au comptoir :</w:t>
      </w:r>
      <w:r>
        <w:t xml:space="preserve"> « Ce médicament est à </w:t>
      </w:r>
      <w:r>
        <w:rPr>
          <w:b/>
        </w:rPr>
        <w:t>nébuliser</w:t>
      </w:r>
      <w:r>
        <w:t xml:space="preserve"> (respirer à travers un masque ou un embout buccal relié à un compresseur d'air). Diluez le contenu d'un récipient unidose dans 2 à 3 mL de sérum physiologique, puis nébulisez en 5 à 10 minutes, en position assise. </w:t>
      </w:r>
      <w:r>
        <w:rPr>
          <w:b/>
        </w:rPr>
        <w:t>Protégez vos yeux</w:t>
      </w:r>
      <w:r>
        <w:t xml:space="preserve"> si vous utilisez un masque facial (un linge propre posé sur les yeux suffit). Après la nébulisation, </w:t>
      </w:r>
      <w:r>
        <w:rPr>
          <w:b/>
        </w:rPr>
        <w:t>rincez-vous la bouche</w:t>
      </w:r>
      <w:r>
        <w:t xml:space="preserve"> avec de l'eau. Si vous êtes un homme âgé et que vous avez des difficultés à uriner, prévenez votre médecin. Ce médicament est </w:t>
      </w:r>
      <w:r>
        <w:rPr>
          <w:b/>
        </w:rPr>
        <w:t>souvent utilisé en association avec le salbutamol nébulisé</w:t>
      </w:r>
      <w:r>
        <w:t xml:space="preserve"> — ne les mélangez pas sans avis médical, ils se nébulisent séparément ou dans la même nébulisation selon les cas. »</w:t>
      </w:r>
    </w:p>
    <w:p>
      <w:pPr>
        <w:pStyle w:val="ListBullet"/>
      </w:pPr>
      <w:r/>
      <w:r>
        <w:rPr>
          <w:b/>
        </w:rPr>
        <w:t>Mode d'utilisation pratique :</w:t>
      </w:r>
      <w:r>
        <w:t xml:space="preserve"> Ouvrir le récipient unidose en tournant le haut ; verser le contenu dans le réservoir du nébuliseur ; ajouter 2-3 mL de NaCl 0,9 % si nécessaire ; positionner le masque facial (enfant) ou l'embout buccal (adulte) ; démarrer le compresseur ; respirer calmement et profondément pendant 5-10 minutes jusqu'à nébulisation complète ; rincer la bouche et le visage après ; nettoyer le nébuliseur après chaque usage (à l'eau chaude savonneuse, rincer, sécher).</w:t>
      </w:r>
    </w:p>
    <w:p>
      <w:r/>
      <w:r>
        <w:rPr>
          <w:b/>
        </w:rPr>
        <w:t>Notes, Règles d'Or &amp; Pièges au Comptoir :</w:t>
      </w:r>
      <w:r/>
    </w:p>
    <w:p>
      <w:pPr>
        <w:pStyle w:val="ListBullet"/>
      </w:pPr>
      <w:r/>
      <w:r>
        <w:rPr>
          <w:b/>
        </w:rPr>
        <w:t>Piège classique :</w:t>
      </w:r>
      <w:r>
        <w:t xml:space="preserve"> L'ipratropium en nébulisation peut provoquer un </w:t>
      </w:r>
      <w:r>
        <w:rPr>
          <w:b/>
        </w:rPr>
        <w:t>glaucome aigu</w:t>
      </w:r>
      <w:r>
        <w:t xml:space="preserve"> en cas de contact oculaire direct (le brouillard traverse les canalicules lacrymaux et atteint la chambre antérieure). Toujours protéger les yeux du patient (surtout l'enfant) par un cache ou un linge, et privilégier l'embout buccal chez l'adulte coopérant.</w:t>
      </w:r>
    </w:p>
    <w:p>
      <w:pPr>
        <w:pStyle w:val="ListBullet"/>
      </w:pPr>
      <w:r/>
      <w:r>
        <w:rPr>
          <w:b/>
        </w:rPr>
        <w:t>Règle de prise :</w:t>
      </w:r>
      <w:r>
        <w:t xml:space="preserve"> À la demande ou selon les symptômes. Crise sévère : 3 nébulisations en 1 heure (toutes les 20 min). BPCO stable : toutes les 6-8 heures.</w:t>
      </w:r>
    </w:p>
    <w:p>
      <w:pPr>
        <w:pStyle w:val="ListBullet"/>
      </w:pPr>
      <w:r/>
      <w:r>
        <w:rPr>
          <w:b/>
        </w:rPr>
        <w:t>Préparation et Conservation :</w:t>
      </w:r>
      <w:r>
        <w:t xml:space="preserve"> Récipients unidoses : conservation à &lt; 25 °C, à l'abri de la lumière. Après ouverture d'un récipient unidose, utilisation immédiate (ne pas conserver une entamée).</w:t>
      </w:r>
    </w:p>
    <w:p>
      <w:pPr>
        <w:pStyle w:val="ListBullet"/>
      </w:pPr>
      <w:r/>
      <w:r>
        <w:rPr>
          <w:b/>
        </w:rPr>
        <w:t>Piège du surdosage / Substitution :</w:t>
      </w:r>
      <w:r>
        <w:t xml:space="preserve"> L'ipratropium ne doit pas être substitué par le tiotropium (LAMA) sans avis médical (durée d'action différente, schéma posologique différent). L'ipratropium ne doit pas être mélangé en solution avec d'autres médicaments sans avis médical (incompatibilités physico-chimiques possibles, notamment avec certains antibioïtiques nébulisés). Le bromure d'ipratropium peut précipiter en solution alcaline.</w:t>
      </w:r>
    </w:p>
    <w:p>
      <w:pPr>
        <w:pStyle w:val="Heading2"/>
      </w:pPr>
      <w:r>
        <w:t>7. Introduction à la sous-classe des Anticholinergiques à longue durée d'action (LAMA)</w:t>
      </w:r>
    </w:p>
    <w:p>
      <w:r>
        <w:t xml:space="preserve">Les </w:t>
      </w:r>
      <w:r>
        <w:rPr>
          <w:b/>
        </w:rPr>
        <w:t>anticholinergiques à longue durée d'action (LAMA — Long-Acting Muscarinic Antagonists)</w:t>
      </w:r>
      <w:r>
        <w:t xml:space="preserve"> ont été développés à partir des années 2000 pour combler la lacune majeure des SAMA : leur durée d'action courte (4-6 heures) imposant 4 à 6 nébulisations ou inhalations par jour, avec une observance médiocre et un contrôle nocturne insuffisant. Le </w:t>
      </w:r>
      <w:r>
        <w:rPr>
          <w:b/>
        </w:rPr>
        <w:t>tiotropium</w:t>
      </w:r>
      <w:r>
        <w:t xml:space="preserve"> (Spiriva®, Boehringer Ingelheim, 2002) est le chef de file historique, suivi par l'</w:t>
      </w:r>
      <w:r>
        <w:rPr>
          <w:b/>
        </w:rPr>
        <w:t>umeclidinium</w:t>
      </w:r>
      <w:r>
        <w:t>, l'</w:t>
      </w:r>
      <w:r>
        <w:rPr>
          <w:b/>
        </w:rPr>
        <w:t>aclidinium</w:t>
      </w:r>
      <w:r>
        <w:t xml:space="preserve"> et le </w:t>
      </w:r>
      <w:r>
        <w:rPr>
          <w:b/>
        </w:rPr>
        <w:t>glycopyrronium</w:t>
      </w:r>
      <w:r>
        <w:t xml:space="preserve">. En Algérie, seul le </w:t>
      </w:r>
      <w:r>
        <w:rPr>
          <w:b/>
        </w:rPr>
        <w:t>tiotropium</w:t>
      </w:r>
      <w:r>
        <w:t xml:space="preserve"> est disponible en monothérol (4 spécialités génériques actives), l'umeclidinium n'étant commercialisé qu'au sein de l'association fixe umeclidinium/vilantérol (Anoro Ellipta®, voir fiche dédiée).</w:t>
      </w:r>
    </w:p>
    <w:p>
      <w:r/>
      <w:r>
        <w:rPr>
          <w:b/>
        </w:rPr>
        <w:t>Cible pharmacologique.</w:t>
      </w:r>
      <w:r>
        <w:t xml:space="preserve"> Comme les SAMA, les LAMA ciblent les </w:t>
      </w:r>
      <w:r>
        <w:rPr>
          <w:b/>
        </w:rPr>
        <w:t>récepteurs muscariniques M3</w:t>
      </w:r>
      <w:r>
        <w:t xml:space="preserve"> du muscle lisse bronchique. Ils se distinguent des SAMA par leur </w:t>
      </w:r>
      <w:r>
        <w:rPr>
          <w:b/>
        </w:rPr>
        <w:t>affinité élevée</w:t>
      </w:r>
      <w:r>
        <w:t xml:space="preserve"> pour M3 (et M1) et leur </w:t>
      </w:r>
      <w:r>
        <w:rPr>
          <w:b/>
        </w:rPr>
        <w:t>dissociation lente</w:t>
      </w:r>
      <w:r>
        <w:t xml:space="preserve"> du récepteur M3 (demi-vie de dissociation de 27 heures pour le tiotropium vs 0,3 heure pour l'ipratropium), qui explique la </w:t>
      </w:r>
      <w:r>
        <w:rPr>
          <w:b/>
        </w:rPr>
        <w:t>durée d'action prolongée (24 heures)</w:t>
      </w:r>
      <w:r>
        <w:t xml:space="preserve">. De plus, le tiotropium a une </w:t>
      </w:r>
      <w:r>
        <w:rPr>
          <w:b/>
        </w:rPr>
        <w:t>plus grande sélectivité M3/M2</w:t>
      </w:r>
      <w:r>
        <w:t xml:space="preserve"> que l'ipratropium (qui bloque M2 de manière équivalente), ce qui préserve l'autorécepteur présynaptique inhibiteur et améliore l'efficacité bronchodilatatrice.</w:t>
      </w:r>
    </w:p>
    <w:p>
      <w:r/>
      <w:r>
        <w:rPr>
          <w:b/>
        </w:rPr>
        <w:t>Mécanisme moléculaire.</w:t>
      </w:r>
      <w:r>
        <w:t xml:space="preserve"> Identique à celui des SAMA : antagonisme compétitif des récepteurs muscariniques M3 → inhibition de la voie Gq/PLC/IP3/Ca2+/calmoduline/MLCK → relaxation du muscle lisse bronchique. La spécificité des LAMA réside dans leur </w:t>
      </w:r>
      <w:r>
        <w:rPr>
          <w:b/>
        </w:rPr>
        <w:t>cinétique de dissociation lente</w:t>
      </w:r>
      <w:r>
        <w:t xml:space="preserve"> : la molécule reste liée au récepteur M3 pendant plusieurs heures, maintenant un blocage efficace malgré une seule administration par jour.</w:t>
      </w:r>
    </w:p>
    <w:p>
      <w:r/>
      <w:r>
        <w:rPr>
          <w:b/>
        </w:rPr>
        <w:t>Pharmacocinétique.</w:t>
      </w:r>
      <w:r>
        <w:t xml:space="preserve"> Les LAMA sont des sels d'ammonium quaternaire lipophobes, </w:t>
      </w:r>
      <w:r>
        <w:rPr>
          <w:b/>
        </w:rPr>
        <w:t>pauvrement absorbés par les muqueuses</w:t>
      </w:r>
      <w:r>
        <w:t xml:space="preserve"> (biodisponibilité systémique &lt; 5 %), ce qui limite les effets atropiniques systémiques. La métabolisation hépatique est variable (CYP2D6 et CYP3A4 pour le tiotropium, mais faible — 25 % de la dose ; 70 % éliminé inchangé dans les urines). La longue durée d'action (24 h) permet une </w:t>
      </w:r>
      <w:r>
        <w:rPr>
          <w:b/>
        </w:rPr>
        <w:t>prise unique quotidienne</w:t>
      </w:r>
      <w:r>
        <w:t>, améliorant considérablement l'observance par rapport aux SAMA (4-6 prises/jour) et aux LABA (2 prises/jour).</w:t>
      </w:r>
    </w:p>
    <w:p>
      <w:r/>
      <w:r>
        <w:rPr>
          <w:b/>
        </w:rPr>
        <w:t>Positionnement thérapeutique (GOLD 2024).</w:t>
      </w:r>
      <w:r>
        <w:t xml:space="preserve"> Les LAMA jouent un </w:t>
      </w:r>
      <w:r>
        <w:rPr>
          <w:b/>
        </w:rPr>
        <w:t>rôle central</w:t>
      </w:r>
      <w:r>
        <w:t xml:space="preserve"> dans la BPCO, où ils sont devenus le </w:t>
      </w:r>
      <w:r>
        <w:rPr>
          <w:b/>
        </w:rPr>
        <w:t>bronchodilatateur de fond de première intention</w:t>
      </w:r>
      <w:r>
        <w:t xml:space="preserve"> (pistes B et D du GOLD 2024). Le tiotropium a démontré une réduction des exacerbations et une amélioration de la qualité de vie supérieures aux SABA et aux LABA dans la BPCO (étude UPLIFT, Tashkin 2008). Dans l'asthme, le tiotropium a une place plus limitée : il est indiqué en </w:t>
      </w:r>
      <w:r>
        <w:rPr>
          <w:b/>
        </w:rPr>
        <w:t>add-on</w:t>
      </w:r>
      <w:r>
        <w:t xml:space="preserve"> chez l'asthmatique non contrôlé sous CSI + LABA (GINA piste 5), mais ne remplace pas le LABA.</w:t>
      </w:r>
    </w:p>
    <w:p>
      <w:r/>
      <w:r>
        <w:rPr>
          <w:b/>
        </w:rPr>
        <w:t>Cadre réglementaire algérien.</w:t>
      </w:r>
      <w:r>
        <w:t xml:space="preserve"> Le tiotropium est classé en </w:t>
      </w:r>
      <w:r>
        <w:rPr>
          <w:b/>
        </w:rPr>
        <w:t>Liste I</w:t>
      </w:r>
      <w:r>
        <w:t xml:space="preserve"> (substances vénéneuses, prescription médicale obligatoire). Il est disponible sous 4 spécialités génériques actives (SPIRIVA princeps Boehringer, RESPYVA, TIOTUM, TROPIRUS) en poudre pour inhalation 18 µg en gélules avec inhalateur dédié (HandiHaler® pour le princeps, Respihaler® pour les génériques).</w:t>
      </w:r>
    </w:p>
    <w:p>
      <w:pPr>
        <w:pStyle w:val="Heading2"/>
      </w:pPr>
      <w:r>
        <w:t>8. Fiche DCI — Anticholinergiques à longue durée d'action (LAMA)</w:t>
      </w:r>
    </w:p>
    <w:p>
      <w:pPr>
        <w:pStyle w:val="Heading3"/>
      </w:pPr>
      <w:r>
        <w:t>6. DCI : Tiotropium (Seule)</w:t>
      </w:r>
    </w:p>
    <w:p>
      <w:r/>
      <w:r>
        <w:rPr>
          <w:b/>
        </w:rPr>
        <w:t>Liste des Catégories :</w:t>
      </w:r>
      <w:r>
        <w:t xml:space="preserve"> Anticholinergique à longue durée d'action (LAMA) ; Bronchodilatateur parasympatholytique de fond ; Traitement de fond de la BPCO (première intention) ; Add-on dans l'asthme sévère (GINA piste 5) ; Liste I (toutes formes et dosages) ; Prescription médicale obligatoire.</w:t>
      </w:r>
    </w:p>
    <w:p>
      <w:r>
        <w:t xml:space="preserve">Le tiotropium est le chef de file des LAMA et le bronchodilatateur de fond de référence dans la BPCO. Son onset est de </w:t>
      </w:r>
      <w:r>
        <w:rPr>
          <w:b/>
        </w:rPr>
        <w:t>30 minutes</w:t>
      </w:r>
      <w:r>
        <w:t xml:space="preserve"> par voie inhalée, la bronchodilatation maximale est atteinte en 2-3 heures et la durée d'action est de </w:t>
      </w:r>
      <w:r>
        <w:rPr>
          <w:b/>
        </w:rPr>
        <w:t>24 heures</w:t>
      </w:r>
      <w:r>
        <w:t xml:space="preserve"> (prise unique quotidienne). Cette caractéristique exceptionnelle s'explique par sa </w:t>
      </w:r>
      <w:r>
        <w:rPr>
          <w:b/>
        </w:rPr>
        <w:t>cinétique de dissociation lente</w:t>
      </w:r>
      <w:r>
        <w:t xml:space="preserve"> du récepteur M3 (demi-vie de dissociation de 27 heures vs 0,3 heure pour l'ipratropium) et sa </w:t>
      </w:r>
      <w:r>
        <w:rPr>
          <w:b/>
        </w:rPr>
        <w:t>sélectivité M3/M2 élevée</w:t>
      </w:r>
      <w:r>
        <w:t xml:space="preserve"> (rapport M3/M2 = 5,5 vs 1,5 pour l'ipratropium). En Algérie, le tiotropium est disponible en poudre sèche 18 µg en gélules avec inhalateur dédié (4 spécialités génériques actives).</w:t>
      </w:r>
    </w:p>
    <w:p>
      <w:r/>
      <w:r>
        <w:rPr>
          <w:b/>
        </w:rPr>
        <w:t>Médicaments disponibles en Algérie (Marques, Laboratoires, Formes et Dosages) :</w:t>
      </w:r>
      <w:r/>
    </w:p>
    <w:p>
      <w:r/>
      <w:r>
        <w:rPr>
          <w:i/>
        </w:rPr>
        <w:t>Spécialités actives :</w:t>
      </w:r>
      <w:r/>
    </w:p>
    <w:p>
      <w:pPr>
        <w:pStyle w:val="ListBullet"/>
      </w:pPr>
      <w:r/>
      <w:r>
        <w:rPr>
          <w:b/>
        </w:rPr>
        <w:t>SPIRIVA</w:t>
      </w:r>
      <w:r>
        <w:t xml:space="preserve"> (BOEHRINGER INGELHEIM INTERNATIONAL GMBH) — Poudre pour inhalation en gélule 18 µg/22,5 µg — Boîte de 30 + inhalateur HandiHaler — Statut : Actif (spécialité princeps)</w:t>
      </w:r>
    </w:p>
    <w:p>
      <w:pPr>
        <w:pStyle w:val="ListBullet"/>
      </w:pPr>
      <w:r/>
      <w:r>
        <w:rPr>
          <w:b/>
        </w:rPr>
        <w:t>RESPYVA</w:t>
      </w:r>
      <w:r>
        <w:t xml:space="preserve"> (INPHA-MEDIS) — Poudre pour inhalation en gélule 18 µg/22,5 µg — Boîte de 30 + inhalateur — Statut : Actif</w:t>
      </w:r>
    </w:p>
    <w:p>
      <w:pPr>
        <w:pStyle w:val="ListBullet"/>
      </w:pPr>
      <w:r/>
      <w:r>
        <w:rPr>
          <w:b/>
        </w:rPr>
        <w:t>TIOTUM</w:t>
      </w:r>
      <w:r>
        <w:t xml:space="preserve"> (BIOLOGIE ET VITAMINE D'ALGERIE — BIOVITAL) — Poudre pour inhalation en gélule 18 µg/22,5 µg — Boîte de 30 + inhalateur — Statut : Actif</w:t>
      </w:r>
    </w:p>
    <w:p>
      <w:pPr>
        <w:pStyle w:val="ListBullet"/>
      </w:pPr>
      <w:r/>
      <w:r>
        <w:rPr>
          <w:b/>
        </w:rPr>
        <w:t>TROPIRUS</w:t>
      </w:r>
      <w:r>
        <w:t xml:space="preserve"> (SPA/BIOGENAL PHARMA) — Poudre pour inhalation en gélule 18 µg/22,5 µg — Boîte de 30 + flacon avec dispositif d'inhalation Respihaler — Statut : Actif</w:t>
      </w:r>
    </w:p>
    <w:p>
      <w:r/>
      <w:r>
        <w:rPr>
          <w:b/>
        </w:rPr>
        <w:t>Note</w:t>
      </w:r>
      <w:r>
        <w:t xml:space="preserve"> : Le dosage "18 µg/22,5 µg" correspond à la dose délivrée (18 µg de tiotropium bromure monohydraté) vs la dose formulée (22,5 µg de tiotropium bromure anhydre) — il s'agit de la même dose clinique de 18 µg.</w:t>
      </w:r>
    </w:p>
    <w:p>
      <w:r/>
      <w:r>
        <w:rPr>
          <w:b/>
        </w:rPr>
        <w:t>Sous-classe et Mécanisme d'action :</w:t>
      </w:r>
      <w:r/>
    </w:p>
    <w:p>
      <w:pPr>
        <w:pStyle w:val="ListBullet"/>
      </w:pPr>
      <w:r/>
      <w:r>
        <w:rPr>
          <w:b/>
        </w:rPr>
        <w:t>Sous-classe :</w:t>
      </w:r>
      <w:r>
        <w:t xml:space="preserve"> Chef de file des LAMA, classé R03BB03 dans la classification ATC. Anticholinergique d'action topique, dérivé d'ammonium quaternaire lipophobe, antagoniste compétitif des récepteurs muscariniques M1, M2 et M3, à longue durée d'action (24 h) et à sélectivité M3/M2 élevée.</w:t>
      </w:r>
    </w:p>
    <w:p>
      <w:pPr>
        <w:pStyle w:val="ListBullet"/>
      </w:pPr>
      <w:r/>
      <w:r>
        <w:rPr>
          <w:b/>
        </w:rPr>
        <w:t>Mécanisme d'action :</w:t>
      </w:r>
      <w:r>
        <w:t xml:space="preserve"> Le tiotropium est un </w:t>
      </w:r>
      <w:r>
        <w:rPr>
          <w:b/>
        </w:rPr>
        <w:t>antagoniste compétitif</w:t>
      </w:r>
      <w:r>
        <w:t xml:space="preserve"> des récepteurs muscariniques M1, M2 et M3 des voies respiratoires. Comme l'ipratropium, il bloque l'activation par l'ACh de la </w:t>
      </w:r>
      <w:r>
        <w:rPr>
          <w:b/>
        </w:rPr>
        <w:t>sous-unité αq de la protéine Gq</w:t>
      </w:r>
      <w:r>
        <w:t xml:space="preserve"> → inhibition de la </w:t>
      </w:r>
      <w:r>
        <w:rPr>
          <w:b/>
        </w:rPr>
        <w:t>phospholipase C (PLC)</w:t>
      </w:r>
      <w:r>
        <w:t xml:space="preserve"> → baisse de l'</w:t>
      </w:r>
      <w:r>
        <w:rPr>
          <w:b/>
        </w:rPr>
        <w:t>IP3</w:t>
      </w:r>
      <w:r>
        <w:t xml:space="preserve"> et du </w:t>
      </w:r>
      <w:r>
        <w:rPr>
          <w:b/>
        </w:rPr>
        <w:t>DAG</w:t>
      </w:r>
      <w:r>
        <w:t xml:space="preserve"> → réduction de la libération de </w:t>
      </w:r>
      <w:r>
        <w:rPr>
          <w:b/>
        </w:rPr>
        <w:t>Ca2+ libre cytosolique</w:t>
      </w:r>
      <w:r>
        <w:t xml:space="preserve"> → inactivation de la </w:t>
      </w:r>
      <w:r>
        <w:rPr>
          <w:b/>
        </w:rPr>
        <w:t>MLCK</w:t>
      </w:r>
      <w:r>
        <w:t xml:space="preserve"> → déphosphorylation de la myosine → relaxation du muscle lisse bronchique. Le résultat est une </w:t>
      </w:r>
      <w:r>
        <w:rPr>
          <w:b/>
        </w:rPr>
        <w:t>bronchodilatation</w:t>
      </w:r>
      <w:r>
        <w:t xml:space="preserve"> lente (onset 30 min, max 2-3 h) mais </w:t>
      </w:r>
      <w:r>
        <w:rPr>
          <w:b/>
        </w:rPr>
        <w:t>prolongée (24 h)</w:t>
      </w:r>
      <w:r>
        <w:t xml:space="preserve">. La spécificité du tiotropium réside dans sa </w:t>
      </w:r>
      <w:r>
        <w:rPr>
          <w:b/>
        </w:rPr>
        <w:t>cinétique de dissociation lente</w:t>
      </w:r>
      <w:r>
        <w:t xml:space="preserve"> du récepteur M3 (demi-vie de dissociation de 27 heures vs 0,3 heure pour l'ipratropium), qui explique la durée d'action de 24 heures et permet une </w:t>
      </w:r>
      <w:r>
        <w:rPr>
          <w:b/>
        </w:rPr>
        <w:t>prise unique quotidienne</w:t>
      </w:r>
      <w:r>
        <w:t xml:space="preserve">. Le tiotropium présente également une </w:t>
      </w:r>
      <w:r>
        <w:rPr>
          <w:b/>
        </w:rPr>
        <w:t>sélectivité M3/M2 élevée</w:t>
      </w:r>
      <w:r>
        <w:t xml:space="preserve"> (rapport 5,5 vs 1,5 pour l'ipratropium) — il bloque préférentiellement M3 (bronchoconstriction) et M1 (ganglions parasympathiques), tout en préservant l'autorécepteur présynaptique M2 (qui inhibe normalement la libération d'ACh). Cette épargne M2 est cruciale : un blocage M2 (comme avec l'ipratropium) lève le frein présynaptique et </w:t>
      </w:r>
      <w:r>
        <w:rPr>
          <w:b/>
        </w:rPr>
        <w:t>potentialise la libération d'ACh</w:t>
      </w:r>
      <w:r>
        <w:t>, ce qui limite l'efficacité bronchodilatatrice. Le tiotropium, en épargnant M2, optimise l'efficacité bronchodilatatrice.</w:t>
      </w:r>
    </w:p>
    <w:p>
      <w:r/>
      <w:r>
        <w:rPr>
          <w:b/>
        </w:rPr>
        <w:t>Profil Pharmacologique :</w:t>
      </w:r>
      <w:r/>
    </w:p>
    <w:p>
      <w:pPr>
        <w:pStyle w:val="ListBullet"/>
      </w:pPr>
      <w:r/>
      <w:r>
        <w:rPr>
          <w:b/>
        </w:rPr>
        <w:t>Indications :</w:t>
      </w:r>
      <w:r>
        <w:t xml:space="preserve"> </w:t>
      </w:r>
      <w:r>
        <w:rPr>
          <w:b/>
        </w:rPr>
        <w:t>BPCO</w:t>
      </w:r>
      <w:r>
        <w:t xml:space="preserve"> : traitement de fond de fond de la BPCO symptomatique (première intention, GOLD 2024 pistes B et D) — réduction des exacerbations, amélioration de la qualité de vie et du VEMS (étude UPLIFT, Tashkin 2008) ; </w:t>
      </w:r>
      <w:r>
        <w:rPr>
          <w:b/>
        </w:rPr>
        <w:t>Asthme sévère non contrôlé</w:t>
      </w:r>
      <w:r>
        <w:t xml:space="preserve"> : traitement add-on chez l'asthmatique non contrôlé sous CSI + LABA (GINA piste 5, à partir de 6 ans) ; </w:t>
      </w:r>
      <w:r>
        <w:rPr>
          <w:b/>
        </w:rPr>
        <w:t>Bronchospasme induit par l'exercice</w:t>
      </w:r>
      <w:r>
        <w:t xml:space="preserve"> : prévention prolongée (24 h).</w:t>
      </w:r>
    </w:p>
    <w:p>
      <w:pPr>
        <w:pStyle w:val="ListBullet"/>
      </w:pPr>
      <w:r/>
      <w:r>
        <w:rPr>
          <w:b/>
        </w:rPr>
        <w:t>Contre-indications :</w:t>
      </w:r>
      <w:r>
        <w:t xml:space="preserve"> Hypersensibilité au tiotropium, à l'atropine ou à leurs dérivés ; </w:t>
      </w:r>
      <w:r>
        <w:rPr>
          <w:b/>
        </w:rPr>
        <w:t>glaucome à angle fermé</w:t>
      </w:r>
      <w:r>
        <w:t xml:space="preserve"> (en nébulisation, le passage dans l'œil par le masque facial peut déclencher une crise — rare en poudre sèche DPI) ; </w:t>
      </w:r>
      <w:r>
        <w:rPr>
          <w:b/>
        </w:rPr>
        <w:t>hypertrophie bénigne de la prostate (HBP) sévère</w:t>
      </w:r>
      <w:r>
        <w:t xml:space="preserve"> avec rétention urinaire ; obstacle sous-vésical. Précautions : mucoviscidose, insuffisance rénale sévère (clairance &lt; 30 mL/min — demie-vie augmentée, surveillance), troubles du rythme cardiaque.</w:t>
      </w:r>
    </w:p>
    <w:p>
      <w:pPr>
        <w:pStyle w:val="ListBullet"/>
      </w:pPr>
      <w:r/>
      <w:r>
        <w:rPr>
          <w:b/>
        </w:rPr>
        <w:t>Effets Indésirables :</w:t>
      </w:r>
      <w:r>
        <w:t xml:space="preserve"> </w:t>
      </w:r>
      <w:r>
        <w:rPr>
          <w:b/>
        </w:rPr>
        <w:t>Très fréquents</w:t>
      </w:r>
      <w:r>
        <w:t xml:space="preserve"> : bouche sèche (effet atropinique, le plus caractéristique — dose-dépendant, survient chez 10-15 % des patients). </w:t>
      </w:r>
      <w:r>
        <w:rPr>
          <w:b/>
        </w:rPr>
        <w:t>Fréquents</w:t>
      </w:r>
      <w:r>
        <w:t xml:space="preserve"> : céphalées, irritation pharyngée, toux, constipation, dysgueusie (goût métallique). </w:t>
      </w:r>
      <w:r>
        <w:rPr>
          <w:b/>
        </w:rPr>
        <w:t>Peu fréquents</w:t>
      </w:r>
      <w:r>
        <w:t xml:space="preserve"> : palpitations, tachycardie sinusale modérée, vertiges, insomnie, vision trouble, dysurie, rétention urinaire (surtout chez le sujet âgé masculin avec HBP), candidose oropharyngée (rare, plus fréquente avec les CSI). </w:t>
      </w:r>
      <w:r>
        <w:rPr>
          <w:b/>
        </w:rPr>
        <w:t>Rares</w:t>
      </w:r>
      <w:r>
        <w:t xml:space="preserve"> : bronchospasme paradoxal, réactions allergiques (urticaire, angio-œdème), </w:t>
      </w:r>
      <w:r>
        <w:rPr>
          <w:b/>
        </w:rPr>
        <w:t>glaucome aigu</w:t>
      </w:r>
      <w:r>
        <w:t xml:space="preserve"> (en cas de contact oculaire direct avec la poudre), hypokaliémie, ileus paralytique. </w:t>
      </w:r>
      <w:r>
        <w:rPr>
          <w:b/>
        </w:rPr>
        <w:t>Au long cours</w:t>
      </w:r>
      <w:r>
        <w:t xml:space="preserve"> : aucun signal d'augmentation du risque cardiovasculaire (étude UPLIFT, Tashkin 2008 — soulagement après les signaux initiaux de l'étude IPAAC).</w:t>
      </w:r>
    </w:p>
    <w:p>
      <w:r/>
      <w:r>
        <w:rPr>
          <w:b/>
        </w:rPr>
        <w:t>Prévention et Gestion des Effets Indésirables :</w:t>
      </w:r>
      <w:r/>
    </w:p>
    <w:p>
      <w:pPr>
        <w:pStyle w:val="ListBullet"/>
      </w:pPr>
      <w:r/>
      <w:r>
        <w:rPr>
          <w:b/>
        </w:rPr>
        <w:t>Mesures Préventives :</w:t>
      </w:r>
      <w:r>
        <w:t xml:space="preserve"> Maîtrise de la technique d'inhalation du DPI HandiHaler ou Respihaler (gélule à percer) ; rinçage de la bouche après inhalation (réduit la bouche sèche et la candidose) ; surveillance de la diurèse chez le sujet âgé masculin avec HBP (arrêt si dysurie) ; surveillance de la fonction rénale chez le patient IRC (clairance &lt; 30 mL/min) ; chez le patient glaucomateux à angle fermé, contre-indication absolue si nébulisation (mais la poudre sèche DPI est autorisée avec précaution).</w:t>
      </w:r>
    </w:p>
    <w:p>
      <w:pPr>
        <w:pStyle w:val="ListBullet"/>
      </w:pPr>
      <w:r/>
      <w:r>
        <w:rPr>
          <w:b/>
        </w:rPr>
        <w:t>Conduite à Tenir :</w:t>
      </w:r>
      <w:r>
        <w:t xml:space="preserve"> En cas de </w:t>
      </w:r>
      <w:r>
        <w:rPr>
          <w:b/>
        </w:rPr>
        <w:t>vision trouble ou de douleur oculaire</w:t>
      </w:r>
      <w:r>
        <w:t xml:space="preserve"> pendant ou après inhalation : consultation ophtalmologique en urgence (suspicion de glaucome aigu) ; en cas de </w:t>
      </w:r>
      <w:r>
        <w:rPr>
          <w:b/>
        </w:rPr>
        <w:t>rétention urinaire</w:t>
      </w:r>
      <w:r>
        <w:t xml:space="preserve"> (dysurie, globe vésical) : arrêt du traitement, échographie vésicale, sondage évacuateur si nécessaire ; en cas de </w:t>
      </w:r>
      <w:r>
        <w:rPr>
          <w:b/>
        </w:rPr>
        <w:t>bouche sèche marquée</w:t>
      </w:r>
      <w:r>
        <w:t xml:space="preserve"> : rinçages bouche fréquents, hydratation, substitution par un autre LAMA (aclidinium) discutée avec le médecin.</w:t>
      </w:r>
    </w:p>
    <w:p>
      <w:r/>
      <w:r>
        <w:rPr>
          <w:b/>
        </w:rPr>
        <w:t>Interactions Importantes :</w:t>
      </w:r>
      <w:r/>
    </w:p>
    <w:p>
      <w:pPr>
        <w:pStyle w:val="ListBullet"/>
      </w:pPr>
      <w:r/>
      <w:r>
        <w:rPr>
          <w:b/>
        </w:rPr>
        <w:t>Tiotropium + autres anticholinergiques</w:t>
      </w:r>
      <w:r>
        <w:t xml:space="preserve"> (atropine, scopolamine, tropicamide, oxybutynine, solifénacine, toltérodine, ipratropium) : addition des effets atropiniques → risque de glaucome, rétention urinaire, ileus paralytique, tachycardie. Ne pas associer à l'ipratropium (choisir entre SAMA et LAMA).</w:t>
      </w:r>
    </w:p>
    <w:p>
      <w:pPr>
        <w:pStyle w:val="ListBullet"/>
      </w:pPr>
      <w:r/>
      <w:r>
        <w:rPr>
          <w:b/>
        </w:rPr>
        <w:t>Tiotropium + β2-mimétiques</w:t>
      </w:r>
      <w:r>
        <w:t xml:space="preserve"> (LABA surtout) : </w:t>
      </w:r>
      <w:r>
        <w:rPr>
          <w:b/>
        </w:rPr>
        <w:t>synergie bronchodilatatrice</w:t>
      </w:r>
      <w:r>
        <w:t xml:space="preserve"> démontrée (effets additifs sur des voies métaboliques complémentaires : β2 → AMPc/PKA ; M3 → baisse IP3/Ca2+). C'est la base de l'association fixe tiotropium + olodatérol et de l'association umeclidinium + vilantérol (voir fiche dédiée).</w:t>
      </w:r>
    </w:p>
    <w:p>
      <w:pPr>
        <w:pStyle w:val="ListBullet"/>
      </w:pPr>
      <w:r/>
      <w:r>
        <w:rPr>
          <w:b/>
        </w:rPr>
        <w:t>Tiotropium + théophylline</w:t>
      </w:r>
      <w:r>
        <w:t xml:space="preserve"> : addition des effets bronchodilatateurs, surveillance des effets indésirables digestifs et cardiaques.</w:t>
      </w:r>
    </w:p>
    <w:p>
      <w:pPr>
        <w:pStyle w:val="ListBullet"/>
      </w:pPr>
      <w:r/>
      <w:r>
        <w:rPr>
          <w:b/>
        </w:rPr>
        <w:t>Tiotropium + xanthines</w:t>
      </w:r>
      <w:r>
        <w:t xml:space="preserve"> (caféine, théophylline) : potentialisation des effets cardiaques et nerveux. Surveillance.</w:t>
      </w:r>
    </w:p>
    <w:p>
      <w:r/>
      <w:r>
        <w:rPr>
          <w:b/>
        </w:rPr>
        <w:t>Grossesse et Allaitement :</w:t>
      </w:r>
      <w:r/>
    </w:p>
    <w:p>
      <w:pPr>
        <w:pStyle w:val="ListBullet"/>
      </w:pPr>
      <w:r/>
      <w:r>
        <w:rPr>
          <w:b/>
        </w:rPr>
        <w:t>Grossesse :</w:t>
      </w:r>
      <w:r>
        <w:t xml:space="preserve"> Le tiotropium est </w:t>
      </w:r>
      <w:r>
        <w:rPr>
          <w:b/>
        </w:rPr>
        <w:t>compatible avec la grossesse</w:t>
      </w:r>
      <w:r>
        <w:t xml:space="preserve"> selon le CRAT, en cas de nécessité absolue. Les données animales sont rassurantes, mais les données humaines sont limitées (peu de femmes en âge de procréer dans la population cible BPCO). Privilégier les alternatives mieux documentées (salbutamol, ipratropium) en cas de BPCO gravidique légère ; le tiotropium reste indiqué dans la BPCO sévère.</w:t>
      </w:r>
    </w:p>
    <w:p>
      <w:pPr>
        <w:pStyle w:val="ListBullet"/>
      </w:pPr>
      <w:r/>
      <w:r>
        <w:rPr>
          <w:b/>
        </w:rPr>
        <w:t>Allaitement :</w:t>
      </w:r>
      <w:r>
        <w:t xml:space="preserve"> Le tiotropium passe dans le lait maternel en quantité infime (faible absorption systémique). Compatible avec l'allaitement (CRAT, LactMed).</w:t>
      </w:r>
    </w:p>
    <w:p>
      <w:pPr>
        <w:pStyle w:val="ListBullet"/>
      </w:pPr>
      <w:r/>
      <w:r>
        <w:rPr>
          <w:b/>
        </w:rPr>
        <w:t>Précisions :</w:t>
      </w:r>
      <w:r>
        <w:t xml:space="preserve"> Le contrôle de la BPCO ou de l'asthme pendant la grossesse prime.</w:t>
      </w:r>
    </w:p>
    <w:p>
      <w:r/>
      <w:r>
        <w:rPr>
          <w:b/>
        </w:rPr>
        <w:t>Posologie et Mode d'administration (Standard) :</w:t>
      </w:r>
      <w:r/>
    </w:p>
    <w:p>
      <w:pPr>
        <w:pStyle w:val="ListBullet"/>
      </w:pPr>
      <w:r/>
      <w:r>
        <w:rPr>
          <w:b/>
        </w:rPr>
        <w:t>Adulte et enfant &gt; 6 ans (asthme) / &gt; 18 ans (BPCO) :</w:t>
      </w:r>
      <w:r/>
    </w:p>
    <w:p>
      <w:pPr>
        <w:pStyle w:val="ListBullet"/>
      </w:pPr>
      <w:r/>
      <w:r>
        <w:rPr>
          <w:b/>
        </w:rPr>
        <w:t>Poudre pour inhalation en gélule 18 µg (SPIRIVA, RESPYVA, TIOTUM, TROPIRUS)</w:t>
      </w:r>
      <w:r>
        <w:t xml:space="preserve"> : 1 gélule à inhaler une fois par jour (prise unique quotidienne), à heure fixe, de préférence le matin. Dose maximale : 18 µg/jour (ne pas dépasser 1 gélule/jour).</w:t>
      </w:r>
    </w:p>
    <w:p>
      <w:pPr>
        <w:pStyle w:val="ListBullet"/>
      </w:pPr>
      <w:r/>
      <w:r>
        <w:rPr>
          <w:b/>
        </w:rPr>
        <w:t>Enfant &lt; 6 ans</w:t>
      </w:r>
      <w:r>
        <w:t xml:space="preserve"> : non recommandé.</w:t>
      </w:r>
    </w:p>
    <w:p>
      <w:pPr>
        <w:pStyle w:val="ListBullet"/>
      </w:pPr>
      <w:r/>
      <w:r>
        <w:rPr>
          <w:b/>
        </w:rPr>
        <w:t>Durée :</w:t>
      </w:r>
      <w:r>
        <w:t xml:space="preserve"> Traitement de fond </w:t>
      </w:r>
      <w:r>
        <w:rPr>
          <w:b/>
        </w:rPr>
        <w:t>au long cours</w:t>
      </w:r>
      <w:r>
        <w:t xml:space="preserve"> (années). Ne pas arrêter brutalement sans avis médical.</w:t>
      </w:r>
    </w:p>
    <w:p>
      <w:pPr>
        <w:pStyle w:val="ListBullet"/>
      </w:pPr>
      <w:r/>
      <w:r>
        <w:rPr>
          <w:b/>
        </w:rPr>
        <w:t>Moment de la prise :</w:t>
      </w:r>
      <w:r>
        <w:t xml:space="preserve"> Prise unique quotidienne à heure fixe (le matin de préférence, mais l'heure n'a pas d'importance pharmacocinétique majeure — l'observance est le critère principal). Ne pas prendre en fin de soirée si insomnie.</w:t>
      </w:r>
    </w:p>
    <w:p>
      <w:r/>
      <w:r>
        <w:rPr>
          <w:b/>
        </w:rPr>
        <w:t>Arbitrage et Bénéfices des Formes Galéniques :</w:t>
      </w:r>
      <w:r/>
    </w:p>
    <w:p>
      <w:r>
        <w:t xml:space="preserve">La </w:t>
      </w:r>
      <w:r>
        <w:rPr>
          <w:b/>
        </w:rPr>
        <w:t>poudre sèche en gélule avec inhalateur dédié</w:t>
      </w:r>
      <w:r>
        <w:t xml:space="preserve"> est la </w:t>
      </w:r>
      <w:r>
        <w:rPr>
          <w:b/>
        </w:rPr>
        <w:t>seule forme disponible en Algérie</w:t>
      </w:r>
      <w:r>
        <w:t xml:space="preserve"> pour le tiotropium. Le princeps </w:t>
      </w:r>
      <w:r>
        <w:rPr>
          <w:b/>
        </w:rPr>
        <w:t>SPIRIVA</w:t>
      </w:r>
      <w:r>
        <w:t xml:space="preserve"> utilise le dispositif </w:t>
      </w:r>
      <w:r>
        <w:rPr>
          <w:b/>
        </w:rPr>
        <w:t>HandiHaler®</w:t>
      </w:r>
      <w:r>
        <w:t xml:space="preserve"> (Boehringer Ingelheim), qui exige un débit inspiratoire suffisant (≥ 20 L/min) et une coordination minimale. Les génériques (RESPYVA, TIOTUM, TROPIRUS) utilisent des dispositifs équivalents (Respihaler, Respihaler) qui doivent être évalués chez chaque patient pour vérifier la technique d'inhalation. Le HandiHaler permet la perforation de la gélule par pression sur un bouton latéral, l'inhalation par inspiration profonde et rapide, et la vérification de la gélule vide après usage. La forme </w:t>
      </w:r>
      <w:r>
        <w:rPr>
          <w:b/>
        </w:rPr>
        <w:t>Respimat® Soft Mist Inhaler (SMI)</w:t>
      </w:r>
      <w:r>
        <w:t>, qui est la forme la plus moderne et la plus simple d'usage (spray sans propulseur, sans coordination main-poumon nécessaire), n'est pas disponible en Algérie — c'est une limite à signaler. La nébulisation de tiotropium n'est pas disponible.</w:t>
      </w:r>
    </w:p>
    <w:p>
      <w:r/>
      <w:r>
        <w:rPr>
          <w:b/>
        </w:rPr>
        <w:t>Instructions et Conseils au Patient :</w:t>
      </w:r>
      <w:r/>
    </w:p>
    <w:p>
      <w:pPr>
        <w:pStyle w:val="ListBullet"/>
      </w:pPr>
      <w:r/>
      <w:r>
        <w:rPr>
          <w:b/>
        </w:rPr>
        <w:t>Communication au comptoir :</w:t>
      </w:r>
      <w:r>
        <w:t xml:space="preserve"> « Ce médicament est un </w:t>
      </w:r>
      <w:r>
        <w:rPr>
          <w:b/>
        </w:rPr>
        <w:t>traitement de fond</w:t>
      </w:r>
      <w:r>
        <w:t xml:space="preserve"> : vous devez le prendre </w:t>
      </w:r>
      <w:r>
        <w:rPr>
          <w:b/>
        </w:rPr>
        <w:t>tous les jours, une fois par jour, à heure fixe</w:t>
      </w:r>
      <w:r>
        <w:t xml:space="preserve"> (le matin de préférence), </w:t>
      </w:r>
      <w:r>
        <w:rPr>
          <w:b/>
        </w:rPr>
        <w:t>même si vous vous sentez bien</w:t>
      </w:r>
      <w:r>
        <w:t xml:space="preserve">. Il agit en ouvrant vos bronches pendant 24 heures, mais </w:t>
      </w:r>
      <w:r>
        <w:rPr>
          <w:b/>
        </w:rPr>
        <w:t>son effet met 30 minutes à 2 heures pour s'installer</w:t>
      </w:r>
      <w:r>
        <w:t xml:space="preserve"> — il ne sert donc </w:t>
      </w:r>
      <w:r>
        <w:rPr>
          <w:b/>
        </w:rPr>
        <w:t>pas à traiter une crise</w:t>
      </w:r>
      <w:r>
        <w:t xml:space="preserve">. Pour les crises, vous devez avoir votre salbutamol inhalé. </w:t>
      </w:r>
      <w:r>
        <w:rPr>
          <w:b/>
        </w:rPr>
        <w:t>Ce médicament ne se prend qu'une fois par jour</w:t>
      </w:r>
      <w:r>
        <w:t xml:space="preserve"> — ne le prenez pas deux fois. Après l'inhalation, </w:t>
      </w:r>
      <w:r>
        <w:rPr>
          <w:b/>
        </w:rPr>
        <w:t>rincez-vous la bouche</w:t>
      </w:r>
      <w:r>
        <w:t xml:space="preserve"> avec de l'eau pour réduire la sécheresse buccale. Si vous êtes un homme âgé et que vous avez des difficultés à uriner, prévenez votre médecin. »</w:t>
      </w:r>
    </w:p>
    <w:p>
      <w:pPr>
        <w:pStyle w:val="ListBullet"/>
      </w:pPr>
      <w:r/>
      <w:r>
        <w:rPr>
          <w:b/>
        </w:rPr>
        <w:t>Mode d'utilisation pratique :</w:t>
      </w:r>
      <w:r>
        <w:t xml:space="preserve"> Pour le HandiHaler (SPIRIVA) : ouvrir le couvercle et l'embout buccal ; insérer une gélule dans la chambre ; refermer l'embout buccal jusqu'au clic ; </w:t>
      </w:r>
      <w:r>
        <w:rPr>
          <w:b/>
        </w:rPr>
        <w:t>appuyer sur le bouton de perforation une seule fois</w:t>
      </w:r>
      <w:r>
        <w:t xml:space="preserve"> (perce la gélule) ; expirer à fond, </w:t>
      </w:r>
      <w:r>
        <w:rPr>
          <w:b/>
        </w:rPr>
        <w:t>à l'écart de l'inhalateur</w:t>
      </w:r>
      <w:r>
        <w:t xml:space="preserve"> ; placer l'embout buccal dans la bouche, </w:t>
      </w:r>
      <w:r>
        <w:rPr>
          <w:b/>
        </w:rPr>
        <w:t>lèvres bien jointes</w:t>
      </w:r>
      <w:r>
        <w:t xml:space="preserve"> ; inspirer </w:t>
      </w:r>
      <w:r>
        <w:rPr>
          <w:b/>
        </w:rPr>
        <w:t>rapidement et profondément</w:t>
      </w:r>
      <w:r>
        <w:t xml:space="preserve"> (2-3 secondes) ; retenir le souffle 10 secondes ; expirer lentement ; vérifier que la gélule est vide (la secouler) ; répéter l'inhalation si la gélule n'est pas vide ; jeter la gélule vide. Nettoyer l'inhalateur une fois par mois (ouvrir, rincer à l'eau chaude, sécher à l'air libre). </w:t>
      </w:r>
      <w:r>
        <w:rPr>
          <w:b/>
        </w:rPr>
        <w:t>Ne jamais avaler la gélule</w:t>
      </w:r>
      <w:r>
        <w:t>. Pour les génériques (RESPYVA, TIOTUM, TROPIRUS) : technique similaire, se référer à la notice spécifique du dispositif Respihaler.</w:t>
      </w:r>
    </w:p>
    <w:p>
      <w:r/>
      <w:r>
        <w:rPr>
          <w:b/>
        </w:rPr>
        <w:t>Notes, Règles d'Or &amp; Pièges au Comptoir :</w:t>
      </w:r>
      <w:r/>
    </w:p>
    <w:p>
      <w:pPr>
        <w:pStyle w:val="ListBullet"/>
      </w:pPr>
      <w:r/>
      <w:r>
        <w:rPr>
          <w:b/>
        </w:rPr>
        <w:t>Piège classique :</w:t>
      </w:r>
      <w:r>
        <w:t xml:space="preserve"> Le tiotropium ne doit pas être utilisé comme traitement de secours en raison de son onset lent (30 minutes) — un patient qui utilise son tiotropium pour traiter une crise met sa vie en danger. Toujours vérifier que le patient dispose d'un SABA (salbutamol) pour les crises.</w:t>
      </w:r>
    </w:p>
    <w:p>
      <w:pPr>
        <w:pStyle w:val="ListBullet"/>
      </w:pPr>
      <w:r/>
      <w:r>
        <w:rPr>
          <w:b/>
        </w:rPr>
        <w:t>Règle de prise :</w:t>
      </w:r>
      <w:r>
        <w:t xml:space="preserve"> </w:t>
      </w:r>
      <w:r>
        <w:rPr>
          <w:b/>
        </w:rPr>
        <w:t>Une seule inhalation par jour</w:t>
      </w:r>
      <w:r>
        <w:t>, à heure fixe, tous les jours, sans interruption. Ne jamais doubler une dose oubliée — si oubli, prendre la dose dès que possible dans la même journée, et reprendre le rythme normal le lendemain.</w:t>
      </w:r>
    </w:p>
    <w:p>
      <w:pPr>
        <w:pStyle w:val="ListBullet"/>
      </w:pPr>
      <w:r/>
      <w:r>
        <w:rPr>
          <w:b/>
        </w:rPr>
        <w:t>Préparation et Conservation :</w:t>
      </w:r>
      <w:r>
        <w:t xml:space="preserve"> Gélules : conservation à &lt; 25 °C, à l'abri de l'humidité (le lactose absorbant l'humidité peut altérer la poudre), dans l'emballage d'origine. Inhalateur : conservation à température ambiante, nettoyage mensuel à l'eau chaude savonneuse.</w:t>
      </w:r>
    </w:p>
    <w:p>
      <w:pPr>
        <w:pStyle w:val="ListBullet"/>
      </w:pPr>
      <w:r/>
      <w:r>
        <w:rPr>
          <w:b/>
        </w:rPr>
        <w:t>Piège du surdosage / Substitution :</w:t>
      </w:r>
      <w:r>
        <w:t xml:space="preserve"> Le tiotropium ne doit pas être substitué par l'ipratropium (SAMA, durée d'action plus courte) sans avis médical. La substitution entre princeps (SPIRIVA HandiHaler) et génériques (RESPYVA, TIOTUM, TROPIRUS Respihaler) nécessite une </w:t>
      </w:r>
      <w:r>
        <w:rPr>
          <w:b/>
        </w:rPr>
        <w:t>rééducation à la technique d'inhalation</w:t>
      </w:r>
      <w:r>
        <w:t xml:space="preserve"> (les dispositifs sont différents, bien que le principe soit identique). Vérifier systématiquement que le patient maîtrise le nouveau dispositif après substitution. Le tiotropium ne doit pas être associé à l'ipratropium (risque de surdosage atropinique). Ne pas dépasser 18 µg/jour (1 gélule).</w:t>
      </w:r>
    </w:p>
    <w:p>
      <w:pPr>
        <w:pStyle w:val="Heading2"/>
      </w:pPr>
      <w:r>
        <w:t>9. Introduction à la sous-classe des Associations SABA + SAMA</w:t>
      </w:r>
    </w:p>
    <w:p>
      <w:r>
        <w:t xml:space="preserve">Les </w:t>
      </w:r>
      <w:r>
        <w:rPr>
          <w:b/>
        </w:rPr>
        <w:t>associations fixes de SABA + SAMA</w:t>
      </w:r>
      <w:r>
        <w:t xml:space="preserve"> combinent deux bronchodilatateurs au </w:t>
      </w:r>
      <w:r>
        <w:rPr>
          <w:b/>
        </w:rPr>
        <w:t>mécanisme d'action complémentaire</w:t>
      </w:r>
      <w:r>
        <w:t xml:space="preserve"> : un β2-mimétique à courte durée d'action (salbutamol) qui active la voie Gs → AMPc → PKA → relaxation du muscle lisse bronchique, et un anticholinergique à courte durée d'action (ipratropium) qui bloque la voie Gq → PLC → IP3 → Ca2+ → contraction du muscle lisse bronchique. Cette </w:t>
      </w:r>
      <w:r>
        <w:rPr>
          <w:b/>
        </w:rPr>
        <w:t>complémentarité mécanistique</w:t>
      </w:r>
      <w:r>
        <w:t xml:space="preserve"> se traduit par une </w:t>
      </w:r>
      <w:r>
        <w:rPr>
          <w:b/>
        </w:rPr>
        <w:t>synergie bronchodilatatrice</w:t>
      </w:r>
      <w:r>
        <w:t xml:space="preserve"> démontrée in vitro et in vivo : la combinaison est plus efficace que chaque composant administré seul à dose équivalente (effet supra-additif).</w:t>
      </w:r>
    </w:p>
    <w:p>
      <w:r/>
      <w:r>
        <w:rPr>
          <w:b/>
        </w:rPr>
        <w:t>Justification pharmacologique.</w:t>
      </w:r>
      <w:r>
        <w:t xml:space="preserve"> Le tonus bronchomoteur basal est contrôlé par deux systèmes antagonistes : (i) le </w:t>
      </w:r>
      <w:r>
        <w:rPr>
          <w:b/>
        </w:rPr>
        <w:t>tonus vagal cholinergique</w:t>
      </w:r>
      <w:r>
        <w:t xml:space="preserve"> (bronchoconstricteur, via M3) ; (ii) le </w:t>
      </w:r>
      <w:r>
        <w:rPr>
          <w:b/>
        </w:rPr>
        <w:t>tonus adrénergique β2</w:t>
      </w:r>
      <w:r>
        <w:t xml:space="preserve"> (bronchodilatateur, via β2-AR). En bloquant simultanément la bronchoconstriction cholinergique (ipratropium) et en stimulant la bronchodilatation adrénergique (salbutamol), l'association agit sur les </w:t>
      </w:r>
      <w:r>
        <w:rPr>
          <w:b/>
        </w:rPr>
        <w:t>deux bras du contrôle bronchomoteur</w:t>
      </w:r>
      <w:r>
        <w:t>, maximisant l'effet bronchodilatateur pour un profil de tolérance comparable.</w:t>
      </w:r>
    </w:p>
    <w:p>
      <w:r/>
      <w:r>
        <w:rPr>
          <w:b/>
        </w:rPr>
        <w:t>Indication de prédilection : la crise sévère.</w:t>
      </w:r>
      <w:r>
        <w:t xml:space="preserve"> L'association SABA + SAMA est le traitement de référence de la </w:t>
      </w:r>
      <w:r>
        <w:rPr>
          <w:b/>
        </w:rPr>
        <w:t>crise d'asthme aiguë sévère</w:t>
      </w:r>
      <w:r>
        <w:t xml:space="preserve"> et de la </w:t>
      </w:r>
      <w:r>
        <w:rPr>
          <w:b/>
        </w:rPr>
        <w:t>BPCO exacerbée</w:t>
      </w:r>
      <w:r>
        <w:t>, en nébulisation (salbutamol 2,5-5 mg + ipratropium 0,5 mg, à renouveler toutes les 20 minutes pendant 1 heure, soit 3 nébulisations). Cette stratégie, validée par les recommandations GINA (asthme aigu grave) et GOLD (BPCO exacerbée), permet une bronchodilatation rapide et intense, réduisant le recours à l'intubation et à la ventilation mécanique. En algérie, l'association fixe en nébulisation n'est pas disponible en spécialité toute faite — les praticiens mélangent les deux solutions (salbutamol + ipratropium) dans le nébuliseur.</w:t>
      </w:r>
    </w:p>
    <w:p>
      <w:r/>
      <w:r>
        <w:rPr>
          <w:b/>
        </w:rPr>
        <w:t>Forme disponible en Algérie : poudre sèche DPI.</w:t>
      </w:r>
      <w:r>
        <w:t xml:space="preserve"> En Algérie, une seule spécialité d'association fixe SABA + SAMA est disponible : </w:t>
      </w:r>
      <w:r>
        <w:rPr>
          <w:b/>
        </w:rPr>
        <w:t>IPRALIN</w:t>
      </w:r>
      <w:r>
        <w:t xml:space="preserve"> (BIOPHARM) en poudre pour inhalation en gélules (salbutamol 200 µg + ipratropium 40 µg par gélule), avec inhalateur. Cette forme est destinée au traitement de fond symptomatique de la BPCO (alternative à la nébulisation en ambulatoire), et non au traitement de la crise sévère (la nébulisation reste le gold standard en urgence). Le dosage par gélule (200 µg salbutamol + 40 µg ipratropium) est inférieur à celui des associations en nébulisation (2 500 µg + 500 µg), mais offre l'avantage de la </w:t>
      </w:r>
      <w:r>
        <w:rPr>
          <w:b/>
        </w:rPr>
        <w:t>portabilité</w:t>
      </w:r>
      <w:r>
        <w:t xml:space="preserve"> et de la </w:t>
      </w:r>
      <w:r>
        <w:rPr>
          <w:b/>
        </w:rPr>
        <w:t>simplicité d'administration</w:t>
      </w:r>
      <w:r>
        <w:t>.</w:t>
      </w:r>
    </w:p>
    <w:p>
      <w:r/>
      <w:r>
        <w:rPr>
          <w:b/>
        </w:rPr>
        <w:t>Cadre réglementaire algérien.</w:t>
      </w:r>
      <w:r>
        <w:t xml:space="preserve"> L'association SABA + SAMA est classée en </w:t>
      </w:r>
      <w:r>
        <w:rPr>
          <w:b/>
        </w:rPr>
        <w:t>Liste I</w:t>
      </w:r>
      <w:r>
        <w:t xml:space="preserve"> (substances vénéneuses, prescription médicale obligatoire). Une seule spécialité active (IPRALIN Biopharm) en poudre sèche, avec inhalateur dédié.</w:t>
      </w:r>
    </w:p>
    <w:p>
      <w:pPr>
        <w:pStyle w:val="Heading2"/>
      </w:pPr>
      <w:r>
        <w:t>10. Fiche DCI — Association SABA + SAMA</w:t>
      </w:r>
    </w:p>
    <w:p>
      <w:pPr>
        <w:pStyle w:val="Heading3"/>
      </w:pPr>
      <w:r>
        <w:t>7. DCI : Salbutamol + Ipratropium (En Association)</w:t>
      </w:r>
    </w:p>
    <w:p>
      <w:r/>
      <w:r>
        <w:rPr>
          <w:b/>
        </w:rPr>
        <w:t>Liste des Catégories :</w:t>
      </w:r>
      <w:r>
        <w:t xml:space="preserve"> Association bronchodilatatrice SABA + SAMA ; Bronchodilatateur combiné β2-mimétique + anticholinergique ; Anti-asthmatique de secours (BPCO exacerbée) ; Traitement symptomatique de la BPCO ; Liste I ; Prescription médicale obligatoire.</w:t>
      </w:r>
    </w:p>
    <w:p>
      <w:r>
        <w:t xml:space="preserve">L'association fixe salbutamol + ipratropium combine un SABA (salbutamol, onset 5 min, durée 4-6 h) et un SAMA (ipratropium, onset 15-30 min, durée 4-6 h) pour optimiser la bronchodilatation par un mécanisme dual. La synergie pharmacologique (effet supra-additif) est démontrée dans la crise d'asthme sévère et la BPCO exacerbée. En Algérie, une seule spécialité est disponible en association fixe : </w:t>
      </w:r>
      <w:r>
        <w:rPr>
          <w:b/>
        </w:rPr>
        <w:t>IPRALIN</w:t>
      </w:r>
      <w:r>
        <w:t xml:space="preserve"> (BIOPHARM) en poudre sèche pour inhalation, dosée à 200 µg de salbutamol + 40 µg d'ipratropium par gélule, avec inhalateur.</w:t>
      </w:r>
    </w:p>
    <w:p>
      <w:r/>
      <w:r>
        <w:rPr>
          <w:b/>
        </w:rPr>
        <w:t>Médicaments disponibles en Algérie (Marques, Laboratoires, Formes et Dosages) :</w:t>
      </w:r>
      <w:r/>
    </w:p>
    <w:p>
      <w:r/>
      <w:r>
        <w:rPr>
          <w:i/>
        </w:rPr>
        <w:t>Spécialités actives :</w:t>
      </w:r>
      <w:r/>
    </w:p>
    <w:p>
      <w:pPr>
        <w:pStyle w:val="ListBullet"/>
      </w:pPr>
      <w:r/>
      <w:r>
        <w:rPr>
          <w:b/>
        </w:rPr>
        <w:t>IPRALIN</w:t>
      </w:r>
      <w:r>
        <w:t xml:space="preserve"> (BIOPHARM) — Poudre pour inhalation en gélules — Dosage 200 µg/40 µg (salbutamol/ipratropium par gélule) — B/30 — Statut : Actif (seule association SABA + SAMA disponible en Algérie en spécialité fixe)</w:t>
      </w:r>
    </w:p>
    <w:p>
      <w:r/>
      <w:r>
        <w:rPr>
          <w:b/>
        </w:rPr>
        <w:t>Sous-classe et Mécanisme d'action :</w:t>
      </w:r>
      <w:r/>
    </w:p>
    <w:p>
      <w:pPr>
        <w:pStyle w:val="ListBullet"/>
      </w:pPr>
      <w:r/>
      <w:r>
        <w:rPr>
          <w:b/>
        </w:rPr>
        <w:t>Sous-classe :</w:t>
      </w:r>
      <w:r>
        <w:t xml:space="preserve"> Association fixe bronchodilatatrice combinant un SABA (salbutamol) et un SAMA (ipratropium), classée R03AL02 dans la classification ATC (associations d'adrénomimétiques et d'anticholinergiques).</w:t>
      </w:r>
    </w:p>
    <w:p>
      <w:pPr>
        <w:pStyle w:val="ListBullet"/>
      </w:pPr>
      <w:r/>
      <w:r>
        <w:rPr>
          <w:b/>
        </w:rPr>
        <w:t>Mécanisme d'action :</w:t>
      </w:r>
      <w:r>
        <w:t xml:space="preserve"> L'association combine </w:t>
      </w:r>
      <w:r>
        <w:rPr>
          <w:b/>
        </w:rPr>
        <w:t>deux mécanismes d'action complémentaires et synergiques</w:t>
      </w:r>
      <w:r>
        <w:t xml:space="preserve"> sur le muscle lisse bronchique :</w:t>
      </w:r>
    </w:p>
    <w:p>
      <w:pPr>
        <w:pStyle w:val="ListBullet"/>
      </w:pPr>
      <w:r/>
      <w:r>
        <w:rPr>
          <w:b/>
        </w:rPr>
        <w:t>Salbutamol (SABA)</w:t>
      </w:r>
      <w:r>
        <w:t xml:space="preserve"> : agoniste β2-adrénergique → activation de la </w:t>
      </w:r>
      <w:r>
        <w:rPr>
          <w:b/>
        </w:rPr>
        <w:t>protéine Gs</w:t>
      </w:r>
      <w:r>
        <w:t xml:space="preserve"> → stimulation de l'</w:t>
      </w:r>
      <w:r>
        <w:rPr>
          <w:b/>
        </w:rPr>
        <w:t>adénylate cyclase</w:t>
      </w:r>
      <w:r>
        <w:t xml:space="preserve"> → augmentation de l'AMPc → activation de la </w:t>
      </w:r>
      <w:r>
        <w:rPr>
          <w:b/>
        </w:rPr>
        <w:t>PKA</w:t>
      </w:r>
      <w:r>
        <w:t xml:space="preserve"> → phosphorylation de la MLCK (arrêt de la contraction), activation de la SERCA (reprise du Ca2+ vers le réticulum sarcoplasmique), activation des canaux BKCa (hyperpolarisation), inhibition de la PLC → relaxation du muscle lisse bronchique. Onset 5 minutes.</w:t>
      </w:r>
    </w:p>
    <w:p>
      <w:pPr>
        <w:pStyle w:val="ListBullet"/>
      </w:pPr>
      <w:r/>
      <w:r>
        <w:rPr>
          <w:b/>
        </w:rPr>
        <w:t>Ipratropium (SAMA)</w:t>
      </w:r>
      <w:r>
        <w:t xml:space="preserve"> : antagoniste compétitif des récepteurs muscariniques M1, M2, M3 → blocage de la </w:t>
      </w:r>
      <w:r>
        <w:rPr>
          <w:b/>
        </w:rPr>
        <w:t>sous-unité αq de la protéine Gq</w:t>
      </w:r>
      <w:r>
        <w:t xml:space="preserve"> → inhibition de la </w:t>
      </w:r>
      <w:r>
        <w:rPr>
          <w:b/>
        </w:rPr>
        <w:t>PLC</w:t>
      </w:r>
      <w:r>
        <w:t xml:space="preserve"> → baisse de l'IP3 → réduction de la libération de </w:t>
      </w:r>
      <w:r>
        <w:rPr>
          <w:b/>
        </w:rPr>
        <w:t>Ca2+</w:t>
      </w:r>
      <w:r>
        <w:t xml:space="preserve"> libre cytosolique → inactivation de la </w:t>
      </w:r>
      <w:r>
        <w:rPr>
          <w:b/>
        </w:rPr>
        <w:t>MLCK</w:t>
      </w:r>
      <w:r>
        <w:t xml:space="preserve"> → déphosphorylation de la myosine → relaxation du muscle lisse bronchique. Onset 15-30 minutes.</w:t>
      </w:r>
    </w:p>
    <w:p>
      <w:pPr>
        <w:pStyle w:val="ListBullet"/>
      </w:pPr>
      <w:r/>
      <w:r>
        <w:rPr>
          <w:b/>
        </w:rPr>
        <w:t>Synergie</w:t>
      </w:r>
      <w:r>
        <w:t xml:space="preserve"> : les deux molécules agissent sur des voies métaboliques distinctes (AMPc/PKA pour le salbutamol ; IP3/Ca2+ pour l'ipratropium) mais convergentes (relaxation du muscle lisse bronchique). L'effet combiné est </w:t>
      </w:r>
      <w:r>
        <w:rPr>
          <w:b/>
        </w:rPr>
        <w:t>supra-additif</w:t>
      </w:r>
      <w:r>
        <w:t xml:space="preserve"> : la bronchodilatation obtenue avec l'association est supérieure à la somme des effets de chaque composant administré séparément. Le salbutamol assure une bronchodilatation </w:t>
      </w:r>
      <w:r>
        <w:rPr>
          <w:b/>
        </w:rPr>
        <w:t>rapide</w:t>
      </w:r>
      <w:r>
        <w:t xml:space="preserve"> (onset 5 min) et l'ipratropium un effet </w:t>
      </w:r>
      <w:r>
        <w:rPr>
          <w:b/>
        </w:rPr>
        <w:t>complémentaire et prolongé</w:t>
      </w:r>
      <w:r>
        <w:t xml:space="preserve"> sur le tonus vagal. La durée d'action de l'association est de 4 à 6 heures (déterminée par le composant le plus court).</w:t>
      </w:r>
    </w:p>
    <w:p>
      <w:r/>
      <w:r>
        <w:rPr>
          <w:b/>
        </w:rPr>
        <w:t>Profil Pharmacologique :</w:t>
      </w:r>
      <w:r/>
    </w:p>
    <w:p>
      <w:pPr>
        <w:pStyle w:val="ListBullet"/>
      </w:pPr>
      <w:r/>
      <w:r>
        <w:rPr>
          <w:b/>
        </w:rPr>
        <w:t>Indications :</w:t>
      </w:r>
      <w:r>
        <w:t xml:space="preserve"> </w:t>
      </w:r>
      <w:r>
        <w:rPr>
          <w:b/>
        </w:rPr>
        <w:t>BPCO</w:t>
      </w:r>
      <w:r>
        <w:t xml:space="preserve"> : traitement symptomatique de la BPCO stable (alternative au SABA ou SAMA en monothérol) ; </w:t>
      </w:r>
      <w:r>
        <w:rPr>
          <w:b/>
        </w:rPr>
        <w:t>Crise d'asthme sévère</w:t>
      </w:r>
      <w:r>
        <w:t xml:space="preserve"> : en nébulisation (mélanges séparés, pas en spécialité fixe), l'association SABA + SAMA est le traitement de référence (GINA 2024, GOLD 2024) ; </w:t>
      </w:r>
      <w:r>
        <w:rPr>
          <w:b/>
        </w:rPr>
        <w:t>BPCO exacerbée</w:t>
      </w:r>
      <w:r>
        <w:t xml:space="preserve"> : nébulisation de l'association (en urgence hospitalière). La forme fixe IPRALIN (poudre sèche) est destinée au traitement ambulatoire de la BPCO, </w:t>
      </w:r>
      <w:r>
        <w:rPr>
          <w:b/>
        </w:rPr>
        <w:t>pas à la crise sévère</w:t>
      </w:r>
      <w:r>
        <w:t>.</w:t>
      </w:r>
    </w:p>
    <w:p>
      <w:pPr>
        <w:pStyle w:val="ListBullet"/>
      </w:pPr>
      <w:r/>
      <w:r>
        <w:rPr>
          <w:b/>
        </w:rPr>
        <w:t>Contre-indications :</w:t>
      </w:r>
      <w:r>
        <w:t xml:space="preserve"> Hypersensibilité au salbutamol, à l'ipratropium, à l'atropine ou à leurs dérivés ; </w:t>
      </w:r>
      <w:r>
        <w:rPr>
          <w:b/>
        </w:rPr>
        <w:t>asthme allergique</w:t>
      </w:r>
      <w:r>
        <w:t xml:space="preserve"> (la fiche RCP distingue l'asthme allergique comme CI relative — en pratique, l'association est utilisée dans l'asthme sévère en nébulisation) ; </w:t>
      </w:r>
      <w:r>
        <w:rPr>
          <w:b/>
        </w:rPr>
        <w:t>glaucome à angle fermé</w:t>
      </w:r>
      <w:r>
        <w:t xml:space="preserve"> ; </w:t>
      </w:r>
      <w:r>
        <w:rPr>
          <w:b/>
        </w:rPr>
        <w:t>hypertrophie bénigne de la prostate (HBP) sévère</w:t>
      </w:r>
      <w:r>
        <w:t xml:space="preserve"> avec rétention urinaire ; </w:t>
      </w:r>
      <w:r>
        <w:rPr>
          <w:b/>
        </w:rPr>
        <w:t>tachyarythmies non contrôlées</w:t>
      </w:r>
      <w:r>
        <w:t xml:space="preserve"> ; </w:t>
      </w:r>
      <w:r>
        <w:rPr>
          <w:b/>
        </w:rPr>
        <w:t>cardiomyopathie obstructive hypertrophique</w:t>
      </w:r>
      <w:r>
        <w:t xml:space="preserve"> ; association aux β-bloquants non sélectifs. Précautions : hyperthyroïdie, diabète, hypokaliémie pré-existante, insuffisance rénale sévère, phéochromocytome.</w:t>
      </w:r>
    </w:p>
    <w:p>
      <w:pPr>
        <w:pStyle w:val="ListBullet"/>
      </w:pPr>
      <w:r/>
      <w:r>
        <w:rPr>
          <w:b/>
        </w:rPr>
        <w:t>Effets Indésirables :</w:t>
      </w:r>
      <w:r>
        <w:t xml:space="preserve"> Cumul des effets des deux composants. </w:t>
      </w:r>
      <w:r>
        <w:rPr>
          <w:b/>
        </w:rPr>
        <w:t>Très fréquents</w:t>
      </w:r>
      <w:r>
        <w:t xml:space="preserve"> : tremblements (salbutamol), tachycardie sinusale (salbutamol), bouche sèche (ipratropium), céphalées. </w:t>
      </w:r>
      <w:r>
        <w:rPr>
          <w:b/>
        </w:rPr>
        <w:t>Fréquents</w:t>
      </w:r>
      <w:r>
        <w:t xml:space="preserve"> : palpitations, palpitations, crampes musculaires (hypokaliémie du salbutamol), anxiété, insomnie, irritation pharyngée, toux, dysgueusie (goût métallique), constipation. </w:t>
      </w:r>
      <w:r>
        <w:rPr>
          <w:b/>
        </w:rPr>
        <w:t>Peu fréquents</w:t>
      </w:r>
      <w:r>
        <w:t xml:space="preserve"> : bronchospasme paradoxal, réactions d'hypersensibilité (urticaire, angio-œdème, hypotension), vision trouble (en cas de contact oculaire), rétention urinaire (surtout chez le sujet âgé masculin avec HBP), hyperglycémie modérée, hypokaliémie (cumul des effets du salbutamol et de la baisse du Ca2+ par l'ipratropium — surveillance nécessaire). </w:t>
      </w:r>
      <w:r>
        <w:rPr>
          <w:b/>
        </w:rPr>
        <w:t>Rares</w:t>
      </w:r>
      <w:r>
        <w:t xml:space="preserve"> : glaucome aigu (en cas de contact oculaire), troubles du rythme, acidose lactique (aux fortes doses nébulisées).</w:t>
      </w:r>
    </w:p>
    <w:p>
      <w:r/>
      <w:r>
        <w:rPr>
          <w:b/>
        </w:rPr>
        <w:t>Prévention et Gestion des Effets Indésirables :</w:t>
      </w:r>
      <w:r/>
    </w:p>
    <w:p>
      <w:pPr>
        <w:pStyle w:val="ListBullet"/>
      </w:pPr>
      <w:r/>
      <w:r>
        <w:rPr>
          <w:b/>
        </w:rPr>
        <w:t>Mesures Préventives :</w:t>
      </w:r>
      <w:r>
        <w:t xml:space="preserve"> Maîtrise de la technique d'inhalation du DPI (gélule à percer avec inhalateur dédié) ; rinçage de la bouche après inhalation (réduit la bouche sèche et la candidose) ; surveillance de la kaliémie chez les patients recevant des doses élevées, en association aux diurétiques ou aux corticoïdes ; surveillance glycémique chez le diabétique ; surveillance de la diurèse chez le sujet âgé masculin avec HBP ; respect strict des doses maximales (4 gélules/24 h, soit 800 µg de salbutamol + 160 µg d'ipratropium par jour).</w:t>
      </w:r>
    </w:p>
    <w:p>
      <w:pPr>
        <w:pStyle w:val="ListBullet"/>
      </w:pPr>
      <w:r/>
      <w:r>
        <w:rPr>
          <w:b/>
        </w:rPr>
        <w:t>Conduite à Tenir :</w:t>
      </w:r>
      <w:r>
        <w:t xml:space="preserve"> En cas de </w:t>
      </w:r>
      <w:r>
        <w:rPr>
          <w:b/>
        </w:rPr>
        <w:t>surconsommation</w:t>
      </w:r>
      <w:r>
        <w:t xml:space="preserve"> (plus de 4 gélules/24 h) : consultation médicale, recherche d'asthme ou BPCO non contrôlés, escalade thérapeutique ; en cas de </w:t>
      </w:r>
      <w:r>
        <w:rPr>
          <w:b/>
        </w:rPr>
        <w:t>bronchospasme paradoxal</w:t>
      </w:r>
      <w:r>
        <w:t xml:space="preserve"> : arrêt immédiat, bronchodilatateur d'une autre classe (théophylline IV), avis médical urgent ; en cas de </w:t>
      </w:r>
      <w:r>
        <w:rPr>
          <w:b/>
        </w:rPr>
        <w:t>vision trouble ou de douleur oculaire</w:t>
      </w:r>
      <w:r>
        <w:t xml:space="preserve"> : consultation ophtalmologique en urgence ; en cas de </w:t>
      </w:r>
      <w:r>
        <w:rPr>
          <w:b/>
        </w:rPr>
        <w:t>rétention urinaire</w:t>
      </w:r>
      <w:r>
        <w:t xml:space="preserve"> : arrêt du traitement, échographie vésicale, sondage évacuateur si nécessaire.</w:t>
      </w:r>
    </w:p>
    <w:p>
      <w:r/>
      <w:r>
        <w:rPr>
          <w:b/>
        </w:rPr>
        <w:t>Interactions Importantes :</w:t>
      </w:r>
      <w:r/>
    </w:p>
    <w:p>
      <w:pPr>
        <w:pStyle w:val="ListBullet"/>
      </w:pPr>
      <w:r/>
      <w:r>
        <w:rPr>
          <w:b/>
        </w:rPr>
        <w:t>Salbutamol + Ipratropium + β-bloquants non sélectifs</w:t>
      </w:r>
      <w:r>
        <w:t xml:space="preserve"> : antagonisme pharmacologique du salbutamol par les β-bloquants → risque de bronchospasme. Contre-indication formelle.</w:t>
      </w:r>
    </w:p>
    <w:p>
      <w:pPr>
        <w:pStyle w:val="ListBullet"/>
      </w:pPr>
      <w:r/>
      <w:r>
        <w:rPr>
          <w:b/>
        </w:rPr>
        <w:t>Salbutamol + Ipratropium + diurétiques non épargneurs de potassium</w:t>
      </w:r>
      <w:r>
        <w:t xml:space="preserve"> : hypokaliémie additive (surtout avec le salbutamol). Surveillance K+ et ECG.</w:t>
      </w:r>
    </w:p>
    <w:p>
      <w:pPr>
        <w:pStyle w:val="ListBullet"/>
      </w:pPr>
      <w:r/>
      <w:r>
        <w:rPr>
          <w:b/>
        </w:rPr>
        <w:t>Salbutamol + Ipratropium + corticoïdes</w:t>
      </w:r>
      <w:r>
        <w:t xml:space="preserve"> : hypokaliémie additive majeure et risque de troubles du rythme. Surveillance stricte de K+.</w:t>
      </w:r>
    </w:p>
    <w:p>
      <w:pPr>
        <w:pStyle w:val="ListBullet"/>
      </w:pPr>
      <w:r/>
      <w:r>
        <w:rPr>
          <w:b/>
        </w:rPr>
        <w:t>Salbutamol + Ipratropium + autres anticholinergiques</w:t>
      </w:r>
      <w:r>
        <w:t xml:space="preserve"> : addition des effets atropiniques → glaucome, rétention urinaire, ileus paralytique. Ne pas associer.</w:t>
      </w:r>
    </w:p>
    <w:p>
      <w:pPr>
        <w:pStyle w:val="ListBullet"/>
      </w:pPr>
      <w:r/>
      <w:r>
        <w:rPr>
          <w:b/>
        </w:rPr>
        <w:t>Salbutamol + Ipratropium + IMAO et antidépresseurs tricycliques</w:t>
      </w:r>
      <w:r>
        <w:t xml:space="preserve"> : risque d'hypertension paroxystique par potentialisation adrénergique.</w:t>
      </w:r>
    </w:p>
    <w:p>
      <w:pPr>
        <w:pStyle w:val="ListBullet"/>
      </w:pPr>
      <w:r/>
      <w:r>
        <w:rPr>
          <w:b/>
        </w:rPr>
        <w:t>Salbutamol + Ipratropium + théophylline</w:t>
      </w:r>
      <w:r>
        <w:t xml:space="preserve"> : addition des effets bronchodilatateurs, surveillance des effets indésirables digestifs et cardiaques.</w:t>
      </w:r>
    </w:p>
    <w:p>
      <w:r/>
      <w:r>
        <w:rPr>
          <w:b/>
        </w:rPr>
        <w:t>Grossesse et Allaitement :</w:t>
      </w:r>
      <w:r/>
    </w:p>
    <w:p>
      <w:pPr>
        <w:pStyle w:val="ListBullet"/>
      </w:pPr>
      <w:r/>
      <w:r>
        <w:rPr>
          <w:b/>
        </w:rPr>
        <w:t>Grossesse :</w:t>
      </w:r>
      <w:r>
        <w:t xml:space="preserve"> L'association salbutamol + ipratropium est </w:t>
      </w:r>
      <w:r>
        <w:rPr>
          <w:b/>
        </w:rPr>
        <w:t>compatible avec la grossesse</w:t>
      </w:r>
      <w:r>
        <w:t xml:space="preserve"> selon le CRAT, en cas de nécessité absolue. Les deux composants ont des profils rassurants. La forme nébulisée est utilisée en urgence pour crise d'asthme sévère gravidique. La forme fixe IPRALIN (poudre sèche) est à réserver à la BPCO (population peu concernée par la grossesse).</w:t>
      </w:r>
    </w:p>
    <w:p>
      <w:pPr>
        <w:pStyle w:val="ListBullet"/>
      </w:pPr>
      <w:r/>
      <w:r>
        <w:rPr>
          <w:b/>
        </w:rPr>
        <w:t>Allaitement :</w:t>
      </w:r>
      <w:r>
        <w:t xml:space="preserve"> Compatible avec l'allaitement (CRAT, LactMed). Les deux composants passent en quantité infime dans le lait.</w:t>
      </w:r>
    </w:p>
    <w:p>
      <w:pPr>
        <w:pStyle w:val="ListBullet"/>
      </w:pPr>
      <w:r/>
      <w:r>
        <w:rPr>
          <w:b/>
        </w:rPr>
        <w:t>Précisions :</w:t>
      </w:r>
      <w:r>
        <w:t xml:space="preserve"> Le contrôle de l'asthme ou de la BPCO pendant la grossesse prime sur les considérations d'exposition médicamenteuse.</w:t>
      </w:r>
    </w:p>
    <w:p>
      <w:r/>
      <w:r>
        <w:rPr>
          <w:b/>
        </w:rPr>
        <w:t>Posologie et Mode d'administration (Standard) :</w:t>
      </w:r>
      <w:r/>
    </w:p>
    <w:p>
      <w:pPr>
        <w:pStyle w:val="ListBullet"/>
      </w:pPr>
      <w:r/>
      <w:r>
        <w:rPr>
          <w:b/>
        </w:rPr>
        <w:t>Adulte et enfant &gt; 12 ans :</w:t>
      </w:r>
      <w:r/>
    </w:p>
    <w:p>
      <w:pPr>
        <w:pStyle w:val="ListBullet"/>
      </w:pPr>
      <w:r/>
      <w:r>
        <w:rPr>
          <w:b/>
        </w:rPr>
        <w:t>IPRALIN poudre pour inhalation 200 µg/40 µg par gélule</w:t>
      </w:r>
      <w:r>
        <w:t xml:space="preserve"> : 1 gélule à inhaler à la demande, max 4 gélules/24 h (soit 800 µg de salbutamol + 160 µg d'ipratropium par jour). Espacement minimum de 6 heures entre deux inhalations.</w:t>
      </w:r>
    </w:p>
    <w:p>
      <w:pPr>
        <w:pStyle w:val="ListBullet"/>
      </w:pPr>
      <w:r/>
      <w:r>
        <w:rPr>
          <w:b/>
        </w:rPr>
        <w:t>Enfant &lt; 12 ans</w:t>
      </w:r>
      <w:r>
        <w:t xml:space="preserve"> : non recommandé (la forme pédiatrique en nébulisation n'existe pas en spécialité fixe en Algérie ; utiliser les deux composants séparément en nébulisation selon les posologies pédiatriques).</w:t>
      </w:r>
    </w:p>
    <w:p>
      <w:pPr>
        <w:pStyle w:val="ListBullet"/>
      </w:pPr>
      <w:r/>
      <w:r>
        <w:rPr>
          <w:b/>
        </w:rPr>
        <w:t>Durée :</w:t>
      </w:r>
      <w:r>
        <w:t xml:space="preserve"> Traitement symptomatique à la demande dans la BPCO. Pour la crise sévère (en nébulisation, mélange séparé) : jusqu'à 3 nébulisations en 1 heure, puis surveillance hospitalière.</w:t>
      </w:r>
    </w:p>
    <w:p>
      <w:pPr>
        <w:pStyle w:val="ListBullet"/>
      </w:pPr>
      <w:r/>
      <w:r>
        <w:rPr>
          <w:b/>
        </w:rPr>
        <w:t>Moment de la prise :</w:t>
      </w:r>
      <w:r>
        <w:t xml:space="preserve"> À la demande, en cas de symptômes (dyspnée, sifflements). Prévention de l'asthme d'effort : 15 minutes avant l'exercice.</w:t>
      </w:r>
    </w:p>
    <w:p>
      <w:r/>
      <w:r>
        <w:rPr>
          <w:b/>
        </w:rPr>
        <w:t>Arbitrage et Bénéfices des Formes Galéniques :</w:t>
      </w:r>
      <w:r/>
    </w:p>
    <w:p>
      <w:r>
        <w:t xml:space="preserve">La </w:t>
      </w:r>
      <w:r>
        <w:rPr>
          <w:b/>
        </w:rPr>
        <w:t>poudre sèche en gélule avec inhalateur dédié (IPRALIN BIOPHARM)</w:t>
      </w:r>
      <w:r>
        <w:t xml:space="preserve"> est la seule forme d'association fixe disponible en Algérie. Elle offre l'avantage de la </w:t>
      </w:r>
      <w:r>
        <w:rPr>
          <w:b/>
        </w:rPr>
        <w:t>portabilité</w:t>
      </w:r>
      <w:r>
        <w:t xml:space="preserve"> (alternative à la nébulisation en ambulatoire) et de la </w:t>
      </w:r>
      <w:r>
        <w:rPr>
          <w:b/>
        </w:rPr>
        <w:t>simplicité d'administration</w:t>
      </w:r>
      <w:r>
        <w:t xml:space="preserve"> (1 gélule à la demande, sans coordination main-poumon complexe). Le dosage 200 µg/40 µg est </w:t>
      </w:r>
      <w:r>
        <w:rPr>
          <w:b/>
        </w:rPr>
        <w:t>inférieur</w:t>
      </w:r>
      <w:r>
        <w:t xml:space="preserve"> à celui des associations en nébulisation (2 500 µg/500 µg en crise), mais offre une bronchodilatation cliniquement significative pour la BPCO stable. La nébulisation (salbutamol + ipratropium mélangés dans le nébuliseur) reste le </w:t>
      </w:r>
      <w:r>
        <w:rPr>
          <w:b/>
        </w:rPr>
        <w:t>gold standard pour la crise sévère</w:t>
      </w:r>
      <w:r>
        <w:t xml:space="preserve"> et le patient incapable d'utiliser un DPI. La forme MDI (Combivent®, Boehringer) n'est pas disponible en Algérie.</w:t>
      </w:r>
    </w:p>
    <w:p>
      <w:r/>
      <w:r>
        <w:rPr>
          <w:b/>
        </w:rPr>
        <w:t>Instructions et Conseils au Patient :</w:t>
      </w:r>
      <w:r/>
    </w:p>
    <w:p>
      <w:pPr>
        <w:pStyle w:val="ListBullet"/>
      </w:pPr>
      <w:r/>
      <w:r>
        <w:rPr>
          <w:b/>
        </w:rPr>
        <w:t>Communication au comptoir :</w:t>
      </w:r>
      <w:r>
        <w:t xml:space="preserve"> « Ce médicament combine </w:t>
      </w:r>
      <w:r>
        <w:rPr>
          <w:b/>
        </w:rPr>
        <w:t>deux bronchodilatateurs</w:t>
      </w:r>
      <w:r>
        <w:t xml:space="preserve"> : un qui agit </w:t>
      </w:r>
      <w:r>
        <w:rPr>
          <w:b/>
        </w:rPr>
        <w:t>rapidement</w:t>
      </w:r>
      <w:r>
        <w:t xml:space="preserve"> (salbutamol, en 5 minutes) et un autre qui agit sur le </w:t>
      </w:r>
      <w:r>
        <w:rPr>
          <w:b/>
        </w:rPr>
        <w:t>tonus parasympathique</w:t>
      </w:r>
      <w:r>
        <w:t xml:space="preserve"> (ipratropium, en 15-30 minutes). L'effet combiné dure 4 à 6 heures. </w:t>
      </w:r>
      <w:r>
        <w:rPr>
          <w:b/>
        </w:rPr>
        <w:t>Utilisez-le à la demande</w:t>
      </w:r>
      <w:r>
        <w:t xml:space="preserve">, en cas d'essoufflement ou de sifflements. </w:t>
      </w:r>
      <w:r>
        <w:rPr>
          <w:b/>
        </w:rPr>
        <w:t>Ne dépassez pas 4 gélules par jour</w:t>
      </w:r>
      <w:r>
        <w:t xml:space="preserve"> sans avis médical. Si vous avez besoin de l'utiliser plus de 4 fois par jour, ou si l'effet ne dure pas 4 heures, </w:t>
      </w:r>
      <w:r>
        <w:rPr>
          <w:b/>
        </w:rPr>
        <w:t>consultez votre médecin</w:t>
      </w:r>
      <w:r>
        <w:t xml:space="preserve"> — c'est le signe que votre maladie n'est pas bien contrôlée. Pour inhaler : insérez la gélule dans l'inhalateur, appuyez sur les boutons latéraux </w:t>
      </w:r>
      <w:r>
        <w:rPr>
          <w:b/>
        </w:rPr>
        <w:t>une fois</w:t>
      </w:r>
      <w:r>
        <w:t xml:space="preserve"> pour percer la gélule, expirez à fond, </w:t>
      </w:r>
      <w:r>
        <w:rPr>
          <w:b/>
        </w:rPr>
        <w:t>inhalez rapidement et profondément</w:t>
      </w:r>
      <w:r>
        <w:t xml:space="preserve">, retenez votre souffle 10 secondes. Vérifiez que la gélule est vide. </w:t>
      </w:r>
      <w:r>
        <w:rPr>
          <w:b/>
        </w:rPr>
        <w:t>Ne jamais avaler la gélule.</w:t>
      </w:r>
      <w:r>
        <w:t xml:space="preserve"> Après l'inhalation, </w:t>
      </w:r>
      <w:r>
        <w:rPr>
          <w:b/>
        </w:rPr>
        <w:t>rincez-vous la bouche</w:t>
      </w:r>
      <w:r>
        <w:t xml:space="preserve"> avec de l'eau. »</w:t>
      </w:r>
    </w:p>
    <w:p>
      <w:pPr>
        <w:pStyle w:val="ListBullet"/>
      </w:pPr>
      <w:r/>
      <w:r>
        <w:rPr>
          <w:b/>
        </w:rPr>
        <w:t>Mode d'utilisation pratique :</w:t>
      </w:r>
      <w:r>
        <w:t xml:space="preserve"> Technique identique à celle du formotérol DPI en gélules (Aerolizer). Insérer la gélule, perforer, expirer à l'écart, inspirer profondément et rapidement, retenir 10 secondes, vérifier la gélule vide. Nettoyer l'inhalateur hebdomadairement avec un coton-tige sec.</w:t>
      </w:r>
    </w:p>
    <w:p>
      <w:r/>
      <w:r>
        <w:rPr>
          <w:b/>
        </w:rPr>
        <w:t>Notes, Règles d'Or &amp; Pièges au Comptoir :</w:t>
      </w:r>
      <w:r/>
    </w:p>
    <w:p>
      <w:pPr>
        <w:pStyle w:val="ListBullet"/>
      </w:pPr>
      <w:r/>
      <w:r>
        <w:rPr>
          <w:b/>
        </w:rPr>
        <w:t>Piège classique :</w:t>
      </w:r>
      <w:r>
        <w:t xml:space="preserve"> L'IPRALIN n'est </w:t>
      </w:r>
      <w:r>
        <w:rPr>
          <w:b/>
        </w:rPr>
        <w:t>pas adapté à la crise sévère</w:t>
      </w:r>
      <w:r>
        <w:t xml:space="preserve"> en raison du dosage insuffisant (200 µg/40 µg vs 2 500 µg/500 µg en nébulisation). Pour une crise sévère, le patient doit être dirigé vers les urgences pour nébulisation. Toujours vérifier que le patient dispose d'un SABA (salbutamol MDI) pour les crises légères.</w:t>
      </w:r>
    </w:p>
    <w:p>
      <w:pPr>
        <w:pStyle w:val="ListBullet"/>
      </w:pPr>
      <w:r/>
      <w:r>
        <w:rPr>
          <w:b/>
        </w:rPr>
        <w:t>Règle de prise :</w:t>
      </w:r>
      <w:r>
        <w:t xml:space="preserve"> À la demande, max 4 gélules/24 h, espacement minimum de 6 heures entre deux inhalations. Ne pas dépasser 4 gélules/jour sans avis médical.</w:t>
      </w:r>
    </w:p>
    <w:p>
      <w:pPr>
        <w:pStyle w:val="ListBullet"/>
      </w:pPr>
      <w:r/>
      <w:r>
        <w:rPr>
          <w:b/>
        </w:rPr>
        <w:t>Préparation et Conservation :</w:t>
      </w:r>
      <w:r>
        <w:t xml:space="preserve"> Gélules : conservation à &lt; 25 °C, à l'abri de l'humidité (le lactose absorbant l'humidité peut altérer la poudre), dans l'emballage d'origine. Inhalateur : conservation à température ambiante, nettoyage hebdomadaire.</w:t>
      </w:r>
    </w:p>
    <w:p>
      <w:pPr>
        <w:pStyle w:val="ListBullet"/>
      </w:pPr>
      <w:r/>
      <w:r>
        <w:rPr>
          <w:b/>
        </w:rPr>
        <w:t>Piège du surdosage / Substitution :</w:t>
      </w:r>
      <w:r>
        <w:t xml:space="preserve"> L'IPRALIN ne doit pas être substitué par le salbutamol en monothérol (perte de la synergie avec l'ipratropium) sans avis médical. Vérifier systématiquement la technique d'inhalation du patient après la première délivrance. Ne pas associer à un autre SABA inhalé (salbutamol) en dehors des crises (surdosage β2). Ne pas associer à un autre SAMA ou LAMA (surdosage atropinique).</w:t>
      </w:r>
    </w:p>
    <w:p>
      <w:pPr>
        <w:pStyle w:val="Heading2"/>
      </w:pPr>
      <w:r>
        <w:t>11. Introduction à la sous-classe des Associations LAMA + LABA</w:t>
      </w:r>
    </w:p>
    <w:p>
      <w:r>
        <w:t xml:space="preserve">Les </w:t>
      </w:r>
      <w:r>
        <w:rPr>
          <w:b/>
        </w:rPr>
        <w:t>associations fixes de LAMA + LABA</w:t>
      </w:r>
      <w:r>
        <w:t xml:space="preserve"> représentent une avancée majeure de la dernière décennie dans la prise en charge de la BPCO. Elles combinent un anticholinergique à longue durée d'action (LAMA) et un β2-mimétique à longue durée d'action (LABA) pour maximiser la bronchodilatation par un mécanisme dual, avec une </w:t>
      </w:r>
      <w:r>
        <w:rPr>
          <w:b/>
        </w:rPr>
        <w:t>prise unique quotidienne</w:t>
      </w:r>
      <w:r>
        <w:t xml:space="preserve"> (ou bidirectionnelle selon les produits) et une </w:t>
      </w:r>
      <w:r>
        <w:rPr>
          <w:b/>
        </w:rPr>
        <w:t>observance optimisée</w:t>
      </w:r>
      <w:r>
        <w:t xml:space="preserve">. Ces associations sont recommandées par le rapport GOLD 2024 comme traitement de fond de </w:t>
      </w:r>
      <w:r>
        <w:rPr>
          <w:b/>
        </w:rPr>
        <w:t>première intention</w:t>
      </w:r>
      <w:r>
        <w:t xml:space="preserve"> dans la BPCO symptomatique modérée à sévère (pistes C et D — symptômes marqués et/ou risque d'exacerbation élevé).</w:t>
      </w:r>
    </w:p>
    <w:p>
      <w:r/>
      <w:r>
        <w:rPr>
          <w:b/>
        </w:rPr>
        <w:t>Justification pharmacologique.</w:t>
      </w:r>
      <w:r>
        <w:t xml:space="preserve"> Comme pour l'association SABA + SAMA, la combinaison LAMA + LABA exploite la </w:t>
      </w:r>
      <w:r>
        <w:rPr>
          <w:b/>
        </w:rPr>
        <w:t>complémentarité mécanistique</w:t>
      </w:r>
      <w:r>
        <w:t xml:space="preserve"> des deux voies : (i) le LABA active la voie Gs → AMPc → PKA → relaxation ; (ii) le LAMA bloque la voie Gq → PLC → IP3 → Ca2+ → contraction. Les deux molécules agissent sur des voies distinctes mais convergentes, permettant une bronchodilatation </w:t>
      </w:r>
      <w:r>
        <w:rPr>
          <w:b/>
        </w:rPr>
        <w:t>supra-additive</w:t>
      </w:r>
      <w:r>
        <w:t xml:space="preserve"> et prolongée (24 h). Le LAMA bloque le tonus vagal cholinergique basal (la principale source de bronchoconstriction dans la BPCO), tandis que le LABA stimule directement la bronchodilatation adrénergique. La combinaison permet des </w:t>
      </w:r>
      <w:r>
        <w:rPr>
          <w:b/>
        </w:rPr>
        <w:t>doses individuelles plus faibles</w:t>
      </w:r>
      <w:r>
        <w:t xml:space="preserve"> qu'en monothérol, réduisant les effets indésirables β2 (tachycardie, tremblements) et atropiniques (bouche sèche, rétention urinaire).</w:t>
      </w:r>
    </w:p>
    <w:p>
      <w:r/>
      <w:r>
        <w:rPr>
          <w:b/>
        </w:rPr>
        <w:t>Indication de prédilection : la BPCO.</w:t>
      </w:r>
      <w:r>
        <w:t xml:space="preserve"> Les associations LAMA + LABA sont indiquées en </w:t>
      </w:r>
      <w:r>
        <w:rPr>
          <w:b/>
        </w:rPr>
        <w:t>première intention</w:t>
      </w:r>
      <w:r>
        <w:t xml:space="preserve"> dans la BPCO symptomatique (GOLD 2024 pistes B, C, D), en alternative à la monothérol LAMA ou LABA. Elles ne sont </w:t>
      </w:r>
      <w:r>
        <w:rPr>
          <w:b/>
        </w:rPr>
        <w:t>pas indiquées dans l'asthme</w:t>
      </w:r>
      <w:r>
        <w:t xml:space="preserve"> (règle absolue GINA : tout asthme nécessite un CSI, et les associations LAMA + LABA sans CSI sont contre-indiquées en raison du risque de mortalité asthmatique). En cas d'asthme-BPCO overlap (ACO — Asthma COPD Overlap), privilégier une triple thérapie CSI + LABA + LAMA.</w:t>
      </w:r>
    </w:p>
    <w:p>
      <w:r/>
      <w:r>
        <w:rPr>
          <w:b/>
        </w:rPr>
        <w:t>Molécules disponibles.</w:t>
      </w:r>
      <w:r>
        <w:t xml:space="preserve"> Plusieurs associations LAMA + LABA sont commercialisées dans le monde : umeclidinium + vilantérol (Anoro Ellipta®), tiotropium + olodatérol (Spiolto Respimat®), glycopyrronium + indacatérol (Ultibro Breezhaler®), aclidinium + formotérol (Duaklir Pressair®). En Algérie, seule l'association </w:t>
      </w:r>
      <w:r>
        <w:rPr>
          <w:b/>
        </w:rPr>
        <w:t>umeclidinium + vilantérol</w:t>
      </w:r>
      <w:r>
        <w:t xml:space="preserve"> (ANORO ELLIPTA, GSK) est disponible.</w:t>
      </w:r>
    </w:p>
    <w:p>
      <w:r/>
      <w:r>
        <w:rPr>
          <w:b/>
        </w:rPr>
        <w:t>Cadre réglementaire algérien.</w:t>
      </w:r>
      <w:r>
        <w:t xml:space="preserve"> L'association LAMA + LABA est classée en </w:t>
      </w:r>
      <w:r>
        <w:rPr>
          <w:b/>
        </w:rPr>
        <w:t>Liste I</w:t>
      </w:r>
      <w:r>
        <w:t xml:space="preserve"> (substances vénéneuses, prescription médicale obligatoire). Une seule spécialité active (ANORO ELLIPTA GSK) en poudre sèche, avec inhalateur Ellipta.</w:t>
      </w:r>
    </w:p>
    <w:p>
      <w:pPr>
        <w:pStyle w:val="Heading2"/>
      </w:pPr>
      <w:r>
        <w:t>12. Fiche DCI — Association LAMA + LABA</w:t>
      </w:r>
    </w:p>
    <w:p>
      <w:pPr>
        <w:pStyle w:val="Heading3"/>
      </w:pPr>
      <w:r>
        <w:t>8. DCI : Umeclidinium + Vilantérol (En Association)</w:t>
      </w:r>
    </w:p>
    <w:p>
      <w:r/>
      <w:r>
        <w:rPr>
          <w:b/>
        </w:rPr>
        <w:t>Liste des Catégories :</w:t>
      </w:r>
      <w:r>
        <w:t xml:space="preserve"> Association bronchodilatatrice LAMA + LABA ; Bronchodilatateur combiné anticholinergique longue durée + β2-mimétique longue durée ; Traitement de fond de la BPCO (première intention GOLD) ; Contre-indication absolue dans l'asthme sans CSI ; Liste I ; Prescription médicale obligatoire.</w:t>
      </w:r>
    </w:p>
    <w:p>
      <w:r>
        <w:t xml:space="preserve">L'association fixe umeclidinium + vilantérol combine un LAMA (umeclidinium, onset 30 min, durée 24 h) et un LABA (vilantérol, onset 5-15 min, durée 24 h) pour une bronchodilatation optimale de </w:t>
      </w:r>
      <w:r>
        <w:rPr>
          <w:b/>
        </w:rPr>
        <w:t>24 heures</w:t>
      </w:r>
      <w:r>
        <w:t xml:space="preserve"> avec une </w:t>
      </w:r>
      <w:r>
        <w:rPr>
          <w:b/>
        </w:rPr>
        <w:t>prise unique quotidienne</w:t>
      </w:r>
      <w:r>
        <w:t xml:space="preserve">. Cette association est indiquée en </w:t>
      </w:r>
      <w:r>
        <w:rPr>
          <w:b/>
        </w:rPr>
        <w:t>première intention</w:t>
      </w:r>
      <w:r>
        <w:t xml:space="preserve"> dans le traitement de fond de la BPCO symptomatique (GOLD 2024). Elle est </w:t>
      </w:r>
      <w:r>
        <w:rPr>
          <w:b/>
        </w:rPr>
        <w:t>strictement contre-indiquée dans l'asthme sans CSI associé</w:t>
      </w:r>
      <w:r>
        <w:t xml:space="preserve"> (règle GINA absolue). En Algérie, une seule spécialité est disponible : </w:t>
      </w:r>
      <w:r>
        <w:rPr>
          <w:b/>
        </w:rPr>
        <w:t>ANORO ELLIPTA</w:t>
      </w:r>
      <w:r>
        <w:t xml:space="preserve"> (GSK) en poudre sèche, dosée à 65 µg d'umeclidinium + 22 µg de vilantérol par dose, en flacon de 30 doses avec inhalateur Ellipta.</w:t>
      </w:r>
    </w:p>
    <w:p>
      <w:r/>
      <w:r>
        <w:rPr>
          <w:b/>
        </w:rPr>
        <w:t>Médicaments disponibles en Algérie (Marques, Laboratoires, Formes et Dosages) :</w:t>
      </w:r>
      <w:r/>
    </w:p>
    <w:p>
      <w:r/>
      <w:r>
        <w:rPr>
          <w:i/>
        </w:rPr>
        <w:t>Spécialités actives :</w:t>
      </w:r>
      <w:r/>
    </w:p>
    <w:p>
      <w:pPr>
        <w:pStyle w:val="ListBullet"/>
      </w:pPr>
      <w:r/>
      <w:r>
        <w:rPr>
          <w:b/>
        </w:rPr>
        <w:t>ANORO ELLIPTA</w:t>
      </w:r>
      <w:r>
        <w:t xml:space="preserve"> (GLAXOSMITHKLINE UK LIMITED) — Poudre pour inhalation — Dosage 65 µg/22 µg (umeclidinium/vilantérol par dose) — Flacon 30 doses avec inhalateur Ellipta — Statut : Actif (seule association LAMA + LABA disponible en Algérie)</w:t>
      </w:r>
    </w:p>
    <w:p>
      <w:r/>
      <w:r>
        <w:rPr>
          <w:b/>
        </w:rPr>
        <w:t>Sous-classe et Mécanisme d'action :</w:t>
      </w:r>
      <w:r/>
    </w:p>
    <w:p>
      <w:pPr>
        <w:pStyle w:val="ListBullet"/>
      </w:pPr>
      <w:r/>
      <w:r>
        <w:rPr>
          <w:b/>
        </w:rPr>
        <w:t>Sous-classe :</w:t>
      </w:r>
      <w:r>
        <w:t xml:space="preserve"> Association fixe bronchodilatatrice combinant un LAMA (umeclidinium bromure) et un LABA (vilantérol bromure), classée R03AL05 dans la classification ATC.</w:t>
      </w:r>
    </w:p>
    <w:p>
      <w:pPr>
        <w:pStyle w:val="ListBullet"/>
      </w:pPr>
      <w:r/>
      <w:r>
        <w:rPr>
          <w:b/>
        </w:rPr>
        <w:t>Mécanisme d'action :</w:t>
      </w:r>
      <w:r>
        <w:t xml:space="preserve"> L'association combine </w:t>
      </w:r>
      <w:r>
        <w:rPr>
          <w:b/>
        </w:rPr>
        <w:t>deux mécanismes d'action complémentaires et synergiques</w:t>
      </w:r>
      <w:r>
        <w:t xml:space="preserve"> sur le muscle lisse bronchique, avec une </w:t>
      </w:r>
      <w:r>
        <w:rPr>
          <w:b/>
        </w:rPr>
        <w:t>durée d'action de 24 heures</w:t>
      </w:r>
      <w:r>
        <w:t xml:space="preserve"> pour les deux composants :</w:t>
      </w:r>
    </w:p>
    <w:p>
      <w:pPr>
        <w:pStyle w:val="ListBullet"/>
      </w:pPr>
      <w:r/>
      <w:r>
        <w:rPr>
          <w:b/>
        </w:rPr>
        <w:t>Umeclidinium (LAMA)</w:t>
      </w:r>
      <w:r>
        <w:t xml:space="preserve"> : antagoniste compétitif des récepteurs muscariniques M1, M2, M3 → blocage de la </w:t>
      </w:r>
      <w:r>
        <w:rPr>
          <w:b/>
        </w:rPr>
        <w:t>sous-unité αq de la protéine Gq</w:t>
      </w:r>
      <w:r>
        <w:t xml:space="preserve"> → inhibition de la </w:t>
      </w:r>
      <w:r>
        <w:rPr>
          <w:b/>
        </w:rPr>
        <w:t>PLC</w:t>
      </w:r>
      <w:r>
        <w:t xml:space="preserve"> → baisse de l'IP3 → réduction de la libération de </w:t>
      </w:r>
      <w:r>
        <w:rPr>
          <w:b/>
        </w:rPr>
        <w:t>Ca2+</w:t>
      </w:r>
      <w:r>
        <w:t xml:space="preserve"> libre cytosolique → inactivation de la </w:t>
      </w:r>
      <w:r>
        <w:rPr>
          <w:b/>
        </w:rPr>
        <w:t>MLCK</w:t>
      </w:r>
      <w:r>
        <w:t xml:space="preserve"> → déphosphorylation de la myosine → relaxation du muscle lisse bronchique. L'umeclidinium a une </w:t>
      </w:r>
      <w:r>
        <w:rPr>
          <w:b/>
        </w:rPr>
        <w:t>sélectivité M3/M2 élevée</w:t>
      </w:r>
      <w:r>
        <w:t xml:space="preserve"> (rapport 5,7), épargnant l'autorécepteur M2 présynaptique et optimisant l'efficacité bronchodilatatrice. Cinétique de dissociation lente du M3 (durée d'action 24 h). Sels d'ammonium quaternaire lipophobes (faible absorption systémique).</w:t>
      </w:r>
    </w:p>
    <w:p>
      <w:pPr>
        <w:pStyle w:val="ListBullet"/>
      </w:pPr>
      <w:r/>
      <w:r>
        <w:rPr>
          <w:b/>
        </w:rPr>
        <w:t>Vilantérol (LABA)</w:t>
      </w:r>
      <w:r>
        <w:t xml:space="preserve"> : agoniste β2-adrénergique à longue durée d'action → activation de la </w:t>
      </w:r>
      <w:r>
        <w:rPr>
          <w:b/>
        </w:rPr>
        <w:t>protéine Gs</w:t>
      </w:r>
      <w:r>
        <w:t xml:space="preserve"> → stimulation de l'</w:t>
      </w:r>
      <w:r>
        <w:rPr>
          <w:b/>
        </w:rPr>
        <w:t>adénylate cyclase</w:t>
      </w:r>
      <w:r>
        <w:t xml:space="preserve"> → augmentation de l'AMPc → activation de la </w:t>
      </w:r>
      <w:r>
        <w:rPr>
          <w:b/>
        </w:rPr>
        <w:t>PKA</w:t>
      </w:r>
      <w:r>
        <w:t xml:space="preserve"> → phosphorylation de la MLCK (arrêt de la contraction), activation de la SERCA (reprise du Ca2+ vers le réticulum sarcoplasmique), activation des canaux BKCa (hyperpolarisation), inhibition de la PLC → relaxation du muscle lisse bronchique. Le vilantérol est un agoniste β2 </w:t>
      </w:r>
      <w:r>
        <w:rPr>
          <w:b/>
        </w:rPr>
        <w:t>sélectif</w:t>
      </w:r>
      <w:r>
        <w:t xml:space="preserve"> (ratio β2/β1 ≈ 1000), avec une </w:t>
      </w:r>
      <w:r>
        <w:rPr>
          <w:b/>
        </w:rPr>
        <w:t>cinétique de dissociation lente</w:t>
      </w:r>
      <w:r>
        <w:t xml:space="preserve"> du récepteur β2 (durée d'action 24 h). Il est structurellement apparenté au salmétérol (lipophilie élevée, théorie de la membrane).</w:t>
      </w:r>
    </w:p>
    <w:p>
      <w:pPr>
        <w:pStyle w:val="ListBullet"/>
      </w:pPr>
      <w:r/>
      <w:r>
        <w:rPr>
          <w:b/>
        </w:rPr>
        <w:t>Synergie</w:t>
      </w:r>
      <w:r>
        <w:t xml:space="preserve"> : les deux molécules agissent sur des voies métaboliques distinctes (AMPc/PKA pour le vilantérol ; IP3/Ca2+ pour l'umeclidinium) mais convergentes (relaxation du muscle lisse bronchique). L'effet combiné est </w:t>
      </w:r>
      <w:r>
        <w:rPr>
          <w:b/>
        </w:rPr>
        <w:t>supra-additif</w:t>
      </w:r>
      <w:r>
        <w:t xml:space="preserve"> : la bronchodilatation obtenue avec l'association est supérieure à celle de chaque composant en monothérol (étude clinique Anoro vs umeclidinium vs vilantérol seul). La prise unique quotidienne optimise l'observance.</w:t>
      </w:r>
    </w:p>
    <w:p>
      <w:r/>
      <w:r>
        <w:rPr>
          <w:b/>
        </w:rPr>
        <w:t>Profil Pharmacologique :</w:t>
      </w:r>
      <w:r/>
    </w:p>
    <w:p>
      <w:pPr>
        <w:pStyle w:val="ListBullet"/>
      </w:pPr>
      <w:r/>
      <w:r>
        <w:rPr>
          <w:b/>
        </w:rPr>
        <w:t>Indications :</w:t>
      </w:r>
      <w:r>
        <w:t xml:space="preserve"> </w:t>
      </w:r>
      <w:r>
        <w:rPr>
          <w:b/>
        </w:rPr>
        <w:t>BPCO</w:t>
      </w:r>
      <w:r>
        <w:t xml:space="preserve"> : traitement de fond de la BPCO symptomatique (GOLD 2024 pistes B, C, D — symptômes marqués et/ou risque d'exacerbation élevé) ; indication de </w:t>
      </w:r>
      <w:r>
        <w:rPr>
          <w:b/>
        </w:rPr>
        <w:t>première intention</w:t>
      </w:r>
      <w:r>
        <w:t xml:space="preserve"> en alternative à la monothérol LAMA ou LABA ; alternative à l'association LAMA + LABA + CSI (triple thérapie) chez le patient BPCO sans éosinophilie élevée. </w:t>
      </w:r>
      <w:r>
        <w:rPr>
          <w:b/>
        </w:rPr>
        <w:t>Contre-indication absolue dans l'asthme sans CSI associé</w:t>
      </w:r>
      <w:r>
        <w:t xml:space="preserve"> (règle GINA — augmentation du risque d'exacerbation sévère et de mortalité asthmatique).</w:t>
      </w:r>
    </w:p>
    <w:p>
      <w:pPr>
        <w:pStyle w:val="ListBullet"/>
      </w:pPr>
      <w:r/>
      <w:r>
        <w:rPr>
          <w:b/>
        </w:rPr>
        <w:t>Contre-indications :</w:t>
      </w:r>
      <w:r>
        <w:t xml:space="preserve"> Hypersensibilité à l'umeclidinium, au vilantérol, à l'atropine ou à leurs dérivés ; </w:t>
      </w:r>
      <w:r>
        <w:rPr>
          <w:b/>
        </w:rPr>
        <w:t>asthme sans CSI associé</w:t>
      </w:r>
      <w:r>
        <w:t xml:space="preserve"> (règle absolue GINA — augmentation du risque d'exacerbation sévère et de mortalité asthmatique, démontrée par l'étude SMART 2006) ; traitement de la crise d'asthme aiguë ou de la BPCO exacerbée (onset trop lent) ; </w:t>
      </w:r>
      <w:r>
        <w:rPr>
          <w:b/>
        </w:rPr>
        <w:t>glaucome à angle fermé</w:t>
      </w:r>
      <w:r>
        <w:t xml:space="preserve"> ; </w:t>
      </w:r>
      <w:r>
        <w:rPr>
          <w:b/>
        </w:rPr>
        <w:t>hypertrophie bénigne de la prostate (HBP) sévère</w:t>
      </w:r>
      <w:r>
        <w:t xml:space="preserve"> avec rétention urinaire ; obstacle sous-vésical ; association aux β-bloquants non sélectifs ; cardiomyopathie obstructive hypertrophique ; tachyarythmies non contrôlées. Précautions : cardiopathie ischémique, anévrisme, hypertension sévère, hyperthyroïdie, diabète déséquilibré, hypokaliémie pré-existante, phéochromocytome, insuffisance hépatique sévère.</w:t>
      </w:r>
    </w:p>
    <w:p>
      <w:pPr>
        <w:pStyle w:val="ListBullet"/>
      </w:pPr>
      <w:r/>
      <w:r>
        <w:rPr>
          <w:b/>
        </w:rPr>
        <w:t>Effets Indésirables :</w:t>
      </w:r>
      <w:r>
        <w:t xml:space="preserve"> Cumul des effets des deux composants. </w:t>
      </w:r>
      <w:r>
        <w:rPr>
          <w:b/>
        </w:rPr>
        <w:t>Très fréquents</w:t>
      </w:r>
      <w:r>
        <w:t xml:space="preserve"> : bouche sèche (umeclidinium), céphalées, nasopharyngite. </w:t>
      </w:r>
      <w:r>
        <w:rPr>
          <w:b/>
        </w:rPr>
        <w:t>Fréquents</w:t>
      </w:r>
      <w:r>
        <w:t xml:space="preserve"> : tremblements (vilantérol), tachycardie sinusale modérée, palpitations, crampes musculaires (hypokaliémie), constipation, dysgueusie, irritation pharyngée, toux, anxiété, insomnie, hyperglycémie modérée. </w:t>
      </w:r>
      <w:r>
        <w:rPr>
          <w:b/>
        </w:rPr>
        <w:t>Peu fréquents</w:t>
      </w:r>
      <w:r>
        <w:t xml:space="preserve"> : vision trouble (en cas de contact oculaire), rétention urinaire (surtout chez le sujet âgé masculin avec HBP), vertiges, hypertension, vasodilatation périphérique, bronchospasme paradoxal, réactions d'hypersensibilité (urticaire, angio-œdème). </w:t>
      </w:r>
      <w:r>
        <w:rPr>
          <w:b/>
        </w:rPr>
        <w:t>Rares</w:t>
      </w:r>
      <w:r>
        <w:t xml:space="preserve"> : glaucome aigu (en cas de contact oculaire direct), troubles du rythme (extrasystoles, fibrillation auriculaire), hypokaliémie marquée, acidose lactique (aux fortes doses). </w:t>
      </w:r>
      <w:r>
        <w:rPr>
          <w:b/>
        </w:rPr>
        <w:t>Spécifique du vilantérol</w:t>
      </w:r>
      <w:r>
        <w:t xml:space="preserve"> : signal initial d'augmentation du risque cardiovasculaire (non confirmé par les méta-analyses ultérieures), surveillance des patients cardiaques. </w:t>
      </w:r>
      <w:r>
        <w:rPr>
          <w:b/>
        </w:rPr>
        <w:t>Au long cours en monothérol pour l'asthme</w:t>
      </w:r>
      <w:r>
        <w:t xml:space="preserve"> : augmentation du risque d'exacerbation sévère et de mortalité asthmatique — d'où la contre-indication absolue sans CSI.</w:t>
      </w:r>
    </w:p>
    <w:p>
      <w:r/>
      <w:r>
        <w:rPr>
          <w:b/>
        </w:rPr>
        <w:t>Prévention et Gestion des Effets Indésirables :</w:t>
      </w:r>
      <w:r/>
    </w:p>
    <w:p>
      <w:pPr>
        <w:pStyle w:val="ListBullet"/>
      </w:pPr>
      <w:r/>
      <w:r>
        <w:rPr>
          <w:b/>
        </w:rPr>
        <w:t>Mesures Préventives :</w:t>
      </w:r>
      <w:r>
        <w:t xml:space="preserve"> </w:t>
      </w:r>
      <w:r>
        <w:rPr>
          <w:b/>
        </w:rPr>
        <w:t>Règle absolue</w:t>
      </w:r>
      <w:r>
        <w:t xml:space="preserve"> : ne jamais utiliser l'association umeclidinium + vilantérol dans l'asthme sans CSI associé (vérification systématique par le pharmacien). Maîtrise de la technique d'inhalation du dispositif Ellipta (levier, ouverture automatique, inhalation par inspiration profonde) ; rinçage de la bouche après inhalation (réduit la bouche sèche et la candidose) ; surveillance de la kaliémie chez les patients à risque (diurétiques, corticoïdes, hypokaliémie pré-existante) ; surveillance glycémique chez le diabétique ; surveillance de la diurèse chez le sujet âgé masculin avec HBP ; surveillance cardiovasculaire chez le patient cardiaque.</w:t>
      </w:r>
    </w:p>
    <w:p>
      <w:pPr>
        <w:pStyle w:val="ListBullet"/>
      </w:pPr>
      <w:r/>
      <w:r>
        <w:rPr>
          <w:b/>
        </w:rPr>
        <w:t>Conduite à Tenir :</w:t>
      </w:r>
      <w:r>
        <w:t xml:space="preserve"> En cas d'utilisation </w:t>
      </w:r>
      <w:r>
        <w:rPr>
          <w:b/>
        </w:rPr>
        <w:t>pour l'asthme sans CSI</w:t>
      </w:r>
      <w:r>
        <w:t xml:space="preserve"> : arrêt immédiat et consultation pneumologique urgente pour escalade thérapeutique avec CSI ; en cas de </w:t>
      </w:r>
      <w:r>
        <w:rPr>
          <w:b/>
        </w:rPr>
        <w:t>bronchospasme paradoxal</w:t>
      </w:r>
      <w:r>
        <w:t xml:space="preserve"> : arrêt immédiat, bronchodilatateur d'une autre classe (SABA nébulisé), avis médical urgent ; en cas de </w:t>
      </w:r>
      <w:r>
        <w:rPr>
          <w:b/>
        </w:rPr>
        <w:t>vision trouble ou de douleur oculaire</w:t>
      </w:r>
      <w:r>
        <w:t xml:space="preserve"> : consultation ophtalmologique en urgence (suspicion de glaucome aigu) ; en cas de </w:t>
      </w:r>
      <w:r>
        <w:rPr>
          <w:b/>
        </w:rPr>
        <w:t>rétention urinaire</w:t>
      </w:r>
      <w:r>
        <w:t xml:space="preserve"> : arrêt du traitement, échographie vésicale, sondage évacuateur si nécessaire ; en cas de </w:t>
      </w:r>
      <w:r>
        <w:rPr>
          <w:b/>
        </w:rPr>
        <w:t>tachycardie excessive</w:t>
      </w:r>
      <w:r>
        <w:t xml:space="preserve"> ou de </w:t>
      </w:r>
      <w:r>
        <w:rPr>
          <w:b/>
        </w:rPr>
        <w:t>palpitations</w:t>
      </w:r>
      <w:r>
        <w:t xml:space="preserve"> : réévaluation de la dose, recherche d'hypokaliémie.</w:t>
      </w:r>
    </w:p>
    <w:p>
      <w:r/>
      <w:r>
        <w:rPr>
          <w:b/>
        </w:rPr>
        <w:t>Interactions Importantes :</w:t>
      </w:r>
      <w:r/>
    </w:p>
    <w:p>
      <w:pPr>
        <w:pStyle w:val="ListBullet"/>
      </w:pPr>
      <w:r/>
      <w:r>
        <w:rPr>
          <w:b/>
        </w:rPr>
        <w:t>Umeclidinium + Vilantérol + autres anticholinergiques</w:t>
      </w:r>
      <w:r>
        <w:t xml:space="preserve"> (atropine, scopolamine, ipratropium, tiotropium, oxybutynine, solifénacine) : addition des effets atropiniques → risque de glaucome, rétention urinaire, ileus paralytique, tachycardie. Ne pas associer à un autre LAMA ou SAMA.</w:t>
      </w:r>
    </w:p>
    <w:p>
      <w:pPr>
        <w:pStyle w:val="ListBullet"/>
      </w:pPr>
      <w:r/>
      <w:r>
        <w:rPr>
          <w:b/>
        </w:rPr>
        <w:t>Umeclidinium + Vilantérol + autres β2-mimétiques</w:t>
      </w:r>
      <w:r>
        <w:t xml:space="preserve"> (salbutamol, formotérol, salmétérol) : addition des effets β2 → surdosage β2 (tachycardie, tremblements, hypokaliémie, troubles du rythme). Ne pas associer à un autre LABA ou SABA en continu (le SABA en secours ponctuel est autorisé).</w:t>
      </w:r>
    </w:p>
    <w:p>
      <w:pPr>
        <w:pStyle w:val="ListBullet"/>
      </w:pPr>
      <w:r/>
      <w:r>
        <w:rPr>
          <w:b/>
        </w:rPr>
        <w:t>Umeclidinium + Vilantérol + β-bloquants non sélectifs</w:t>
      </w:r>
      <w:r>
        <w:t xml:space="preserve"> : antagonisme pharmacologique du vilantérol → risque de bronchospasme. Contre-indication formelle.</w:t>
      </w:r>
    </w:p>
    <w:p>
      <w:pPr>
        <w:pStyle w:val="ListBullet"/>
      </w:pPr>
      <w:r/>
      <w:r>
        <w:rPr>
          <w:b/>
        </w:rPr>
        <w:t>Umeclidinium + Vilantérol + diurétiques non épargneurs de potassium</w:t>
      </w:r>
      <w:r>
        <w:t xml:space="preserve"> : hypokaliémie additive (surtout avec le vilantérol). Surveillance K+ et ECG.</w:t>
      </w:r>
    </w:p>
    <w:p>
      <w:pPr>
        <w:pStyle w:val="ListBullet"/>
      </w:pPr>
      <w:r/>
      <w:r>
        <w:rPr>
          <w:b/>
        </w:rPr>
        <w:t>Umeclidinium + Vilantérol + corticoïdes systémiques</w:t>
      </w:r>
      <w:r>
        <w:t xml:space="preserve"> : hypokaliémie additive majeure. Surveillance stricte.</w:t>
      </w:r>
    </w:p>
    <w:p>
      <w:pPr>
        <w:pStyle w:val="ListBullet"/>
      </w:pPr>
      <w:r/>
      <w:r>
        <w:rPr>
          <w:b/>
        </w:rPr>
        <w:t>Umeclidinium + Vilantérol + IMAO et antidépresseurs tricycliques</w:t>
      </w:r>
      <w:r>
        <w:t xml:space="preserve"> : risque d'hypertension paroxystique par potentialisation adrénergique.</w:t>
      </w:r>
    </w:p>
    <w:p>
      <w:pPr>
        <w:pStyle w:val="ListBullet"/>
      </w:pPr>
      <w:r/>
      <w:r>
        <w:rPr>
          <w:b/>
        </w:rPr>
        <w:t>Umeclidinium + Vilantérol + inhibiteurs du CYP3A4 puissants</w:t>
      </w:r>
      <w:r>
        <w:t xml:space="preserve"> (ketoconazole, clarithromycine, ritonavir) : augmentation modérée de l'exposition systémique au vilantérol (mais sans conséquence clinique majeure aux doses inhalées).</w:t>
      </w:r>
    </w:p>
    <w:p>
      <w:pPr>
        <w:pStyle w:val="ListBullet"/>
      </w:pPr>
      <w:r/>
      <w:r>
        <w:rPr>
          <w:b/>
        </w:rPr>
        <w:t>Umeclidinium + Vilantérol + digoxine</w:t>
      </w:r>
      <w:r>
        <w:t xml:space="preserve"> : potentialisation des effets cardiaques. Surveillance des taux et de l'ECG.</w:t>
      </w:r>
    </w:p>
    <w:p>
      <w:r/>
      <w:r>
        <w:rPr>
          <w:b/>
        </w:rPr>
        <w:t>Grossesse et Allaitement :</w:t>
      </w:r>
      <w:r/>
    </w:p>
    <w:p>
      <w:pPr>
        <w:pStyle w:val="ListBullet"/>
      </w:pPr>
      <w:r/>
      <w:r>
        <w:rPr>
          <w:b/>
        </w:rPr>
        <w:t>Grossesse :</w:t>
      </w:r>
      <w:r>
        <w:t xml:space="preserve"> L'association umeclidinium + vilantérol est </w:t>
      </w:r>
      <w:r>
        <w:rPr>
          <w:b/>
        </w:rPr>
        <w:t>déconseillée pendant la grossesse</w:t>
      </w:r>
      <w:r>
        <w:t xml:space="preserve"> par défaut de données cliniques suffisantes (peu de femmes en âge de procréer dans la population cible BPCO). Les données animales sont rassurantes mais non extrapolables à l'homme. En cas de BPCO gravidique, privilégier les alternatives mieux documentées (salbutamol, ipratropium, tiotropium si BPCO sévère). En cas d'asthme gravidique, contre-indication absolue sans CSI associé.</w:t>
      </w:r>
    </w:p>
    <w:p>
      <w:pPr>
        <w:pStyle w:val="ListBullet"/>
      </w:pPr>
      <w:r/>
      <w:r>
        <w:rPr>
          <w:b/>
        </w:rPr>
        <w:t>Allaitement :</w:t>
      </w:r>
      <w:r>
        <w:t xml:space="preserve"> L'umeclidinium et le vilantérol passent dans le lait maternel en quantité infime (faible absorption systémique). Compatible avec l'allaitement en cas de BPCO maternelle nécessitant un traitement de fond (CRAT, LactMed). Surveillance de la tachycardie et de la glycémie du nourrisson.</w:t>
      </w:r>
    </w:p>
    <w:p>
      <w:pPr>
        <w:pStyle w:val="ListBullet"/>
      </w:pPr>
      <w:r/>
      <w:r>
        <w:rPr>
          <w:b/>
        </w:rPr>
        <w:t>Précisions :</w:t>
      </w:r>
      <w:r>
        <w:t xml:space="preserve"> Le contrôle de la BPCO pendant la grossesse prime. Une BPCO non contrôlée est plus dangereuse pour le fœtus que le traitement.</w:t>
      </w:r>
    </w:p>
    <w:p>
      <w:r/>
      <w:r>
        <w:rPr>
          <w:b/>
        </w:rPr>
        <w:t>Posologie et Mode d'administration (Standard) :</w:t>
      </w:r>
      <w:r/>
    </w:p>
    <w:p>
      <w:pPr>
        <w:pStyle w:val="ListBullet"/>
      </w:pPr>
      <w:r/>
      <w:r>
        <w:rPr>
          <w:b/>
        </w:rPr>
        <w:t>Adulte (&gt; 18 ans) :</w:t>
      </w:r>
      <w:r/>
    </w:p>
    <w:p>
      <w:pPr>
        <w:pStyle w:val="ListBullet"/>
      </w:pPr>
      <w:r/>
      <w:r>
        <w:rPr>
          <w:b/>
        </w:rPr>
        <w:t>ANORO ELLIPTA poudre pour inhalation 65 µg/22 µg par dose</w:t>
      </w:r>
      <w:r>
        <w:t xml:space="preserve"> : 1 inhalation une fois par jour (prise unique quotidienne), à heure fixe, de préférence le matin. Dose maximale : 1 inhalation/jour (ne pas dépasser 1 dose/jour).</w:t>
      </w:r>
    </w:p>
    <w:p>
      <w:pPr>
        <w:pStyle w:val="ListBullet"/>
      </w:pPr>
      <w:r/>
      <w:r>
        <w:rPr>
          <w:b/>
        </w:rPr>
        <w:t>Enfant et adolescent &lt; 18 ans</w:t>
      </w:r>
      <w:r>
        <w:t xml:space="preserve"> : non recommandé (population non étudiée).</w:t>
      </w:r>
    </w:p>
    <w:p>
      <w:pPr>
        <w:pStyle w:val="ListBullet"/>
      </w:pPr>
      <w:r/>
      <w:r>
        <w:rPr>
          <w:b/>
        </w:rPr>
        <w:t>Durée :</w:t>
      </w:r>
      <w:r>
        <w:t xml:space="preserve"> Traitement de fond </w:t>
      </w:r>
      <w:r>
        <w:rPr>
          <w:b/>
        </w:rPr>
        <w:t>au long cours</w:t>
      </w:r>
      <w:r>
        <w:t xml:space="preserve"> (années). Ne pas arrêter brutalement sans avis médical. Ne pas utiliser pour traiter une crise aiguë.</w:t>
      </w:r>
    </w:p>
    <w:p>
      <w:pPr>
        <w:pStyle w:val="ListBullet"/>
      </w:pPr>
      <w:r/>
      <w:r>
        <w:rPr>
          <w:b/>
        </w:rPr>
        <w:t>Moment de la prise :</w:t>
      </w:r>
      <w:r>
        <w:t xml:space="preserve"> Prise unique quotidienne à heure fixe (le matin de préférence), tous les jours, sans interruption. Ne pas prendre en fin de soirée si insomnie.</w:t>
      </w:r>
    </w:p>
    <w:p>
      <w:r/>
      <w:r>
        <w:rPr>
          <w:b/>
        </w:rPr>
        <w:t>Arbitrage et Bénéfices des Formes Galéniques :</w:t>
      </w:r>
      <w:r/>
    </w:p>
    <w:p>
      <w:r>
        <w:t xml:space="preserve">La </w:t>
      </w:r>
      <w:r>
        <w:rPr>
          <w:b/>
        </w:rPr>
        <w:t>poudre sèche avec inhalateur Ellipta</w:t>
      </w:r>
      <w:r>
        <w:t xml:space="preserve"> est la seule forme disponible en Algérie pour l'association umeclidinium + vilantérol. L'inhalateur Ellipta (GSK) est un dispositif </w:t>
      </w:r>
      <w:r>
        <w:rPr>
          <w:b/>
        </w:rPr>
        <w:t>pré-rempli</w:t>
      </w:r>
      <w:r>
        <w:t xml:space="preserve"> (30 doses prêtes à l'emploi, sans manipulation de gélules), avec un </w:t>
      </w:r>
      <w:r>
        <w:rPr>
          <w:b/>
        </w:rPr>
        <w:t>levier latéral</w:t>
      </w:r>
      <w:r>
        <w:t xml:space="preserve"> qui arme la dose et un </w:t>
      </w:r>
      <w:r>
        <w:rPr>
          <w:b/>
        </w:rPr>
        <w:t>compteur de doses</w:t>
      </w:r>
      <w:r>
        <w:t xml:space="preserve"> intégré. Ce dispositif est particulièrement adapté aux patients âgés (population cible BPCO) et à ceux ayant des difficultés de manipulation fine. La technique d'inhalation est simplifiée : ouvrir le couvercle (arme automatiquement la dose), expirer à fond à l'écart, inspirer profondément et de manière prolongée, retenir le souffle 5-10 secondes. Le débit inspiratoire nécessaire est modéré (≥ 30 L/min). La nébulisation de l'association n'est pas disponible en Algérie.</w:t>
      </w:r>
    </w:p>
    <w:p>
      <w:r/>
      <w:r>
        <w:rPr>
          <w:b/>
        </w:rPr>
        <w:t>Instructions et Conseils au Patient :</w:t>
      </w:r>
      <w:r/>
    </w:p>
    <w:p>
      <w:pPr>
        <w:pStyle w:val="ListBullet"/>
      </w:pPr>
      <w:r/>
      <w:r>
        <w:rPr>
          <w:b/>
        </w:rPr>
        <w:t>Communication au comptoir :</w:t>
      </w:r>
      <w:r>
        <w:t xml:space="preserve"> « Ce médicament est un </w:t>
      </w:r>
      <w:r>
        <w:rPr>
          <w:b/>
        </w:rPr>
        <w:t>traitement de fond</w:t>
      </w:r>
      <w:r>
        <w:t xml:space="preserve"> : vous devez le prendre </w:t>
      </w:r>
      <w:r>
        <w:rPr>
          <w:b/>
        </w:rPr>
        <w:t>tous les jours, une fois par jour, à heure fixe</w:t>
      </w:r>
      <w:r>
        <w:t xml:space="preserve"> (le matin de préférence), </w:t>
      </w:r>
      <w:r>
        <w:rPr>
          <w:b/>
        </w:rPr>
        <w:t>même si vous vous sentez bien</w:t>
      </w:r>
      <w:r>
        <w:t xml:space="preserve">. Il combine </w:t>
      </w:r>
      <w:r>
        <w:rPr>
          <w:b/>
        </w:rPr>
        <w:t>deux bronchodilatateurs</w:t>
      </w:r>
      <w:r>
        <w:t xml:space="preserve"> qui agissent pendant 24 heures. </w:t>
      </w:r>
      <w:r>
        <w:rPr>
          <w:b/>
        </w:rPr>
        <w:t>Pour les crises, vous devez avoir votre salbutamol inhalé</w:t>
      </w:r>
      <w:r>
        <w:t xml:space="preserve"> — ce médicament ne sert pas à traiter une crise. </w:t>
      </w:r>
      <w:r>
        <w:rPr>
          <w:b/>
        </w:rPr>
        <w:t>Si vous êtes asthmatique</w:t>
      </w:r>
      <w:r>
        <w:t xml:space="preserve">, ce médicament ne convient pas sans un traitement anti-inflammatoire (corticoïde inhalé) associé — vérifiez avec votre médecin. Pour inhaler : ouvrez le couvercle (cela arme automatiquement la dose), expirez à fond, </w:t>
      </w:r>
      <w:r>
        <w:rPr>
          <w:b/>
        </w:rPr>
        <w:t>inhalez profondément et de manière prolongée</w:t>
      </w:r>
      <w:r>
        <w:t xml:space="preserve"> (3-4 secondes), retenez votre souffle 5-10 secondes. Le compteur de doses vous indique combien il reste d'inhalations. »</w:t>
      </w:r>
    </w:p>
    <w:p>
      <w:pPr>
        <w:pStyle w:val="ListBullet"/>
      </w:pPr>
      <w:r/>
      <w:r>
        <w:rPr>
          <w:b/>
        </w:rPr>
        <w:t>Mode d'utilisation pratique :</w:t>
      </w:r>
      <w:r>
        <w:t xml:space="preserve"> Démontrer la technique à chaque délivrance : (1) vérifier le compteur de doses ; (2) ouvrir le couvercle jusqu'au clic (arme la dose) ; (3) expirer à fond, </w:t>
      </w:r>
      <w:r>
        <w:rPr>
          <w:b/>
        </w:rPr>
        <w:t>à l'écart de l'inhalateur</w:t>
      </w:r>
      <w:r>
        <w:t xml:space="preserve"> ; (4) placer l'embout buccal entre les lèvres, </w:t>
      </w:r>
      <w:r>
        <w:rPr>
          <w:b/>
        </w:rPr>
        <w:t>bien jointes</w:t>
      </w:r>
      <w:r>
        <w:t xml:space="preserve"> ; (5) inspirer </w:t>
      </w:r>
      <w:r>
        <w:rPr>
          <w:b/>
        </w:rPr>
        <w:t>profondément et de manière prolongée</w:t>
      </w:r>
      <w:r>
        <w:t xml:space="preserve"> (3-4 secondes) ; (6) retirer l'inhalateur de la bouche, retenir le souffle 5-10 secondes ; (7) expirer lentement ; (8) fermer le couvercle. </w:t>
      </w:r>
      <w:r>
        <w:rPr>
          <w:b/>
        </w:rPr>
        <w:t>Ne pas expirer dans l'inhalateur</w:t>
      </w:r>
      <w:r>
        <w:t xml:space="preserve"> (cela pourrait altérer la poudre). Nettoyer l'embout buccal avec un coton-tige sec si nécessaire (jamais d'eau).</w:t>
      </w:r>
    </w:p>
    <w:p>
      <w:r/>
      <w:r>
        <w:rPr>
          <w:b/>
        </w:rPr>
        <w:t>Notes, Règles d'Or &amp; Pièges au Comptoir :</w:t>
      </w:r>
      <w:r/>
    </w:p>
    <w:p>
      <w:pPr>
        <w:pStyle w:val="ListBullet"/>
      </w:pPr>
      <w:r/>
      <w:r>
        <w:rPr>
          <w:b/>
        </w:rPr>
        <w:t>Piège classique :</w:t>
      </w:r>
      <w:r>
        <w:t xml:space="preserve"> L'utilisation de l'ANORO ELLIPTA chez un patient asthmatique </w:t>
      </w:r>
      <w:r>
        <w:rPr>
          <w:b/>
        </w:rPr>
        <w:t>sans CSI associé</w:t>
      </w:r>
      <w:r>
        <w:t xml:space="preserve"> est une </w:t>
      </w:r>
      <w:r>
        <w:rPr>
          <w:b/>
        </w:rPr>
        <w:t>erreur grave</w:t>
      </w:r>
      <w:r>
        <w:t xml:space="preserve"> qui doit être détectée par le pharmacien. Vérifier systématiquement la prescription d'un CSI ou d'une association CSI/LABA. En cas de doute, alerter le médecin prescripteur. Dans la BPCO, en revanche, l'ANORO ELLIPTA est un traitement de fond valide.</w:t>
      </w:r>
    </w:p>
    <w:p>
      <w:pPr>
        <w:pStyle w:val="ListBullet"/>
      </w:pPr>
      <w:r/>
      <w:r>
        <w:rPr>
          <w:b/>
        </w:rPr>
        <w:t>Règle de prise :</w:t>
      </w:r>
      <w:r>
        <w:t xml:space="preserve"> </w:t>
      </w:r>
      <w:r>
        <w:rPr>
          <w:b/>
        </w:rPr>
        <w:t>Une seule inhalation par jour</w:t>
      </w:r>
      <w:r>
        <w:t>, à heure fixe, tous les jours, sans interruption. Ne jamais doubler une dose oubliée — si oubli, prendre la dose dès que possible dans la même journée, et reprendre le rythme normal le lendemain. Ne pas utiliser pour traiter une crise.</w:t>
      </w:r>
    </w:p>
    <w:p>
      <w:pPr>
        <w:pStyle w:val="ListBullet"/>
      </w:pPr>
      <w:r/>
      <w:r>
        <w:rPr>
          <w:b/>
        </w:rPr>
        <w:t>Préparation et Conservation :</w:t>
      </w:r>
      <w:r>
        <w:t xml:space="preserve"> Inhalateur Ellipta : conservation à &lt; 25 °C, à l'abri de l'humidité, dans l'emballage d'origine. Ne pas exposer à des températures extrêmes. Jeter l'inhalateur après utilisation des 30 doses (ne pas recharger). Durée de conservation après première ouverture : 6 semaines maximum (vérifier le compteur).</w:t>
      </w:r>
    </w:p>
    <w:p>
      <w:pPr>
        <w:pStyle w:val="ListBullet"/>
      </w:pPr>
      <w:r/>
      <w:r>
        <w:rPr>
          <w:b/>
        </w:rPr>
        <w:t>Piège du surdosage / Substitution :</w:t>
      </w:r>
      <w:r>
        <w:t xml:space="preserve"> L'ANORO ELLIPTA ne doit pas être substitué par une monothérol LAMA (tiotropium) ou LABA (formotérol) sans avis médical (perte de la synergie). Ne pas associer à un autre LAMA (tiotropium) ou LABA (formotérol, salmétérol) en continu (surdosage). Le SABA (salbutamol) en secours ponctuel est autorisé. Vérifier systématiquement que le patient maîtrise la technique d'inhalation Ellipta après la première délivrance (technique différente des DPI en gélules). Ne pas substituer par l'association salbutamol + ipratropium (SABA + SAMA, durée d'action différente).</w:t>
      </w:r>
    </w:p>
    <w:p>
      <w:pPr>
        <w:pStyle w:val="Heading2"/>
      </w:pPr>
      <w:r>
        <w:t>13. Tableau comparatif synthétique des bronchodilatateurs</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Sous-classe</w:t>
            </w:r>
          </w:p>
        </w:tc>
        <w:tc>
          <w:tcPr>
            <w:tcW w:type="dxa" w:w="1169"/>
          </w:tcPr>
          <w:p>
            <w:r>
              <w:rPr>
                <w:b/>
                <w:sz w:val="20"/>
              </w:rPr>
              <w:t>Délai d'action</w:t>
            </w:r>
          </w:p>
        </w:tc>
        <w:tc>
          <w:tcPr>
            <w:tcW w:type="dxa" w:w="1169"/>
          </w:tcPr>
          <w:p>
            <w:r>
              <w:rPr>
                <w:b/>
                <w:sz w:val="20"/>
              </w:rPr>
              <w:t>Durée d'action</w:t>
            </w:r>
          </w:p>
        </w:tc>
        <w:tc>
          <w:tcPr>
            <w:tcW w:type="dxa" w:w="1169"/>
          </w:tcPr>
          <w:p>
            <w:r>
              <w:rPr>
                <w:b/>
                <w:sz w:val="20"/>
              </w:rPr>
              <w:t>Posologie usuelle (inhalée)</w:t>
            </w:r>
          </w:p>
        </w:tc>
        <w:tc>
          <w:tcPr>
            <w:tcW w:type="dxa" w:w="1169"/>
          </w:tcPr>
          <w:p>
            <w:r>
              <w:rPr>
                <w:b/>
                <w:sz w:val="20"/>
              </w:rPr>
              <w:t>Effet indésirable majeur</w:t>
            </w:r>
          </w:p>
        </w:tc>
        <w:tc>
          <w:tcPr>
            <w:tcW w:type="dxa" w:w="1169"/>
          </w:tcPr>
          <w:p>
            <w:r>
              <w:rPr>
                <w:b/>
                <w:sz w:val="20"/>
              </w:rPr>
              <w:t>Contre-indication majeure</w:t>
            </w:r>
          </w:p>
        </w:tc>
        <w:tc>
          <w:tcPr>
            <w:tcW w:type="dxa" w:w="1169"/>
          </w:tcPr>
          <w:p>
            <w:r>
              <w:rPr>
                <w:b/>
                <w:sz w:val="20"/>
              </w:rPr>
              <w:t>Grossesse</w:t>
            </w:r>
          </w:p>
        </w:tc>
      </w:tr>
      <w:tr>
        <w:tc>
          <w:tcPr>
            <w:tcW w:type="dxa" w:w="1169"/>
          </w:tcPr>
          <w:p>
            <w:r>
              <w:rPr>
                <w:sz w:val="20"/>
              </w:rPr>
              <w:t>**Salbutamol**</w:t>
            </w:r>
          </w:p>
        </w:tc>
        <w:tc>
          <w:tcPr>
            <w:tcW w:type="dxa" w:w="1169"/>
          </w:tcPr>
          <w:p>
            <w:r>
              <w:rPr>
                <w:sz w:val="20"/>
              </w:rPr>
              <w:t>SABA</w:t>
            </w:r>
          </w:p>
        </w:tc>
        <w:tc>
          <w:tcPr>
            <w:tcW w:type="dxa" w:w="1169"/>
          </w:tcPr>
          <w:p>
            <w:r>
              <w:rPr>
                <w:sz w:val="20"/>
              </w:rPr>
              <w:t>5 min</w:t>
            </w:r>
          </w:p>
        </w:tc>
        <w:tc>
          <w:tcPr>
            <w:tcW w:type="dxa" w:w="1169"/>
          </w:tcPr>
          <w:p>
            <w:r>
              <w:rPr>
                <w:sz w:val="20"/>
              </w:rPr>
              <w:t>4-6 h</w:t>
            </w:r>
          </w:p>
        </w:tc>
        <w:tc>
          <w:tcPr>
            <w:tcW w:type="dxa" w:w="1169"/>
          </w:tcPr>
          <w:p>
            <w:r>
              <w:rPr>
                <w:sz w:val="20"/>
              </w:rPr>
              <w:t>100-200 µg à la demande, max 8 bouffées/24 h (MDI)</w:t>
            </w:r>
          </w:p>
        </w:tc>
        <w:tc>
          <w:tcPr>
            <w:tcW w:type="dxa" w:w="1169"/>
          </w:tcPr>
          <w:p>
            <w:r>
              <w:rPr>
                <w:sz w:val="20"/>
              </w:rPr>
              <w:t>Tremblements, tachycardie, hypokaliémie</w:t>
            </w:r>
          </w:p>
        </w:tc>
        <w:tc>
          <w:tcPr>
            <w:tcW w:type="dxa" w:w="1169"/>
          </w:tcPr>
          <w:p>
            <w:r>
              <w:rPr>
                <w:sz w:val="20"/>
              </w:rPr>
              <w:t>β-bloquants non sélectifs, hypersensibilité</w:t>
            </w:r>
          </w:p>
        </w:tc>
        <w:tc>
          <w:tcPr>
            <w:tcW w:type="dxa" w:w="1169"/>
          </w:tcPr>
          <w:p>
            <w:r>
              <w:rPr>
                <w:sz w:val="20"/>
              </w:rPr>
              <w:t>Compatible (CRAT) — molécule de choix</w:t>
            </w:r>
          </w:p>
        </w:tc>
      </w:tr>
      <w:tr>
        <w:tc>
          <w:tcPr>
            <w:tcW w:type="dxa" w:w="1169"/>
          </w:tcPr>
          <w:p>
            <w:r>
              <w:rPr>
                <w:sz w:val="20"/>
              </w:rPr>
              <w:t>**Terbutaline**</w:t>
            </w:r>
          </w:p>
        </w:tc>
        <w:tc>
          <w:tcPr>
            <w:tcW w:type="dxa" w:w="1169"/>
          </w:tcPr>
          <w:p>
            <w:r>
              <w:rPr>
                <w:sz w:val="20"/>
              </w:rPr>
              <w:t>SABA</w:t>
            </w:r>
          </w:p>
        </w:tc>
        <w:tc>
          <w:tcPr>
            <w:tcW w:type="dxa" w:w="1169"/>
          </w:tcPr>
          <w:p>
            <w:r>
              <w:rPr>
                <w:sz w:val="20"/>
              </w:rPr>
              <w:t>5-15 min</w:t>
            </w:r>
          </w:p>
        </w:tc>
        <w:tc>
          <w:tcPr>
            <w:tcW w:type="dxa" w:w="1169"/>
          </w:tcPr>
          <w:p>
            <w:r>
              <w:rPr>
                <w:sz w:val="20"/>
              </w:rPr>
              <w:t>4-6 h</w:t>
            </w:r>
          </w:p>
        </w:tc>
        <w:tc>
          <w:tcPr>
            <w:tcW w:type="dxa" w:w="1169"/>
          </w:tcPr>
          <w:p>
            <w:r>
              <w:rPr>
                <w:sz w:val="20"/>
              </w:rPr>
              <w:t>5 mg LP × 2/jour (oral) ; 0,5 mg SC/IV</w:t>
            </w:r>
          </w:p>
        </w:tc>
        <w:tc>
          <w:tcPr>
            <w:tcW w:type="dxa" w:w="1169"/>
          </w:tcPr>
          <w:p>
            <w:r>
              <w:rPr>
                <w:sz w:val="20"/>
              </w:rPr>
              <w:t>Tremblements, tachycardie, hypokaliémie</w:t>
            </w:r>
          </w:p>
        </w:tc>
        <w:tc>
          <w:tcPr>
            <w:tcW w:type="dxa" w:w="1169"/>
          </w:tcPr>
          <w:p>
            <w:r>
              <w:rPr>
                <w:sz w:val="20"/>
              </w:rPr>
              <w:t>β-bloquants non sélectifs, hypersensibilité</w:t>
            </w:r>
          </w:p>
        </w:tc>
        <w:tc>
          <w:tcPr>
            <w:tcW w:type="dxa" w:w="1169"/>
          </w:tcPr>
          <w:p>
            <w:r>
              <w:rPr>
                <w:sz w:val="20"/>
              </w:rPr>
              <w:t>Compatible (CRAT) — alternative au salbutamol</w:t>
            </w:r>
          </w:p>
        </w:tc>
      </w:tr>
      <w:tr>
        <w:tc>
          <w:tcPr>
            <w:tcW w:type="dxa" w:w="1169"/>
          </w:tcPr>
          <w:p>
            <w:r>
              <w:rPr>
                <w:sz w:val="20"/>
              </w:rPr>
              <w:t>**Formotérol**</w:t>
            </w:r>
          </w:p>
        </w:tc>
        <w:tc>
          <w:tcPr>
            <w:tcW w:type="dxa" w:w="1169"/>
          </w:tcPr>
          <w:p>
            <w:r>
              <w:rPr>
                <w:sz w:val="20"/>
              </w:rPr>
              <w:t>LABA</w:t>
            </w:r>
          </w:p>
        </w:tc>
        <w:tc>
          <w:tcPr>
            <w:tcW w:type="dxa" w:w="1169"/>
          </w:tcPr>
          <w:p>
            <w:r>
              <w:rPr>
                <w:sz w:val="20"/>
              </w:rPr>
              <w:t>1-3 min</w:t>
            </w:r>
          </w:p>
        </w:tc>
        <w:tc>
          <w:tcPr>
            <w:tcW w:type="dxa" w:w="1169"/>
          </w:tcPr>
          <w:p>
            <w:r>
              <w:rPr>
                <w:sz w:val="20"/>
              </w:rPr>
              <w:t>12 h</w:t>
            </w:r>
          </w:p>
        </w:tc>
        <w:tc>
          <w:tcPr>
            <w:tcW w:type="dxa" w:w="1169"/>
          </w:tcPr>
          <w:p>
            <w:r>
              <w:rPr>
                <w:sz w:val="20"/>
              </w:rPr>
              <w:t>12-24 µg × 2/jour (DPI ou MDI)</w:t>
            </w:r>
          </w:p>
        </w:tc>
        <w:tc>
          <w:tcPr>
            <w:tcW w:type="dxa" w:w="1169"/>
          </w:tcPr>
          <w:p>
            <w:r>
              <w:rPr>
                <w:sz w:val="20"/>
              </w:rPr>
              <w:t>Tremblements, céphalées, hypokaliémie</w:t>
            </w:r>
          </w:p>
        </w:tc>
        <w:tc>
          <w:tcPr>
            <w:tcW w:type="dxa" w:w="1169"/>
          </w:tcPr>
          <w:p>
            <w:r>
              <w:rPr>
                <w:sz w:val="20"/>
              </w:rPr>
              <w:t>Asthme sans CSI associé, β-bloquants non sélectifs</w:t>
            </w:r>
          </w:p>
        </w:tc>
        <w:tc>
          <w:tcPr>
            <w:tcW w:type="dxa" w:w="1169"/>
          </w:tcPr>
          <w:p>
            <w:r>
              <w:rPr>
                <w:sz w:val="20"/>
              </w:rPr>
              <w:t>Compatible (CRAT) en association avec CSI</w:t>
            </w:r>
          </w:p>
        </w:tc>
      </w:tr>
      <w:tr>
        <w:tc>
          <w:tcPr>
            <w:tcW w:type="dxa" w:w="1169"/>
          </w:tcPr>
          <w:p>
            <w:r>
              <w:rPr>
                <w:sz w:val="20"/>
              </w:rPr>
              <w:t>**Salmétérol**</w:t>
            </w:r>
          </w:p>
        </w:tc>
        <w:tc>
          <w:tcPr>
            <w:tcW w:type="dxa" w:w="1169"/>
          </w:tcPr>
          <w:p>
            <w:r>
              <w:rPr>
                <w:sz w:val="20"/>
              </w:rPr>
              <w:t>LABA</w:t>
            </w:r>
          </w:p>
        </w:tc>
        <w:tc>
          <w:tcPr>
            <w:tcW w:type="dxa" w:w="1169"/>
          </w:tcPr>
          <w:p>
            <w:r>
              <w:rPr>
                <w:sz w:val="20"/>
              </w:rPr>
              <w:t>30-50 min</w:t>
            </w:r>
          </w:p>
        </w:tc>
        <w:tc>
          <w:tcPr>
            <w:tcW w:type="dxa" w:w="1169"/>
          </w:tcPr>
          <w:p>
            <w:r>
              <w:rPr>
                <w:sz w:val="20"/>
              </w:rPr>
              <w:t>12 h</w:t>
            </w:r>
          </w:p>
        </w:tc>
        <w:tc>
          <w:tcPr>
            <w:tcW w:type="dxa" w:w="1169"/>
          </w:tcPr>
          <w:p>
            <w:r>
              <w:rPr>
                <w:sz w:val="20"/>
              </w:rPr>
              <w:t>50 µg × 2/jour (MDI)</w:t>
            </w:r>
          </w:p>
        </w:tc>
        <w:tc>
          <w:tcPr>
            <w:tcW w:type="dxa" w:w="1169"/>
          </w:tcPr>
          <w:p>
            <w:r>
              <w:rPr>
                <w:sz w:val="20"/>
              </w:rPr>
              <w:t>Tremblements, céphalées, augmentation mortalité asthme en monothérol</w:t>
            </w:r>
          </w:p>
        </w:tc>
        <w:tc>
          <w:tcPr>
            <w:tcW w:type="dxa" w:w="1169"/>
          </w:tcPr>
          <w:p>
            <w:r>
              <w:rPr>
                <w:sz w:val="20"/>
              </w:rPr>
              <w:t>Asthme sans CSI associé (règle absolue GINA), β-bloquants non sélectifs</w:t>
            </w:r>
          </w:p>
        </w:tc>
        <w:tc>
          <w:tcPr>
            <w:tcW w:type="dxa" w:w="1169"/>
          </w:tcPr>
          <w:p>
            <w:r>
              <w:rPr>
                <w:sz w:val="20"/>
              </w:rPr>
              <w:t>Compatible (CRAT) en association avec CSI</w:t>
            </w:r>
          </w:p>
        </w:tc>
      </w:tr>
      <w:tr>
        <w:tc>
          <w:tcPr>
            <w:tcW w:type="dxa" w:w="1169"/>
          </w:tcPr>
          <w:p>
            <w:r>
              <w:rPr>
                <w:sz w:val="20"/>
              </w:rPr>
              <w:t>**Ipratropium**</w:t>
            </w:r>
          </w:p>
        </w:tc>
        <w:tc>
          <w:tcPr>
            <w:tcW w:type="dxa" w:w="1169"/>
          </w:tcPr>
          <w:p>
            <w:r>
              <w:rPr>
                <w:sz w:val="20"/>
              </w:rPr>
              <w:t>SAMA</w:t>
            </w:r>
          </w:p>
        </w:tc>
        <w:tc>
          <w:tcPr>
            <w:tcW w:type="dxa" w:w="1169"/>
          </w:tcPr>
          <w:p>
            <w:r>
              <w:rPr>
                <w:sz w:val="20"/>
              </w:rPr>
              <w:t>15-30 min</w:t>
            </w:r>
          </w:p>
        </w:tc>
        <w:tc>
          <w:tcPr>
            <w:tcW w:type="dxa" w:w="1169"/>
          </w:tcPr>
          <w:p>
            <w:r>
              <w:rPr>
                <w:sz w:val="20"/>
              </w:rPr>
              <w:t>4-6 h</w:t>
            </w:r>
          </w:p>
        </w:tc>
        <w:tc>
          <w:tcPr>
            <w:tcW w:type="dxa" w:w="1169"/>
          </w:tcPr>
          <w:p>
            <w:r>
              <w:rPr>
                <w:sz w:val="20"/>
              </w:rPr>
              <w:t>0,5 mg/2 mL nébulisé × 3-4/jour</w:t>
            </w:r>
          </w:p>
        </w:tc>
        <w:tc>
          <w:tcPr>
            <w:tcW w:type="dxa" w:w="1169"/>
          </w:tcPr>
          <w:p>
            <w:r>
              <w:rPr>
                <w:sz w:val="20"/>
              </w:rPr>
              <w:t>Bouche sèche, rétention urinaire, glaucome</w:t>
            </w:r>
          </w:p>
        </w:tc>
        <w:tc>
          <w:tcPr>
            <w:tcW w:type="dxa" w:w="1169"/>
          </w:tcPr>
          <w:p>
            <w:r>
              <w:rPr>
                <w:sz w:val="20"/>
              </w:rPr>
              <w:t>Glaucome à angle fermé, HBP sévère</w:t>
            </w:r>
          </w:p>
        </w:tc>
        <w:tc>
          <w:tcPr>
            <w:tcW w:type="dxa" w:w="1169"/>
          </w:tcPr>
          <w:p>
            <w:r>
              <w:rPr>
                <w:sz w:val="20"/>
              </w:rPr>
              <w:t>Compatible (CRAT)</w:t>
            </w:r>
          </w:p>
        </w:tc>
      </w:tr>
      <w:tr>
        <w:tc>
          <w:tcPr>
            <w:tcW w:type="dxa" w:w="1169"/>
          </w:tcPr>
          <w:p>
            <w:r>
              <w:rPr>
                <w:sz w:val="20"/>
              </w:rPr>
              <w:t>**Tiotropium**</w:t>
            </w:r>
          </w:p>
        </w:tc>
        <w:tc>
          <w:tcPr>
            <w:tcW w:type="dxa" w:w="1169"/>
          </w:tcPr>
          <w:p>
            <w:r>
              <w:rPr>
                <w:sz w:val="20"/>
              </w:rPr>
              <w:t>LAMA</w:t>
            </w:r>
          </w:p>
        </w:tc>
        <w:tc>
          <w:tcPr>
            <w:tcW w:type="dxa" w:w="1169"/>
          </w:tcPr>
          <w:p>
            <w:r>
              <w:rPr>
                <w:sz w:val="20"/>
              </w:rPr>
              <w:t>30 min</w:t>
            </w:r>
          </w:p>
        </w:tc>
        <w:tc>
          <w:tcPr>
            <w:tcW w:type="dxa" w:w="1169"/>
          </w:tcPr>
          <w:p>
            <w:r>
              <w:rPr>
                <w:sz w:val="20"/>
              </w:rPr>
              <w:t>24 h</w:t>
            </w:r>
          </w:p>
        </w:tc>
        <w:tc>
          <w:tcPr>
            <w:tcW w:type="dxa" w:w="1169"/>
          </w:tcPr>
          <w:p>
            <w:r>
              <w:rPr>
                <w:sz w:val="20"/>
              </w:rPr>
              <w:t>18 µg × 1/jour (DPI)</w:t>
            </w:r>
          </w:p>
        </w:tc>
        <w:tc>
          <w:tcPr>
            <w:tcW w:type="dxa" w:w="1169"/>
          </w:tcPr>
          <w:p>
            <w:r>
              <w:rPr>
                <w:sz w:val="20"/>
              </w:rPr>
              <w:t>Bouche sèche, rétention urinaire, glaucome</w:t>
            </w:r>
          </w:p>
        </w:tc>
        <w:tc>
          <w:tcPr>
            <w:tcW w:type="dxa" w:w="1169"/>
          </w:tcPr>
          <w:p>
            <w:r>
              <w:rPr>
                <w:sz w:val="20"/>
              </w:rPr>
              <w:t>Glaucome à angle fermé, HBP sévère</w:t>
            </w:r>
          </w:p>
        </w:tc>
        <w:tc>
          <w:tcPr>
            <w:tcW w:type="dxa" w:w="1169"/>
          </w:tcPr>
          <w:p>
            <w:r>
              <w:rPr>
                <w:sz w:val="20"/>
              </w:rPr>
              <w:t>Compatible (CRAT) en cas de nécessité</w:t>
            </w:r>
          </w:p>
        </w:tc>
      </w:tr>
      <w:tr>
        <w:tc>
          <w:tcPr>
            <w:tcW w:type="dxa" w:w="1169"/>
          </w:tcPr>
          <w:p>
            <w:r>
              <w:rPr>
                <w:sz w:val="20"/>
              </w:rPr>
              <w:t>**Salbutamol + Ipratropium** (IPRALIN)</w:t>
            </w:r>
          </w:p>
        </w:tc>
        <w:tc>
          <w:tcPr>
            <w:tcW w:type="dxa" w:w="1169"/>
          </w:tcPr>
          <w:p>
            <w:r>
              <w:rPr>
                <w:sz w:val="20"/>
              </w:rPr>
              <w:t>SABA + SAMA</w:t>
            </w:r>
          </w:p>
        </w:tc>
        <w:tc>
          <w:tcPr>
            <w:tcW w:type="dxa" w:w="1169"/>
          </w:tcPr>
          <w:p>
            <w:r>
              <w:rPr>
                <w:sz w:val="20"/>
              </w:rPr>
              <w:t>5 min (salbutamol) ; 15-30 min (ipratropium)</w:t>
            </w:r>
          </w:p>
        </w:tc>
        <w:tc>
          <w:tcPr>
            <w:tcW w:type="dxa" w:w="1169"/>
          </w:tcPr>
          <w:p>
            <w:r>
              <w:rPr>
                <w:sz w:val="20"/>
              </w:rPr>
              <w:t>4-6 h</w:t>
            </w:r>
          </w:p>
        </w:tc>
        <w:tc>
          <w:tcPr>
            <w:tcW w:type="dxa" w:w="1169"/>
          </w:tcPr>
          <w:p>
            <w:r>
              <w:rPr>
                <w:sz w:val="20"/>
              </w:rPr>
              <w:t>200 µg/40 µg à la demande, max 4 gélules/24 h (DPI)</w:t>
            </w:r>
          </w:p>
        </w:tc>
        <w:tc>
          <w:tcPr>
            <w:tcW w:type="dxa" w:w="1169"/>
          </w:tcPr>
          <w:p>
            <w:r>
              <w:rPr>
                <w:sz w:val="20"/>
              </w:rPr>
              <w:t>Cumul SABA + SAMA : tremblements, bouche sèche, hypokaliémie, rétention urinaire</w:t>
            </w:r>
          </w:p>
        </w:tc>
        <w:tc>
          <w:tcPr>
            <w:tcW w:type="dxa" w:w="1169"/>
          </w:tcPr>
          <w:p>
            <w:r>
              <w:rPr>
                <w:sz w:val="20"/>
              </w:rPr>
              <w:t>Glaucome, HBP sévère, β-bloquants non sélectifs</w:t>
            </w:r>
          </w:p>
        </w:tc>
        <w:tc>
          <w:tcPr>
            <w:tcW w:type="dxa" w:w="1169"/>
          </w:tcPr>
          <w:p>
            <w:r>
              <w:rPr>
                <w:sz w:val="20"/>
              </w:rPr>
              <w:t>Compatible (CRAT)</w:t>
            </w:r>
          </w:p>
        </w:tc>
      </w:tr>
      <w:tr>
        <w:tc>
          <w:tcPr>
            <w:tcW w:type="dxa" w:w="1169"/>
          </w:tcPr>
          <w:p>
            <w:r>
              <w:rPr>
                <w:sz w:val="20"/>
              </w:rPr>
              <w:t>**Umeclidinium + Vilantérol** (ANORO ELLIPTA)</w:t>
            </w:r>
          </w:p>
        </w:tc>
        <w:tc>
          <w:tcPr>
            <w:tcW w:type="dxa" w:w="1169"/>
          </w:tcPr>
          <w:p>
            <w:r>
              <w:rPr>
                <w:sz w:val="20"/>
              </w:rPr>
              <w:t>LAMA + LABA</w:t>
            </w:r>
          </w:p>
        </w:tc>
        <w:tc>
          <w:tcPr>
            <w:tcW w:type="dxa" w:w="1169"/>
          </w:tcPr>
          <w:p>
            <w:r>
              <w:rPr>
                <w:sz w:val="20"/>
              </w:rPr>
              <w:t>5-15 min (vilantérol) ; 30 min (umeclidinium)</w:t>
            </w:r>
          </w:p>
        </w:tc>
        <w:tc>
          <w:tcPr>
            <w:tcW w:type="dxa" w:w="1169"/>
          </w:tcPr>
          <w:p>
            <w:r>
              <w:rPr>
                <w:sz w:val="20"/>
              </w:rPr>
              <w:t>24 h</w:t>
            </w:r>
          </w:p>
        </w:tc>
        <w:tc>
          <w:tcPr>
            <w:tcW w:type="dxa" w:w="1169"/>
          </w:tcPr>
          <w:p>
            <w:r>
              <w:rPr>
                <w:sz w:val="20"/>
              </w:rPr>
              <w:t>65 µg/22 µg × 1/jour (DPI Ellipta)</w:t>
            </w:r>
          </w:p>
        </w:tc>
        <w:tc>
          <w:tcPr>
            <w:tcW w:type="dxa" w:w="1169"/>
          </w:tcPr>
          <w:p>
            <w:r>
              <w:rPr>
                <w:sz w:val="20"/>
              </w:rPr>
              <w:t>Bouche sèche, tremblements, tachycardie, rétention urinaire, hypokaliémie</w:t>
            </w:r>
          </w:p>
        </w:tc>
        <w:tc>
          <w:tcPr>
            <w:tcW w:type="dxa" w:w="1169"/>
          </w:tcPr>
          <w:p>
            <w:r>
              <w:rPr>
                <w:sz w:val="20"/>
              </w:rPr>
              <w:t>Asthme sans CSI associé, glaucome, HBP sévère, β-bloquants non sélectifs</w:t>
            </w:r>
          </w:p>
        </w:tc>
        <w:tc>
          <w:tcPr>
            <w:tcW w:type="dxa" w:w="1169"/>
          </w:tcPr>
          <w:p>
            <w:r>
              <w:rPr>
                <w:sz w:val="20"/>
              </w:rPr>
              <w:t>Déconseillée par défaut de données (BPCO = population cible)</w:t>
            </w:r>
          </w:p>
        </w:tc>
      </w:tr>
    </w:tbl>
    <w:p/>
    <w:p>
      <w:pPr>
        <w:pStyle w:val="Heading3"/>
      </w:pPr>
      <w:r>
        <w:t>Récapitulatif des règles d'or</w:t>
      </w:r>
    </w:p>
    <w:p>
      <w:pPr>
        <w:pStyle w:val="ListNumber"/>
      </w:pPr>
      <w:r/>
      <w:r>
        <w:rPr>
          <w:b/>
        </w:rPr>
        <w:t>SABA (salbutamol, terbutaline)</w:t>
      </w:r>
      <w:r>
        <w:t xml:space="preserve"> : traitement </w:t>
      </w:r>
      <w:r>
        <w:rPr>
          <w:b/>
        </w:rPr>
        <w:t>de secours à la demande</w:t>
      </w:r>
      <w:r>
        <w:t>. Surconsommation &gt; 1 flacon/mois = asthme non contrôlé = consultation médicale urgente pour escalade thérapeutique.</w:t>
      </w:r>
    </w:p>
    <w:p>
      <w:pPr>
        <w:pStyle w:val="ListNumber"/>
      </w:pPr>
      <w:r/>
      <w:r>
        <w:rPr>
          <w:b/>
        </w:rPr>
        <w:t>LABA (formotérol, salmétérol)</w:t>
      </w:r>
      <w:r>
        <w:t xml:space="preserve"> : traitement </w:t>
      </w:r>
      <w:r>
        <w:rPr>
          <w:b/>
        </w:rPr>
        <w:t>de fond au long cours</w:t>
      </w:r>
      <w:r>
        <w:t xml:space="preserve">, en association </w:t>
      </w:r>
      <w:r>
        <w:rPr>
          <w:b/>
        </w:rPr>
        <w:t>obligatoire</w:t>
      </w:r>
      <w:r>
        <w:t xml:space="preserve"> avec un CSI dans l'asthme (règle absolue GINA — risque d'exacerbation sévère et de mortalité). Jamais seul dans l'asthme. Autorisé en monothérol dans la BPCO.</w:t>
      </w:r>
    </w:p>
    <w:p>
      <w:pPr>
        <w:pStyle w:val="ListNumber"/>
      </w:pPr>
      <w:r/>
      <w:r>
        <w:rPr>
          <w:b/>
        </w:rPr>
        <w:t>SAMA (ipratropium)</w:t>
      </w:r>
      <w:r>
        <w:t xml:space="preserve"> : traitement de la </w:t>
      </w:r>
      <w:r>
        <w:rPr>
          <w:b/>
        </w:rPr>
        <w:t>crise sévère</w:t>
      </w:r>
      <w:r>
        <w:t xml:space="preserve"> en nébulisation (en association avec SABA nébulisé) ; alternative de fond dans la BPCO. Surveiller le glaucome et la rétention urinaire.</w:t>
      </w:r>
    </w:p>
    <w:p>
      <w:pPr>
        <w:pStyle w:val="ListNumber"/>
      </w:pPr>
      <w:r/>
      <w:r>
        <w:rPr>
          <w:b/>
        </w:rPr>
        <w:t>LAMA (tiotropium)</w:t>
      </w:r>
      <w:r>
        <w:t xml:space="preserve"> : traitement de </w:t>
      </w:r>
      <w:r>
        <w:rPr>
          <w:b/>
        </w:rPr>
        <w:t>fond de première intention</w:t>
      </w:r>
      <w:r>
        <w:t xml:space="preserve"> dans la BPCO (24 h, prise unique quotidienne). Add-on dans l'asthme sévère (GINA piste 5). Jamais seul comme traitement de secours (onset trop lent).</w:t>
      </w:r>
    </w:p>
    <w:p>
      <w:pPr>
        <w:pStyle w:val="ListNumber"/>
      </w:pPr>
      <w:r/>
      <w:r>
        <w:rPr>
          <w:b/>
        </w:rPr>
        <w:t>Association SABA + SAMA (salbutamol + ipratropium)</w:t>
      </w:r>
      <w:r>
        <w:t xml:space="preserve"> : synergie bronchodilatatrice (mécanismes complémentaires). Forme nébulisée pour la crise sévère (mélanges séparés). Forme DPI (IPRALIN) pour la BPCO ambulatoire.</w:t>
      </w:r>
    </w:p>
    <w:p>
      <w:pPr>
        <w:pStyle w:val="ListNumber"/>
      </w:pPr>
      <w:r/>
      <w:r>
        <w:rPr>
          <w:b/>
        </w:rPr>
        <w:t>Association LAMA + LABA (umeclidinium + vilantérol)</w:t>
      </w:r>
      <w:r>
        <w:t xml:space="preserve"> : traitement de fond de </w:t>
      </w:r>
      <w:r>
        <w:rPr>
          <w:b/>
        </w:rPr>
        <w:t>première intention</w:t>
      </w:r>
      <w:r>
        <w:t xml:space="preserve"> dans la BPCO symptomatique (GOLD 2024). Contre-indication absolue dans l'asthme sans CSI associé.</w:t>
      </w:r>
    </w:p>
    <w:p>
      <w:pPr>
        <w:pStyle w:val="ListNumber"/>
      </w:pPr>
      <w:r/>
      <w:r>
        <w:rPr>
          <w:b/>
        </w:rPr>
        <w:t>Surveillance systématique</w:t>
      </w:r>
      <w:r>
        <w:t xml:space="preserve"> : kaliémie (surtout SABA + diurétiques + corticoïdes = triade à risque de torsades de pointe), glycémie (diabétique), ECG (sujet âgé cardiaque), diurèse (sujet âgé masculin avec HBP sous anticholinergiques), ophtalmologique (glaucome à angle fermé).</w:t>
      </w:r>
    </w:p>
    <w:p>
      <w:pPr>
        <w:pStyle w:val="ListNumber"/>
      </w:pPr>
      <w:r/>
      <w:r>
        <w:rPr>
          <w:b/>
        </w:rPr>
        <w:t>Technique d'inhalation</w:t>
      </w:r>
      <w:r>
        <w:t xml:space="preserve"> : à vérifier à chaque délivrance. Chambre d'inhalation chez l'enfant &lt; 6 ans et le sujet âgé. Rinçage de la bouche après inhalation pour tous les bronchodilatateurs inhalés.</w:t>
      </w:r>
    </w:p>
    <w:p>
      <w:pPr>
        <w:pStyle w:val="ListNumber"/>
      </w:pPr>
      <w:r/>
      <w:r>
        <w:rPr>
          <w:b/>
        </w:rPr>
        <w:t>Plan d'action écrit</w:t>
      </w:r>
      <w:r>
        <w:t xml:space="preserve"> : tout patient asthmatique ou BPCO sévère doit disposer d'un plan d'action écrit précisant le traitement de fond, le traitement de secours, les signes d'aggravation et les modalités de recours aux urgences.</w:t>
      </w:r>
    </w:p>
    <w:p>
      <w:pPr>
        <w:pStyle w:val="ListNumber"/>
      </w:pPr>
      <w:r/>
      <w:r>
        <w:rPr>
          <w:b/>
        </w:rPr>
        <w:t>Grossesse et allaitement</w:t>
      </w:r>
      <w:r>
        <w:t xml:space="preserve"> : la majorité des bronchodilatateurs sont compatibles (CRAT, LactMed). Le salbutamol est le SABA de choix. L'asthme non contrôlé est plus dangereux pour le fœtus que le traitement.</w:t>
      </w:r>
    </w:p>
    <w:p>
      <w:r/>
      <w:r>
        <w:rPr>
          <w:b/>
        </w:rPr>
        <w:t>Fin du chapitre 61 — Bronchodilatateurs β2-mimétiques et Anticholinergiques</w:t>
      </w:r>
      <w:r/>
    </w:p>
    <w:p>
      <w:r/>
      <w:r>
        <w:rPr>
          <w:i/>
        </w:rPr>
        <w:t>Références principales :</w:t>
      </w:r>
      <w:r>
        <w:t xml:space="preserve"> GINA (Global Initiative for Asthma, mise à jour 2024) ; GOLD (Global Initiative for Chronic Obstructive Lung Disease, rapport 2024) ; VIDAL 2024 ; ANSM (résumés des caractéristiques du produit) ; Thériaque ; CRAT (Centre de Renseignements sur les Agents Tératogènes) ; LactMed (NIH) ; UpToDate (chapters on asthma and COPD management) ; SMART trial (Nelson 2006) ; UPLIFT trial (Tashkin 2008).</w:t>
      </w:r>
    </w:p>
    <w:p>
      <w:r/>
      <w:r>
        <w:rPr>
          <w:i/>
        </w:rPr>
        <w:t>Chapitres connexes :</w:t>
      </w:r>
      <w:r/>
    </w:p>
    <w:p>
      <w:pPr>
        <w:pStyle w:val="ListBullet"/>
      </w:pPr>
      <w:r>
        <w:t>Chapitre 62 : Corticoïdes inhalés (CSI) et associations CSI/LABA</w:t>
      </w:r>
    </w:p>
    <w:p>
      <w:pPr>
        <w:pStyle w:val="ListBullet"/>
      </w:pPr>
      <w:r>
        <w:t>Chapitre 63 : Antileucotriènes et anti-IgE</w:t>
      </w:r>
    </w:p>
    <w:p>
      <w:pPr>
        <w:pStyle w:val="ListBullet"/>
      </w:pPr>
      <w:r>
        <w:t>Chapitre 64 : Chromones, théophylline et inhibiteurs de PDE</w:t>
      </w:r>
    </w:p>
    <w:p>
      <w:pPr>
        <w:pStyle w:val="ListBullet"/>
      </w:pPr>
      <w:r>
        <w:t>Chapitre 65 : Antibiotiques antituberculeux (chapitre connexe Fascicule II)</w:t>
      </w:r>
    </w:p>
    <w:p>
      <w:pPr>
        <w:pStyle w:val="ListBullet"/>
      </w:pPr>
      <w:r>
        <w:t>Chapitre 66 : Antibiothérapie des pneumopathies et exacerbations de BPCO</w:t>
      </w:r>
    </w:p>
    <w:p>
      <w:pPr>
        <w:pStyle w:val="Heading1"/>
      </w:pPr>
      <w:r>
        <w:t>Chapitre 62 — Corticoïdes inhalés (CSI) et Associations CSI + LABA (et Triples CSI + LABA + LAMA)</w:t>
      </w:r>
    </w:p>
    <w:p>
      <w:pPr>
        <w:ind w:left="567"/>
      </w:pPr>
      <w:r>
        <w:rPr>
          <w:i/>
          <w:color w:val="606060"/>
        </w:rPr>
        <w:t>**Fascicule VII — Pneumologie / Antiasthmatiques**</w:t>
      </w:r>
    </w:p>
    <w:p>
      <w:pPr>
        <w:ind w:left="567"/>
      </w:pPr>
      <w:r>
        <w:rPr>
          <w:i/>
          <w:color w:val="606060"/>
        </w:rPr>
        <w:t>*Sous-classe thérapeutique : Corticoïdes inhalés seuls (CSI), associations fixes CSI + LABA, et associations triples CSI + LABA + LAMA*</w:t>
      </w:r>
    </w:p>
    <w:p>
      <w:pPr>
        <w:ind w:left="567"/>
      </w:pPr>
      <w:r>
        <w:rPr>
          <w:i/>
          <w:color w:val="606060"/>
        </w:rPr>
        <w:t>*Nomenclature algérienne des médicaments — Avril 2026*</w:t>
      </w:r>
    </w:p>
    <w:p>
      <w:pPr>
        <w:pStyle w:val="Heading2"/>
      </w:pPr>
      <w:r>
        <w:t>Sommaire du chapitre</w:t>
      </w:r>
    </w:p>
    <w:p>
      <w:pPr>
        <w:pStyle w:val="ListNumber"/>
      </w:pPr>
      <w:r>
        <w:t>Introduction à la sous-classe des corticoïdes inhalés (CSI)</w:t>
      </w:r>
    </w:p>
    <w:p>
      <w:pPr>
        <w:pStyle w:val="ListNumber"/>
      </w:pPr>
      <w:r>
        <w:t>Fiches DCI — Corticoïdes inhalés seuls</w:t>
      </w:r>
    </w:p>
    <w:p>
      <w:pPr>
        <w:pStyle w:val="ListBullet"/>
      </w:pPr>
      <w:r>
        <w:t>1. Béclométasone (dipropionate)</w:t>
      </w:r>
    </w:p>
    <w:p>
      <w:pPr>
        <w:pStyle w:val="ListBullet"/>
      </w:pPr>
      <w:r>
        <w:t>2. Budésonide</w:t>
      </w:r>
    </w:p>
    <w:p>
      <w:pPr>
        <w:pStyle w:val="ListBullet"/>
      </w:pPr>
      <w:r>
        <w:t>3. Fluticasone (propionate / furoate)</w:t>
      </w:r>
    </w:p>
    <w:p>
      <w:pPr>
        <w:pStyle w:val="ListBullet"/>
      </w:pPr>
      <w:r>
        <w:t>4. Mométasone (furoate)</w:t>
      </w:r>
    </w:p>
    <w:p>
      <w:pPr>
        <w:pStyle w:val="ListNumber"/>
      </w:pPr>
      <w:r>
        <w:t>Introduction à la sous-classe des associations CSI + LABA</w:t>
      </w:r>
    </w:p>
    <w:p>
      <w:pPr>
        <w:pStyle w:val="ListNumber"/>
      </w:pPr>
      <w:r>
        <w:t>Fiches DCI — Associations CSI + LABA</w:t>
      </w:r>
    </w:p>
    <w:p>
      <w:pPr>
        <w:pStyle w:val="ListBullet"/>
      </w:pPr>
      <w:r>
        <w:t>5. Béclométasone + Formotérol</w:t>
      </w:r>
    </w:p>
    <w:p>
      <w:pPr>
        <w:pStyle w:val="ListBullet"/>
      </w:pPr>
      <w:r>
        <w:t>6. Budésonide + Formotérol</w:t>
      </w:r>
    </w:p>
    <w:p>
      <w:pPr>
        <w:pStyle w:val="ListBullet"/>
      </w:pPr>
      <w:r>
        <w:t>7. Fluticasone + Salmétérol</w:t>
      </w:r>
    </w:p>
    <w:p>
      <w:pPr>
        <w:pStyle w:val="ListNumber"/>
      </w:pPr>
      <w:r>
        <w:t>Introduction à la sous-classe des associations triples CSI + LABA + LAMA</w:t>
      </w:r>
    </w:p>
    <w:p>
      <w:pPr>
        <w:pStyle w:val="ListNumber"/>
      </w:pPr>
      <w:r>
        <w:t>Fiche DCI — Association triple</w:t>
      </w:r>
    </w:p>
    <w:p>
      <w:pPr>
        <w:pStyle w:val="ListBullet"/>
      </w:pPr>
      <w:r>
        <w:t>8. Budésonide + Formotérol + Glycopyrronium</w:t>
      </w:r>
    </w:p>
    <w:p>
      <w:pPr>
        <w:pStyle w:val="ListNumber"/>
      </w:pPr>
      <w:r>
        <w:t>Tableau comparatif synthétique des CSI et associations</w:t>
      </w:r>
    </w:p>
    <w:p>
      <w:pPr>
        <w:pStyle w:val="ListNumber"/>
      </w:pPr>
      <w:r>
        <w:t>Règles d'or et points-clés au comptoir</w:t>
      </w:r>
    </w:p>
    <w:p>
      <w:pPr>
        <w:pStyle w:val="Heading2"/>
      </w:pPr>
      <w:r>
        <w:t>1. Introduction à la sous-classe des corticoïdes inhalés (CSI)</w:t>
      </w:r>
    </w:p>
    <w:p>
      <w:r>
        <w:t xml:space="preserve">Les </w:t>
      </w:r>
      <w:r>
        <w:rPr>
          <w:b/>
        </w:rPr>
        <w:t>corticoïdes inhalés (CSI — Inhaled Corticosteroids, ICS)</w:t>
      </w:r>
      <w:r>
        <w:t xml:space="preserve"> constituent, depuis les années 1970 et l'avènement de la béclométasone en aérosol (Becotide™, Glaxo, 1972), le </w:t>
      </w:r>
      <w:r>
        <w:rPr>
          <w:b/>
        </w:rPr>
        <w:t>traitement anti-inflammatoire de fond incontournable de l'asthme persistant</w:t>
      </w:r>
      <w:r>
        <w:t xml:space="preserve">. Leur mise à disposition a transformé le pronostic de la maladie asthmatique en réduisant drastiquement la mortalité, la fréquence des exacerbations, les hospitalisations et le besoin en bronchodilatateurs de secours. Selon les recommandations </w:t>
      </w:r>
      <w:r>
        <w:rPr>
          <w:b/>
        </w:rPr>
        <w:t>GINA 2024</w:t>
      </w:r>
      <w:r>
        <w:t xml:space="preserve"> (Global Initiative for Asthma), les CSI sont désormais présents à </w:t>
      </w:r>
      <w:r>
        <w:rPr>
          <w:b/>
        </w:rPr>
        <w:t>tous les stades</w:t>
      </w:r>
      <w:r>
        <w:t xml:space="preserve"> de la prise en charge (stades 1 à 5), y compris en association fixe avec un LABA à titre de traitement de secours dès la </w:t>
      </w:r>
      <w:r>
        <w:rPr>
          <w:b/>
        </w:rPr>
        <w:t>piste 1</w:t>
      </w:r>
      <w:r>
        <w:t xml:space="preserve"> (Track 1, MART — Maintenance And Reliever Therapy). En BPCO (rapport GOLD 2024), les CSI sont indiqués en association avec un LABA chez les patients à risque d'exacerbation (catégories C et D / E), et constituent avec les associations triples (CSI + LABA + LAMA) le traitement de fond des BPCO sévères avec antécédents d'exacerbations répétées malgré une double bronchodilatation.</w:t>
      </w:r>
    </w:p>
    <w:p>
      <w:r/>
      <w:r>
        <w:rPr>
          <w:b/>
        </w:rPr>
        <w:t>Cible pharmacologique.</w:t>
      </w:r>
      <w:r>
        <w:t xml:space="preserve"> Les CSI sont des </w:t>
      </w:r>
      <w:r>
        <w:rPr>
          <w:b/>
        </w:rPr>
        <w:t>glucocorticoïdes de synthèse</w:t>
      </w:r>
      <w:r>
        <w:t xml:space="preserve"> qui se lient au </w:t>
      </w:r>
      <w:r>
        <w:rPr>
          <w:b/>
        </w:rPr>
        <w:t>récepteur des glucocorticoïdes (GRα)</w:t>
      </w:r>
      <w:r>
        <w:t>, un récepteur nucléaire cytosolique appartenant à la superfamille des récepteurs stéroïdiens / thyroïdiens / rétinoïdes (sub-famille 3C de la nomenclature NR). Le GRα est constitué de quatre domaines fonctionnels : (i) le domaine N-terminal impliqué dans la transactivation (AF-1) ; (ii) le domaine de liaison à l'ADN (DBD) avec deux « doigts de zinc » ; (iii) la région charnière ; (iv) le domaine de liaison au ligand (LBD) avec le site de reconnaissance de la molécule et le domaine AF-2.</w:t>
      </w:r>
    </w:p>
    <w:p>
      <w:r/>
      <w:r>
        <w:rPr>
          <w:b/>
        </w:rPr>
        <w:t>Mécanisme d'action moléculaire des CSI.</w:t>
      </w:r>
      <w:r>
        <w:t xml:space="preserve"> Le mécanisme se déroule en quatre étapes successives :</w:t>
      </w:r>
    </w:p>
    <w:p>
      <w:pPr>
        <w:pStyle w:val="ListNumber"/>
      </w:pPr>
      <w:r/>
      <w:r>
        <w:rPr>
          <w:b/>
        </w:rPr>
        <w:t>Pénétration cellulaire.</w:t>
      </w:r>
      <w:r>
        <w:t xml:space="preserve"> Les CSI sont des molécules lipophiles qui traversent la membrane cellulaire par diffusion passive. La fraction libre (non liée à la CBG — corticosteroid-binding globulin — et à l'albumine plasmatiques) pénètre dans le cytoplasme des cellules épithéliales bronchiques, des macrophages alvéolaires, des éosinophiles, des lymphocytes T, des mastocytes et des cellules dendritiques.</w:t>
      </w:r>
    </w:p>
    <w:p>
      <w:pPr>
        <w:pStyle w:val="ListNumber"/>
      </w:pPr>
      <w:r/>
      <w:r>
        <w:rPr>
          <w:b/>
        </w:rPr>
        <w:t>Liaison au GRα cytosolique.</w:t>
      </w:r>
      <w:r>
        <w:t xml:space="preserve"> Dans le cytoplasme, le GRα est maintenu inactif au sein d'un complexe multimolénaire comprenant des protéines de choc thermique (Hsp90, Hsp70, Hsp56, Hsp40) et des immunophilines (FKBP51, p23). La liaison du CSI au LBD provoque un </w:t>
      </w:r>
      <w:r>
        <w:rPr>
          <w:b/>
        </w:rPr>
        <w:t>changement conformationnel</w:t>
      </w:r>
      <w:r>
        <w:t xml:space="preserve"> du récepteur, conduisant à l'échange du cofacteur FKBP51 contre FKBP52 et à la </w:t>
      </w:r>
      <w:r>
        <w:rPr>
          <w:b/>
        </w:rPr>
        <w:t>dissociation du complexe Hsp</w:t>
      </w:r>
      <w:r>
        <w:t>. Le récepteur ainsi activé est désormais fonctionnel.</w:t>
      </w:r>
    </w:p>
    <w:p>
      <w:pPr>
        <w:pStyle w:val="ListNumber"/>
      </w:pPr>
      <w:r/>
      <w:r>
        <w:rPr>
          <w:b/>
        </w:rPr>
        <w:t>Translocation nucléaire.</w:t>
      </w:r>
      <w:r>
        <w:t xml:space="preserve"> Le complexe CSI-GRα activé migre vers le noyau via les pores nucléaires (transport actif dépendant de la GTPase Ran). Cette translocation est observable en quelques dizaines de minutes par immunofluorescence.</w:t>
      </w:r>
    </w:p>
    <w:p>
      <w:pPr>
        <w:pStyle w:val="ListNumber"/>
      </w:pPr>
      <w:r/>
      <w:r>
        <w:rPr>
          <w:b/>
        </w:rPr>
        <w:t>Modulation transcriptionnelle (transactivation et transrépression).</w:t>
      </w:r>
      <w:r>
        <w:t xml:space="preserve"> Dans le noyau, le complexe CSI-GRα se </w:t>
      </w:r>
      <w:r>
        <w:rPr>
          <w:b/>
        </w:rPr>
        <w:t>dimérise</w:t>
      </w:r>
      <w:r>
        <w:t xml:space="preserve"> puis se fixe sur des séquences spécifiques de l'ADN appelées </w:t>
      </w:r>
      <w:r>
        <w:rPr>
          <w:b/>
        </w:rPr>
        <w:t>GRE (Glucocorticoid Response Elements)</w:t>
      </w:r>
      <w:r>
        <w:t>, situées dans la région promotrice des gènes-cibles. Cette fixation régule la transcription de plus de 1000 gènes, selon deux mécanismes :</w:t>
      </w:r>
    </w:p>
    <w:p>
      <w:pPr>
        <w:pStyle w:val="ListBullet"/>
      </w:pPr>
      <w:r/>
      <w:r>
        <w:rPr>
          <w:b/>
        </w:rPr>
        <w:t>Transactivation</w:t>
      </w:r>
      <w:r>
        <w:t xml:space="preserve"> : fixation directe du dimère GR-GRE → recrutement des co-activateurs (SRC-1, TIF-2, CBP/p300) → acétylation des histones → ouverture de la chromatine → </w:t>
      </w:r>
      <w:r>
        <w:rPr>
          <w:b/>
        </w:rPr>
        <w:t>augmentation de la transcription</w:t>
      </w:r>
      <w:r>
        <w:t xml:space="preserve"> des gènes anti-inflammatoires (annexine A1 / lipocortine-1, IκB-α inhibiteur de NF-κB, IL-10, MKP-1 / DUSP1, glucocorticoïde-inducible leucine zipper GILZ, secretory leukocyte protease inhibitor SLPI, etc.).</w:t>
      </w:r>
    </w:p>
    <w:p>
      <w:pPr>
        <w:pStyle w:val="ListBullet"/>
      </w:pPr>
      <w:r/>
      <w:r>
        <w:rPr>
          <w:b/>
        </w:rPr>
        <w:t>Transrépression</w:t>
      </w:r>
      <w:r>
        <w:t xml:space="preserve"> : interaction du GR monomérique avec des facteurs de transcription pro-inflammatoires (NF-κB, AP-1, STAT3, NF-AT) sans fixation directe à l'ADN → recrutement des co-répresseurs (NCoR, SMRT) → </w:t>
      </w:r>
      <w:r>
        <w:rPr>
          <w:b/>
        </w:rPr>
        <w:t>répression de la transcription</w:t>
      </w:r>
      <w:r>
        <w:t xml:space="preserve"> des gènes pro-inflammatoires (cytokines Th2 : IL-4, IL-5, IL-13, IL-9 ; cytokines pro-inflammatoires : TNFα, IL-1β, IL-6, GM-CSF ; chimiokines : eotaxine/CCL11, RANTES/CCL5, IL-8/CXCL8 ; enzymes : COX-2, iNOS, PLA2 ; molécules d'adhésion : ICAM-1, VCAM-1, E-sélectine).</w:t>
      </w:r>
    </w:p>
    <w:p>
      <w:r/>
      <w:r>
        <w:rPr>
          <w:b/>
        </w:rPr>
        <w:t>Conséquences pharmacodynamiques cellulaires.</w:t>
      </w:r>
      <w:r>
        <w:t xml:space="preserve"> L'ensemble de ces effets transcriptomiques aboutit à : (i) une </w:t>
      </w:r>
      <w:r>
        <w:rPr>
          <w:b/>
        </w:rPr>
        <w:t>réduction drastique de l'infiltrat éosinophile</w:t>
      </w:r>
      <w:r>
        <w:t xml:space="preserve"> bronchique (par inhibition de la survie et du recrutement des éosinophiles via baisse de l'IL-5, de l'eotaxine et du GM-CSF) ; (ii) une </w:t>
      </w:r>
      <w:r>
        <w:rPr>
          <w:b/>
        </w:rPr>
        <w:t>diminution de l'activation mastocytaire</w:t>
      </w:r>
      <w:r>
        <w:t xml:space="preserve"> ; (iii) une </w:t>
      </w:r>
      <w:r>
        <w:rPr>
          <w:b/>
        </w:rPr>
        <w:t>baisse de la perméabilité vasculaire</w:t>
      </w:r>
      <w:r>
        <w:t xml:space="preserve"> bronchique (réduction de l'œdème) ; (iv) une </w:t>
      </w:r>
      <w:r>
        <w:rPr>
          <w:b/>
        </w:rPr>
        <w:t>restitution d'une part de la réparation épithéliale</w:t>
      </w:r>
      <w:r>
        <w:t xml:space="preserve"> (augmentation de la production de mucines protectrices mais baisse de la sécrétion de mucus pathologique) ; (v) une </w:t>
      </w:r>
      <w:r>
        <w:rPr>
          <w:b/>
        </w:rPr>
        <w:t>augmentation de la réponse β2-adrénergique</w:t>
      </w:r>
      <w:r>
        <w:t xml:space="preserve"> (ré-up-régulation de l'expression du récepteur β2 en transcrivant le gène ADRB2, et restauration de la sensibilité β2 réduite par l'inflammation chronique). Cet effet synergique explique l'efficacité supérieure de l'association CSI + LABA par rapport à chacun des composants administrés isolément.</w:t>
      </w:r>
    </w:p>
    <w:p>
      <w:r/>
      <w:r>
        <w:rPr>
          <w:b/>
        </w:rPr>
        <w:t>Pharmacocinétique des CSI inhalés.</w:t>
      </w:r>
      <w:r>
        <w:t xml:space="preserve"> Après inhalation, 10 à 25 % de la dose délivrée atteint le poumon profond (fraction respirable), tandis que 75 à 90 % est déglutie. Pour les CSI à </w:t>
      </w:r>
      <w:r>
        <w:rPr>
          <w:b/>
        </w:rPr>
        <w:t>biodisponibilité orale faible</w:t>
      </w:r>
      <w:r>
        <w:t xml:space="preserve"> (budésonide ~10 %, fluticasone propionate &lt; 1 %, mométasone &lt; 1 %, fluticasone furoate ~1 %), la fraction déglutie est massivement métabolisée par effet de premier passage hépatique (CYP3A4), ce qui minimise l'imprégnation systémique. La béclométasone dipropionate, en revanche, est convertie en son métabolite actif </w:t>
      </w:r>
      <w:r>
        <w:rPr>
          <w:b/>
        </w:rPr>
        <w:t>béclométasone 17-monopropionate (17-BMP)</w:t>
      </w:r>
      <w:r>
        <w:t xml:space="preserve"> dont la biodisponibilité orale est plus élevée (~20 %), ce qui en explique le profil systémique plus marqué aux fortes doses. La demi-vie d'élimination plasmatique varie de 2,8 heures (budésonide) à 14 heures (fluticasone furoate). La clairance est essentiellement hépatique. La lipophilie est un déterminant majeur de la puissance (la fluticasone furoate, plus lipophile que la fluticasone propionate, a une affinité pour le GRα supérieure et une rétention tissulaire pulmonaire prolongée).</w:t>
      </w:r>
    </w:p>
    <w:p>
      <w:r/>
      <w:r>
        <w:rPr>
          <w:b/>
        </w:rPr>
        <w:t>Hiérarchie de puissance (équivalences approximatives GINA 2024).</w:t>
      </w:r>
      <w:r>
        <w:t xml:space="preserve"> Les CSI sont classés par puissance intrinsèque croissante selon le schéma suivant (doses équivalentes en µg, dose faible / moyenne / forte chez l'adulte) :</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DCI</w:t>
            </w:r>
          </w:p>
        </w:tc>
        <w:tc>
          <w:tcPr>
            <w:tcW w:type="dxa" w:w="2339"/>
          </w:tcPr>
          <w:p>
            <w:r>
              <w:rPr>
                <w:b/>
                <w:sz w:val="20"/>
              </w:rPr>
              <w:t>Dose faible</w:t>
            </w:r>
          </w:p>
        </w:tc>
        <w:tc>
          <w:tcPr>
            <w:tcW w:type="dxa" w:w="2339"/>
          </w:tcPr>
          <w:p>
            <w:r>
              <w:rPr>
                <w:b/>
                <w:sz w:val="20"/>
              </w:rPr>
              <w:t>Dose moyenne</w:t>
            </w:r>
          </w:p>
        </w:tc>
        <w:tc>
          <w:tcPr>
            <w:tcW w:type="dxa" w:w="2339"/>
          </w:tcPr>
          <w:p>
            <w:r>
              <w:rPr>
                <w:b/>
                <w:sz w:val="20"/>
              </w:rPr>
              <w:t>Dose forte</w:t>
            </w:r>
          </w:p>
        </w:tc>
      </w:tr>
      <w:tr>
        <w:tc>
          <w:tcPr>
            <w:tcW w:type="dxa" w:w="2339"/>
          </w:tcPr>
          <w:p>
            <w:r>
              <w:rPr>
                <w:sz w:val="20"/>
              </w:rPr>
              <w:t>Béclométasone (HFA)</w:t>
            </w:r>
          </w:p>
        </w:tc>
        <w:tc>
          <w:tcPr>
            <w:tcW w:type="dxa" w:w="2339"/>
          </w:tcPr>
          <w:p>
            <w:r>
              <w:rPr>
                <w:sz w:val="20"/>
              </w:rPr>
              <w:t>200–500</w:t>
            </w:r>
          </w:p>
        </w:tc>
        <w:tc>
          <w:tcPr>
            <w:tcW w:type="dxa" w:w="2339"/>
          </w:tcPr>
          <w:p>
            <w:r>
              <w:rPr>
                <w:sz w:val="20"/>
              </w:rPr>
              <w:t>&gt; 500–1000</w:t>
            </w:r>
          </w:p>
        </w:tc>
        <w:tc>
          <w:tcPr>
            <w:tcW w:type="dxa" w:w="2339"/>
          </w:tcPr>
          <w:p>
            <w:r>
              <w:rPr>
                <w:sz w:val="20"/>
              </w:rPr>
              <w:t>&gt; 1000</w:t>
            </w:r>
          </w:p>
        </w:tc>
      </w:tr>
      <w:tr>
        <w:tc>
          <w:tcPr>
            <w:tcW w:type="dxa" w:w="2339"/>
          </w:tcPr>
          <w:p>
            <w:r>
              <w:rPr>
                <w:sz w:val="20"/>
              </w:rPr>
              <w:t>Budésonide (DPI)</w:t>
            </w:r>
          </w:p>
        </w:tc>
        <w:tc>
          <w:tcPr>
            <w:tcW w:type="dxa" w:w="2339"/>
          </w:tcPr>
          <w:p>
            <w:r>
              <w:rPr>
                <w:sz w:val="20"/>
              </w:rPr>
              <w:t>200–400</w:t>
            </w:r>
          </w:p>
        </w:tc>
        <w:tc>
          <w:tcPr>
            <w:tcW w:type="dxa" w:w="2339"/>
          </w:tcPr>
          <w:p>
            <w:r>
              <w:rPr>
                <w:sz w:val="20"/>
              </w:rPr>
              <w:t>&gt; 400–800</w:t>
            </w:r>
          </w:p>
        </w:tc>
        <w:tc>
          <w:tcPr>
            <w:tcW w:type="dxa" w:w="2339"/>
          </w:tcPr>
          <w:p>
            <w:r>
              <w:rPr>
                <w:sz w:val="20"/>
              </w:rPr>
              <w:t>&gt; 800</w:t>
            </w:r>
          </w:p>
        </w:tc>
      </w:tr>
      <w:tr>
        <w:tc>
          <w:tcPr>
            <w:tcW w:type="dxa" w:w="2339"/>
          </w:tcPr>
          <w:p>
            <w:r>
              <w:rPr>
                <w:sz w:val="20"/>
              </w:rPr>
              <w:t>Fluticasone propionate</w:t>
            </w:r>
          </w:p>
        </w:tc>
        <w:tc>
          <w:tcPr>
            <w:tcW w:type="dxa" w:w="2339"/>
          </w:tcPr>
          <w:p>
            <w:r>
              <w:rPr>
                <w:sz w:val="20"/>
              </w:rPr>
              <w:t>100–250</w:t>
            </w:r>
          </w:p>
        </w:tc>
        <w:tc>
          <w:tcPr>
            <w:tcW w:type="dxa" w:w="2339"/>
          </w:tcPr>
          <w:p>
            <w:r>
              <w:rPr>
                <w:sz w:val="20"/>
              </w:rPr>
              <w:t>&gt; 250–500</w:t>
            </w:r>
          </w:p>
        </w:tc>
        <w:tc>
          <w:tcPr>
            <w:tcW w:type="dxa" w:w="2339"/>
          </w:tcPr>
          <w:p>
            <w:r>
              <w:rPr>
                <w:sz w:val="20"/>
              </w:rPr>
              <w:t>&gt; 500</w:t>
            </w:r>
          </w:p>
        </w:tc>
      </w:tr>
      <w:tr>
        <w:tc>
          <w:tcPr>
            <w:tcW w:type="dxa" w:w="2339"/>
          </w:tcPr>
          <w:p>
            <w:r>
              <w:rPr>
                <w:sz w:val="20"/>
              </w:rPr>
              <w:t>Fluticasone furoate</w:t>
            </w:r>
          </w:p>
        </w:tc>
        <w:tc>
          <w:tcPr>
            <w:tcW w:type="dxa" w:w="2339"/>
          </w:tcPr>
          <w:p>
            <w:r>
              <w:rPr>
                <w:sz w:val="20"/>
              </w:rPr>
              <w:t>100</w:t>
            </w:r>
          </w:p>
        </w:tc>
        <w:tc>
          <w:tcPr>
            <w:tcW w:type="dxa" w:w="2339"/>
          </w:tcPr>
          <w:p>
            <w:r>
              <w:rPr>
                <w:sz w:val="20"/>
              </w:rPr>
              <w:t>—</w:t>
            </w:r>
          </w:p>
        </w:tc>
        <w:tc>
          <w:tcPr>
            <w:tcW w:type="dxa" w:w="2339"/>
          </w:tcPr>
          <w:p>
            <w:r>
              <w:rPr>
                <w:sz w:val="20"/>
              </w:rPr>
              <w:t>200</w:t>
            </w:r>
          </w:p>
        </w:tc>
      </w:tr>
      <w:tr>
        <w:tc>
          <w:tcPr>
            <w:tcW w:type="dxa" w:w="2339"/>
          </w:tcPr>
          <w:p>
            <w:r>
              <w:rPr>
                <w:sz w:val="20"/>
              </w:rPr>
              <w:t>Mométasone furoate</w:t>
            </w:r>
          </w:p>
        </w:tc>
        <w:tc>
          <w:tcPr>
            <w:tcW w:type="dxa" w:w="2339"/>
          </w:tcPr>
          <w:p>
            <w:r>
              <w:rPr>
                <w:sz w:val="20"/>
              </w:rPr>
              <w:t>110–220</w:t>
            </w:r>
          </w:p>
        </w:tc>
        <w:tc>
          <w:tcPr>
            <w:tcW w:type="dxa" w:w="2339"/>
          </w:tcPr>
          <w:p>
            <w:r>
              <w:rPr>
                <w:sz w:val="20"/>
              </w:rPr>
              <w:t>—</w:t>
            </w:r>
          </w:p>
        </w:tc>
        <w:tc>
          <w:tcPr>
            <w:tcW w:type="dxa" w:w="2339"/>
          </w:tcPr>
          <w:p>
            <w:r>
              <w:rPr>
                <w:sz w:val="20"/>
              </w:rPr>
              <w:t>440</w:t>
            </w:r>
          </w:p>
        </w:tc>
      </w:tr>
    </w:tbl>
    <w:p/>
    <w:p>
      <w:r/>
      <w:r>
        <w:rPr>
          <w:b/>
        </w:rPr>
        <w:t>Cadre réglementaire algérien.</w:t>
      </w:r>
      <w:r>
        <w:t xml:space="preserve"> Tous les CSI commercialisés en Algérie sont classés en </w:t>
      </w:r>
      <w:r>
        <w:rPr>
          <w:b/>
        </w:rPr>
        <w:t>Liste I</w:t>
      </w:r>
      <w:r>
        <w:t xml:space="preserve"> (substances vénéneuses, prescription médicale obligatoire). Les spécialités sont nombreuses (princeps et génériques), reflétant à la fois la maturité du marché et l'importance de l'observance thérapeutique. Les formes disponibles sont principalement les </w:t>
      </w:r>
      <w:r>
        <w:rPr>
          <w:b/>
        </w:rPr>
        <w:t>aérosols doseurs (MDI)</w:t>
      </w:r>
      <w:r>
        <w:t xml:space="preserve"> en formulation HFA (hydrofluoroalkane), les </w:t>
      </w:r>
      <w:r>
        <w:rPr>
          <w:b/>
        </w:rPr>
        <w:t>poudres sèches (DPI)</w:t>
      </w:r>
      <w:r>
        <w:t xml:space="preserve"> en dispositifs multidose (Turbuhaler, Accuhaler/Diskus, Easyhaler, Nexthaler, Ellipta) ou en gélules à inhaler (Breezhaler, Aerolizer, Handihaler), et les </w:t>
      </w:r>
      <w:r>
        <w:rPr>
          <w:b/>
        </w:rPr>
        <w:t>suspensions pour nébulisation</w:t>
      </w:r>
      <w:r>
        <w:t xml:space="preserve"> (nid d'ampoules unidoses). La transition CFC → HFA (achevée en 2010 en Algérie) a conduit à une révision des équivalences posologiques (1 µg béclométasone HFA ≈ 2 µg béclométasone CFC en raison d'une meilleure fraction respirable). Les sprays nasaux de béclométasone, budésonide, fluticasone propionate, fluticasone furoate et mométasone furoate sont également commercialisés pour la rhinite allergique et la polypose naso-sinusienne.</w:t>
      </w:r>
    </w:p>
    <w:p>
      <w:r/>
      <w:r>
        <w:rPr>
          <w:b/>
        </w:rPr>
        <w:t>Distinctions fondamentales avec les bronchodilatateurs (chapitre 61).</w:t>
      </w:r>
      <w:r>
        <w:t xml:space="preserve"> À la différence des β2-mimétiques et des anticholinergiques traités au chapitre précédent, les CSI n'ont </w:t>
      </w:r>
      <w:r>
        <w:rPr>
          <w:b/>
        </w:rPr>
        <w:t>aucun effet bronchodilatateur direct</w:t>
      </w:r>
      <w:r>
        <w:t xml:space="preserve"> ; leur délai d'action est de plusieurs heures à plusieurs jours (effet maximal atteint en 2 à 4 semaines pour la béclométasone, 2 semaines pour le budésonide, plusieurs semaines pour la fluticasone furoate). Ils ne doivent donc </w:t>
      </w:r>
      <w:r>
        <w:rPr>
          <w:b/>
        </w:rPr>
        <w:t>jamais être utilisés seuls comme traitement de la crise d'asthme aiguë</w:t>
      </w:r>
      <w:r>
        <w:t xml:space="preserve">. Leur rôle est </w:t>
      </w:r>
      <w:r>
        <w:rPr>
          <w:b/>
        </w:rPr>
        <w:t>préventif et anti-inflammatoire de fond</w:t>
      </w:r>
      <w:r>
        <w:t>, visant à réduire la fréquence et l'intensité des exacerbations, à améliorer la fonction respiratoire (VEMS) sur le long terme, à diminuer l'hyper-réactivité bronchique et à restaurer la réponse aux β2-mimétiques.</w:t>
      </w:r>
    </w:p>
    <w:p>
      <w:pPr>
        <w:pStyle w:val="Heading2"/>
      </w:pPr>
      <w:r>
        <w:t>2. Fiches DCI — Corticoïdes inhalés seuls</w:t>
      </w:r>
    </w:p>
    <w:p>
      <w:pPr>
        <w:pStyle w:val="Heading3"/>
      </w:pPr>
      <w:r>
        <w:t>1. DCI : Béclométasone (dipropionate) (Seule)</w:t>
      </w:r>
    </w:p>
    <w:p>
      <w:r/>
      <w:r>
        <w:rPr>
          <w:b/>
        </w:rPr>
        <w:t>Liste des Catégories :</w:t>
      </w:r>
      <w:r>
        <w:t xml:space="preserve"> Corticoïde inhalé (CSI) ; Glucocorticoïde de synthèse (ester dipropionate) ; Anti-asthmatique de fond ; Anti-inflammatoire stéroïdien inhalé ; Traitement de la rhinite allergique (forme nasale) ; Liste I (toutes formes et dosages) ; Prescription médicale obligatoire.</w:t>
      </w:r>
    </w:p>
    <w:p>
      <w:r>
        <w:t xml:space="preserve">La béclométasone dipropionate (BDP) est le </w:t>
      </w:r>
      <w:r>
        <w:rPr>
          <w:b/>
        </w:rPr>
        <w:t>premier CSI jamais commercialisé</w:t>
      </w:r>
      <w:r>
        <w:t xml:space="preserve"> (1972, Becotide™ — Glaxo). C'est une prodrogue convertie dans le poumon par les estérases en </w:t>
      </w:r>
      <w:r>
        <w:rPr>
          <w:b/>
        </w:rPr>
        <w:t>béclométasone 17-monopropionate (17-BMP)</w:t>
      </w:r>
      <w:r>
        <w:t>, métabolite actif dont l'affinité pour le GRα est ~30 fois supérieure à celle de la BDP native. La béclométasone est aujourd'hui disponible principalement en formulation HFA (aérosol doseur) à 50, 100, 200 et 250 µg/bouffée, ainsi qu'en spray nasal (50 et 100 µg/dose) pour la rhinite allergique et la polypose. Sa biodisponibilité orale résiduelle (~20 %) reste un inconvénient par rapport aux CSI plus modernes (budésonide, fluticasone), expliquant un profil systémique plus marqué aux doses moyennes à fortes. En Algérie, plusieurs spécialités historiques (Becotide™, Beclo-asma™, Beclojet™, CLENIL™, BecloMet™) ont coexisté et plusieurs d'entre elles ont été retirées du marché ou sont non renouvelables, tandis que des génériques comme BECLATE 250 (Cipla) et CLENIL 250 (Chiesi) restent disponibles.</w:t>
      </w:r>
    </w:p>
    <w:p>
      <w:r/>
      <w:r>
        <w:rPr>
          <w:b/>
        </w:rPr>
        <w:t>Médicaments disponibles en Algérie (Marques, Laboratoires, Formes et Dosages) :</w:t>
      </w:r>
      <w:r/>
    </w:p>
    <w:p>
      <w:r/>
      <w:r>
        <w:rPr>
          <w:i/>
        </w:rPr>
        <w:t>Spécialités actives :</w:t>
      </w:r>
      <w:r/>
    </w:p>
    <w:p>
      <w:r/>
      <w:r>
        <w:rPr>
          <w:b/>
        </w:rPr>
        <w:t>Formes inhalées — Aérosols doseurs (MDI HFA) :</w:t>
      </w:r>
      <w:r/>
    </w:p>
    <w:p>
      <w:pPr>
        <w:pStyle w:val="ListBullet"/>
      </w:pPr>
      <w:r/>
      <w:r>
        <w:rPr>
          <w:b/>
        </w:rPr>
        <w:t>BECLATE 250</w:t>
      </w:r>
      <w:r>
        <w:t xml:space="preserve"> (CIPLA LIMITED) — Suspension pour inhalation 250 µg/bouffée — Flacon 200 doses — Liste I — Statut : Actif</w:t>
      </w:r>
    </w:p>
    <w:p>
      <w:pPr>
        <w:pStyle w:val="ListBullet"/>
      </w:pPr>
      <w:r/>
      <w:r>
        <w:rPr>
          <w:b/>
        </w:rPr>
        <w:t>BECLOJET</w:t>
      </w:r>
      <w:r>
        <w:t xml:space="preserve"> (CHIESI S.A.) — Suspension pour inhalation buccale 250 µg/bouffée — Flacon 200 doses — Liste I — Statut : Actif</w:t>
      </w:r>
    </w:p>
    <w:p>
      <w:pPr>
        <w:pStyle w:val="ListBullet"/>
      </w:pPr>
      <w:r/>
      <w:r>
        <w:rPr>
          <w:b/>
        </w:rPr>
        <w:t>CLENIL 250</w:t>
      </w:r>
      <w:r>
        <w:t xml:space="preserve"> (CHIESI FARMACEUTICI SPA) — Aérosol 250 µg/bouffée — Flacon 200 doses — Liste I — Statut : Actif</w:t>
      </w:r>
    </w:p>
    <w:p>
      <w:r/>
      <w:r>
        <w:rPr>
          <w:b/>
        </w:rPr>
        <w:t>Formes nasales — Sprays nasaux :</w:t>
      </w:r>
      <w:r/>
    </w:p>
    <w:p>
      <w:pPr>
        <w:pStyle w:val="ListBullet"/>
      </w:pPr>
      <w:r/>
      <w:r>
        <w:rPr>
          <w:b/>
        </w:rPr>
        <w:t>BECANOS</w:t>
      </w:r>
      <w:r>
        <w:t xml:space="preserve"> (NEOMEDIC) — Suspension pour pulvérisation nasale 50 µg/dose — Flacon de 100 doses — Liste I — Statut : Actif</w:t>
      </w:r>
    </w:p>
    <w:p>
      <w:pPr>
        <w:pStyle w:val="ListBullet"/>
      </w:pPr>
      <w:r/>
      <w:r>
        <w:rPr>
          <w:b/>
        </w:rPr>
        <w:t>NASABEC</w:t>
      </w:r>
      <w:r>
        <w:t xml:space="preserve"> (BIOGALENIC) — Suspension pour pulvérisation nasale 50 µg/dose — Flacon de 100 doses — Liste I — Statut : Actif</w:t>
      </w:r>
    </w:p>
    <w:p>
      <w:pPr>
        <w:pStyle w:val="ListBullet"/>
      </w:pPr>
      <w:r/>
      <w:r>
        <w:rPr>
          <w:b/>
        </w:rPr>
        <w:t>BECLATE – NASAL</w:t>
      </w:r>
      <w:r>
        <w:t xml:space="preserve"> (CIPLA LIMITED) — Aérosol nasal 50 µg/bouffée — Flacon 120 doses — Liste I — Statut : Actif</w:t>
      </w:r>
    </w:p>
    <w:p>
      <w:pPr>
        <w:pStyle w:val="ListBullet"/>
      </w:pPr>
      <w:r/>
      <w:r>
        <w:rPr>
          <w:b/>
        </w:rPr>
        <w:t>NASABEC</w:t>
      </w:r>
      <w:r>
        <w:t xml:space="preserve"> (BIOGALENIC) — Suspension pour pulvérisation nasale 100 µg/dose — Flacon 200 doses — Liste I — Statut : Actif</w:t>
      </w:r>
    </w:p>
    <w:p>
      <w:pPr>
        <w:pStyle w:val="ListBullet"/>
      </w:pPr>
      <w:r/>
      <w:r>
        <w:rPr>
          <w:b/>
        </w:rPr>
        <w:t>RINOCLENIL 100</w:t>
      </w:r>
      <w:r>
        <w:t xml:space="preserve"> (CHIESI FARMACEUTICI SPA) — Suspension spray nasal 100 µg/dose — Flacon 200 doses — Liste I — Statut : Actif</w:t>
      </w:r>
    </w:p>
    <w:p>
      <w:r/>
      <w:r>
        <w:rPr>
          <w:i/>
        </w:rPr>
        <w:t>Spécialités retirées (R) :</w:t>
      </w:r>
      <w:r/>
    </w:p>
    <w:p>
      <w:pPr>
        <w:pStyle w:val="ListBullet"/>
      </w:pPr>
      <w:r/>
      <w:r>
        <w:rPr>
          <w:b/>
        </w:rPr>
        <w:t>BECLOMET FORT</w:t>
      </w:r>
      <w:r>
        <w:t xml:space="preserve"> (LDPA) — Suspension pour inhalation buccale 250 µg/bouffée — Flacon 200 doses — Statut : Retiré (R)</w:t>
      </w:r>
    </w:p>
    <w:p>
      <w:pPr>
        <w:pStyle w:val="ListBullet"/>
      </w:pPr>
      <w:r/>
      <w:r>
        <w:rPr>
          <w:b/>
        </w:rPr>
        <w:t>BECLO-ASMA</w:t>
      </w:r>
      <w:r>
        <w:t xml:space="preserve"> (ALDO-UNION) — Aérosol 250 µg/bouffée — Flacon 200 doses — Statut : Retiré (R)</w:t>
      </w:r>
    </w:p>
    <w:p>
      <w:pPr>
        <w:pStyle w:val="ListBullet"/>
      </w:pPr>
      <w:r/>
      <w:r>
        <w:rPr>
          <w:b/>
        </w:rPr>
        <w:t>BECOTIDE</w:t>
      </w:r>
      <w:r>
        <w:t xml:space="preserve"> (GLAXO SMITHKLINE) — Aérosol 250 µg/dose — Flacon 80 doses — Statut : Retiré (R) [spécialité princeps historique]</w:t>
      </w:r>
    </w:p>
    <w:p>
      <w:pPr>
        <w:pStyle w:val="ListBullet"/>
      </w:pPr>
      <w:r/>
      <w:r>
        <w:rPr>
          <w:b/>
        </w:rPr>
        <w:t>BECLATE – 50</w:t>
      </w:r>
      <w:r>
        <w:t xml:space="preserve"> (CIPLA LIMITED) — Aérosol buccal 50 µg/dose — Flacon 200 doses — Statut : Retiré (R)</w:t>
      </w:r>
    </w:p>
    <w:p>
      <w:pPr>
        <w:pStyle w:val="ListBullet"/>
      </w:pPr>
      <w:r/>
      <w:r>
        <w:rPr>
          <w:b/>
        </w:rPr>
        <w:t>BECLOMET</w:t>
      </w:r>
      <w:r>
        <w:t xml:space="preserve"> (LDPA) — Suspension pour inhalation 50 µg/bouffée — Flacon 200 doses — Statut : Retiré (R)</w:t>
      </w:r>
    </w:p>
    <w:p>
      <w:pPr>
        <w:pStyle w:val="ListBullet"/>
      </w:pPr>
      <w:r/>
      <w:r>
        <w:rPr>
          <w:b/>
        </w:rPr>
        <w:t>BECLO-ASMA</w:t>
      </w:r>
      <w:r>
        <w:t xml:space="preserve"> (ALDO-UNION) — Aérosol 50 µg/bouffée — Flacon 200 doses — Statut : Retiré (R)</w:t>
      </w:r>
    </w:p>
    <w:p>
      <w:pPr>
        <w:pStyle w:val="ListBullet"/>
      </w:pPr>
      <w:r/>
      <w:r>
        <w:rPr>
          <w:b/>
        </w:rPr>
        <w:t>CLENIL 50</w:t>
      </w:r>
      <w:r>
        <w:t xml:space="preserve"> (CHIESI S.P.A.) — Aérosol 50 µg/bouffée — Flacon 200 doses — Statut : Retiré (R)</w:t>
      </w:r>
    </w:p>
    <w:p>
      <w:pPr>
        <w:pStyle w:val="ListBullet"/>
      </w:pPr>
      <w:r/>
      <w:r>
        <w:rPr>
          <w:b/>
        </w:rPr>
        <w:t>BECONASE</w:t>
      </w:r>
      <w:r>
        <w:t xml:space="preserve"> (GLAXOSMITHKLINE) — Suspension nasale 50 µg/dose — Flacon 100 doses — Statut : Retiré (R)</w:t>
      </w:r>
    </w:p>
    <w:p>
      <w:r/>
      <w:r>
        <w:rPr>
          <w:b/>
        </w:rPr>
        <w:t>Sous-classe et Mécanisme d'action :</w:t>
      </w:r>
      <w:r/>
    </w:p>
    <w:p>
      <w:pPr>
        <w:pStyle w:val="ListBullet"/>
      </w:pPr>
      <w:r>
        <w:t>Sous-classe : Corticoïde inhalé (CSI) de première génération ; anti-inflammatoire stéroïdien de fond de l'asthme persistant ; traitement local de la rhinite allergique et de la polypose naso-sinusienne.</w:t>
      </w:r>
    </w:p>
    <w:p>
      <w:pPr>
        <w:pStyle w:val="ListBullet"/>
      </w:pPr>
      <w:r>
        <w:t xml:space="preserve">Mécanisme d'action : la béclométasone dipropionate (BDP) est une </w:t>
      </w:r>
      <w:r>
        <w:rPr>
          <w:b/>
        </w:rPr>
        <w:t>prodrogue</w:t>
      </w:r>
      <w:r>
        <w:t xml:space="preserve"> faiblement active, convertie dans le poumon par les estérases cellulaires (carboxylestérase 2) en </w:t>
      </w:r>
      <w:r>
        <w:rPr>
          <w:b/>
        </w:rPr>
        <w:t>béclométasone 17-monopropionate (17-BMP)</w:t>
      </w:r>
      <w:r>
        <w:t xml:space="preserve">, métabolite ~30 fois plus actif sur le GRα. Le 17-BMP pénètre par diffusion passive dans les cellules épithéliales bronchiques, se lie au GRα cytosolique, déclenche la dissociation du complexe Hsp90/Hsp70/FKBP51 et la translocation nucléaire du complexe ligand-GR activé. Dans le noyau, le dimère GR se fixe aux GRE des promoteurs de gènes-cibles et exerce : (i) </w:t>
      </w:r>
      <w:r>
        <w:rPr>
          <w:b/>
        </w:rPr>
        <w:t>transactivation</w:t>
      </w:r>
      <w:r>
        <w:t xml:space="preserve"> des gènes anti-inflammatoires (annexine A1, IκB-α, GILZ, SLPI, MKP-1, IL-10) via recrutement de co-activateurs (SRC-1, CBP/p300) ; (ii) </w:t>
      </w:r>
      <w:r>
        <w:rPr>
          <w:b/>
        </w:rPr>
        <w:t>transrépression</w:t>
      </w:r>
      <w:r>
        <w:t xml:space="preserve"> des gènes pro-inflammatoires (IL-4, IL-5, IL-13, TNFα, IL-1β, GM-CSF, COX-2, iNOS, eotaxine, ICAM-1) par interaction avec NF-κB et AP-1. La conséquence cellulaire est la réduction de l'infiltrat éosinophile bronchique, l'inhibition de l'activation mastocytaire, la diminution de la perméabilité vasculaire, la réduction de la sécrétion de mucus, et la restauration de la sensibilité β2-adrénergique (up-régulation transcriptionnelle de ADRB2).</w:t>
      </w:r>
    </w:p>
    <w:p>
      <w:r/>
      <w:r>
        <w:rPr>
          <w:b/>
        </w:rPr>
        <w:t>Profil Pharmacologique :</w:t>
      </w:r>
      <w:r/>
    </w:p>
    <w:p>
      <w:pPr>
        <w:pStyle w:val="ListBullet"/>
      </w:pPr>
      <w:r>
        <w:t xml:space="preserve">Indications : </w:t>
      </w:r>
      <w:r>
        <w:rPr>
          <w:b/>
        </w:rPr>
        <w:t>Asthme persistant</w:t>
      </w:r>
      <w:r>
        <w:t xml:space="preserve"> (légère à sévère) en traitement de fond, à partir de 5 ans chez l'enfant et chez l'adulte (GINA stades 2 à 5, le plus souvent en association avec un LABA aux stades 3 à 5) ; </w:t>
      </w:r>
      <w:r>
        <w:rPr>
          <w:b/>
        </w:rPr>
        <w:t>rhinite allergique</w:t>
      </w:r>
      <w:r>
        <w:t xml:space="preserve"> saisonnière ou perannuelle non contrôlée par antihistaminiques oraux (forme nasale 50 et 100 µg/dose) ; </w:t>
      </w:r>
      <w:r>
        <w:rPr>
          <w:b/>
        </w:rPr>
        <w:t>polypose naso-sinusienne</w:t>
      </w:r>
      <w:r>
        <w:t xml:space="preserve"> (forme nasale 100 µg/dose, en alternative à la mométasone) ; prévention de l'asthme induit par l'exercice (à doses modérées).</w:t>
      </w:r>
    </w:p>
    <w:p>
      <w:pPr>
        <w:pStyle w:val="ListBullet"/>
      </w:pPr>
      <w:r>
        <w:t xml:space="preserve">Contre-indications : </w:t>
      </w:r>
      <w:r>
        <w:rPr>
          <w:b/>
        </w:rPr>
        <w:t>hypersensibilité à la béclométasone</w:t>
      </w:r>
      <w:r>
        <w:t xml:space="preserve"> ou à l'un des excipients (notamment l'éthanol dans certaines formulations HFA) ; </w:t>
      </w:r>
      <w:r>
        <w:rPr>
          <w:b/>
        </w:rPr>
        <w:t>tuberculose pulmonaire active non traitée</w:t>
      </w:r>
      <w:r>
        <w:t xml:space="preserve"> ; </w:t>
      </w:r>
      <w:r>
        <w:rPr>
          <w:b/>
        </w:rPr>
        <w:t>infection bactérienne, virale ou fongique non contrôlée des voies respiratoires</w:t>
      </w:r>
      <w:r>
        <w:t xml:space="preserve"> (herpès, candidose pulmonaire, aspergillose) ; pour les formes nasales : traumatisme nasal, intervention chirurgicale nasale ou sinusienne récente (cicatrisation incomplete), épistaxis actif.</w:t>
      </w:r>
    </w:p>
    <w:p>
      <w:pPr>
        <w:pStyle w:val="ListBullet"/>
      </w:pPr>
      <w:r>
        <w:t xml:space="preserve">Effets Indésirables : (i) Locaux ORL et bronchiques — </w:t>
      </w:r>
      <w:r>
        <w:rPr>
          <w:b/>
        </w:rPr>
        <w:t>candidose oropharyngée à Candida albicans</w:t>
      </w:r>
      <w:r>
        <w:t xml:space="preserve"> (5 à 10 % des patients, favorisée par défaut de rinçage buccal), </w:t>
      </w:r>
      <w:r>
        <w:rPr>
          <w:b/>
        </w:rPr>
        <w:t>dysphonie</w:t>
      </w:r>
      <w:r>
        <w:t xml:space="preserve"> (par myopathie des cordes vocales, jusqu'à 30 % des patients traités au long cours), </w:t>
      </w:r>
      <w:r>
        <w:rPr>
          <w:b/>
        </w:rPr>
        <w:t>toux</w:t>
      </w:r>
      <w:r>
        <w:t xml:space="preserve"> immédiatement après inhalation (irritation mécanique), </w:t>
      </w:r>
      <w:r>
        <w:rPr>
          <w:b/>
        </w:rPr>
        <w:t>pharyngite</w:t>
      </w:r>
      <w:r>
        <w:t xml:space="preserve">, </w:t>
      </w:r>
      <w:r>
        <w:rPr>
          <w:b/>
        </w:rPr>
        <w:t>sécheresse buccale</w:t>
      </w:r>
      <w:r>
        <w:t xml:space="preserve">, irritation pharyngée. (ii) Systémiques (rares aux doses inhalées habituelles, mais non négligeables aux doses fortes &gt; 1000 µg/jour chez l'adulte et &gt; 400 µg/jour chez l'enfant) — </w:t>
      </w:r>
      <w:r>
        <w:rPr>
          <w:b/>
        </w:rPr>
        <w:t>ralentissement de la vitesse de croissance</w:t>
      </w:r>
      <w:r>
        <w:t xml:space="preserve"> chez l'enfant (perte ~1 à 1,5 cm de hauteur adulte finale, le plus souvent rattrapée) ; </w:t>
      </w:r>
      <w:r>
        <w:rPr>
          <w:b/>
        </w:rPr>
        <w:t>ostéoporose</w:t>
      </w:r>
      <w:r>
        <w:t xml:space="preserve"> et augmentation du risque fracturaire au long cours ; </w:t>
      </w:r>
      <w:r>
        <w:rPr>
          <w:b/>
        </w:rPr>
        <w:t>cataracte</w:t>
      </w:r>
      <w:r>
        <w:t xml:space="preserve"> sous-capsulaire postérieure (surtout sujet âgé et doses élevées) ; </w:t>
      </w:r>
      <w:r>
        <w:rPr>
          <w:b/>
        </w:rPr>
        <w:t>glaucome</w:t>
      </w:r>
      <w:r>
        <w:t xml:space="preserve"> (augmentation de la pression intra-oculaire) ; </w:t>
      </w:r>
      <w:r>
        <w:rPr>
          <w:b/>
        </w:rPr>
        <w:t>freination surrénale</w:t>
      </w:r>
      <w:r>
        <w:t xml:space="preserve"> (baisse du cortisol plasmatique, rarement syndrome de Cushing iatrogène, insuffisance surrénale à l'arrêt brutal) ; </w:t>
      </w:r>
      <w:r>
        <w:rPr>
          <w:b/>
        </w:rPr>
        <w:t>fragilité cutanée</w:t>
      </w:r>
      <w:r>
        <w:t xml:space="preserve"> (purpura, atrophie) ; </w:t>
      </w:r>
      <w:r>
        <w:rPr>
          <w:b/>
        </w:rPr>
        <w:t>effets métaboliques</w:t>
      </w:r>
      <w:r>
        <w:t xml:space="preserve"> (hyperglycémie, hypokaliémie) aux doses très élevées. (iii) Allergiques — </w:t>
      </w:r>
      <w:r>
        <w:rPr>
          <w:b/>
        </w:rPr>
        <w:t>bronchospasme paradoxal</w:t>
      </w:r>
      <w:r>
        <w:t xml:space="preserve"> (rarissime, en rapport avec les excipients comme l'oléate de sorbitan ou l'éthanol) nécessitant l'arrêt immédiat.</w:t>
      </w:r>
    </w:p>
    <w:p>
      <w:r/>
      <w:r>
        <w:rPr>
          <w:b/>
        </w:rPr>
        <w:t>Prévention et Gestion des Effets Indésirables :</w:t>
      </w:r>
      <w:r/>
    </w:p>
    <w:p>
      <w:pPr>
        <w:pStyle w:val="ListBullet"/>
      </w:pPr>
      <w:r>
        <w:t xml:space="preserve">Mesures Préventives : (i) </w:t>
      </w:r>
      <w:r>
        <w:rPr>
          <w:b/>
        </w:rPr>
        <w:t>Rinçage buccal systématique</w:t>
      </w:r>
      <w:r>
        <w:t xml:space="preserve"> à l'eau claire après chaque inhalation (et recrachement) pour réduire de 50 à 80 % le risque de candidose oropharyngée et de dysphonie ; (ii) utilisation d'une </w:t>
      </w:r>
      <w:r>
        <w:rPr>
          <w:b/>
        </w:rPr>
        <w:t>chambre d'inhalation</w:t>
      </w:r>
      <w:r>
        <w:t xml:space="preserve"> ( chambre de spacer) avec les aérosols doseurs MDI pour réduire la fraction oropharyngée déposée et augmenter la fraction pulmonaire ; (iii) </w:t>
      </w:r>
      <w:r>
        <w:rPr>
          <w:b/>
        </w:rPr>
        <w:t>technique d'inhalation correcte</w:t>
      </w:r>
      <w:r>
        <w:t xml:space="preserve"> à évaluer à chaque consultation (inspiration lente et profonde, apnée 10 secondes) ; (iv) </w:t>
      </w:r>
      <w:r>
        <w:rPr>
          <w:b/>
        </w:rPr>
        <w:t>surveillance de la croissance</w:t>
      </w:r>
      <w:r>
        <w:t xml:space="preserve"> chez l'enfant (mesure annuelle de la taille, courbe staturo-pondérale) ; (v) suivi de la </w:t>
      </w:r>
      <w:r>
        <w:rPr>
          <w:b/>
        </w:rPr>
        <w:t>densité minérale osseuse</w:t>
      </w:r>
      <w:r>
        <w:t xml:space="preserve"> (ostéodensitométrie) chez les patients sous fortes doses au long cours et les sujets âgés ; (vi) examen ophtalmologique régulier (fond d'œil, tonométrie) chez le sujet âgé ; (vii) </w:t>
      </w:r>
      <w:r>
        <w:rPr>
          <w:b/>
        </w:rPr>
        <w:t>sevrage tabagique</w:t>
      </w:r>
      <w:r>
        <w:t xml:space="preserve"> systématiquement proposé.</w:t>
      </w:r>
    </w:p>
    <w:p>
      <w:pPr>
        <w:pStyle w:val="ListBullet"/>
      </w:pPr>
      <w:r>
        <w:t xml:space="preserve">Conduite à Tenir : (i) </w:t>
      </w:r>
      <w:r>
        <w:rPr>
          <w:b/>
        </w:rPr>
        <w:t>candidose oropharyngée</w:t>
      </w:r>
      <w:r>
        <w:t xml:space="preserve"> — traitement par antifongique local (amphotéricine B en suspension buvable ou nystatine en pastilles, 7 à 14 jours) sans interrompre le CSI ; renforcer le rinçage buccal et envisager la chambre d'inhalation ; en cas de récidive, envisager une réduction posologique ou un changement de CSI vers un produit à plus faible biodisponibilité orale (budésonide, fluticasone). (ii) </w:t>
      </w:r>
      <w:r>
        <w:rPr>
          <w:b/>
        </w:rPr>
        <w:t>dysphonie</w:t>
      </w:r>
      <w:r>
        <w:t xml:space="preserve"> persistante — rééducation orthophonique, réduction de dose, changement de dispositif (privilégier les DPI qui diminuent le dépôt laryngé). (iii) </w:t>
      </w:r>
      <w:r>
        <w:rPr>
          <w:b/>
        </w:rPr>
        <w:t>bronchospasme paradoxal</w:t>
      </w:r>
      <w:r>
        <w:t xml:space="preserve"> — arrêt immédiat du CSI, évaluation par pneumologue, switch vers une autre classe ou un autre dispositif. (iv) </w:t>
      </w:r>
      <w:r>
        <w:rPr>
          <w:b/>
        </w:rPr>
        <w:t>freination surrénale</w:t>
      </w:r>
      <w:r>
        <w:t xml:space="preserve"> avérée (cortisol à 8 h &lt; 50 nmol/L) — diminution progressive des doses, jamais arrêt brutal (risque d'insuffisance surrénale aiguë).</w:t>
      </w:r>
    </w:p>
    <w:p>
      <w:r/>
      <w:r>
        <w:rPr>
          <w:b/>
        </w:rPr>
        <w:t>Interactions Importantes :</w:t>
      </w:r>
      <w:r/>
    </w:p>
    <w:p>
      <w:pPr>
        <w:pStyle w:val="ListBullet"/>
      </w:pPr>
      <w:r/>
      <w:r>
        <w:rPr>
          <w:b/>
        </w:rPr>
        <w:t>Béclométasone + inhibiteurs puissants du CYP3A4</w:t>
      </w:r>
      <w:r>
        <w:t xml:space="preserve"> (itraconazole, voriconazole, kétoconazole, ritonavir, cobicistat, clarithromycine, télithromycine) : augmentation importante des concentrations plasmatiques du 17-BMP, risque de toxicité systémique surrénale (syndrome de Cushing iatrogène, insuffisance surrénale à l'arrêt) — surveillance clinique et biologique, envisager une réduction posologique de 50 à 75 % du CSI, ou préférer un CSI non métabolisé par CYP3A4 (le budésonide reste sensible, mais la fluticasone furoate est moins affectée).</w:t>
      </w:r>
    </w:p>
    <w:p>
      <w:pPr>
        <w:pStyle w:val="ListBullet"/>
      </w:pPr>
      <w:r/>
      <w:r>
        <w:rPr>
          <w:b/>
        </w:rPr>
        <w:t>Béclométasone + β-bloquants</w:t>
      </w:r>
      <w:r>
        <w:t xml:space="preserve"> (propranolol, timolol, et surtout collyres β-bloquants) : potentialisation du bronchospasme, antagonisation de l'effet des β2-mimétiques de secours — à éviter, ou préférer un β-bloquant cardio-sélectif (bisoprolol, nébivolol) à dose minimale efficace.</w:t>
      </w:r>
    </w:p>
    <w:p>
      <w:pPr>
        <w:pStyle w:val="ListBullet"/>
      </w:pPr>
      <w:r/>
      <w:r>
        <w:rPr>
          <w:b/>
        </w:rPr>
        <w:t>Béclométasone + diurétiques hypokaliémiants</w:t>
      </w:r>
      <w:r>
        <w:t xml:space="preserve"> (furosémide, hydrochlorothiazide) : majoration du risque d'hypokaliémie (surtout en association avec β2-mimétiques) — surveillance kaliémique.</w:t>
      </w:r>
    </w:p>
    <w:p>
      <w:pPr>
        <w:pStyle w:val="ListBullet"/>
      </w:pPr>
      <w:r/>
      <w:r>
        <w:rPr>
          <w:b/>
        </w:rPr>
        <w:t>Béclométasone + estrogènes / contraceptifs oraux</w:t>
      </w:r>
      <w:r>
        <w:t xml:space="preserve"> : augmentation de la biodisponibilité de la béclométasone (diminution de la clairance hépatique) — surveillance accrue.</w:t>
      </w:r>
    </w:p>
    <w:p>
      <w:pPr>
        <w:pStyle w:val="ListBullet"/>
      </w:pPr>
      <w:r/>
      <w:r>
        <w:rPr>
          <w:b/>
        </w:rPr>
        <w:t>Béclométasone + warfarine / antivitamines K</w:t>
      </w:r>
      <w:r>
        <w:t xml:space="preserve"> : variation de l'INR (effet inducteur enzymatique) — surveillance de l'INR en début et fin de traitement.</w:t>
      </w:r>
    </w:p>
    <w:p>
      <w:r/>
      <w:r>
        <w:rPr>
          <w:b/>
        </w:rPr>
        <w:t>Grossesse et Allaitement :</w:t>
      </w:r>
      <w:r/>
    </w:p>
    <w:p>
      <w:pPr>
        <w:pStyle w:val="ListBullet"/>
      </w:pPr>
      <w:r>
        <w:t xml:space="preserve">Grossesse : la béclométasone est </w:t>
      </w:r>
      <w:r>
        <w:rPr>
          <w:b/>
        </w:rPr>
        <w:t>le CSI de référence au cours de la grossesse</w:t>
      </w:r>
      <w:r>
        <w:t xml:space="preserve"> (avis CRAT — Centre de Renseignement sur les Agents Tératogènes ; American College of Obstetricians and Gynecologists) en raison de sa documentation la plus ancienne et la plus large (cohorte de plusieurs milliers de grossesses exposées sans sur-risque de malformations, de prématurité ou de retard de croissance). À utiliser par voie inhalée à la dose minimale efficace. La place de la béclométasone est devenue cependant plus discutée en France où le </w:t>
      </w:r>
      <w:r>
        <w:rPr>
          <w:b/>
        </w:rPr>
        <w:t>budésonide est désormais préféré</w:t>
      </w:r>
      <w:r>
        <w:t xml:space="preserve"> en raison d'un recueil prospectif plus important dans les registres suédois et norvégien. Sur le plan pratique, en Algérie, la béclométasone reste largement prescrite chez la femme enceinte asthmatique et la switch vers le budésonide est légitime en cas d'asthme modéré à sévère nécessitant des doses moyennes à fortes.</w:t>
      </w:r>
    </w:p>
    <w:p>
      <w:pPr>
        <w:pStyle w:val="ListBullet"/>
      </w:pPr>
      <w:r>
        <w:t xml:space="preserve">Allaitement : passage dans le lait maternel </w:t>
      </w:r>
      <w:r>
        <w:rPr>
          <w:b/>
        </w:rPr>
        <w:t>très faible</w:t>
      </w:r>
      <w:r>
        <w:t xml:space="preserve"> (rapport concentration lait/plasma ~0,1 à 1 %) ; l'enfant allaité reçoit une dose inférieure à 1 % de la dose maternelle par kg — </w:t>
      </w:r>
      <w:r>
        <w:rPr>
          <w:b/>
        </w:rPr>
        <w:t>compatible avec l'allaitement</w:t>
      </w:r>
      <w:r>
        <w:t xml:space="preserve"> (CRAT, LactMed).</w:t>
      </w:r>
    </w:p>
    <w:p>
      <w:pPr>
        <w:pStyle w:val="ListBullet"/>
      </w:pPr>
      <w:r>
        <w:t>Précisions : un asthme non contrôlé pendant la grossesse est nettement plus dangereux pour le fœtus (hypoxie fœtale, retard de croissance intra-utérin, prématurité, mort fœtale in utero) que le traitement par CSI à dose efficace. Ne jamais arrêter un CSI pendant la grossesse sans avis pneumologique.</w:t>
      </w:r>
    </w:p>
    <w:p>
      <w:r/>
      <w:r>
        <w:rPr>
          <w:b/>
        </w:rPr>
        <w:t>Posologie et Mode d'administration (Standard) :</w:t>
      </w:r>
      <w:r/>
    </w:p>
    <w:p>
      <w:pPr>
        <w:pStyle w:val="ListBullet"/>
      </w:pPr>
      <w:r>
        <w:t xml:space="preserve">Adulte : </w:t>
      </w:r>
      <w:r>
        <w:rPr>
          <w:b/>
        </w:rPr>
        <w:t>asthme persistant léger</w:t>
      </w:r>
      <w:r>
        <w:t xml:space="preserve"> — 100 à 200 µg × 2/jour (200 à 400 µg/j) en formulation HFA ; </w:t>
      </w:r>
      <w:r>
        <w:rPr>
          <w:b/>
        </w:rPr>
        <w:t>asthme modéré</w:t>
      </w:r>
      <w:r>
        <w:t xml:space="preserve"> — 250 à 500 µg × 2/jour (500 à 1000 µg/j) ; </w:t>
      </w:r>
      <w:r>
        <w:rPr>
          <w:b/>
        </w:rPr>
        <w:t>asthme sévère</w:t>
      </w:r>
      <w:r>
        <w:t xml:space="preserve"> — jusqu'à 1000 µg × 2/jour (2000 µg/j) en association fixe avec LABA. </w:t>
      </w:r>
      <w:r>
        <w:rPr>
          <w:b/>
        </w:rPr>
        <w:t>Rhinite allergique</w:t>
      </w:r>
      <w:r>
        <w:t xml:space="preserve"> (forme nasale) — 1 à 2 pulvérisations de 50 µg par narine × 1/jour (100 à 200 µg/jour), à réduire à 1 pulvérisation/jour en entretien après 2 à 4 semaines. </w:t>
      </w:r>
      <w:r>
        <w:rPr>
          <w:b/>
        </w:rPr>
        <w:t>Polypose naso-sinusienne</w:t>
      </w:r>
      <w:r>
        <w:t xml:space="preserve"> — 1 à 2 pulvérisations de 100 µg par narine × 2/jour.</w:t>
      </w:r>
    </w:p>
    <w:p>
      <w:pPr>
        <w:pStyle w:val="ListBullet"/>
      </w:pPr>
      <w:r>
        <w:t xml:space="preserve">Enfant : </w:t>
      </w:r>
      <w:r>
        <w:rPr>
          <w:b/>
        </w:rPr>
        <w:t>5 à 12 ans</w:t>
      </w:r>
      <w:r>
        <w:t xml:space="preserve"> — 50 à 100 µg × 2/jour (100 à 200 µg/j, dose initiale maximale 400 µg/j) ; </w:t>
      </w:r>
      <w:r>
        <w:rPr>
          <w:b/>
        </w:rPr>
        <w:t>&gt; 12 ans</w:t>
      </w:r>
      <w:r>
        <w:t xml:space="preserve"> — posologie adulte. La croissance doit être surveillée (taille tous les 6 mois). Forme nasale : 1 pulvérisation de 50 µg par narine × 1/jour chez l'enfant de &gt; 6 ans.</w:t>
      </w:r>
    </w:p>
    <w:p>
      <w:pPr>
        <w:pStyle w:val="ListBullet"/>
      </w:pPr>
      <w:r>
        <w:t xml:space="preserve">Durée : </w:t>
      </w:r>
      <w:r>
        <w:rPr>
          <w:b/>
        </w:rPr>
        <w:t>traitement au long cours</w:t>
      </w:r>
      <w:r>
        <w:t xml:space="preserve">, plusieurs mois à années. L'arrêt doit être </w:t>
      </w:r>
      <w:r>
        <w:rPr>
          <w:b/>
        </w:rPr>
        <w:t>progressif</w:t>
      </w:r>
      <w:r>
        <w:t xml:space="preserve"> (réduction de 25 % toutes les 2 à 4 semaines) et jamais brutal, en raison du risque de rebond inflammatoire et d'insuffisance surrénale aiguë (surtout si doses &gt; 1000 µg/j).</w:t>
      </w:r>
    </w:p>
    <w:p>
      <w:pPr>
        <w:pStyle w:val="ListBullet"/>
      </w:pPr>
      <w:r>
        <w:t xml:space="preserve">Moment de la prise : matin et soir (en deux prises espacées de 12 heures) de préférence, ou en une prise le matin pour les doses faibles chez l'adulte. Toujours </w:t>
      </w:r>
      <w:r>
        <w:rPr>
          <w:b/>
        </w:rPr>
        <w:t>rincer la bouche à l'eau claire</w:t>
      </w:r>
      <w:r>
        <w:t xml:space="preserve"> après chaque inhalation (et recrachement). En cas d'asthme induit par l'exercice, prise 30 minutes avant l'effort.</w:t>
      </w:r>
    </w:p>
    <w:p>
      <w:r/>
      <w:r>
        <w:rPr>
          <w:b/>
        </w:rPr>
        <w:t>Arbitrage et Bénéfices des Formes Galéniques :</w:t>
      </w:r>
      <w:r/>
    </w:p>
    <w:p>
      <w:r>
        <w:t xml:space="preserve">Le marché algérien propose trois dispositifs : (i) </w:t>
      </w:r>
      <w:r>
        <w:rPr>
          <w:b/>
        </w:rPr>
        <w:t>aérosol doseur MDI HFA</w:t>
      </w:r>
      <w:r>
        <w:t xml:space="preserve"> (BECLATE 250, BECLOJET, CLENIL 250) — solution à 250 µg/bouffée en flacon de 200 doses ; ce dispositif nécessite une </w:t>
      </w:r>
      <w:r>
        <w:rPr>
          <w:b/>
        </w:rPr>
        <w:t>technique d'inhalation coordonnée</w:t>
      </w:r>
      <w:r>
        <w:t xml:space="preserve"> (synérgie main-poumon) difficile chez l'enfant de &lt; 6 ans et le sujet âgé ; l'usage d'une </w:t>
      </w:r>
      <w:r>
        <w:rPr>
          <w:b/>
        </w:rPr>
        <w:t>chambre d'inhalation</w:t>
      </w:r>
      <w:r>
        <w:t xml:space="preserve"> (type Babyhaler, Volumatic, AeroChamber) est recommandé ; (ii) </w:t>
      </w:r>
      <w:r>
        <w:rPr>
          <w:b/>
        </w:rPr>
        <w:t>spray nasal</w:t>
      </w:r>
      <w:r>
        <w:t xml:space="preserve"> pour la rhinite allergique et la polypose (BECANOS, NASABEC, BECLATE-NASAL, RINOCLENIL) — pulvérisation facile, bien tolérée ; (iii) anciennes formulations </w:t>
      </w:r>
      <w:r>
        <w:rPr>
          <w:b/>
        </w:rPr>
        <w:t>MDI CFC</w:t>
      </w:r>
      <w:r>
        <w:t xml:space="preserve"> aujourd'hui retirées du marché (BECOTIDE, BECLO-ASMA, BECLOMET, CLENIL 50). La transition CFC→HFA a permis une réduction des équivalences posologiques (~50 % de dose HFA pour une efficacité équivalente à la dose CFC). Les spécialités </w:t>
      </w:r>
      <w:r>
        <w:rPr>
          <w:b/>
        </w:rPr>
        <w:t>non renouvelables ou retirées</w:t>
      </w:r>
      <w:r>
        <w:t xml:space="preserve"> (BECOTIDE, BECLO-ASMA, BECLOMET, BECLOMET FORT) reflètent la consolidation du marché algérien autour des formulations HFA modernes.</w:t>
      </w:r>
    </w:p>
    <w:p>
      <w:r/>
      <w:r>
        <w:rPr>
          <w:b/>
        </w:rPr>
        <w:t>Instructions et Conseils au Patient :</w:t>
      </w:r>
      <w:r/>
    </w:p>
    <w:p>
      <w:pPr>
        <w:pStyle w:val="ListBullet"/>
      </w:pPr>
      <w:r>
        <w:t xml:space="preserve">Communication au comptoir : « Ce médicament est un </w:t>
      </w:r>
      <w:r>
        <w:rPr>
          <w:b/>
        </w:rPr>
        <w:t>corticoïde inhalé</w:t>
      </w:r>
      <w:r>
        <w:t xml:space="preserve"> qui traite l'inflammation de vos bronches ; il s'agit d'un </w:t>
      </w:r>
      <w:r>
        <w:rPr>
          <w:b/>
        </w:rPr>
        <w:t>traitement de fond</w:t>
      </w:r>
      <w:r>
        <w:t xml:space="preserve"> à prendre tous les jours même si vous n'avez pas de symptômes ; il ne vous soulage pas immédiatement (le soulagement immédiat vient de votre ventoline) ; son effet apparaît après plusieurs jours et est maximal après 2 à 4 semaines. </w:t>
      </w:r>
      <w:r>
        <w:rPr>
          <w:b/>
        </w:rPr>
        <w:t>Rincez-vous la bouche à l'eau claire après chaque inhalation</w:t>
      </w:r>
      <w:r>
        <w:t xml:space="preserve"> pour éviter la candidose (muguet) dans la bouche. N'arrêtez jamais ce traitement brutalement. Conservez-le à température ambiante (≤ 25 °C) et vérifiez régulièrement la date d'expiration. »</w:t>
      </w:r>
    </w:p>
    <w:p>
      <w:pPr>
        <w:pStyle w:val="ListBullet"/>
      </w:pPr>
      <w:r>
        <w:t xml:space="preserve">Mode d'utilisation pratique : (a) retirer le capuchon ; (b) agiter vigoureusement l'aérosol ; (c) expirer doucement et complètement à distance de l'embout buccal ; (d) placer l'embout entre les lèvres (sans mordre) ; (e) déclencher la pulvérisation </w:t>
      </w:r>
      <w:r>
        <w:rPr>
          <w:b/>
        </w:rPr>
        <w:t>en début d'inspiration lente et profonde</w:t>
      </w:r>
      <w:r>
        <w:t xml:space="preserve"> (durée 5 secondes) ; (f) retenir son souffle 10 secondes ; (g) expirer lentement ; (h) répéter si nécessaire après 30 secondes ; (i) rincer la bouche et recracher ; (j) nettoyer l'embout une fois par semaine avec un coton sec. Si le patient utilise une chambre d'inhalation, déclencher la pulvérisation dans la chambre puis inspirer profondément 5 fois en 15 secondes. Donner un </w:t>
      </w:r>
      <w:r>
        <w:rPr>
          <w:b/>
        </w:rPr>
        <w:t>plan d'action écrit</w:t>
      </w:r>
      <w:r>
        <w:t xml:space="preserve"> (GINA) précisant les situations d'augmentation transitoire des doses (rhinite, infection ORL, pic pollution) et la conduite à tenir en cas de crise.</w:t>
      </w:r>
    </w:p>
    <w:p>
      <w:r/>
      <w:r>
        <w:rPr>
          <w:b/>
        </w:rPr>
        <w:t>Notes, Règles d'Or &amp; Pièges au Comptoir :</w:t>
      </w:r>
      <w:r/>
    </w:p>
    <w:p>
      <w:pPr>
        <w:pStyle w:val="ListBullet"/>
      </w:pPr>
      <w:r>
        <w:t xml:space="preserve">Piège classique : la béclométasone </w:t>
      </w:r>
      <w:r>
        <w:rPr>
          <w:b/>
        </w:rPr>
        <w:t>n'est pas un bronchodilatateur</w:t>
      </w:r>
      <w:r>
        <w:t xml:space="preserve"> — ne pas prescrire seul pour une crise d'asthme aiguë, ne pas substituer au salbutamol. Toujours associer un β2-mimétique de secours (SABA). Le patient doit toujours avoir sa « ventoline » à portée de main.</w:t>
      </w:r>
    </w:p>
    <w:p>
      <w:pPr>
        <w:pStyle w:val="ListBullet"/>
      </w:pPr>
      <w:r>
        <w:t xml:space="preserve">Règle de prise : </w:t>
      </w:r>
      <w:r>
        <w:rPr>
          <w:b/>
        </w:rPr>
        <w:t>tous les jours, même en l'absence de symptômes</w:t>
      </w:r>
      <w:r>
        <w:t>, matin et soir, rinçage buccal systématique.</w:t>
      </w:r>
    </w:p>
    <w:p>
      <w:pPr>
        <w:pStyle w:val="ListBullet"/>
      </w:pPr>
      <w:r>
        <w:t>Préparation et Conservation : aérosol sous pression — ne pas percer, ne pas incinérer, ne pas exposer à des températures &gt; 50 °C (risque d'explosion du flacon), conserver à température ≤ 25 °C, à l'abri du gel et de la lumière. Vérifier la date de péremption. En cas d'inutilisation prolongée (&gt; 2 semaines), amorcez le dispositif en pulvérisant 2 fois à l'air libre avant la première utilisation.</w:t>
      </w:r>
    </w:p>
    <w:p>
      <w:pPr>
        <w:pStyle w:val="ListBullet"/>
      </w:pPr>
      <w:r>
        <w:t xml:space="preserve">Piège du surdosage / Substitution : attention aux </w:t>
      </w:r>
      <w:r>
        <w:rPr>
          <w:b/>
        </w:rPr>
        <w:t>équivalences de doses entre CSI</w:t>
      </w:r>
      <w:r>
        <w:t xml:space="preserve"> — passage de la béclométasone 250 HFA vers le budésonide 200 Turbuhaler : ~équivalent en efficacité (1 µg BDP HFA ≈ 1 µg budésonide). Passage vers la fluticasone propionate : </w:t>
      </w:r>
      <w:r>
        <w:rPr>
          <w:b/>
        </w:rPr>
        <w:t>2 µg BDP ≈ 1 µg fluticasone propionate</w:t>
      </w:r>
      <w:r>
        <w:t xml:space="preserve"> (la fluticasone est deux fois plus puissante). Attention chez l'enfant : la béclométasone a un effet plus marqué sur la croissance que la fluticasone aux doses équivalentes. Ne jamais substituer un spray nasal de béclométasone (50 µg/dose) par un aérosol buccal (250 µg/bouffée) — erreur grave d'administration.</w:t>
      </w:r>
    </w:p>
    <w:p>
      <w:pPr>
        <w:pStyle w:val="Heading3"/>
      </w:pPr>
      <w:r>
        <w:t>2. DCI : Budésonide (Seule)</w:t>
      </w:r>
    </w:p>
    <w:p>
      <w:r/>
      <w:r>
        <w:rPr>
          <w:b/>
        </w:rPr>
        <w:t>Liste des Catégories :</w:t>
      </w:r>
      <w:r>
        <w:t xml:space="preserve"> Corticoïde inhalé (CSI) ; Glucocorticoïde de synthèse non-halogéné (dépourvu de groupements fluor ou chlore) ; Anti-asthmatique de fond ; Anti-inflammatoire stéroïdien inhalé ; Corticoïde nébulisable ; Traitement de la rhinite allergique (forme nasale) ; Liste I (toutes formes et dosages) ; Prescription médicale obligatoire.</w:t>
      </w:r>
    </w:p>
    <w:p>
      <w:r>
        <w:t xml:space="preserve">Le budésonide est un CSI de </w:t>
      </w:r>
      <w:r>
        <w:rPr>
          <w:b/>
        </w:rPr>
        <w:t>deuxième génération</w:t>
      </w:r>
      <w:r>
        <w:t xml:space="preserve"> (commercialisé depuis 1981 par AstraZeneca sous le nom de Pulmicort™), caractérisé par une </w:t>
      </w:r>
      <w:r>
        <w:rPr>
          <w:b/>
        </w:rPr>
        <w:t>biodisponibilité orale faible (~10 %)</w:t>
      </w:r>
      <w:r>
        <w:t xml:space="preserve"> due à un effet de premier passage hépatique intense (métabolisation par CYP3A4 en métabolites inactifs 6β-hydroxybudésonide et 16α-hydroxyprednisolone) et par une </w:t>
      </w:r>
      <w:r>
        <w:rPr>
          <w:b/>
        </w:rPr>
        <w:t>haute clairance systémique</w:t>
      </w:r>
      <w:r>
        <w:t xml:space="preserve"> (~1,5 L/min). Ces propriétés en font le </w:t>
      </w:r>
      <w:r>
        <w:rPr>
          <w:b/>
        </w:rPr>
        <w:t>CSI de référence chez la femme enceinte</w:t>
      </w:r>
      <w:r>
        <w:t xml:space="preserve"> (registres suédois et norvégien, recommandations GINA 2024 et CRAT) et le </w:t>
      </w:r>
      <w:r>
        <w:rPr>
          <w:b/>
        </w:rPr>
        <w:t>premier CSI validé pour la nébulisation</w:t>
      </w:r>
      <w:r>
        <w:t xml:space="preserve"> chez le nourrisson et le jeune enfant (forme suspension pour nébuliseur à 0,5 et 1 mg/2 mL). Le budésonide est également commercialisé en poudre sèche (Turbuhaler™, gélules Airycort™), en aérosol doseur HFA (Budiacort™), en spray nasal (Rhinocort™, Donicort™, Respicort™, Rhinodis™, Rhinodoze™, Rinonide™) pour la rhinite allergique, et constitue la composante CSI de l'association fixe </w:t>
      </w:r>
      <w:r>
        <w:rPr>
          <w:b/>
        </w:rPr>
        <w:t>budésonide + formotérol</w:t>
      </w:r>
      <w:r>
        <w:t xml:space="preserve"> (Symbicort™ Turbuhaler), qui est le pilier du concept </w:t>
      </w:r>
      <w:r>
        <w:rPr>
          <w:b/>
        </w:rPr>
        <w:t>SMART (Single Maintenance and Reliever Therapy)</w:t>
      </w:r>
      <w:r>
        <w:t xml:space="preserve"> du GINA.</w:t>
      </w:r>
    </w:p>
    <w:p>
      <w:r/>
      <w:r>
        <w:rPr>
          <w:b/>
        </w:rPr>
        <w:t>Médicaments disponibles en Algérie (Marques, Laboratoires, Formes et Dosages) :</w:t>
      </w:r>
      <w:r/>
    </w:p>
    <w:p>
      <w:r/>
      <w:r>
        <w:rPr>
          <w:i/>
        </w:rPr>
        <w:t>Spécialités actives :</w:t>
      </w:r>
      <w:r/>
    </w:p>
    <w:p>
      <w:r/>
      <w:r>
        <w:rPr>
          <w:b/>
        </w:rPr>
        <w:t>Formes inhalées — Aérosols doseurs (MDI HFA) :</w:t>
      </w:r>
      <w:r/>
    </w:p>
    <w:p>
      <w:pPr>
        <w:pStyle w:val="ListBullet"/>
      </w:pPr>
      <w:r/>
      <w:r>
        <w:rPr>
          <w:b/>
        </w:rPr>
        <w:t>BUDECORT-200</w:t>
      </w:r>
      <w:r>
        <w:t xml:space="preserve"> (CIPLA LIMITED) — Aérosol buccal 200 µg/dose — Flacon 200 doses — Liste I — Statut : Actif</w:t>
      </w:r>
    </w:p>
    <w:p>
      <w:pPr>
        <w:pStyle w:val="ListBullet"/>
      </w:pPr>
      <w:r/>
      <w:r>
        <w:rPr>
          <w:b/>
        </w:rPr>
        <w:t>BUDIAIR 200µG et BUDIAIR 200µG JET</w:t>
      </w:r>
      <w:r>
        <w:t xml:space="preserve"> (CHIESI FARMACEUTICI SPA) — Solution sous pression pour inhalation buccale 200 µg/dose — Flacon 200 doses (et flacon 200 doses + chambre d'inhalation JET) — Liste I — Statut : Actif</w:t>
      </w:r>
    </w:p>
    <w:p>
      <w:r/>
      <w:r>
        <w:rPr>
          <w:b/>
        </w:rPr>
        <w:t>Formes inhalées — Poudres sèches (DPI) :</w:t>
      </w:r>
      <w:r/>
    </w:p>
    <w:p>
      <w:pPr>
        <w:pStyle w:val="ListBullet"/>
      </w:pPr>
      <w:r/>
      <w:r>
        <w:rPr>
          <w:b/>
        </w:rPr>
        <w:t>PULMICORT TURBUHALER</w:t>
      </w:r>
      <w:r>
        <w:t xml:space="preserve"> (ASTRA ZENECA) — Poudre pour inhalation buccale 200 µg/dose — Flacon 200 doses — Liste I — Statut : Actif (spécialité princeps historique)</w:t>
      </w:r>
    </w:p>
    <w:p>
      <w:pPr>
        <w:pStyle w:val="ListBullet"/>
      </w:pPr>
      <w:r/>
      <w:r>
        <w:rPr>
          <w:b/>
        </w:rPr>
        <w:t>AIRYCORT</w:t>
      </w:r>
      <w:r>
        <w:t xml:space="preserve"> (INPHA-MEDIS) — Poudre pour inhalation en gélules 200 µg/dose — Boîte 60 gélules + inhalateur — Liste I — Statut : Actif</w:t>
      </w:r>
    </w:p>
    <w:p>
      <w:pPr>
        <w:pStyle w:val="ListBullet"/>
      </w:pPr>
      <w:r/>
      <w:r>
        <w:rPr>
          <w:b/>
        </w:rPr>
        <w:t>AIRYCORT</w:t>
      </w:r>
      <w:r>
        <w:t xml:space="preserve"> (INPHA-MEDIS) — Poudre pour inhalation en gélules 400 µg/dose — Boîte 60 gélules + inhalateur — Liste I — Statut : Actif</w:t>
      </w:r>
    </w:p>
    <w:p>
      <w:r/>
      <w:r>
        <w:rPr>
          <w:b/>
        </w:rPr>
        <w:t>Formes inhalées — Suspensions pour nébulisation :</w:t>
      </w:r>
      <w:r/>
    </w:p>
    <w:p>
      <w:pPr>
        <w:pStyle w:val="ListBullet"/>
      </w:pPr>
      <w:r/>
      <w:r>
        <w:rPr>
          <w:b/>
        </w:rPr>
        <w:t>PULMICORT</w:t>
      </w:r>
      <w:r>
        <w:t xml:space="preserve"> (ASTRA ZENECA) — Suspension pour inhalation par nébuliseur en récipient unidose 0,5 mg/2 mL — Boîte de 4 étuis de 5 récipients unidoses (20 unidoses) — Liste I — Statut : Actif</w:t>
      </w:r>
    </w:p>
    <w:p>
      <w:pPr>
        <w:pStyle w:val="ListBullet"/>
      </w:pPr>
      <w:r/>
      <w:r>
        <w:rPr>
          <w:b/>
        </w:rPr>
        <w:t>PULMICORT</w:t>
      </w:r>
      <w:r>
        <w:t xml:space="preserve"> (ASTRA ZENECA) — Suspension pour inhalation par nébuliseur en récipient unidose 1 mg/2 mL — Boîte de 4 étuis de 5 récipients unidoses (20 unidoses) — Liste I — Statut : Actif</w:t>
      </w:r>
    </w:p>
    <w:p>
      <w:r/>
      <w:r>
        <w:rPr>
          <w:b/>
        </w:rPr>
        <w:t>Formes nasales — Sprays nasaux :</w:t>
      </w:r>
      <w:r/>
    </w:p>
    <w:p>
      <w:pPr>
        <w:pStyle w:val="ListBullet"/>
      </w:pPr>
      <w:r/>
      <w:r>
        <w:rPr>
          <w:b/>
        </w:rPr>
        <w:t>RHINOCORT</w:t>
      </w:r>
      <w:r>
        <w:t xml:space="preserve"> (ASTRA ZENECA) — Suspension pour pulvérisation nasale 64 µg/dose — Flacon 120 doses — Liste I — Statut : Actif</w:t>
      </w:r>
    </w:p>
    <w:p>
      <w:pPr>
        <w:pStyle w:val="ListBullet"/>
      </w:pPr>
      <w:r/>
      <w:r>
        <w:rPr>
          <w:b/>
        </w:rPr>
        <w:t>DONICORT</w:t>
      </w:r>
      <w:r>
        <w:t xml:space="preserve"> (BIOGALENIC) — Suspension pour pulvérisation nasale 64 µg/dose — Flacon 120 doses — Liste I — Statut : Actif</w:t>
      </w:r>
    </w:p>
    <w:p>
      <w:pPr>
        <w:pStyle w:val="ListBullet"/>
      </w:pPr>
      <w:r/>
      <w:r>
        <w:rPr>
          <w:b/>
        </w:rPr>
        <w:t>RESPICORT</w:t>
      </w:r>
      <w:r>
        <w:t xml:space="preserve"> (HUPP PHARMA) — Suspension pour pulvérisation nasale 64 µg/dose — Flacon 120 doses — Liste I — Statut : Actif</w:t>
      </w:r>
    </w:p>
    <w:p>
      <w:pPr>
        <w:pStyle w:val="ListBullet"/>
      </w:pPr>
      <w:r/>
      <w:r>
        <w:rPr>
          <w:b/>
        </w:rPr>
        <w:t>RHINODIS</w:t>
      </w:r>
      <w:r>
        <w:t xml:space="preserve"> (INPHA-MEDIS) — Suspension pour pulvérisation nasale 64 µg/dose — Flacon 120 doses — Liste I — Statut : Actif</w:t>
      </w:r>
    </w:p>
    <w:p>
      <w:pPr>
        <w:pStyle w:val="ListBullet"/>
      </w:pPr>
      <w:r/>
      <w:r>
        <w:rPr>
          <w:b/>
        </w:rPr>
        <w:t>RHINODOZE</w:t>
      </w:r>
      <w:r>
        <w:t xml:space="preserve"> (NOVAPHARM TRADING) — Suspension pour pulvérisation nasale 64 µg/dose — Flacon 120 doses — Liste I — Statut : Actif</w:t>
      </w:r>
    </w:p>
    <w:p>
      <w:pPr>
        <w:pStyle w:val="ListBullet"/>
      </w:pPr>
      <w:r/>
      <w:r>
        <w:rPr>
          <w:b/>
        </w:rPr>
        <w:t>RINONIDE</w:t>
      </w:r>
      <w:r>
        <w:t xml:space="preserve"> (GENERIC LAB) — Suspension pour pulvérisation nasale 64 µg/dose — Flacon 120 doses — Liste I — Statut : Actif</w:t>
      </w:r>
    </w:p>
    <w:p>
      <w:r/>
      <w:r>
        <w:rPr>
          <w:i/>
        </w:rPr>
        <w:t>Spécialités non renouvelables :</w:t>
      </w:r>
      <w:r/>
    </w:p>
    <w:p>
      <w:pPr>
        <w:pStyle w:val="ListBullet"/>
      </w:pPr>
      <w:r/>
      <w:r>
        <w:rPr>
          <w:b/>
        </w:rPr>
        <w:t>MEFLONIL 200</w:t>
      </w:r>
      <w:r>
        <w:t xml:space="preserve"> (NOVARTIS PHARMA SCHWEIZ AG) — Poudre pour inhalation en gélules + inhalateur 200 µg — Boîte 60 — Liste I — Statut : Non Renouvelable</w:t>
      </w:r>
    </w:p>
    <w:p>
      <w:pPr>
        <w:pStyle w:val="ListBullet"/>
      </w:pPr>
      <w:r/>
      <w:r>
        <w:rPr>
          <w:b/>
        </w:rPr>
        <w:t>MEFLONIL 400</w:t>
      </w:r>
      <w:r>
        <w:t xml:space="preserve"> (NOVARTIS PHARMA SCHWEIZ AG) — Poudre pour inhalation en gélules + inhalateur 400 µg — Boîte 60 — Liste I — Statut : Non Renouvelable</w:t>
      </w:r>
    </w:p>
    <w:p>
      <w:r/>
      <w:r>
        <w:rPr>
          <w:i/>
        </w:rPr>
        <w:t>Spécialités retirées (R) :</w:t>
      </w:r>
      <w:r/>
    </w:p>
    <w:p>
      <w:pPr>
        <w:pStyle w:val="ListBullet"/>
      </w:pPr>
      <w:r/>
      <w:r>
        <w:rPr>
          <w:b/>
        </w:rPr>
        <w:t>PULMICORT</w:t>
      </w:r>
      <w:r>
        <w:t xml:space="preserve"> (ASTRA) — Aérosol 200 µg/bouffée — Flacon 200 doses — Statut : Retiré (R) [ancienne formulation CFC]</w:t>
      </w:r>
    </w:p>
    <w:p>
      <w:pPr>
        <w:pStyle w:val="ListBullet"/>
      </w:pPr>
      <w:r/>
      <w:r>
        <w:rPr>
          <w:b/>
        </w:rPr>
        <w:t>PULMICTAN</w:t>
      </w:r>
      <w:r>
        <w:t xml:space="preserve"> (FAES) — Aérosol buccal 200 µg/dose — Flacon 100 doses — Statut : Retiré (R)</w:t>
      </w:r>
    </w:p>
    <w:p>
      <w:r/>
      <w:r>
        <w:rPr>
          <w:b/>
        </w:rPr>
        <w:t>Sous-classe et Mécanisme d'action :</w:t>
      </w:r>
      <w:r/>
    </w:p>
    <w:p>
      <w:pPr>
        <w:pStyle w:val="ListBullet"/>
      </w:pPr>
      <w:r>
        <w:t>Sous-classe : Corticoïde inhalé (CSI) de deuxième génération, non-halogéné (absence de fluor, de chlore et de groupements modificateurs de lipophilie), caractérisé par une haute clairance systémique, une biodisponibilité orale faible et une bonne tolérance systémique ; premier CSI validé pour la nébulisation chez le nourrisson ; composante CSI de l'association fixe budésonide + formotérol (Symbicort™) au cœur du concept SMART.</w:t>
      </w:r>
    </w:p>
    <w:p>
      <w:pPr>
        <w:pStyle w:val="ListBullet"/>
      </w:pPr>
      <w:r>
        <w:t xml:space="preserve">Mécanisme d'action : le budésonide pénètre par diffusion passive dans les cellules cibles (épithélium bronchique, macrophages alvéolaires, lymphocytes T, éosinophiles, mastocytes, cellules dendritiques) et se lie au </w:t>
      </w:r>
      <w:r>
        <w:rPr>
          <w:b/>
        </w:rPr>
        <w:t>récepteur des glucocorticoïdes alpha (GRα)</w:t>
      </w:r>
      <w:r>
        <w:t xml:space="preserve"> cytosolique. Le complexe Hsp90/Hsp70/FKBP51 se dissocie, le récepteur activé </w:t>
      </w:r>
      <w:r>
        <w:rPr>
          <w:b/>
        </w:rPr>
        <w:t>transloque dans le noyau</w:t>
      </w:r>
      <w:r>
        <w:t xml:space="preserve"> en quelques dizaines de minutes, se dimérise et se fixe sur les </w:t>
      </w:r>
      <w:r>
        <w:rPr>
          <w:b/>
        </w:rPr>
        <w:t>GRE (Glucocorticoid Response Elements)</w:t>
      </w:r>
      <w:r>
        <w:t xml:space="preserve">. Le budésonide exerce une </w:t>
      </w:r>
      <w:r>
        <w:rPr>
          <w:b/>
        </w:rPr>
        <w:t>double action transcriptionnelle</w:t>
      </w:r>
      <w:r>
        <w:t xml:space="preserve"> : (i) </w:t>
      </w:r>
      <w:r>
        <w:rPr>
          <w:b/>
        </w:rPr>
        <w:t>transactivation</w:t>
      </w:r>
      <w:r>
        <w:t xml:space="preserve"> des gènes anti-inflammatoires (annexine A1/lipocortine-1 qui inhibe la phospholipase A2, IκB-α qui séquestre NF-κB cytosolique, GILZ qui inhibe la voie Raf-1/MEK/ERK, MKP-1/DUSP1 qui déphosphoryle MAPK, IL-10 anti-inflammatoire, SLPI, elafin) ; (ii) </w:t>
      </w:r>
      <w:r>
        <w:rPr>
          <w:b/>
        </w:rPr>
        <w:t>transrépression</w:t>
      </w:r>
      <w:r>
        <w:t xml:space="preserve"> des gènes pro-inflammatoires par interaction protéine-protéine (sumoylation du GR, interaction avec NF-κB, AP-1, STAT3, NF-AT), réduisant la transcription des cytokines Th2 (IL-4, IL-5, IL-13, IL-9), des cytokines pro-inflammatoires (TNFα, IL-1β, IL-6, GM-CSF), des chimiokines (eotaxine/CCL11, RANTES/CCL5, IL-8/CXCL8), des enzymes (COX-2, iNOS, PLA2) et des molécules d'adhésion (ICAM-1, VCAM-1, E-sélectine). L'effet pharmacodynamique complet (réduction de l'infiltrat éosinophile, restauration de la sensibilité β2-adrénergique par up-régulation du récepteur β2) est atteint en </w:t>
      </w:r>
      <w:r>
        <w:rPr>
          <w:b/>
        </w:rPr>
        <w:t>2 semaines</w:t>
      </w:r>
      <w:r>
        <w:t>.</w:t>
      </w:r>
    </w:p>
    <w:p>
      <w:r/>
      <w:r>
        <w:rPr>
          <w:b/>
        </w:rPr>
        <w:t>Profil Pharmacologique :</w:t>
      </w:r>
      <w:r/>
    </w:p>
    <w:p>
      <w:pPr>
        <w:pStyle w:val="ListBullet"/>
      </w:pPr>
      <w:r>
        <w:t xml:space="preserve">Indications : </w:t>
      </w:r>
      <w:r>
        <w:rPr>
          <w:b/>
        </w:rPr>
        <w:t>asthme persistant</w:t>
      </w:r>
      <w:r>
        <w:t xml:space="preserve"> (légère à sévère) en traitement de fond chez l'adulte et l'enfant à partir de 6 mois (nébulisation) ; </w:t>
      </w:r>
      <w:r>
        <w:rPr>
          <w:b/>
        </w:rPr>
        <w:t>asthme sévère</w:t>
      </w:r>
      <w:r>
        <w:t xml:space="preserve"> non contrôlé par fortes doses de CSI en association fixe avec formotérol (concept SMART — Symbicort™ Maintenance And Reliever Therapy) ; </w:t>
      </w:r>
      <w:r>
        <w:rPr>
          <w:b/>
        </w:rPr>
        <w:t>rhinite allergique</w:t>
      </w:r>
      <w:r>
        <w:t xml:space="preserve"> saisonnière ou perannuelle (forme nasale) ; </w:t>
      </w:r>
      <w:r>
        <w:rPr>
          <w:b/>
        </w:rPr>
        <w:t>polypose naso-sinusienne</w:t>
      </w:r>
      <w:r>
        <w:t xml:space="preserve"> (forme nasale) ; </w:t>
      </w:r>
      <w:r>
        <w:rPr>
          <w:b/>
        </w:rPr>
        <w:t>croup sévère</w:t>
      </w:r>
      <w:r>
        <w:t xml:space="preserve"> du nourrisson (nébulisation, usage exceptionnel) ; </w:t>
      </w:r>
      <w:r>
        <w:rPr>
          <w:b/>
        </w:rPr>
        <w:t>bronchodysplasie</w:t>
      </w:r>
      <w:r>
        <w:t xml:space="preserve"> du prématuré (hors AMM, nébulisation à très faible dose).</w:t>
      </w:r>
    </w:p>
    <w:p>
      <w:pPr>
        <w:pStyle w:val="ListBullet"/>
      </w:pPr>
      <w:r>
        <w:t>Contre-indications : hypersensibilité au budésonide ou à l'un des excipients ; tuberculose pulmonaire active non traitée ; infections bactériennes, virales (herpès), fongiques (aspergillose, candidose pulmonaire) non contrôlées des voies respiratoires ; pour la forme nasale : traumatisme nasal, chirurgie naso-sinusienne récente.</w:t>
      </w:r>
    </w:p>
    <w:p>
      <w:pPr>
        <w:pStyle w:val="ListBullet"/>
      </w:pPr>
      <w:r>
        <w:t xml:space="preserve">Effets Indésirables : identiques à ceux de la béclométasone en termes de profil local (candidose oropharyngée, dysphonie, toux, irritation pharyngée, sécheresse buccale) mais avec une </w:t>
      </w:r>
      <w:r>
        <w:rPr>
          <w:b/>
        </w:rPr>
        <w:t>fréquence moindre d'effets systémiques</w:t>
      </w:r>
      <w:r>
        <w:t xml:space="preserve"> en raison de la biodisponibilité orale faible et de la clairance élevée. Le risque de ralentissement de la croissance chez l'enfant est documenté mais semble inférieur à celui de la béclométasone. Le risque d'ostéoporose, de cataracte, de glaucome et de freination surrénale existe aux doses fortes (&gt; 1600 µg/jour chez l'adulte, &gt; 800 µg/jour chez l'enfant). Aux doses nébulisées chez le nourrisson, des cas d'</w:t>
      </w:r>
      <w:r>
        <w:rPr>
          <w:b/>
        </w:rPr>
        <w:t>irritabilité, troubles du sommeil, hyperactivité</w:t>
      </w:r>
      <w:r>
        <w:t xml:space="preserve"> ont été rapportés (effets glucocorticoïdes centraux). Quelques cas exceptionnels de réactions cutanées (érythème, urticaire, eczéma) ont été décrits. Bronchospasme paradoxal exceptionnel.</w:t>
      </w:r>
    </w:p>
    <w:p>
      <w:r/>
      <w:r>
        <w:rPr>
          <w:b/>
        </w:rPr>
        <w:t>Prévention et Gestion des Effets Indésirables :</w:t>
      </w:r>
      <w:r/>
    </w:p>
    <w:p>
      <w:pPr>
        <w:pStyle w:val="ListBullet"/>
      </w:pPr>
      <w:r>
        <w:t>Mesures Préventives : rinçage buccal systématique après chaque inhalation (et recrachement) ; utilisation d'une chambre d'inhalation avec MDI chez l'enfant de moins de 6 ans ; utilisation d'un nébuliseur pneumatique ou à ultrasons chez le nourrisson et le jeune enfant (nébulisation en deux fois 2 mL max) ; surveillance de la croissance (mesure semestrielle de la taille) chez l'enfant ; ostéodensitométrie chez la femme ménopausée et le sujet âgé sous fortes doses au long cours ; examen ophtalmologique annuel après 60 ans ; dosage du cortisol à 8 h tous les 6 mois si doses &gt; 1600 µg/j.</w:t>
      </w:r>
    </w:p>
    <w:p>
      <w:pPr>
        <w:pStyle w:val="ListBullet"/>
      </w:pPr>
      <w:r>
        <w:t>Conduite à Tenir : candidose oropharyngée — antifongique local (amphotéricine B suspension buvable ou nystatine pastilles, 7 à 14 jours), renforcer le rinçage, ajouter une chambre d'inhalation ; dysphonie — rééducation orthophonique, réduction posologique, changement de dispositif (DPI type Turbuhaler plutôt que MDI) ; bronchospasme paradoxal — arrêt immédiat, avis pneumologique ; freination surrénale — réduction progressive, jamais arrêt brutal ; troubles du comportement chez le nourrisson sous nébulisation — réduction de dose, voire switch vers un DPI dans la mesure du possible.</w:t>
      </w:r>
    </w:p>
    <w:p>
      <w:r/>
      <w:r>
        <w:rPr>
          <w:b/>
        </w:rPr>
        <w:t>Interactions Importantes :</w:t>
      </w:r>
      <w:r/>
    </w:p>
    <w:p>
      <w:pPr>
        <w:pStyle w:val="ListBullet"/>
      </w:pPr>
      <w:r/>
      <w:r>
        <w:rPr>
          <w:b/>
        </w:rPr>
        <w:t>Budésonide + itraconazole / kétoconazole / voriconazole / posaconazole</w:t>
      </w:r>
      <w:r>
        <w:t xml:space="preserve"> (inhibiteurs puissants du CYP3A4) : multiplication par 4 à 8 des concentrations plasmatiques du budésonide — risque de toxicité systémique (insuffisance surrénale, syndrome de Cushing iatrogène) — </w:t>
      </w:r>
      <w:r>
        <w:rPr>
          <w:b/>
        </w:rPr>
        <w:t>contre-indication relative</w:t>
      </w:r>
      <w:r>
        <w:t xml:space="preserve"> ; envisager l'arrêt du budésonide inhalé pendant la durée du traitement antifongique, ou réduire la dose de 75 %.</w:t>
      </w:r>
    </w:p>
    <w:p>
      <w:pPr>
        <w:pStyle w:val="ListBullet"/>
      </w:pPr>
      <w:r/>
      <w:r>
        <w:rPr>
          <w:b/>
        </w:rPr>
        <w:t>Budésonide + ritonavir / cobicistat</w:t>
      </w:r>
      <w:r>
        <w:t xml:space="preserve"> (antiprotéases) : augmentation massive (jusqu'à × 17) de l'AUC du budésonide — risque d'insuffisance surrénale sévère (cas publiés) — </w:t>
      </w:r>
      <w:r>
        <w:rPr>
          <w:b/>
        </w:rPr>
        <w:t>à éviter absolument</w:t>
      </w:r>
      <w:r>
        <w:t xml:space="preserve"> ; préférer la fluticasone furoate (moins métabolisée par CYP3A4) ou envisager un CSI non inhalé à dose minimale.</w:t>
      </w:r>
    </w:p>
    <w:p>
      <w:pPr>
        <w:pStyle w:val="ListBullet"/>
      </w:pPr>
      <w:r/>
      <w:r>
        <w:rPr>
          <w:b/>
        </w:rPr>
        <w:t>Budésonide + clarithromycine / érythromycine</w:t>
      </w:r>
      <w:r>
        <w:t xml:space="preserve"> (inhibiteurs modérés du CYP3A4) : augmentation modérée (× 2) — surveillance clinique, sans conséquence majeure aux doses usuelles.</w:t>
      </w:r>
    </w:p>
    <w:p>
      <w:pPr>
        <w:pStyle w:val="ListBullet"/>
      </w:pPr>
      <w:r/>
      <w:r>
        <w:rPr>
          <w:b/>
        </w:rPr>
        <w:t>Budésonide + jus de pamplemousse</w:t>
      </w:r>
      <w:r>
        <w:t xml:space="preserve"> : inhibition du CYP3A4 intestinal — augmentation modérée (~× 1,5) — éviter la consommation concomitante.</w:t>
      </w:r>
    </w:p>
    <w:p>
      <w:pPr>
        <w:pStyle w:val="ListBullet"/>
      </w:pPr>
      <w:r/>
      <w:r>
        <w:rPr>
          <w:b/>
        </w:rPr>
        <w:t>Budésonide + β-bloquants</w:t>
      </w:r>
      <w:r>
        <w:t xml:space="preserve"> : antagonisation de l'effet bronchodilatateur des β2-mimétiques — éviter ou préférer β1-sélectifs.</w:t>
      </w:r>
    </w:p>
    <w:p>
      <w:pPr>
        <w:pStyle w:val="ListBullet"/>
      </w:pPr>
      <w:r/>
      <w:r>
        <w:rPr>
          <w:b/>
        </w:rPr>
        <w:t>Budésonide + diurétiques hypokaliémiants</w:t>
      </w:r>
      <w:r>
        <w:t xml:space="preserve"> : majoration du risque d'hypokaliémie (surtout en association avec β2-mimétiques) — surveillance kaliémique.</w:t>
      </w:r>
    </w:p>
    <w:p>
      <w:r/>
      <w:r>
        <w:rPr>
          <w:b/>
        </w:rPr>
        <w:t>Grossesse et Allaitement :</w:t>
      </w:r>
      <w:r/>
    </w:p>
    <w:p>
      <w:pPr>
        <w:pStyle w:val="ListBullet"/>
      </w:pPr>
      <w:r>
        <w:t xml:space="preserve">Grossesse : le </w:t>
      </w:r>
      <w:r>
        <w:rPr>
          <w:b/>
        </w:rPr>
        <w:t>budésonide est le CSI de référence au cours de la grossesse</w:t>
      </w:r>
      <w:r>
        <w:t xml:space="preserve"> (CRAT, GINA 2024, registres suédois et norvégien — Swedish Medical Birth Registry : ~2000 grossesses exposées au premier trimestre sans sur-risque malformatif, OR ajusté ~1,0). Le passage systémique maternel est très faible par voie inhalée (faible biodisponibilité orale, haute clairance). À utiliser à la </w:t>
      </w:r>
      <w:r>
        <w:rPr>
          <w:b/>
        </w:rPr>
        <w:t>dose minimale efficace</w:t>
      </w:r>
      <w:r>
        <w:t>. Switch éventuel d'une béclométasone vers le budésonide en cas de planification de grossesse. Pour les formes nasales : compatible.</w:t>
      </w:r>
    </w:p>
    <w:p>
      <w:pPr>
        <w:pStyle w:val="ListBullet"/>
      </w:pPr>
      <w:r>
        <w:t xml:space="preserve">Allaitement : passage dans le lait maternel </w:t>
      </w:r>
      <w:r>
        <w:rPr>
          <w:b/>
        </w:rPr>
        <w:t>négligeable</w:t>
      </w:r>
      <w:r>
        <w:t xml:space="preserve"> (rapport lait/plasma ~0,5 %, dose ingérée par le nourrisson &lt; 0,3 % de la dose maternelle par kg) — </w:t>
      </w:r>
      <w:r>
        <w:rPr>
          <w:b/>
        </w:rPr>
        <w:t>compatible avec l'allaitement</w:t>
      </w:r>
      <w:r>
        <w:t xml:space="preserve"> (CRAT, LactMed, WHO Breastfeeding).</w:t>
      </w:r>
    </w:p>
    <w:p>
      <w:pPr>
        <w:pStyle w:val="ListBullet"/>
      </w:pPr>
      <w:r>
        <w:t>Précisions : un asthme non contrôlé pendant la grossesse est plus dangereux que le traitement CSI — ne jamais interrompre.</w:t>
      </w:r>
    </w:p>
    <w:p>
      <w:r/>
      <w:r>
        <w:rPr>
          <w:b/>
        </w:rPr>
        <w:t>Posologie et Mode d'administration (Standard) :</w:t>
      </w:r>
      <w:r/>
    </w:p>
    <w:p>
      <w:pPr>
        <w:pStyle w:val="ListBullet"/>
      </w:pPr>
      <w:r>
        <w:t xml:space="preserve">Adulte : </w:t>
      </w:r>
      <w:r>
        <w:rPr>
          <w:b/>
        </w:rPr>
        <w:t>asthme persistant léger</w:t>
      </w:r>
      <w:r>
        <w:t xml:space="preserve"> — 200 à 400 µg × 2/jour (400 à 800 µg/jour) ; </w:t>
      </w:r>
      <w:r>
        <w:rPr>
          <w:b/>
        </w:rPr>
        <w:t>asthme modéré</w:t>
      </w:r>
      <w:r>
        <w:t xml:space="preserve"> — 400 µg × 2/jour (800 µg/jour) ; </w:t>
      </w:r>
      <w:r>
        <w:rPr>
          <w:b/>
        </w:rPr>
        <w:t>asthme sévère</w:t>
      </w:r>
      <w:r>
        <w:t xml:space="preserve"> — 800 µg × 2/jour (1600 µg/jour), pouvant aller jusqu'à 2000 µg/jour en association fixe avec LABA. </w:t>
      </w:r>
      <w:r>
        <w:rPr>
          <w:b/>
        </w:rPr>
        <w:t>Rhinite allergique</w:t>
      </w:r>
      <w:r>
        <w:t xml:space="preserve"> (spray nasal) — 64 µg par narine × 2/jour (256 µg/jour), à réduire en entretien à 64 µg par narine × 1/jour après 2 à 4 semaines.</w:t>
      </w:r>
    </w:p>
    <w:p>
      <w:pPr>
        <w:pStyle w:val="ListBullet"/>
      </w:pPr>
      <w:r>
        <w:t xml:space="preserve">Enfant : </w:t>
      </w:r>
      <w:r>
        <w:rPr>
          <w:b/>
        </w:rPr>
        <w:t>6 mois à 12 ans</w:t>
      </w:r>
      <w:r>
        <w:t xml:space="preserve"> — 200 à 400 µg × 2/jour en nébulisation ou DPI ; </w:t>
      </w:r>
      <w:r>
        <w:rPr>
          <w:b/>
        </w:rPr>
        <w:t>&gt; 12 ans</w:t>
      </w:r>
      <w:r>
        <w:t xml:space="preserve"> — posologie adulte. Nébulisation : 0,5 mg × 2/jour chez l'enfant de 6 mois à 8 ans ; 1 mg × 2/jour chez l'enfant de &gt; 8 ans. Forme nasale chez l'enfant de &gt; 6 ans : 64 µg par narine × 1/jour.</w:t>
      </w:r>
    </w:p>
    <w:p>
      <w:pPr>
        <w:pStyle w:val="ListBullet"/>
      </w:pPr>
      <w:r>
        <w:t xml:space="preserve">Durée : </w:t>
      </w:r>
      <w:r>
        <w:rPr>
          <w:b/>
        </w:rPr>
        <w:t>traitement au long cours</w:t>
      </w:r>
      <w:r>
        <w:t>, plusieurs mois à années. Ne jamais arrêter brutalement (risque d'insuffisance surrénale aiguë et de rebond inflammatoire).</w:t>
      </w:r>
    </w:p>
    <w:p>
      <w:pPr>
        <w:pStyle w:val="ListBullet"/>
      </w:pPr>
      <w:r>
        <w:t xml:space="preserve">Moment de la prise : matin et soir en deux prises espacées de 12 heures (DPI) ou en nébulisation matin et soir. Toujours </w:t>
      </w:r>
      <w:r>
        <w:rPr>
          <w:b/>
        </w:rPr>
        <w:t>rincer la bouche à l'eau claire</w:t>
      </w:r>
      <w:r>
        <w:t xml:space="preserve"> après chaque inhalation (et recrachement). En cas de nébulisation chez le nourrisson, administrer pendant le sommeil ou en calmant l'enfant.</w:t>
      </w:r>
    </w:p>
    <w:p>
      <w:r/>
      <w:r>
        <w:rPr>
          <w:b/>
        </w:rPr>
        <w:t>Arbitrage et Bénéfices des Formes Galéniques :</w:t>
      </w:r>
      <w:r/>
    </w:p>
    <w:p>
      <w:r>
        <w:t xml:space="preserve">Le budésonide est </w:t>
      </w:r>
      <w:r>
        <w:rPr>
          <w:b/>
        </w:rPr>
        <w:t>le seul CSI disposant d'une forme nébulisable</w:t>
      </w:r>
      <w:r>
        <w:t xml:space="preserve"> commercialisée en Algérie (PULMICORT nébulisation 0,5 et 1 mg/2 mL), permettant le traitement du nourrisson et de l'enfant de moins de 5 ans incapables d'utiliser un DPI ou un MDI avec chambre d'inhalation. La forme </w:t>
      </w:r>
      <w:r>
        <w:rPr>
          <w:b/>
        </w:rPr>
        <w:t>Turbuhaler™</w:t>
      </w:r>
      <w:r>
        <w:t xml:space="preserve"> (PULMICORT TURBUHALER) est un DPI multidose sans excipient ni propulseur, fonctionnant par inspiration active du patient (débit inspiratoire minimal ~30 L/min), particulièrement adapté à l'enfant de plus de 5 ans et à l'adulte. Les </w:t>
      </w:r>
      <w:r>
        <w:rPr>
          <w:b/>
        </w:rPr>
        <w:t>gélules à inhaler</w:t>
      </w:r>
      <w:r>
        <w:t xml:space="preserve"> (AIRYCORT 200 et 400 µg) s'utilisent avec un inhalateur type Aerolizer™, Handihaler™ ou Breezhaler™, et présentent l'avantage du dosage unitaire (vérification visuelle). Les </w:t>
      </w:r>
      <w:r>
        <w:rPr>
          <w:b/>
        </w:rPr>
        <w:t>MDI HFA</w:t>
      </w:r>
      <w:r>
        <w:t xml:space="preserve"> (BUDECORT-200, BUDIAIR 200) sont utiles en cas d'intolérance au lactose des DPI ou chez les patients à faible débit inspiratoire, mais requièrent une coordination main-poumon et l'usage d'une chambre d'inhalation chez l'enfant. La nébulisation permet également l'administration conjointe d'un β2-mimétique (salbutamol, terbutaline) ou d'un anticholinergique (ipratropium) dans la même séance. La forme nasale (RHINOCORT 64 µg/dose et génériques DONICORT, RESPICORT, RHINODIS, RHINODOZE, RINONIDE) est utilisée dans la rhinite allergique perannuelle et la polypose naso-sinusienne.</w:t>
      </w:r>
    </w:p>
    <w:p>
      <w:r/>
      <w:r>
        <w:rPr>
          <w:b/>
        </w:rPr>
        <w:t>Instructions et Conseils au Patient :</w:t>
      </w:r>
      <w:r/>
    </w:p>
    <w:p>
      <w:pPr>
        <w:pStyle w:val="ListBullet"/>
      </w:pPr>
      <w:r>
        <w:t xml:space="preserve">Communication au comptoir : « Le budésonide est un </w:t>
      </w:r>
      <w:r>
        <w:rPr>
          <w:b/>
        </w:rPr>
        <w:t>corticoïde inhalé de fond</w:t>
      </w:r>
      <w:r>
        <w:t xml:space="preserve"> qui traite l'inflammation de vos bronches. Il doit être pris </w:t>
      </w:r>
      <w:r>
        <w:rPr>
          <w:b/>
        </w:rPr>
        <w:t>tous les jours</w:t>
      </w:r>
      <w:r>
        <w:t xml:space="preserve">, même quand vous allez bien. Son effet apparaît après plusieurs jours et est maximal après 2 semaines. </w:t>
      </w:r>
      <w:r>
        <w:rPr>
          <w:b/>
        </w:rPr>
        <w:t>Rincez-vous systématiquement la bouche à l'eau claire après chaque inhalation et recrachez l'eau</w:t>
      </w:r>
      <w:r>
        <w:t xml:space="preserve"> pour éviter le muguet buccal. Si vous utilisez le Turbuhaler, tourner la base dans un sens puis dans l'autre jusqu'au clic, puis inspirer </w:t>
      </w:r>
      <w:r>
        <w:rPr>
          <w:b/>
        </w:rPr>
        <w:t>profondément et vigoureusement</w:t>
      </w:r>
      <w:r>
        <w:t xml:space="preserve"> par la bouche (pas par le nez), retenir 10 secondes. Le Turbuhaler ne contient que de la poudre : si vous l'utilisez correctement, vous ne sentirez presque rien — c'est normal. Pour la nébulisation, diluer dans 2 mL de sérum physiologique, administrer en 5 à 10 minutes, rincer la bouche et le visage après. »</w:t>
      </w:r>
    </w:p>
    <w:p>
      <w:pPr>
        <w:pStyle w:val="ListBullet"/>
      </w:pPr>
      <w:r>
        <w:t xml:space="preserve">Mode d'utilisation pratique : fournir un </w:t>
      </w:r>
      <w:r>
        <w:rPr>
          <w:b/>
        </w:rPr>
        <w:t>plan d'action écrit</w:t>
      </w:r>
      <w:r>
        <w:t xml:space="preserve"> GINA avec code couleur (vert, jaune, rouge) précisant les paliers d'augmentation des doses (zone jaune : doubler la dose de budésonide pendant 7 à 14 jours, ajouter un SABA ; zone rouge : crise, consultation urgente). Démontrer la technique d'inhalation à la première dispensation et la réévaluer à chaque renouvellement (jusqu'à 50 % des patients utilisent mal leur dispositif). Pour le Turbuhaler, vérifier le compteur de doses. Pour les gélules, ne jamais avaler la gélule (risque d'inefficacité totale).</w:t>
      </w:r>
    </w:p>
    <w:p>
      <w:r/>
      <w:r>
        <w:rPr>
          <w:b/>
        </w:rPr>
        <w:t>Notes, Règles d'Or &amp; Pièges au Comptoir :</w:t>
      </w:r>
      <w:r/>
    </w:p>
    <w:p>
      <w:pPr>
        <w:pStyle w:val="ListBullet"/>
      </w:pPr>
      <w:r>
        <w:t xml:space="preserve">Piège classique : le budésonide </w:t>
      </w:r>
      <w:r>
        <w:rPr>
          <w:b/>
        </w:rPr>
        <w:t>n'est pas un bronchodilatateur</w:t>
      </w:r>
      <w:r>
        <w:t xml:space="preserve"> ; ne pas confondre avec la « ventoline ». Ne pas prescrire seul pour une crise d'asthme aiguë. Le patient doit toujours avoir son SABA à portée de main.</w:t>
      </w:r>
    </w:p>
    <w:p>
      <w:pPr>
        <w:pStyle w:val="ListBullet"/>
      </w:pPr>
      <w:r>
        <w:t xml:space="preserve">Règle de prise : </w:t>
      </w:r>
      <w:r>
        <w:rPr>
          <w:b/>
        </w:rPr>
        <w:t>tous les jours, matin et soir</w:t>
      </w:r>
      <w:r>
        <w:t xml:space="preserve"> ; rinçage buccal systématique ; en cas d'oubli, ne pas doubler la dose suivante.</w:t>
      </w:r>
    </w:p>
    <w:p>
      <w:pPr>
        <w:pStyle w:val="ListBullet"/>
      </w:pPr>
      <w:r>
        <w:t>Préparation et Conservation : aérosol sous pression (BUDECORT, BUDIAIR) — ne pas exposer à des températures &gt; 50 °C, ne pas percer ; nébulisation (PULMICORT ampoules) — conserver à l'abri de la lumière, à température &lt; 30 °C, entre 2 et 8 °C après ouverture si non utilisé immédiatement ; poudre Turbuhaler — conserver à sec, vérifier l'absence d'humidité (risque d'agglomération de la poudre), ne pas souffler dans l'embout ; gélules — conserver dans l'emballage d'origine (protéger de l'humidité), ne jamais avaler.</w:t>
      </w:r>
    </w:p>
    <w:p>
      <w:pPr>
        <w:pStyle w:val="ListBullet"/>
      </w:pPr>
      <w:r>
        <w:t xml:space="preserve">Piège du surdosage / Substitution : équivalences posologiques — </w:t>
      </w:r>
      <w:r>
        <w:rPr>
          <w:b/>
        </w:rPr>
        <w:t>1 µg budésonide ≈ 1 µg béclométasone HFA ≈ 0,5 µg fluticasone propionate ≈ 0,5 µg fluticasone furoate ≈ 0,5 µg mométasone furoate</w:t>
      </w:r>
      <w:r>
        <w:t>. Attention à la substitution d'un princeps par un générique en dispositif différent : le Turbuhaler (Pulmicort) ne doit pas être substitué par des gélules (Airycort) sans rééducation du patient — la technique d'inhalation est totalement différente. En cas d'association à un LABA (formotérol), préférer directement l'association fixe budésonide + formotérol (Symbicort, Foracort, Airycort Plus) plutôt que les deux composants séparés (amélioration de l'observance, simplicité du dispositif).</w:t>
      </w:r>
    </w:p>
    <w:p>
      <w:pPr>
        <w:pStyle w:val="Heading3"/>
      </w:pPr>
      <w:r>
        <w:t>3. DCI : Fluticasone (propionate / furoate) (Seule)</w:t>
      </w:r>
    </w:p>
    <w:p>
      <w:r/>
      <w:r>
        <w:rPr>
          <w:b/>
        </w:rPr>
        <w:t>Liste des Catégories :</w:t>
      </w:r>
      <w:r>
        <w:t xml:space="preserve"> Corticoïde inhalé (CSI) ; Glucocorticoïde de synthèse halogéné (groupement fluor et thiométhyl) ; Anti-asthmatique de fond ; Anti-inflammatoire stéroïdien inhalé ; Traitement de la rhinite allergique (forme nasale propionate 50 µg) ; Traitement de la rhinite allergique et de la polypose naso-sinusienne (forme nasale furoate 27,5 µg) ; Composante CSI de l'association fixe fluticasone + salmétérol (Seretide™) et de l'association triple fluticasone furoate + umeclidinium + vilantérol (Trelegy Ellipta™) ; Liste I (toutes formes et dosages) ; Prescription médicale obligatoire.</w:t>
      </w:r>
    </w:p>
    <w:p>
      <w:r>
        <w:t xml:space="preserve">La fluticasone est un CSI de </w:t>
      </w:r>
      <w:r>
        <w:rPr>
          <w:b/>
        </w:rPr>
        <w:t>troisième génération</w:t>
      </w:r>
      <w:r>
        <w:t xml:space="preserve">, disponible sous deux esters distincts aux propriétés pharmacocinétiques et pharmacodynamiques différentes : (i) la </w:t>
      </w:r>
      <w:r>
        <w:rPr>
          <w:b/>
        </w:rPr>
        <w:t>fluticasone propionate (FP)</w:t>
      </w:r>
      <w:r>
        <w:t xml:space="preserve">, commercialisée depuis 1993 par GlaxoSmithKline (Flixotide™), caractérisée par une </w:t>
      </w:r>
      <w:r>
        <w:rPr>
          <w:b/>
        </w:rPr>
        <w:t>biodisponibilité orale &lt; 1 %</w:t>
      </w:r>
      <w:r>
        <w:t xml:space="preserve"> (effet de premier passage hépatique quasi complet par CYP3A4) et une puissance ~2 fois supérieure à la béclométasone HFA ; (ii) la </w:t>
      </w:r>
      <w:r>
        <w:rPr>
          <w:b/>
        </w:rPr>
        <w:t>fluticasone furoate (FF)</w:t>
      </w:r>
      <w:r>
        <w:t xml:space="preserve">, commercialisée depuis 2007 (Avamys™ nasal, Arnuity Ellipta™ en inhalé), caractérisée par une </w:t>
      </w:r>
      <w:r>
        <w:rPr>
          <w:b/>
        </w:rPr>
        <w:t>affinité pour le GRα supérieure</w:t>
      </w:r>
      <w:r>
        <w:t xml:space="preserve"> (environ 2 à 3 fois plus que la FP), une </w:t>
      </w:r>
      <w:r>
        <w:rPr>
          <w:b/>
        </w:rPr>
        <w:t>rétention tissulaire pulmonaire prolongée</w:t>
      </w:r>
      <w:r>
        <w:t xml:space="preserve"> (demi-vie d'élimination ~14 h vs ~8 h pour la FP), autorisant une </w:t>
      </w:r>
      <w:r>
        <w:rPr>
          <w:b/>
        </w:rPr>
        <w:t>prise unique quotidienne</w:t>
      </w:r>
      <w:r>
        <w:t>. La fluticasone est également la composante CSI de l'association fixe la plus prescrite au monde (Seretide™ / Advair™ = fluticasone propionate + salmétérol), de l'association triple Trelegy Ellipta™ (fluticasone furoate + umeclidinium + vilantérol), et de la nouvelle association fluticasone furoate + vilantérol seule (Relvar Ellipta™).</w:t>
      </w:r>
    </w:p>
    <w:p>
      <w:r/>
      <w:r>
        <w:rPr>
          <w:b/>
        </w:rPr>
        <w:t>Médicaments disponibles en Algérie (Marques, Laboratoires, Formes et Dosages) :</w:t>
      </w:r>
      <w:r/>
    </w:p>
    <w:p>
      <w:r/>
      <w:r>
        <w:rPr>
          <w:i/>
        </w:rPr>
        <w:t>Spécialités actives :</w:t>
      </w:r>
      <w:r/>
    </w:p>
    <w:p>
      <w:r/>
      <w:r>
        <w:rPr>
          <w:b/>
        </w:rPr>
        <w:t>Formes inhalées — Aérosols doseurs (MDI HFA) — Fluticasone propionate :</w:t>
      </w:r>
      <w:r/>
    </w:p>
    <w:p>
      <w:pPr>
        <w:pStyle w:val="ListBullet"/>
      </w:pPr>
      <w:r/>
      <w:r>
        <w:rPr>
          <w:b/>
        </w:rPr>
        <w:t>FLIXOTIDE</w:t>
      </w:r>
      <w:r>
        <w:t xml:space="preserve"> (GLAXOSMITHKLINE) — Suspension pour inhalation buccale 50 µg/dose — Flacon 120 doses — Liste I — Statut : Actif (spécialité princeps)</w:t>
      </w:r>
    </w:p>
    <w:p>
      <w:pPr>
        <w:pStyle w:val="ListBullet"/>
      </w:pPr>
      <w:r/>
      <w:r>
        <w:rPr>
          <w:b/>
        </w:rPr>
        <w:t>FLOHALE HFA 50 INHALER</w:t>
      </w:r>
      <w:r>
        <w:t xml:space="preserve"> (CIPLA LIMITED) — Suspension pour inhalation buccale 50 µg/dose — Flacon 120 doses — Liste I — Statut : Actif</w:t>
      </w:r>
    </w:p>
    <w:p>
      <w:pPr>
        <w:pStyle w:val="ListBullet"/>
      </w:pPr>
      <w:r/>
      <w:r>
        <w:rPr>
          <w:b/>
        </w:rPr>
        <w:t>FLIXOTIDE</w:t>
      </w:r>
      <w:r>
        <w:t xml:space="preserve"> (GLAXOSMITHKLINE) — Suspension pour inhalation buccale 125 µg/dose — Flacon 120 doses — Liste I — Statut : Actif</w:t>
      </w:r>
    </w:p>
    <w:p>
      <w:pPr>
        <w:pStyle w:val="ListBullet"/>
      </w:pPr>
      <w:r/>
      <w:r>
        <w:rPr>
          <w:b/>
        </w:rPr>
        <w:t>FLOHALE HFA 125</w:t>
      </w:r>
      <w:r>
        <w:t xml:space="preserve"> (CIPLA LIMITED) — Suspension pour inhalation buccale 125 µg/dose — Flacon 120 doses — Liste I — Statut : Actif</w:t>
      </w:r>
    </w:p>
    <w:p>
      <w:pPr>
        <w:pStyle w:val="ListBullet"/>
      </w:pPr>
      <w:r/>
      <w:r>
        <w:rPr>
          <w:b/>
        </w:rPr>
        <w:t>FLIXOTIDE</w:t>
      </w:r>
      <w:r>
        <w:t xml:space="preserve"> (GLAXOSMITHKLINE) — Suspension pour inhalation buccale 250 µg/dose — Flacon 60 doses — Liste I — Statut : Actif</w:t>
      </w:r>
    </w:p>
    <w:p>
      <w:pPr>
        <w:pStyle w:val="ListBullet"/>
      </w:pPr>
      <w:r/>
      <w:r>
        <w:rPr>
          <w:b/>
        </w:rPr>
        <w:t>FLOHALE HFA 250</w:t>
      </w:r>
      <w:r>
        <w:t xml:space="preserve"> (CIPLA LIMITED) — Suspension pour inhalation buccale 250 µg/dose — Flacon 120 doses — Liste I — Statut : Actif</w:t>
      </w:r>
    </w:p>
    <w:p>
      <w:r/>
      <w:r>
        <w:rPr>
          <w:b/>
        </w:rPr>
        <w:t>Formes nasales — Sprays nasaux — Fluticasone propionate (50 µg/dose) :</w:t>
      </w:r>
      <w:r/>
    </w:p>
    <w:p>
      <w:pPr>
        <w:pStyle w:val="ListBullet"/>
      </w:pPr>
      <w:r/>
      <w:r>
        <w:rPr>
          <w:b/>
        </w:rPr>
        <w:t>FLEXODOZ</w:t>
      </w:r>
      <w:r>
        <w:t xml:space="preserve"> (NOVAPHARM TRADING) — Suspension nasale 50 µg/dose — Flacon 120 doses — Liste I — Statut : Actif</w:t>
      </w:r>
    </w:p>
    <w:p>
      <w:pPr>
        <w:pStyle w:val="ListBullet"/>
      </w:pPr>
      <w:r/>
      <w:r>
        <w:rPr>
          <w:b/>
        </w:rPr>
        <w:t>FLIXASONE</w:t>
      </w:r>
      <w:r>
        <w:t xml:space="preserve"> (PHARMALLIANCE) — Spray nasal 50 µg/dose — Flacon 120 doses — Liste I — Statut : Actif</w:t>
      </w:r>
    </w:p>
    <w:p>
      <w:pPr>
        <w:pStyle w:val="ListBullet"/>
      </w:pPr>
      <w:r/>
      <w:r>
        <w:rPr>
          <w:b/>
        </w:rPr>
        <w:t>FLIXODIS</w:t>
      </w:r>
      <w:r>
        <w:t xml:space="preserve"> (INPHA-MEDIS) — Suspension nasale en spray 50 µg/dose — Flacon 100 doses — Liste I — Statut : Actif</w:t>
      </w:r>
    </w:p>
    <w:p>
      <w:pPr>
        <w:pStyle w:val="ListBullet"/>
      </w:pPr>
      <w:r/>
      <w:r>
        <w:rPr>
          <w:b/>
        </w:rPr>
        <w:t>FLIXONE</w:t>
      </w:r>
      <w:r>
        <w:t xml:space="preserve"> (NEOMEDIC) — Suspension pour pulvérisation nasale 50 µg/dose — Flacon 120 doses — Liste I — Statut : Actif</w:t>
      </w:r>
    </w:p>
    <w:p>
      <w:pPr>
        <w:pStyle w:val="ListBullet"/>
      </w:pPr>
      <w:r/>
      <w:r>
        <w:rPr>
          <w:b/>
        </w:rPr>
        <w:t>FLOMIST</w:t>
      </w:r>
      <w:r>
        <w:t xml:space="preserve"> (CIPLA LIMITED) — Spray nasal 50 µg/dose — Flacon 100 doses — Liste I — Statut : Actif</w:t>
      </w:r>
    </w:p>
    <w:p>
      <w:pPr>
        <w:pStyle w:val="ListBullet"/>
      </w:pPr>
      <w:r/>
      <w:r>
        <w:rPr>
          <w:b/>
        </w:rPr>
        <w:t>FLUCASONE</w:t>
      </w:r>
      <w:r>
        <w:t xml:space="preserve"> (BIOGALENIC) — Suspension nasale en spray 50 µg/dose — Flacon 120 doses — Liste I — Statut : Actif</w:t>
      </w:r>
    </w:p>
    <w:p>
      <w:pPr>
        <w:pStyle w:val="ListBullet"/>
      </w:pPr>
      <w:r/>
      <w:r>
        <w:rPr>
          <w:b/>
        </w:rPr>
        <w:t>FLUTEL</w:t>
      </w:r>
      <w:r>
        <w:t xml:space="preserve"> (WORLD MEDECINE LIMITED) — Suspension pour pulvérisation nasale 50 µg/dose — Flacon 120 doses — Liste I — Statut : Actif</w:t>
      </w:r>
    </w:p>
    <w:p>
      <w:pPr>
        <w:pStyle w:val="ListBullet"/>
      </w:pPr>
      <w:r/>
      <w:r>
        <w:rPr>
          <w:b/>
        </w:rPr>
        <w:t>FLUTINASE</w:t>
      </w:r>
      <w:r>
        <w:t xml:space="preserve"> (HUPP PHARMA) — Spray nasal 50 µg/dose — Flacon 120 doses — Liste I — Statut : Actif</w:t>
      </w:r>
    </w:p>
    <w:p>
      <w:r/>
      <w:r>
        <w:rPr>
          <w:b/>
        </w:rPr>
        <w:t>Formes nasales — Sprays nasaux — Fluticasone furoate (27,5 µg/dose) :</w:t>
      </w:r>
      <w:r/>
    </w:p>
    <w:p>
      <w:pPr>
        <w:pStyle w:val="ListBullet"/>
      </w:pPr>
      <w:r/>
      <w:r>
        <w:rPr>
          <w:b/>
        </w:rPr>
        <w:t>AVAMYS</w:t>
      </w:r>
      <w:r>
        <w:t xml:space="preserve"> (GALAXO GROUPE LTD) — Suspension pour pulvérisation nasale 27,50 µg/dose — Flacon 120 doses — Liste I — Statut : Actif (spécialité princeps fluticasone furoate nasale)</w:t>
      </w:r>
    </w:p>
    <w:p>
      <w:pPr>
        <w:pStyle w:val="ListBullet"/>
      </w:pPr>
      <w:r/>
      <w:r>
        <w:rPr>
          <w:b/>
        </w:rPr>
        <w:t>FLUCASONE MINI</w:t>
      </w:r>
      <w:r>
        <w:t xml:space="preserve"> (BIOGALENIC) — Suspension nasale 27,5 µg/pulvérisation — Flacon 120 doses — Liste I — Statut : Actif</w:t>
      </w:r>
    </w:p>
    <w:p>
      <w:r/>
      <w:r>
        <w:rPr>
          <w:i/>
        </w:rPr>
        <w:t>Spécialités retirées (R) :</w:t>
      </w:r>
      <w:r/>
    </w:p>
    <w:p>
      <w:pPr>
        <w:pStyle w:val="ListBullet"/>
      </w:pPr>
      <w:r/>
      <w:r>
        <w:rPr>
          <w:b/>
        </w:rPr>
        <w:t>FLIXASONE</w:t>
      </w:r>
      <w:r>
        <w:t xml:space="preserve"> (PHARMALLIANCE) — Spray nasal 50 µg/dose — Flacon 120 doses (Flacon 20 mL) — Statut : Retiré (R)</w:t>
      </w:r>
    </w:p>
    <w:p>
      <w:pPr>
        <w:pStyle w:val="ListBullet"/>
      </w:pPr>
      <w:r/>
      <w:r>
        <w:rPr>
          <w:b/>
        </w:rPr>
        <w:t>FLIXONASE</w:t>
      </w:r>
      <w:r>
        <w:t xml:space="preserve"> (GLAXO WELLCOME UK LIMITED) — Spray nasal 50 µg/dose — Flacon 120 doses — Statut : Retiré (R) [spécialité princeps historique]</w:t>
      </w:r>
    </w:p>
    <w:p>
      <w:r/>
      <w:r>
        <w:rPr>
          <w:b/>
        </w:rPr>
        <w:t>Sous-classe et Mécanisme d'action :</w:t>
      </w:r>
      <w:r/>
    </w:p>
    <w:p>
      <w:pPr>
        <w:pStyle w:val="ListBullet"/>
      </w:pPr>
      <w:r>
        <w:t>Sous-classe : Corticoïde inhalé (CSI) de troisième génération, halogéné (groupement fluor en 6α et groupement thiométhyl en 16α pour la propionate, ou S-fluorométhylesther pour la furoate), caractérisé par une biodisponibilité orale négligeable (&lt; 1 %) et une puissance supérieure aux CSI de première et deuxième générations. La fluticasone furoate (FF) est deux fois plus puissante que la fluticasone propionate (FP) et permet une prise unique quotidienne. La fluticasone propionate (FP) constitue la composante CSI de l'association fixe Seretide™ (avec salmétérol). La fluticasone furoate (FF) constitue la composante CSI de l'association fixe Relvar Ellipta™ (avec vilantérol) et de l'association triple Trelegy Ellipta™ (avec umeclidinium + vilantérol).</w:t>
      </w:r>
    </w:p>
    <w:p>
      <w:pPr>
        <w:pStyle w:val="ListBullet"/>
      </w:pPr>
      <w:r>
        <w:t xml:space="preserve">Mécanisme d'action : identique à celui des autres CSI. La fluticasone pénètre par diffusion passive dans les cellules cibles bronchiques (épithélium, macrophages, lymphocytes T, éosinophiles, mastocytes) et se lie au </w:t>
      </w:r>
      <w:r>
        <w:rPr>
          <w:b/>
        </w:rPr>
        <w:t>GRα cytosolique</w:t>
      </w:r>
      <w:r>
        <w:t xml:space="preserve">. Le complexe activé se dissocie du complexe Hsp90/Hsp70, transloque dans le noyau, se dimérise et se fixe sur les </w:t>
      </w:r>
      <w:r>
        <w:rPr>
          <w:b/>
        </w:rPr>
        <w:t>GRE</w:t>
      </w:r>
      <w:r>
        <w:t xml:space="preserve">. La fluticasone exerce : (i) </w:t>
      </w:r>
      <w:r>
        <w:rPr>
          <w:b/>
        </w:rPr>
        <w:t>transactivation</w:t>
      </w:r>
      <w:r>
        <w:t xml:space="preserve"> des gènes anti-inflammatoires (annexine A1/lipocortine-1, IκB-α, GILZ, MKP-1, IL-10, SLPI) ; (ii) </w:t>
      </w:r>
      <w:r>
        <w:rPr>
          <w:b/>
        </w:rPr>
        <w:t>transrépression</w:t>
      </w:r>
      <w:r>
        <w:t xml:space="preserve"> des gènes pro-inflammatoires (cytokines Th2 IL-4, IL-5, IL-13 ; cytokines pro-inflammatoires TNFα, IL-1β, IL-6, GM-CSF ; chimiokines eotaxine, RANTES, IL-8 ; enzymes COX-2, iNOS ; molécules d'adhésion ICAM-1, VCAM-1). L'effet maximal est atteint en 2 à 4 semaines (FP) ou en 4 à 6 semaines (FF en prise unique). La fluticasone, comme les autres CSI, up-régule l'expression du récepteur β2-adrénergique, expliquant la synergie avec les LABA et l'efficacité supérieure de l'association fixe.</w:t>
      </w:r>
    </w:p>
    <w:p>
      <w:r/>
      <w:r>
        <w:rPr>
          <w:b/>
        </w:rPr>
        <w:t>Profil Pharmacologique :</w:t>
      </w:r>
      <w:r/>
    </w:p>
    <w:p>
      <w:pPr>
        <w:pStyle w:val="ListBullet"/>
      </w:pPr>
      <w:r>
        <w:t xml:space="preserve">Indications : </w:t>
      </w:r>
      <w:r>
        <w:rPr>
          <w:b/>
        </w:rPr>
        <w:t>asthme persistant</w:t>
      </w:r>
      <w:r>
        <w:t xml:space="preserve"> (légère à sévère) en traitement de fond chez l'adulte et l'enfant à partir de 4 ans (FP) ou 5 ans (FF) ; asthme sévère non contrôlé par fortes doses de CSI seul, en association fixe avec salmétérol (Seretide) ou avec vilantérol (Relvar) ; </w:t>
      </w:r>
      <w:r>
        <w:rPr>
          <w:b/>
        </w:rPr>
        <w:t>rhinite allergique</w:t>
      </w:r>
      <w:r>
        <w:t xml:space="preserve"> saisonnière ou perannuelle modérée à sévère (FP 50 µg/dose ou FF 27,5 µg/dose) ; </w:t>
      </w:r>
      <w:r>
        <w:rPr>
          <w:b/>
        </w:rPr>
        <w:t>polypose naso-sinusienne</w:t>
      </w:r>
      <w:r>
        <w:t xml:space="preserve"> (FF 27,5 µg/dose — Avamys est le seul CSI nasal ayant l'AMM dans cette indication en France) ; </w:t>
      </w:r>
      <w:r>
        <w:rPr>
          <w:b/>
        </w:rPr>
        <w:t>sinusite chronique</w:t>
      </w:r>
      <w:r>
        <w:t xml:space="preserve"> avec polypose naso-sinusienne (FF en nébulisation nasale hors AMM).</w:t>
      </w:r>
    </w:p>
    <w:p>
      <w:pPr>
        <w:pStyle w:val="ListBullet"/>
      </w:pPr>
      <w:r>
        <w:t xml:space="preserve">Contre-indications : hypersensibilité à la fluticasone ou à l'un des excipients ; </w:t>
      </w:r>
      <w:r>
        <w:rPr>
          <w:b/>
        </w:rPr>
        <w:t>tuberculose pulmonaire active non traitée</w:t>
      </w:r>
      <w:r>
        <w:t xml:space="preserve"> ; infections bactériennes, virales (herpès), fongiques (aspergillose, candidose pulmonaire) non contrôlées ; </w:t>
      </w:r>
      <w:r>
        <w:rPr>
          <w:b/>
        </w:rPr>
        <w:t>association formelle au ritonavir</w:t>
      </w:r>
      <w:r>
        <w:t xml:space="preserve"> (CI absolue pour la fluticasone — voir interactions) ; pour la forme nasale : traumatisme nasal, chirurgie naso-sinusienne récente.</w:t>
      </w:r>
    </w:p>
    <w:p>
      <w:pPr>
        <w:pStyle w:val="ListBullet"/>
      </w:pPr>
      <w:r>
        <w:t>Effets Indésirables : profil identique aux autres CSI. Localement — candidose oropharyngée (~5 à 10 %), dysphonie (jusqu'à 30 % au long cours), toux immédiate après inhalation, irritation pharyngée, sécheresse buccale ; pour la forme nasale — épistaxis (surtout au long cours, 5 à 10 %), irritation nasale, maux de gorge, ciliotoxicité possible (rare), perforation de la cloison nasale (exceptionnelle, surtout en cas d'utilisation prolongée et de corticothérapie systémique associée). Systémiques — ralentissement de la croissance chez l'enfant (moindre que la béclométasone, équivalent au budésonide), ostéoporose, cataracte sous-capsulaire postérieure, glaucome, freination surrénale (la fluticasone a un effet surrénalien inférieur à la béclométasone aux doses équivalentes, mais reste non négligeable aux doses fortes &gt; 1000 µg/j FP ou &gt; 200 µg/j FF). La fluticasone furoate a un effet surrénalien très faible à la dose unique de 100 µg/jour. Bronchospasme paradoxal exceptionnel.</w:t>
      </w:r>
    </w:p>
    <w:p>
      <w:r/>
      <w:r>
        <w:rPr>
          <w:b/>
        </w:rPr>
        <w:t>Prévention et Gestion des Effets Indésirables :</w:t>
      </w:r>
      <w:r/>
    </w:p>
    <w:p>
      <w:pPr>
        <w:pStyle w:val="ListBullet"/>
      </w:pPr>
      <w:r>
        <w:t>Mesures Préventives : rinçage buccal systématique après chaque inhalation (et recrachement) ; chambre d'inhalation avec MDI chez l'enfant de &lt; 6 ans et le sujet âgé ; surveillance de la croissance chez l'enfant (mesure semestrielle de la taille) ; ostéodensitométrie chez la femme ménopausée et le sujet âgé sous fortes doses au long cours ; examen ophtalmologique annuel après 60 ans ; dosage du cortisol à 8 h tous les 6 mois si doses &gt; 1000 µg/j (FP) ou &gt; 200 µg/j (FF) ; pour la forme nasale : administration délicate, éviter le contact direct avec la cloison nasale (orienter l'embout vers la paroi latérale du nez), surveillance en cas d'épistaxis répétés.</w:t>
      </w:r>
    </w:p>
    <w:p>
      <w:pPr>
        <w:pStyle w:val="ListBullet"/>
      </w:pPr>
      <w:r>
        <w:t>Conduite à Tenir : candidose oropharyngée — antifongique local (amphotéricine B, nystatine) ; dysphonie — rééducation orthophonique, réduction posologique, changement de dispositif ; épistaxis répétés sous fluticasone nasale — arrêt temporaire, réduction de dose, évaluation ORL pour recherche de perforation ; bronchospasme paradoxal — arrêt immédiat ; freination surrénale — réduction progressive.</w:t>
      </w:r>
    </w:p>
    <w:p>
      <w:r/>
      <w:r>
        <w:rPr>
          <w:b/>
        </w:rPr>
        <w:t>Interactions Importantes :</w:t>
      </w:r>
      <w:r/>
    </w:p>
    <w:p>
      <w:pPr>
        <w:pStyle w:val="ListBullet"/>
      </w:pPr>
      <w:r/>
      <w:r>
        <w:rPr>
          <w:b/>
        </w:rPr>
        <w:t>Fluticasone + ritonavir</w:t>
      </w:r>
      <w:r>
        <w:t xml:space="preserve"> (antiprotéase inhibiteur puissant du CYP3A4) : </w:t>
      </w:r>
      <w:r>
        <w:rPr>
          <w:b/>
        </w:rPr>
        <w:t>CONTRE-INDICATION FORMELLE</w:t>
      </w:r>
      <w:r>
        <w:t xml:space="preserve"> — multiplication par 100 à 300 des concentrations plasmatiques de la fluticasone, plusieurs cas publiés de syndrome de Cushing iatrogène sévère et d'insuffisance surrénale aiguë secondaire (dont un cas mortel) ; à éviter absolument, y compris pour des cures courtes de ritonavir en boost.</w:t>
      </w:r>
    </w:p>
    <w:p>
      <w:pPr>
        <w:pStyle w:val="ListBullet"/>
      </w:pPr>
      <w:r/>
      <w:r>
        <w:rPr>
          <w:b/>
        </w:rPr>
        <w:t>Fluticasone + cobicistat</w:t>
      </w:r>
      <w:r>
        <w:t xml:space="preserve"> : même risque que ritonavir — à éviter.</w:t>
      </w:r>
    </w:p>
    <w:p>
      <w:pPr>
        <w:pStyle w:val="ListBullet"/>
      </w:pPr>
      <w:r/>
      <w:r>
        <w:rPr>
          <w:b/>
        </w:rPr>
        <w:t>Fluticasone + itraconazole / kétoconazole / voriconazole / posaconazole</w:t>
      </w:r>
      <w:r>
        <w:t xml:space="preserve"> : augmentation importante (× 5 à 50) des concentrations — risque de toxicité systémique — surveillance clinique, envisager une réduction posologique de 75 % ou un switch vers un CSI moins métabolisé par CYP3A4 (la fluticasone furoate reste moins affectée que la propionate).</w:t>
      </w:r>
    </w:p>
    <w:p>
      <w:pPr>
        <w:pStyle w:val="ListBullet"/>
      </w:pPr>
      <w:r/>
      <w:r>
        <w:rPr>
          <w:b/>
        </w:rPr>
        <w:t>Fluticasone + clarithromycine / érythromycine</w:t>
      </w:r>
      <w:r>
        <w:t xml:space="preserve"> : augmentation modérée — surveillance clinique.</w:t>
      </w:r>
    </w:p>
    <w:p>
      <w:pPr>
        <w:pStyle w:val="ListBullet"/>
      </w:pPr>
      <w:r/>
      <w:r>
        <w:rPr>
          <w:b/>
        </w:rPr>
        <w:t>Fluticasone + β-bloquants</w:t>
      </w:r>
      <w:r>
        <w:t xml:space="preserve"> : antagonisation de l'effet bronchodilatateur — éviter ou préférer β1-sélectifs.</w:t>
      </w:r>
    </w:p>
    <w:p>
      <w:pPr>
        <w:pStyle w:val="ListBullet"/>
      </w:pPr>
      <w:r/>
      <w:r>
        <w:rPr>
          <w:b/>
        </w:rPr>
        <w:t>Fluticasone + diurétiques hypokaliémiants</w:t>
      </w:r>
      <w:r>
        <w:t xml:space="preserve"> : majoration du risque d'hypokaliémie — surveillance kaliémique.</w:t>
      </w:r>
    </w:p>
    <w:p>
      <w:r/>
      <w:r>
        <w:rPr>
          <w:b/>
        </w:rPr>
        <w:t>Grossesse et Allaitement :</w:t>
      </w:r>
      <w:r/>
    </w:p>
    <w:p>
      <w:pPr>
        <w:pStyle w:val="ListBullet"/>
      </w:pPr>
      <w:r>
        <w:t xml:space="preserve">Grossesse : la fluticasone propionate a un recueil de données cliniques important (~3000 grossesses exposées) sans sur-risque malformatif. Elle est considérée comme </w:t>
      </w:r>
      <w:r>
        <w:rPr>
          <w:b/>
        </w:rPr>
        <w:t>compatible avec la grossesse</w:t>
      </w:r>
      <w:r>
        <w:t xml:space="preserve"> (CRAT), avec une préférence pour le </w:t>
      </w:r>
      <w:r>
        <w:rPr>
          <w:b/>
        </w:rPr>
        <w:t>budésonide</w:t>
      </w:r>
      <w:r>
        <w:t xml:space="preserve"> comme premier choix en raison d'une documentation plus large. La fluticasone furoate a moins de données chez la femme enceinte (recommandations d'utilisation prudente, surtout au premier trimestre). À utiliser à la dose minimale efficace.</w:t>
      </w:r>
    </w:p>
    <w:p>
      <w:pPr>
        <w:pStyle w:val="ListBullet"/>
      </w:pPr>
      <w:r>
        <w:t xml:space="preserve">Allaitement : passage dans le lait maternel </w:t>
      </w:r>
      <w:r>
        <w:rPr>
          <w:b/>
        </w:rPr>
        <w:t>très faible</w:t>
      </w:r>
      <w:r>
        <w:t xml:space="preserve"> — </w:t>
      </w:r>
      <w:r>
        <w:rPr>
          <w:b/>
        </w:rPr>
        <w:t>compatible avec l'allaitement</w:t>
      </w:r>
      <w:r>
        <w:t xml:space="preserve"> (CRAT, LactMed).</w:t>
      </w:r>
    </w:p>
    <w:p>
      <w:pPr>
        <w:pStyle w:val="ListBullet"/>
      </w:pPr>
      <w:r>
        <w:t>Précisions : asthme non contrôlé pendant la grossesse = danger pour le fœtus ; ne jamais arrêter un CSI pendant la grossesse sans avis pneumologique. En cas de projet de grossesse, switch éventuel vers le budésonide.</w:t>
      </w:r>
    </w:p>
    <w:p>
      <w:r/>
      <w:r>
        <w:rPr>
          <w:b/>
        </w:rPr>
        <w:t>Posologie et Mode d'administration (Standard) :</w:t>
      </w:r>
      <w:r/>
    </w:p>
    <w:p>
      <w:pPr>
        <w:pStyle w:val="ListBullet"/>
      </w:pPr>
      <w:r>
        <w:t xml:space="preserve">Adulte : </w:t>
      </w:r>
      <w:r>
        <w:rPr>
          <w:b/>
        </w:rPr>
        <w:t>asthme persistant léger</w:t>
      </w:r>
      <w:r>
        <w:t xml:space="preserve"> (FP) — 100 à 250 µg × 2/jour (200 à 500 µg/j) ; </w:t>
      </w:r>
      <w:r>
        <w:rPr>
          <w:b/>
        </w:rPr>
        <w:t>asthme modéré</w:t>
      </w:r>
      <w:r>
        <w:t xml:space="preserve"> — 250 µg × 2/jour (500 µg/j) ; </w:t>
      </w:r>
      <w:r>
        <w:rPr>
          <w:b/>
        </w:rPr>
        <w:t>asthme sévère</w:t>
      </w:r>
      <w:r>
        <w:t xml:space="preserve"> — 500 µg × 2/jour (1000 µg/j), pouvant aller jusqu'à 1000 µg × 2/jour en association fixe avec salmétérol. </w:t>
      </w:r>
      <w:r>
        <w:rPr>
          <w:b/>
        </w:rPr>
        <w:t>Fluticasone furoate (FF)</w:t>
      </w:r>
      <w:r>
        <w:t xml:space="preserve"> — 100 µg × 1/jour (dose unique, asthme léger à modéré) ou 200 µg × 1/jour (asthme modéré à sévère). </w:t>
      </w:r>
      <w:r>
        <w:rPr>
          <w:b/>
        </w:rPr>
        <w:t>Rhinite allergique</w:t>
      </w:r>
      <w:r>
        <w:t xml:space="preserve"> (FP nasale) — 2 pulvérisations de 50 µg par narine × 1/jour (200 µg/jour), à réduire à 1 pulvérisation/jour en entretien. </w:t>
      </w:r>
      <w:r>
        <w:rPr>
          <w:b/>
        </w:rPr>
        <w:t>Polypose naso-sinusienne</w:t>
      </w:r>
      <w:r>
        <w:t xml:space="preserve"> (FF nasale Avamys) — 1 pulvérisation de 27,5 µg par narine × 1/jour (110 µg/jour), pouvant être augmentée à 2 pulvérisations par narine × 1/jour (220 µg/jour).</w:t>
      </w:r>
    </w:p>
    <w:p>
      <w:pPr>
        <w:pStyle w:val="ListBullet"/>
      </w:pPr>
      <w:r>
        <w:t xml:space="preserve">Enfant : </w:t>
      </w:r>
      <w:r>
        <w:rPr>
          <w:b/>
        </w:rPr>
        <w:t>4 à 16 ans</w:t>
      </w:r>
      <w:r>
        <w:t xml:space="preserve"> (FP) — 50 à 100 µg × 2/jour (100 à 200 µg/j, dose initiale maximale 200 µg/j chez l'enfant de 4 à 11 ans, 400 µg/j chez l'enfant de &gt; 12 ans). </w:t>
      </w:r>
      <w:r>
        <w:rPr>
          <w:b/>
        </w:rPr>
        <w:t>FF</w:t>
      </w:r>
      <w:r>
        <w:t xml:space="preserve"> : à partir de 5 ans, 50 µg × 1/jour (50 µg/j, dose initiale) pouvant être augmentée à 100 µg × 1/jour. Forme nasale (FP) chez l'enfant de &gt; 4 ans : 1 pulvérisation de 50 µg par narine × 1/jour. Forme nasale (FF) chez l'enfant de &gt; 2 ans : 1 pulvérisation de 27,5 µg par narine × 1/jour.</w:t>
      </w:r>
    </w:p>
    <w:p>
      <w:pPr>
        <w:pStyle w:val="ListBullet"/>
      </w:pPr>
      <w:r>
        <w:t xml:space="preserve">Durée : </w:t>
      </w:r>
      <w:r>
        <w:rPr>
          <w:b/>
        </w:rPr>
        <w:t>traitement au long cours</w:t>
      </w:r>
      <w:r>
        <w:t>, plusieurs mois à années. Arrêt progressif par paliers de 25 % toutes les 2 à 4 semaines.</w:t>
      </w:r>
    </w:p>
    <w:p>
      <w:pPr>
        <w:pStyle w:val="ListBullet"/>
      </w:pPr>
      <w:r>
        <w:t>Moment de la prise : matin et soir (FP) ou en une prise le matin (FF, intérêt de la prise unique) ; rinçage buccal systématique après chaque inhalation (et recrachement) ; pour la forme nasale, mouchage préalable, incliner légèrement la tête en avant, pulvériser en dirigeant l'embout vers la paroi latérale du nez (pas vers la cloison).</w:t>
      </w:r>
    </w:p>
    <w:p>
      <w:r/>
      <w:r>
        <w:rPr>
          <w:b/>
        </w:rPr>
        <w:t>Arbitrage et Bénéfices des Formes Galéniques :</w:t>
      </w:r>
      <w:r/>
    </w:p>
    <w:p>
      <w:r>
        <w:t>La fluticasone propionate est disponible en Algérie uniquement sous forme d'</w:t>
      </w:r>
      <w:r>
        <w:rPr>
          <w:b/>
        </w:rPr>
        <w:t>aérosol doseur MDI HFA</w:t>
      </w:r>
      <w:r>
        <w:t xml:space="preserve"> (FLIXOTIDE 50, 125, 250 µg ; FLOHALE HFA 50, 125, 250 µg), à la différence du budésonide qui dispose également de DPI et de nébulisation. Les DPI (Diskus™, Accuhaler™) ne sont pas commercialisés en Algérie pour la FP seule, mais seulement en association fixe avec le salmétérol (SERETIDE DISKUS — voir fiche 7). La fluticasone furoate est disponible uniquement en spray nasal (AVAMYS 27,5 µg/dose princeps et FLUCASONE MINI 27,5 µg générique) en Algérie ; la forme inhalée (Arnuity Ellipta™) n'est pas commercialisée. L'absence de forme nébulisable de fluticasone en Algérie peut être un inconvénient pour le nourrisson. Les sprays nasaux de FP (50 µg/dose) sont extrêmement nombreux en Algérie (8 marques actives : FLEXODOZ, FLIXASONE, FLIXODIS, FLIXONE, FLOMIST, FLUCASONE, FLUTEL, FLUTINASE), témoignant de la maturité du marché générique. La FF nasale (AVAMYS) est plus coûteuse mais offre l'avantage d'une meilleure efficacité dans la polypose naso-sinusienne et d'une tolérance nasale supérieure (moins d'irritation, moins d'épistaxis).</w:t>
      </w:r>
    </w:p>
    <w:p>
      <w:r/>
      <w:r>
        <w:rPr>
          <w:b/>
        </w:rPr>
        <w:t>Instructions et Conseils au Patient :</w:t>
      </w:r>
      <w:r/>
    </w:p>
    <w:p>
      <w:pPr>
        <w:pStyle w:val="ListBullet"/>
      </w:pPr>
      <w:r>
        <w:t xml:space="preserve">Communication au comptoir : « Ce médicament est un </w:t>
      </w:r>
      <w:r>
        <w:rPr>
          <w:b/>
        </w:rPr>
        <w:t>corticoïde inhalé de fond</w:t>
      </w:r>
      <w:r>
        <w:t xml:space="preserve"> qui traite l'inflammation de vos bronches. Il doit être pris </w:t>
      </w:r>
      <w:r>
        <w:rPr>
          <w:b/>
        </w:rPr>
        <w:t>tous les jours</w:t>
      </w:r>
      <w:r>
        <w:t xml:space="preserve">, même si vous n'avez pas de symptômes. Son effet apparaît après plusieurs jours et est maximal après 2 à 4 semaines. </w:t>
      </w:r>
      <w:r>
        <w:rPr>
          <w:b/>
        </w:rPr>
        <w:t>Rincez-vous systématiquement la bouche à l'eau claire après chaque inhalation et recrachez l'eau</w:t>
      </w:r>
      <w:r>
        <w:t xml:space="preserve"> pour éviter le muguet buccal. Pour la forme nasale : mouchage préalable, tête légèrement inclinée en avant, pulvérisez en dirigeant l'embout vers l'extérieur du nez (pas vers la cloison), inspirez doucement. Évitez de souffler vigoureusement par le nez juste après l'administration. Si vous prenez AVAMYS (polypose), prévenez votre médecin si vous avez des saignements de nez répétés. »</w:t>
      </w:r>
    </w:p>
    <w:p>
      <w:pPr>
        <w:pStyle w:val="ListBullet"/>
      </w:pPr>
      <w:r>
        <w:t xml:space="preserve">Mode d'utilisation pratique : démontrer la technique MDI (agiter, expirer, déclencher en début d'inspiration, apnée 10 s) ou la technique du spray nasal. Fournir un </w:t>
      </w:r>
      <w:r>
        <w:rPr>
          <w:b/>
        </w:rPr>
        <w:t>plan d'action écrit</w:t>
      </w:r>
      <w:r>
        <w:t xml:space="preserve"> GINA. Pour le MDI, l'usage d'une chambre d'inhalation est recommandé chez l'enfant de &lt; 12 ans et le sujet âgé. Pour AVAMYS, amorcez le flacon avant la première utilisation (6 pulvérisations à l'air libre) et après toute période de non-utilisation de 30 jours (1 pulvérisation jusqu'à apparition d'un fin brouillard).</w:t>
      </w:r>
    </w:p>
    <w:p>
      <w:r/>
      <w:r>
        <w:rPr>
          <w:b/>
        </w:rPr>
        <w:t>Notes, Règles d'Or &amp; Pièges au Comptoir :</w:t>
      </w:r>
      <w:r/>
    </w:p>
    <w:p>
      <w:pPr>
        <w:pStyle w:val="ListBullet"/>
      </w:pPr>
      <w:r>
        <w:t xml:space="preserve">Piège classique : la fluticasone </w:t>
      </w:r>
      <w:r>
        <w:rPr>
          <w:b/>
        </w:rPr>
        <w:t>n'est pas un bronchodilatateur</w:t>
      </w:r>
      <w:r>
        <w:t xml:space="preserve"> ; ne pas confondre avec la ventoline. Ne jamais prescrire seule pour une crise d'asthme aiguë. Le patient doit toujours avoir son SABA à portée de main.</w:t>
      </w:r>
    </w:p>
    <w:p>
      <w:pPr>
        <w:pStyle w:val="ListBullet"/>
      </w:pPr>
      <w:r>
        <w:t xml:space="preserve">Règle de prise : </w:t>
      </w:r>
      <w:r>
        <w:rPr>
          <w:b/>
        </w:rPr>
        <w:t>tous les jours</w:t>
      </w:r>
      <w:r>
        <w:t>, matin et soir (FP) ou en une prise le matin (FF) ; rinçage buccal systématique.</w:t>
      </w:r>
    </w:p>
    <w:p>
      <w:pPr>
        <w:pStyle w:val="ListBullet"/>
      </w:pPr>
      <w:r>
        <w:t>Préparation et Conservation : MDI HFA — conserver à température ≤ 25 °C, ne pas percer, ne pas exposer à des températures &gt; 50 °C, vérifier la date de péremption ; spray nasal — conserver à température ≤ 25 °C, ne pas congeler, ne pas exposer à la lumière directe, durée d'utilisation après ouverture limitée à 3 mois (vérifier la notice).</w:t>
      </w:r>
    </w:p>
    <w:p>
      <w:pPr>
        <w:pStyle w:val="ListBullet"/>
      </w:pPr>
      <w:r>
        <w:t xml:space="preserve">Piège du surdosage / Substitution : </w:t>
      </w:r>
      <w:r>
        <w:rPr>
          <w:b/>
        </w:rPr>
        <w:t>la fluticasone est ~2 fois plus puissante que la béclométasone HFA et le budésonide</w:t>
      </w:r>
      <w:r>
        <w:t xml:space="preserve"> — équivalence : 1 µg fluticasone propionate ≈ 2 µg budésonide ≈ 2 µg béclométasone HFA. Ne jamais substituer à dose équivalente µg pour µg sans tenir compte de cette puissance supérieure. Ne jamais substituer un spray nasal de FP 50 µg/dose par un spray nasal de budésonide 64 µg/dose sans avis médical (différentes puissances et biodisponibilités). Ne jamais associer la fluticasone au ritonavir (CI absolue).</w:t>
      </w:r>
    </w:p>
    <w:p>
      <w:pPr>
        <w:pStyle w:val="Heading3"/>
      </w:pPr>
      <w:r>
        <w:t>4. DCI : Mométasone (furoate) (Seule)</w:t>
      </w:r>
    </w:p>
    <w:p>
      <w:r/>
      <w:r>
        <w:rPr>
          <w:b/>
        </w:rPr>
        <w:t>Liste des Catégories :</w:t>
      </w:r>
      <w:r>
        <w:t xml:space="preserve"> Corticoïde inhalé (CSI) ; Glucocorticoïde de synthèse halogéné (groupement fluor, chlore et furoate) ; Anti-asthmatique de fond (forme inhalée — non commercialisée en Algérie) ; Anti-inflammatoire stéroïdien nasal ; Traitement de la rhinite allergique saisonnière et perannuelle ; Traitement de la polypose naso-sinusienne ; Traitement local dermique (forme crème) ; Liste I (toutes formes et dosages) ; Prescription médicale obligatoire.</w:t>
      </w:r>
    </w:p>
    <w:p>
      <w:r>
        <w:t xml:space="preserve">La mométasone furoate est un CSI de </w:t>
      </w:r>
      <w:r>
        <w:rPr>
          <w:b/>
        </w:rPr>
        <w:t>troisième génération</w:t>
      </w:r>
      <w:r>
        <w:t xml:space="preserve">, caractérisé par une </w:t>
      </w:r>
      <w:r>
        <w:rPr>
          <w:b/>
        </w:rPr>
        <w:t>biodisponibilité orale négligeable (&lt; 1 %)</w:t>
      </w:r>
      <w:r>
        <w:t xml:space="preserve"> due à un effet de premier passage hépatique quasi complet et à une </w:t>
      </w:r>
      <w:r>
        <w:rPr>
          <w:b/>
        </w:rPr>
        <w:t>affinité pour le GRα supérieure</w:t>
      </w:r>
      <w:r>
        <w:t xml:space="preserve"> à toutes les autres CSI disponibles (environ 2,5 fois plus puissante que la fluticasone furoate, 5 fois plus que la fluticasone propionate, 10 fois plus que la béclométasone). Cette puissance intrinsèque permet l'utilisation de </w:t>
      </w:r>
      <w:r>
        <w:rPr>
          <w:b/>
        </w:rPr>
        <w:t>doses plus faibles</w:t>
      </w:r>
      <w:r>
        <w:t xml:space="preserve"> pour une efficacité équivalente. La mométasone furoate est commercialisée dans le monde sous forme inhalée (Asmanex Twisthaler™, Asmanex HFA), sous forme nasale (Nasonex™) et sous forme topique dermique (Elocon™, Cortisaf™, Topocort™, Dermosaf™, Mesone™, Corsalic™). En Algérie, </w:t>
      </w:r>
      <w:r>
        <w:rPr>
          <w:b/>
        </w:rPr>
        <w:t>la forme inhalée (Asmanex) n'est pas commercialisée</w:t>
      </w:r>
      <w:r>
        <w:t xml:space="preserve"> — seules les formes nasales (spray 50 µg/dose) et topiques dermiques (crème 0,1 %) sont disponibles. La mométasone est donc présentée ici pour sa pharmacologie complète, son usage nasal (rhinite allergique, polypose) et sa place dans la stratégie thérapeutique (CSI de référence en cas d'asthme persistant en alternative au budésonide ou à la fluticasone furoate, à prescrire en importation ou en alternative thérapeutique).</w:t>
      </w:r>
    </w:p>
    <w:p>
      <w:r/>
      <w:r>
        <w:rPr>
          <w:b/>
        </w:rPr>
        <w:t>Médicaments disponibles en Algérie (Marques, Laboratoires, Formes et Dosages) :</w:t>
      </w:r>
      <w:r/>
    </w:p>
    <w:p>
      <w:r/>
      <w:r>
        <w:rPr>
          <w:i/>
        </w:rPr>
        <w:t>Spécialités actives :</w:t>
      </w:r>
      <w:r/>
    </w:p>
    <w:p>
      <w:r/>
      <w:r>
        <w:rPr>
          <w:b/>
        </w:rPr>
        <w:t>Formes nasales — Sprays nasaux (mométasone furoate 50 µg/dose) :</w:t>
      </w:r>
      <w:r/>
    </w:p>
    <w:p>
      <w:pPr>
        <w:pStyle w:val="ListBullet"/>
      </w:pPr>
      <w:r/>
      <w:r>
        <w:rPr>
          <w:b/>
        </w:rPr>
        <w:t>NASONEX</w:t>
      </w:r>
      <w:r>
        <w:t xml:space="preserve"> (SCHERING PLOUGH) — Suspension pour pulvérisation nasale 50 µg/dose — Flacon 120 doses — Liste I — Statut : Actif (spécialité princeps historique)</w:t>
      </w:r>
    </w:p>
    <w:p>
      <w:pPr>
        <w:pStyle w:val="ListBullet"/>
      </w:pPr>
      <w:r/>
      <w:r>
        <w:rPr>
          <w:b/>
        </w:rPr>
        <w:t>MEDONEX</w:t>
      </w:r>
      <w:r>
        <w:t xml:space="preserve"> (INPHA-MEDIS) — Suspension pour pulvérisation nasale 50 µg/dose — Flacon 120 doses avec pompe doseuse — Liste I — Statut : Actif</w:t>
      </w:r>
    </w:p>
    <w:p>
      <w:pPr>
        <w:pStyle w:val="ListBullet"/>
      </w:pPr>
      <w:r/>
      <w:r>
        <w:rPr>
          <w:b/>
        </w:rPr>
        <w:t>MOMENEX</w:t>
      </w:r>
      <w:r>
        <w:t xml:space="preserve"> (BIOGALENIC) — Suspension pour pulvérisation nasale 50 µg/dose — Flacon 120 doses avec pompe doseuse — Liste I — Statut : Actif</w:t>
      </w:r>
    </w:p>
    <w:p>
      <w:pPr>
        <w:pStyle w:val="ListBullet"/>
      </w:pPr>
      <w:r/>
      <w:r>
        <w:rPr>
          <w:b/>
        </w:rPr>
        <w:t>NASAMEX</w:t>
      </w:r>
      <w:r>
        <w:t xml:space="preserve"> (NEOMEDIC) — Suspension pour pulvérisation nasale 50 µg/dose — Flacon 120 doses avec pompe doseuse — Liste I — Statut : Actif</w:t>
      </w:r>
    </w:p>
    <w:p>
      <w:pPr>
        <w:pStyle w:val="ListBullet"/>
      </w:pPr>
      <w:r/>
      <w:r>
        <w:rPr>
          <w:b/>
        </w:rPr>
        <w:t>NOVASPRAY</w:t>
      </w:r>
      <w:r>
        <w:t xml:space="preserve"> (NOVAPHARM TRADING) — Suspension pour pulvérisation nasale 50 µg/dose — Flacon 120 doses avec pompe doseuse — Liste I — Statut : Actif</w:t>
      </w:r>
    </w:p>
    <w:p>
      <w:pPr>
        <w:pStyle w:val="ListBullet"/>
      </w:pPr>
      <w:r/>
      <w:r>
        <w:rPr>
          <w:b/>
        </w:rPr>
        <w:t>RHINONEX</w:t>
      </w:r>
      <w:r>
        <w:t xml:space="preserve"> (HUPP PHARMA) — Suspension pour pulvérisation nasale 50 µg/dose — Flacon 120 doses avec pompe doseuse — Liste I — Statut : Actif</w:t>
      </w:r>
    </w:p>
    <w:p>
      <w:pPr>
        <w:pStyle w:val="ListBullet"/>
      </w:pPr>
      <w:r/>
      <w:r>
        <w:rPr>
          <w:b/>
        </w:rPr>
        <w:t>TASONEX</w:t>
      </w:r>
      <w:r>
        <w:t xml:space="preserve"> (TABUK ALGERIE) — Suspension pour pulvérisation nasale 50 µg/dose — Flacon 120 doses avec pompe doseuse — Liste I — Statut : Actif</w:t>
      </w:r>
    </w:p>
    <w:p>
      <w:pPr>
        <w:pStyle w:val="ListBullet"/>
      </w:pPr>
      <w:r/>
      <w:r>
        <w:rPr>
          <w:b/>
        </w:rPr>
        <w:t>ETACID</w:t>
      </w:r>
      <w:r>
        <w:t xml:space="preserve"> (WORLD MEDECINE LIMITED) — Spray nasal 50 µg/dose — Flacon 140 pulvérisations — Statut : Actif</w:t>
      </w:r>
    </w:p>
    <w:p>
      <w:r/>
      <w:r>
        <w:rPr>
          <w:b/>
        </w:rPr>
        <w:t>Formes topiques dermiques — Crèmes (mométasone furoate 0,1 %) :</w:t>
      </w:r>
      <w:r/>
    </w:p>
    <w:p>
      <w:pPr>
        <w:pStyle w:val="ListBullet"/>
      </w:pPr>
      <w:r/>
      <w:r>
        <w:rPr>
          <w:b/>
        </w:rPr>
        <w:t>CORTISAF</w:t>
      </w:r>
      <w:r>
        <w:t xml:space="preserve"> (JAMJOOM PHARMACEUTICAL INDUSTRY) — Crème dermique 0,001 (0,1 %) — Tube 30 g — Liste I — Statut : Actif</w:t>
      </w:r>
    </w:p>
    <w:p>
      <w:pPr>
        <w:pStyle w:val="ListBullet"/>
      </w:pPr>
      <w:r/>
      <w:r>
        <w:rPr>
          <w:b/>
        </w:rPr>
        <w:t>TOPOCORT</w:t>
      </w:r>
      <w:r>
        <w:t xml:space="preserve"> (BEIT JALA PHARMACEUTICALS COMPANY) — Crème dermique 0,001 (0,1 %) — Tube 30 g — Liste I — Statut : Actif</w:t>
      </w:r>
    </w:p>
    <w:p>
      <w:pPr>
        <w:pStyle w:val="ListBullet"/>
      </w:pPr>
      <w:r/>
      <w:r>
        <w:rPr>
          <w:b/>
        </w:rPr>
        <w:t>DERMOSAF</w:t>
      </w:r>
      <w:r>
        <w:t xml:space="preserve"> (NOVAPHARM TRADING) — Crème dermique 0,001 (mométasone furoate monohydratée, 0,1 %) — Tube 30 g — Liste I — Statut : Actif</w:t>
      </w:r>
    </w:p>
    <w:p>
      <w:pPr>
        <w:pStyle w:val="ListBullet"/>
      </w:pPr>
      <w:r/>
      <w:r>
        <w:rPr>
          <w:b/>
        </w:rPr>
        <w:t>MESONE</w:t>
      </w:r>
      <w:r>
        <w:t xml:space="preserve"> (PHILADELPHIA PHARMACEUTICALS) — Crème dermique 0,001 (0,1 %) — Tube 30 g — Liste I — Statut : Actif</w:t>
      </w:r>
    </w:p>
    <w:p>
      <w:pPr>
        <w:pStyle w:val="ListBullet"/>
      </w:pPr>
      <w:r/>
      <w:r>
        <w:rPr>
          <w:b/>
        </w:rPr>
        <w:t>CORSALIC</w:t>
      </w:r>
      <w:r>
        <w:t xml:space="preserve"> (JAMJOOM PHARMACEUTICAL INDUSTRY) — Pommade dermique 0,1 %/5 % (mométasone furoate 0,1 % + acide salicylique 5 %) — Tube 30 g — Liste I — Statut : Actif</w:t>
      </w:r>
    </w:p>
    <w:p>
      <w:r/>
      <w:r>
        <w:rPr>
          <w:i/>
        </w:rPr>
        <w:t>Spécialités non renouvelables :</w:t>
      </w:r>
      <w:r/>
    </w:p>
    <w:p>
      <w:pPr>
        <w:pStyle w:val="ListBullet"/>
      </w:pPr>
      <w:r/>
      <w:r>
        <w:rPr>
          <w:b/>
        </w:rPr>
        <w:t>CORTISAF</w:t>
      </w:r>
      <w:r>
        <w:t xml:space="preserve"> (JAMJOOM PHARMACEUTICAL INDUSTRY) — Pommade dermique 0,001 (0,1 %) — Tube 30 g — Liste I — Statut : Non Renouvelable</w:t>
      </w:r>
    </w:p>
    <w:p>
      <w:r/>
      <w:r>
        <w:rPr>
          <w:i/>
        </w:rPr>
        <w:t>Note sur la forme inhalée</w:t>
      </w:r>
      <w:r>
        <w:t xml:space="preserve"> : la forme inhalée de mométasone furoate (Asmanex Twisthaler™, Asmanex HFA™ — Merck/Schering-Plough) n'est </w:t>
      </w:r>
      <w:r>
        <w:rPr>
          <w:b/>
        </w:rPr>
        <w:t>pas commercialisée en Algérie</w:t>
      </w:r>
      <w:r>
        <w:t xml:space="preserve"> à la date d'avril 2026. Les patients nécessitant un CSI inhalé de troisième génération pour l'asthme doivent être orientés vers la fluticasone propionate (Flixotide) ou le budésonide (Pulmicort), éventuellement en association fixe avec un LABA. La mométasone nasale (Nasonex et génériques) reste l'une des options de référence pour la rhinite allergique et la polypose naso-sinusienne.</w:t>
      </w:r>
    </w:p>
    <w:p>
      <w:r/>
      <w:r>
        <w:rPr>
          <w:b/>
        </w:rPr>
        <w:t>Sous-classe et Mécanisme d'action :</w:t>
      </w:r>
      <w:r/>
    </w:p>
    <w:p>
      <w:pPr>
        <w:pStyle w:val="ListBullet"/>
      </w:pPr>
      <w:r>
        <w:t>Sous-classe : Corticoïde inhalé (CSI) de troisième génération (usage nasal en Algérie) ; glucocorticoïde de synthèse halogéné (groupement fluor en 6α, chlore en 9α, groupement furoate en 21α) ; puissance intrinsèque supérieure à toutes les autres CSI ; biodisponibilité orale négligeable (&lt; 1 %) ; clairance systémique élevée. Usage principal en Algérie : rhinite allergique et polypose naso-sinusienne. Usage théorique en asthme : non disponible en Algérie.</w:t>
      </w:r>
    </w:p>
    <w:p>
      <w:pPr>
        <w:pStyle w:val="ListBullet"/>
      </w:pPr>
      <w:r>
        <w:t xml:space="preserve">Mécanisme d'action : identique aux autres CSI. La mométasone furoate pénètre par diffusion passive dans les cellules cibles (épithélium nasal ou bronchique, éosinophiles, mastocytes, lymphocytes T, cellules dendritiques) et se lie au </w:t>
      </w:r>
      <w:r>
        <w:rPr>
          <w:b/>
        </w:rPr>
        <w:t>GRα cytosolique</w:t>
      </w:r>
      <w:r>
        <w:t xml:space="preserve"> avec une </w:t>
      </w:r>
      <w:r>
        <w:rPr>
          <w:b/>
        </w:rPr>
        <w:t>affinité relative (Kd) environ 22 fois supérieure</w:t>
      </w:r>
      <w:r>
        <w:t xml:space="preserve"> à celle de la dexaméthasone (la plus puissante des CSI de référence). Le complexe activé se dissocie du complexe Hsp90/Hsp70, transloque dans le noyau, se dimérise et se fixe sur les </w:t>
      </w:r>
      <w:r>
        <w:rPr>
          <w:b/>
        </w:rPr>
        <w:t>GRE</w:t>
      </w:r>
      <w:r>
        <w:t xml:space="preserve">. La mométasone exerce : (i) </w:t>
      </w:r>
      <w:r>
        <w:rPr>
          <w:b/>
        </w:rPr>
        <w:t>transactivation</w:t>
      </w:r>
      <w:r>
        <w:t xml:space="preserve"> des gènes anti-inflammatoires (annexine A1/lipocortine-1, IκB-α, GILZ, MKP-1, IL-10, SLPI) ; (ii) </w:t>
      </w:r>
      <w:r>
        <w:rPr>
          <w:b/>
        </w:rPr>
        <w:t>transrépression</w:t>
      </w:r>
      <w:r>
        <w:t xml:space="preserve"> des gènes pro-inflammatoires (cytokines Th2 IL-4, IL-5, IL-13 ; cytokines pro-inflammatoires TNFα, IL-1β, IL-6, GM-CSF ; chimiokines eotaxine, RANTES ; enzymes COX-2, iNOS ; molécules d'adhésion ICAM-1, VCAM-1). L'effet local nasal est rapide (quelques heures pour la rhinite allergique) et maximal en quelques jours.</w:t>
      </w:r>
    </w:p>
    <w:p>
      <w:r/>
      <w:r>
        <w:rPr>
          <w:b/>
        </w:rPr>
        <w:t>Profil Pharmacologique :</w:t>
      </w:r>
      <w:r/>
    </w:p>
    <w:p>
      <w:pPr>
        <w:pStyle w:val="ListBullet"/>
      </w:pPr>
      <w:r>
        <w:t xml:space="preserve">Indications : </w:t>
      </w:r>
      <w:r>
        <w:rPr>
          <w:b/>
        </w:rPr>
        <w:t>rhinite allergique</w:t>
      </w:r>
      <w:r>
        <w:t xml:space="preserve"> saisonnière et perannuelle, modérée à sévère, non contrôlée par antihistaminiques oraux (à partir de 2 ans pour la forme nasale) ; </w:t>
      </w:r>
      <w:r>
        <w:rPr>
          <w:b/>
        </w:rPr>
        <w:t>polypose naso-sinusienne</w:t>
      </w:r>
      <w:r>
        <w:t xml:space="preserve"> (à partir de 18 ans) ; </w:t>
      </w:r>
      <w:r>
        <w:rPr>
          <w:b/>
        </w:rPr>
        <w:t>sinusite chronique</w:t>
      </w:r>
      <w:r>
        <w:t xml:space="preserve"> avec polypose ; pour la forme inhalée (non commercialisée en Algérie) : asthme persistant léger à sévère en traitement de fond à partir de 4 ans. Pour la forme topique dermique (crème 0,1 %) : dermatoses corticosensibles (eczéma, psoriasis, lichen) en cure courte.</w:t>
      </w:r>
    </w:p>
    <w:p>
      <w:pPr>
        <w:pStyle w:val="ListBullet"/>
      </w:pPr>
      <w:r>
        <w:t xml:space="preserve">Contre-indications : hypersensibilité à la mométasone ou à l'un des excipients ; </w:t>
      </w:r>
      <w:r>
        <w:rPr>
          <w:b/>
        </w:rPr>
        <w:t>infection locale non traitée</w:t>
      </w:r>
      <w:r>
        <w:t xml:space="preserve"> (mycose, tuberculose cutanée, herpès, rosacée pour la forme dermique) ; pour la forme nasale : traumatisme nasal, chirurgie naso-sinusienne récente ; en pédiatrie : âge &lt; 2 ans pour la rhinite allergique, &lt; 18 ans pour la polypose ; pour la forme dermique : application sur le visage (sauf avis dermatologique), sur les plis, sur les muqueuses, sur les lésions ulcerées.</w:t>
      </w:r>
    </w:p>
    <w:p>
      <w:pPr>
        <w:pStyle w:val="ListBullet"/>
      </w:pPr>
      <w:r>
        <w:t xml:space="preserve">Effets Indésirables : profil identique aux autres CSI. Locaux nasaux — irritation nasale (5 à 10 %), </w:t>
      </w:r>
      <w:r>
        <w:rPr>
          <w:b/>
        </w:rPr>
        <w:t>épistaxis</w:t>
      </w:r>
      <w:r>
        <w:t xml:space="preserve"> (5 à 10 %, surtout au long cours), maux de tête, pharyngite, sécheresse nasale, ciliotoxicité (rare), perforation de la cloison nasale (exceptionnelle, surtout en cas d'utilisation prolongée ou de corticothérapie systémique associée). Systémiques — rares : freination surrénale (à doses fortes &gt; 800 µg/jour en inhalé), ralentissement de la croissance chez l'enfant (moindre que la béclométasone), cataracte, glaucome. Pour la forme dermique — atrophie cutanée (surtout au long cours et sur le visage), télangiectasies, vergetures, dermite péri-orale, hypopigmentation, effet rebond à l'arrêt brutal.</w:t>
      </w:r>
    </w:p>
    <w:p>
      <w:r/>
      <w:r>
        <w:rPr>
          <w:b/>
        </w:rPr>
        <w:t>Prévention et Gestion des Effets Indésirables :</w:t>
      </w:r>
      <w:r/>
    </w:p>
    <w:p>
      <w:pPr>
        <w:pStyle w:val="ListBullet"/>
      </w:pPr>
      <w:r>
        <w:t>Mesures Préventives : pour la forme nasale — administration délicate, mouchage préalable, éviter le contact direct avec la cloison nasale (orienter l'embout vers la paroi latérale du nez), surveillance en cas d'épistaxis répétés (consultation ORL si &gt; 5 épisodes par mois) ; pour la forme dermique — cure courte (maximum 2 à 4 semaines), éviter le visage, les plis, les muqueuses, ne pas appliquer sous pansement occlusif (sauf avis dermatologique), sevrage progressif par espacement des applications. Surveillance de la croissance chez l'enfant utilisant la forme nasale au long cours.</w:t>
      </w:r>
    </w:p>
    <w:p>
      <w:pPr>
        <w:pStyle w:val="ListBullet"/>
      </w:pPr>
      <w:r>
        <w:t>Conduite à Tenir : irritation nasale — réduction de dose, ajout d'un lavage de nez au sérum physiologique ; épistaxis répétés — arrêt temporaire, consultation ORL pour recherche de perforation, switch vers un autre CSI nasal (budésonide 64 µg ou fluticasone furoate 27,5 µg) ; atrophie cutanée sous dermique — arrêt, switch vers un corticoïde moins puissant, hydratation cutanée.</w:t>
      </w:r>
    </w:p>
    <w:p>
      <w:r/>
      <w:r>
        <w:rPr>
          <w:b/>
        </w:rPr>
        <w:t>Interactions Importantes :</w:t>
      </w:r>
      <w:r/>
    </w:p>
    <w:p>
      <w:pPr>
        <w:pStyle w:val="ListBullet"/>
      </w:pPr>
      <w:r/>
      <w:r>
        <w:rPr>
          <w:b/>
        </w:rPr>
        <w:t>Mométasone + itraconazole / kétoconazole / voriconazole / posaconazole</w:t>
      </w:r>
      <w:r>
        <w:t xml:space="preserve"> (inhibiteurs puissants du CYP3A4) : augmentation importante des concentrations plasmatiques de la mométasone — risque de toxicité systémique (syndrome de Cushing iatrogène, insuffisance surrénale) — surveillance clinique, envisager une réduction posologique de 50 à 75 %, ou préférer un CSI moins métabolisé par CYP3A4.</w:t>
      </w:r>
    </w:p>
    <w:p>
      <w:pPr>
        <w:pStyle w:val="ListBullet"/>
      </w:pPr>
      <w:r/>
      <w:r>
        <w:rPr>
          <w:b/>
        </w:rPr>
        <w:t>Mométasone + ritonavir / cobicistat</w:t>
      </w:r>
      <w:r>
        <w:t xml:space="preserve"> : augmentation massive — risque de toxicité surrénale sévère — à éviter.</w:t>
      </w:r>
    </w:p>
    <w:p>
      <w:pPr>
        <w:pStyle w:val="ListBullet"/>
      </w:pPr>
      <w:r/>
      <w:r>
        <w:rPr>
          <w:b/>
        </w:rPr>
        <w:t>Mométasone + clarithromycine / érythromycine</w:t>
      </w:r>
      <w:r>
        <w:t xml:space="preserve"> : augmentation modérée — surveillance clinique.</w:t>
      </w:r>
    </w:p>
    <w:p>
      <w:pPr>
        <w:pStyle w:val="ListBullet"/>
      </w:pPr>
      <w:r/>
      <w:r>
        <w:rPr>
          <w:b/>
        </w:rPr>
        <w:t>Mométasone + β-bloquants</w:t>
      </w:r>
      <w:r>
        <w:t xml:space="preserve"> : antagonisation de l'effet bronchodilatateur des β2-mimétiques — éviter.</w:t>
      </w:r>
    </w:p>
    <w:p>
      <w:r/>
      <w:r>
        <w:rPr>
          <w:b/>
        </w:rPr>
        <w:t>Grossesse et Allaitement :</w:t>
      </w:r>
      <w:r/>
    </w:p>
    <w:p>
      <w:pPr>
        <w:pStyle w:val="ListBullet"/>
      </w:pPr>
      <w:r>
        <w:t xml:space="preserve">Grossesse : la mométasone nasale est </w:t>
      </w:r>
      <w:r>
        <w:rPr>
          <w:b/>
        </w:rPr>
        <w:t>compatible avec la grossesse</w:t>
      </w:r>
      <w:r>
        <w:t xml:space="preserve"> (CRAT) ; les données cliniques sont moins nombreuses que pour le budésonide mais rassurantes (études animales rassurantes, données humaines limitées mais sans sur-risque malformatif). À utiliser à la dose minimale efficace. Pour la forme dermique : à éviter au premier trimestre, à utiliser avec parcimonie ensuite (passage systémique non négligeable en cas d'application étendue ou occluse).</w:t>
      </w:r>
    </w:p>
    <w:p>
      <w:pPr>
        <w:pStyle w:val="ListBullet"/>
      </w:pPr>
      <w:r>
        <w:t xml:space="preserve">Allaitement : passage dans le lait maternel </w:t>
      </w:r>
      <w:r>
        <w:rPr>
          <w:b/>
        </w:rPr>
        <w:t>très faible</w:t>
      </w:r>
      <w:r>
        <w:t xml:space="preserve"> — </w:t>
      </w:r>
      <w:r>
        <w:rPr>
          <w:b/>
        </w:rPr>
        <w:t>compatible avec l'allaitement</w:t>
      </w:r>
      <w:r>
        <w:t xml:space="preserve"> (CRAT). Pour la forme dermique : ne pas appliquer sur les seins avant la tétée.</w:t>
      </w:r>
    </w:p>
    <w:p>
      <w:pPr>
        <w:pStyle w:val="ListBullet"/>
      </w:pPr>
      <w:r>
        <w:t>Précisions : la rhinite allergique est fréquemment aggravée pendant la grossesse (rhinite gravidique) ; la mométasone nasale peut être utilisée en première intention après lavage de nez et antihistaminiques oraux.</w:t>
      </w:r>
    </w:p>
    <w:p>
      <w:r/>
      <w:r>
        <w:rPr>
          <w:b/>
        </w:rPr>
        <w:t>Posologie et Mode d'administration (Standard) :</w:t>
      </w:r>
      <w:r/>
    </w:p>
    <w:p>
      <w:pPr>
        <w:pStyle w:val="ListBullet"/>
      </w:pPr>
      <w:r>
        <w:t xml:space="preserve">Adulte : </w:t>
      </w:r>
      <w:r>
        <w:rPr>
          <w:b/>
        </w:rPr>
        <w:t>rhinite allergique</w:t>
      </w:r>
      <w:r>
        <w:t xml:space="preserve"> — 2 pulvérisations de 50 µg par narine × 1/jour (200 µg/jour), à réduire à 1 pulvérisation par narine × 1/jour (100 µg/jour) en entretien. </w:t>
      </w:r>
      <w:r>
        <w:rPr>
          <w:b/>
        </w:rPr>
        <w:t>Polypose naso-sinusienne</w:t>
      </w:r>
      <w:r>
        <w:t xml:space="preserve"> — 2 pulvérisations de 50 µg par narine × 2/jour (400 µg/jour), à réduire à 1 pulvérisation par narine × 2/jour (200 µg/jour) en entretien après 2 à 4 semaines. </w:t>
      </w:r>
      <w:r>
        <w:rPr>
          <w:b/>
        </w:rPr>
        <w:t>Dermatose</w:t>
      </w:r>
      <w:r>
        <w:t xml:space="preserve"> (crème 0,1 %) — 1 application/jour sur la lésion, en couche fine, maximum 2 semaines (4 semaines sur avis dermatologique).</w:t>
      </w:r>
    </w:p>
    <w:p>
      <w:pPr>
        <w:pStyle w:val="ListBullet"/>
      </w:pPr>
      <w:r>
        <w:t xml:space="preserve">Enfant : </w:t>
      </w:r>
      <w:r>
        <w:rPr>
          <w:b/>
        </w:rPr>
        <w:t>2 à 11 ans</w:t>
      </w:r>
      <w:r>
        <w:t xml:space="preserve"> — 1 pulvérisation de 50 µg par narine × 1/jour (100 µg/jour). </w:t>
      </w:r>
      <w:r>
        <w:rPr>
          <w:b/>
        </w:rPr>
        <w:t>&gt; 12 ans</w:t>
      </w:r>
      <w:r>
        <w:t xml:space="preserve"> — posologie adulte. Pour la crème dermique : à éviter chez l'enfant de &lt; 2 ans, à utiliser avec prudence (risque accru d'atrophie cutanée et d'absorption systémique).</w:t>
      </w:r>
    </w:p>
    <w:p>
      <w:pPr>
        <w:pStyle w:val="ListBullet"/>
      </w:pPr>
      <w:r>
        <w:t>Durée : traitement au long cours possible pour la forme nasale (plusieurs mois à années dans la polypose) ; cure courte pour la forme dermique.</w:t>
      </w:r>
    </w:p>
    <w:p>
      <w:pPr>
        <w:pStyle w:val="ListBullet"/>
      </w:pPr>
      <w:r>
        <w:t>Moment de la prise : matin (privilégier le moment où la rhinite est la plus symptomatique) ; rinçage de la bouche après utilisation (pour éviter le passage postérieur vers le pharynx) ; pour la crème dermique : application le soir au coucher.</w:t>
      </w:r>
    </w:p>
    <w:p>
      <w:r/>
      <w:r>
        <w:rPr>
          <w:b/>
        </w:rPr>
        <w:t>Arbitrage et Bénéfices des Formes Galéniques :</w:t>
      </w:r>
      <w:r/>
    </w:p>
    <w:p>
      <w:r>
        <w:t xml:space="preserve">La mométasone nasale est le </w:t>
      </w:r>
      <w:r>
        <w:rPr>
          <w:b/>
        </w:rPr>
        <w:t>CSI nasal le plus puissant</w:t>
      </w:r>
      <w:r>
        <w:t xml:space="preserve"> et possède une excellente efficacité dans la rhinite allergique et la polypose. Comparativement à la fluticasone propionate nasale (50 µg/dose), la mométasone nasale (50 µg/dose) offre une efficacité au moins équivalente avec une posologie plus simple (1 prise/jour au lieu de 2). Comparativement à la fluticasone furoate nasale (27,5 µg/dose), la mométasone est légèrement moins bien documentée dans la polypose naso-sinusienne (AVAMYS a l'AMM dans cette indication en France, NASONEX a l'AMM également mais à dose plus élevée). Le marché algérien propose </w:t>
      </w:r>
      <w:r>
        <w:rPr>
          <w:b/>
        </w:rPr>
        <w:t>8 marques actives</w:t>
      </w:r>
      <w:r>
        <w:t xml:space="preserve"> de mométasone nasale (NASONEX princeps Schering-Plough, MEDONEX Inpha-Medis, MOMENEX Biogalenic, NASAMEX Neomedic, NOVASPRAY Novapharm, RHINONEX Hupp Pharma, TASONEX Tabuk Algérie, ETACID World Medecine), témoignant de la maturité du marché générique et de l'accessibilité financière. Pour la forme dermique, 5 marques actives sont disponibles (CORTISAF, TOPOCORT, DERMOSAF, MESONE, CORSALIC), dont une association fixe avec l'acide salicylique (CORSALIC) pour le psoriasis.</w:t>
      </w:r>
    </w:p>
    <w:p>
      <w:r/>
      <w:r>
        <w:rPr>
          <w:b/>
        </w:rPr>
        <w:t>Instructions et Conseils au Patient :</w:t>
      </w:r>
      <w:r/>
    </w:p>
    <w:p>
      <w:pPr>
        <w:pStyle w:val="ListBullet"/>
      </w:pPr>
      <w:r>
        <w:t xml:space="preserve">Communication au comptoir : « NASONEX (et génériques) est un </w:t>
      </w:r>
      <w:r>
        <w:rPr>
          <w:b/>
        </w:rPr>
        <w:t>corticoïde nasal</w:t>
      </w:r>
      <w:r>
        <w:t xml:space="preserve"> qui traite l'inflammation de votre nez (rhinite allergique, polypes). Il n'est pas un antihistaminique et ne vous soulage pas immédiatement ; son effet apparaît après plusieurs heures et est maximal après 1 à 2 semaines de traitement quotidien. </w:t>
      </w:r>
      <w:r>
        <w:rPr>
          <w:b/>
        </w:rPr>
        <w:t>Utilisez-le tous les jours</w:t>
      </w:r>
      <w:r>
        <w:t>, même si vous n'avez pas de symptômes. Mouchez-vous doucement avant l'administration. Inclinez légèrement la tête en avant, introduisez l'embout dans une narine, orientez-le vers l'</w:t>
      </w:r>
      <w:r>
        <w:rPr>
          <w:b/>
        </w:rPr>
        <w:t>extérieur du nez</w:t>
      </w:r>
      <w:r>
        <w:t xml:space="preserve"> (pas vers la cloison), pulvérisez en inspirant doucement. Répétez dans l'autre narine. Évitez de souffler vigoureusement par le nez dans les minutes qui suivent. Prévenez votre médecin si vous avez des saignements de nez répétés. Pour la crème dermique : appliquez en couche fine, une fois par jour, sur la lésion uniquement ; n'appliquez pas sur le visage, les plis ou les muqueuses ; ne pas dépasser 2 semaines d'utilisation sans avis médical. »</w:t>
      </w:r>
    </w:p>
    <w:p>
      <w:pPr>
        <w:pStyle w:val="ListBullet"/>
      </w:pPr>
      <w:r>
        <w:t>Mode d'utilisation pratique : amorcez le flacon avant la première utilisation (10 pulvérisations à l'air libre) et après toute période de non-utilisation de 30 jours (1 pulvérisation jusqu'à apparition d'un fin brouillard). Nettoyez l'embout régulièrement avec un coton sec.</w:t>
      </w:r>
    </w:p>
    <w:p>
      <w:r/>
      <w:r>
        <w:rPr>
          <w:b/>
        </w:rPr>
        <w:t>Notes, Règles d'Or &amp; Pièges au Comptoir :</w:t>
      </w:r>
      <w:r/>
    </w:p>
    <w:p>
      <w:pPr>
        <w:pStyle w:val="ListBullet"/>
      </w:pPr>
      <w:r>
        <w:t xml:space="preserve">Piège classique : la mométasone nasale </w:t>
      </w:r>
      <w:r>
        <w:rPr>
          <w:b/>
        </w:rPr>
        <w:t>n'est pas un antihistaminique</w:t>
      </w:r>
      <w:r>
        <w:t xml:space="preserve"> et ne traite pas la rhinite virale (rhume) ; elle est indiquée dans la rhinite allergique et la polypose. Ne pas prescrire en cas de rhinite aiguë virale. La forme inhalée (Asmanex) n'est pas disponible en Algérie.</w:t>
      </w:r>
    </w:p>
    <w:p>
      <w:pPr>
        <w:pStyle w:val="ListBullet"/>
      </w:pPr>
      <w:r>
        <w:t xml:space="preserve">Règle de prise : </w:t>
      </w:r>
      <w:r>
        <w:rPr>
          <w:b/>
        </w:rPr>
        <w:t>tous les jours</w:t>
      </w:r>
      <w:r>
        <w:t>, en une prise par jour (intérêt de la simplicité) ; mouchage préalable ; orientation de l'embout vers la paroi latérale.</w:t>
      </w:r>
    </w:p>
    <w:p>
      <w:pPr>
        <w:pStyle w:val="ListBullet"/>
      </w:pPr>
      <w:r>
        <w:t>Préparation et Conservation : spray nasal — conserver à température ≤ 25 °C, ne pas congeler, ne pas exposer à la lumière directe, durée d'utilisation après ouverture limitée à 2 mois (vérifier la notice) ; crème dermique — conserver à température ≤ 25 °C, ne pas exposer au froid.</w:t>
      </w:r>
    </w:p>
    <w:p>
      <w:pPr>
        <w:pStyle w:val="ListBullet"/>
      </w:pPr>
      <w:r>
        <w:t>Piège du surdosage / Substitution : la mométasone est l'un des CSI les plus puissants — ne pas substituer µg pour µg avec un autre CSI nasal (budésonide 64 µg/dose, fluticasone 50 µg/dose, fluticasone furoate 27,5 µg/dose) sans tenir compte des puissances relatives. En cas de switch, demander l'avis du médecin prescripteur. Pour la crème dermique : ne pas dépasser 2 semaines d'application continue (risque d'atrophie cutanée) ; ne pas appliquer sur le visage (sauf avis dermatologique).</w:t>
      </w:r>
    </w:p>
    <w:p>
      <w:pPr>
        <w:pStyle w:val="Heading2"/>
      </w:pPr>
      <w:r>
        <w:t>3. Introduction à la sous-classe des associations CSI + LABA</w:t>
      </w:r>
    </w:p>
    <w:p>
      <w:r>
        <w:t xml:space="preserve">Les </w:t>
      </w:r>
      <w:r>
        <w:rPr>
          <w:b/>
        </w:rPr>
        <w:t>associations fixes CSI + LABA</w:t>
      </w:r>
      <w:r>
        <w:t xml:space="preserve"> représentent le pilier thérapeutique moderne de l'asthme persistant modéré à sévère (GINA 2024, stades 3 à 5) et de la BPCO à risque d'exacerbation (GOLD 2024, groupes C/D/E). Leur développement dans les années 1990-2000 (Seretide™ = fluticasone + salmétérol, commercialisé dès 1999 par GlaxoSmithKline ; Symbicort™ = budésonide + formotérol, commercialisé dès 2000 par AstraZeneca) a transformé le pronostic de l'asthme sévère en réduisant de </w:t>
      </w:r>
      <w:r>
        <w:rPr>
          <w:b/>
        </w:rPr>
        <w:t>40 à 60 %</w:t>
      </w:r>
      <w:r>
        <w:t xml:space="preserve"> les exacerbations sévères par rapport au CSI seul, et de </w:t>
      </w:r>
      <w:r>
        <w:rPr>
          <w:b/>
        </w:rPr>
        <w:t>60 à 80 %</w:t>
      </w:r>
      <w:r>
        <w:t xml:space="preserve"> par rapport au LABA seul (qui ne doit jamais être prescrit isolément — voir ci-dessous).</w:t>
      </w:r>
    </w:p>
    <w:p>
      <w:r/>
      <w:r>
        <w:rPr>
          <w:b/>
        </w:rPr>
        <w:t>Justification pharmacologique de l'association fixe CSI + LABA.</w:t>
      </w:r>
      <w:r>
        <w:t xml:space="preserve"> L'association d'un CSI et d'un LABA repose sur une synergie pharmacologique documentée au plan moléculaire :</w:t>
      </w:r>
    </w:p>
    <w:p>
      <w:pPr>
        <w:pStyle w:val="ListBullet"/>
      </w:pPr>
      <w:r/>
      <w:r>
        <w:rPr>
          <w:b/>
        </w:rPr>
        <w:t>Le LABA augmente l'efficacité du CSI.</w:t>
      </w:r>
      <w:r>
        <w:t xml:space="preserve"> La stimulation du récepteur β2-adrénergique active la cascade Gs → adénylate cyclase → AMPc → PKA, qui phosphoryle et active le </w:t>
      </w:r>
      <w:r>
        <w:rPr>
          <w:b/>
        </w:rPr>
        <w:t>GRα</w:t>
      </w:r>
      <w:r>
        <w:t xml:space="preserve"> (PKA-induced phosphorylation on Ser-211), augmentant ainsi sa translocation nucléaire et son affinité pour les GRE. Le LABA potentialise également l'expression de l'</w:t>
      </w:r>
      <w:r>
        <w:rPr>
          <w:b/>
        </w:rPr>
        <w:t>annexine A1</w:t>
      </w:r>
      <w:r>
        <w:t xml:space="preserve"> (lipocortine-1) et de </w:t>
      </w:r>
      <w:r>
        <w:rPr>
          <w:b/>
        </w:rPr>
        <w:t>MKP-1</w:t>
      </w:r>
      <w:r>
        <w:t xml:space="preserve"> (DUSP1) sous l'effet du CSI. À l'inverse, le LABA stimule la transcription du gène ADRB2 (récepteur β2), ce qui est sans effet thérapeutique direct en l'absence de CSI (récepteurs « nus ») mais qui devient fonctionnel dès que le CSI restaure la sensibilité β2-adrénergique.</w:t>
      </w:r>
    </w:p>
    <w:p>
      <w:pPr>
        <w:pStyle w:val="ListBullet"/>
      </w:pPr>
      <w:r/>
      <w:r>
        <w:rPr>
          <w:b/>
        </w:rPr>
        <w:t>Le CSI restaure la sensibilité β2.</w:t>
      </w:r>
      <w:r>
        <w:t xml:space="preserve"> L'inflammation chronique asthmatique induit une </w:t>
      </w:r>
      <w:r>
        <w:rPr>
          <w:b/>
        </w:rPr>
        <w:t>down-régulation du récepteur β2</w:t>
      </w:r>
      <w:r>
        <w:t xml:space="preserve"> (internalisation, dégradation, désensibilisation par GRK2/β-arrestine). Le CSI, en réduisant l'inflammation et en </w:t>
      </w:r>
      <w:r>
        <w:rPr>
          <w:b/>
        </w:rPr>
        <w:t>augmentant la transcription du gène ADRB2</w:t>
      </w:r>
      <w:r>
        <w:t>, restaure la sensibilité β2 et augmente l'efficacité bronchodilatatrice du LABA.</w:t>
      </w:r>
    </w:p>
    <w:p>
      <w:r/>
      <w:r>
        <w:rPr>
          <w:b/>
        </w:rPr>
        <w:t>La règle absolue GINA : LABA jamais seul sans CSI.</w:t>
      </w:r>
      <w:r>
        <w:t xml:space="preserve"> L'étude </w:t>
      </w:r>
      <w:r>
        <w:rPr>
          <w:b/>
        </w:rPr>
        <w:t>SMART (Salmeterol Multicenter Asthma Research Trial, 2006)</w:t>
      </w:r>
      <w:r>
        <w:t xml:space="preserve"> a démontré que l'utilisation du salmétérol seul (sans CSI) multipliait par </w:t>
      </w:r>
      <w:r>
        <w:rPr>
          <w:b/>
        </w:rPr>
        <w:t>4 à 5 le risque de mortalité asthmatique</w:t>
      </w:r>
      <w:r>
        <w:t xml:space="preserve"> (13 décès sur 13 176 patients sous salmétérol vs 3 sur 13 179 sous placebo, principalement chez les patients Afro-Américains non traités par CSI). Cette observation a conduit la FDA en 2010 à imposer le </w:t>
      </w:r>
      <w:r>
        <w:rPr>
          <w:b/>
        </w:rPr>
        <w:t>« Black Box Warning »</w:t>
      </w:r>
      <w:r>
        <w:t xml:space="preserve"> sur tous les LABA commercialisés aux États-Unis, et le GINA à formuler la règle absolue : </w:t>
      </w:r>
      <w:r>
        <w:rPr>
          <w:b/>
        </w:rPr>
        <w:t>un LABA ne doit JAMAIS être utilisé seul sans CSI dans l'asthme</w:t>
      </w:r>
      <w:r>
        <w:t xml:space="preserve"> (les LABA seuls restent autorisés dans la BPCO sans asthme associé, en raison d'un mécanisme physiopathologique différent). Les associations fixes CSI + LABA garantissent la délivrance simultanée des deux composants et l'impossibilité d'un mésusage.</w:t>
      </w:r>
    </w:p>
    <w:p>
      <w:r/>
      <w:r>
        <w:rPr>
          <w:b/>
        </w:rPr>
        <w:t>Concept MART (Maintenance And Reliever Therapy) et SMART (Single Maintenance and Reliever Therapy).</w:t>
      </w:r>
      <w:r>
        <w:t xml:space="preserve"> Le concept MART, formalisé par le GINA dès 2006 et étendu en 2019 (piste 1 préférée), repose sur l'utilisation d'une </w:t>
      </w:r>
      <w:r>
        <w:rPr>
          <w:b/>
        </w:rPr>
        <w:t>même association fixe CSI + LABA</w:t>
      </w:r>
      <w:r>
        <w:t xml:space="preserve"> (idéalement </w:t>
      </w:r>
      <w:r>
        <w:rPr>
          <w:b/>
        </w:rPr>
        <w:t>budésonide + formotérol</w:t>
      </w:r>
      <w:r>
        <w:t xml:space="preserve">) comme traitement </w:t>
      </w:r>
      <w:r>
        <w:rPr>
          <w:b/>
        </w:rPr>
        <w:t>de fond</w:t>
      </w:r>
      <w:r>
        <w:t xml:space="preserve"> ET comme traitement </w:t>
      </w:r>
      <w:r>
        <w:rPr>
          <w:b/>
        </w:rPr>
        <w:t>de secours</w:t>
      </w:r>
      <w:r>
        <w:t xml:space="preserve">. Cette stratégie n'est possible qu'avec un LABA à </w:t>
      </w:r>
      <w:r>
        <w:rPr>
          <w:b/>
        </w:rPr>
        <w:t>début d'action rapide</w:t>
      </w:r>
      <w:r>
        <w:t xml:space="preserve"> (le formotérol, délai &lt; 5 min) — elle n'est PAS applicable au salmétérol (délai 30 min) ni à l'indacatérol. Le bénéfice du MART a été documenté dans l'étude </w:t>
      </w:r>
      <w:r>
        <w:rPr>
          <w:b/>
        </w:rPr>
        <w:t>SYGNET 1 et 2</w:t>
      </w:r>
      <w:r>
        <w:t xml:space="preserve"> (2006-2010) : réduction de </w:t>
      </w:r>
      <w:r>
        <w:rPr>
          <w:b/>
        </w:rPr>
        <w:t>45 %</w:t>
      </w:r>
      <w:r>
        <w:t xml:space="preserve"> des exacerbations sévères et de </w:t>
      </w:r>
      <w:r>
        <w:rPr>
          <w:b/>
        </w:rPr>
        <w:t>35 %</w:t>
      </w:r>
      <w:r>
        <w:t xml:space="preserve"> des hospitalisations par rapport à l'association fixe CSI + LABA en traitement de fond + SABA en secours. Le concept est désormais recommandé en </w:t>
      </w:r>
      <w:r>
        <w:rPr>
          <w:b/>
        </w:rPr>
        <w:t>piste 1</w:t>
      </w:r>
      <w:r>
        <w:t xml:space="preserve"> par le GINA 2024 chez l'adulte et l'enfant de plus de 12 ans.</w:t>
      </w:r>
    </w:p>
    <w:p>
      <w:r/>
      <w:r>
        <w:rPr>
          <w:b/>
        </w:rPr>
        <w:t>LABA disponibles en association avec CSI en Algérie.</w:t>
      </w:r>
      <w:r>
        <w:t xml:space="preserve"> Trois associations fixes CSI + LABA sont commercialisées en Algérie : (i) </w:t>
      </w:r>
      <w:r>
        <w:rPr>
          <w:b/>
        </w:rPr>
        <w:t>fluticasone propionate + salmétérol</w:t>
      </w:r>
      <w:r>
        <w:t xml:space="preserve"> (SERETIDE DISKUS, BREQUAL, RESPYTID PLUS, SALFLUZON, SEROFLO, INSPIRYA) ; (ii) </w:t>
      </w:r>
      <w:r>
        <w:rPr>
          <w:b/>
        </w:rPr>
        <w:t>budésonide + formotérol</w:t>
      </w:r>
      <w:r>
        <w:t xml:space="preserve"> (SYMBICORT TURBUHALER, FORACORT, AIRYCORT PLUS, BUFOMIX EASYHALER, SOLUMACORT, BUDEK PLUS, FORMONIDE, FORACORT HFA) ; (iii) </w:t>
      </w:r>
      <w:r>
        <w:rPr>
          <w:b/>
        </w:rPr>
        <w:t>béclométasone + formotérol</w:t>
      </w:r>
      <w:r>
        <w:t xml:space="preserve"> (FOSTER, FOSTER NEXTHALER). L'association fluticasone furoate + vilantérol (Relvar Ellipta) n'est pas commercialisée en Algérie. L'association mométasone + formotérol (Dulera/Zenhale) n'est pas non plus commercialisée.</w:t>
      </w:r>
    </w:p>
    <w:p>
      <w:r/>
      <w:r>
        <w:rPr>
          <w:b/>
        </w:rPr>
        <w:t>Différences clés entre les trois associations.</w:t>
      </w:r>
      <w:r>
        <w:t xml:space="preserve"> (1) </w:t>
      </w:r>
      <w:r>
        <w:rPr>
          <w:b/>
        </w:rPr>
        <w:t>Fluticasone + salmétérol (Seretide)</w:t>
      </w:r>
      <w:r>
        <w:t xml:space="preserve"> — LABA à </w:t>
      </w:r>
      <w:r>
        <w:rPr>
          <w:b/>
        </w:rPr>
        <w:t>début d'action lent</w:t>
      </w:r>
      <w:r>
        <w:t xml:space="preserve"> (30 min) et </w:t>
      </w:r>
      <w:r>
        <w:rPr>
          <w:b/>
        </w:rPr>
        <w:t>durée 12 h</w:t>
      </w:r>
      <w:r>
        <w:t xml:space="preserve">, ne permettant PAS le concept MART (le salmétérol n'est pas un bronchodilatateur de secours) ; traitement de fond strict, nécessite un SABA en complément pour le secours. (2) </w:t>
      </w:r>
      <w:r>
        <w:rPr>
          <w:b/>
        </w:rPr>
        <w:t>Budésonide + formotérol (Symbicort)</w:t>
      </w:r>
      <w:r>
        <w:t xml:space="preserve"> — LABA à </w:t>
      </w:r>
      <w:r>
        <w:rPr>
          <w:b/>
        </w:rPr>
        <w:t>début d'action rapide</w:t>
      </w:r>
      <w:r>
        <w:t xml:space="preserve"> (5 min) et </w:t>
      </w:r>
      <w:r>
        <w:rPr>
          <w:b/>
        </w:rPr>
        <w:t>durée 12 h</w:t>
      </w:r>
      <w:r>
        <w:t xml:space="preserve">, permet le concept MART (Symbicort Maintenance And Reliever Therapy — SMART) en alternative au SABA comme traitement de secours ; recommandé en piste 1 par le GINA 2024. (3) </w:t>
      </w:r>
      <w:r>
        <w:rPr>
          <w:b/>
        </w:rPr>
        <w:t>Béclométasone + formotérol (Foster)</w:t>
      </w:r>
      <w:r>
        <w:t xml:space="preserve"> — LABA à </w:t>
      </w:r>
      <w:r>
        <w:rPr>
          <w:b/>
        </w:rPr>
        <w:t>début d'action rapide</w:t>
      </w:r>
      <w:r>
        <w:t xml:space="preserve"> (5 min) ; formulation particulière en </w:t>
      </w:r>
      <w:r>
        <w:rPr>
          <w:b/>
        </w:rPr>
        <w:t>solution HFA extrafine</w:t>
      </w:r>
      <w:r>
        <w:t xml:space="preserve"> (FOSTER MDI) avec une fraction respirable de ~60 % (vs ~20 % pour les MDI classiques) permettant de réduire les doses de CSI de 50 % pour une efficacité équivalente ; concept MART possible (Foster MART) mais moins documenté que Symbicort.</w:t>
      </w:r>
    </w:p>
    <w:p>
      <w:r/>
      <w:r>
        <w:rPr>
          <w:b/>
        </w:rPr>
        <w:t>Positionnement dans GINA 2024 et GOLD 2024 :</w:t>
      </w:r>
      <w:r/>
    </w:p>
    <w:p>
      <w:pPr>
        <w:pStyle w:val="ListBullet"/>
      </w:pPr>
      <w:r/>
      <w:r>
        <w:rPr>
          <w:b/>
        </w:rPr>
        <w:t>GINA 2024 (asthme)</w:t>
      </w:r>
      <w:r>
        <w:t xml:space="preserve"> : les associations fixes CSI + LABA sont recommandées en </w:t>
      </w:r>
      <w:r>
        <w:rPr>
          <w:b/>
        </w:rPr>
        <w:t>piste 1</w:t>
      </w:r>
      <w:r>
        <w:t xml:space="preserve"> (Track 1) à tous les stades 2 à 5 de l'asthme persistant. À partir du stade 3 (asthme modéré non contrôlé par faible dose de CSI seul), l'association fixe CSI + LABA est le traitement de </w:t>
      </w:r>
      <w:r>
        <w:rPr>
          <w:b/>
        </w:rPr>
        <w:t>première intention</w:t>
      </w:r>
      <w:r>
        <w:t xml:space="preserve">. À partir du stade 4-5, le concept </w:t>
      </w:r>
      <w:r>
        <w:rPr>
          <w:b/>
        </w:rPr>
        <w:t>MART</w:t>
      </w:r>
      <w:r>
        <w:t xml:space="preserve"> (budésonide + formotérol ou béclométasone + formotérol) est le traitement </w:t>
      </w:r>
      <w:r>
        <w:rPr>
          <w:b/>
        </w:rPr>
        <w:t>préféré</w:t>
      </w:r>
      <w:r>
        <w:t xml:space="preserve"> en alternative à l'association fixe CSI + LABA en traitement de fond + SABA en secours. La fluticasone + salmétérol (Seretide) ne permet pas le concept MART et reste une alternative en traitement de fond strict avec SABA en secours.</w:t>
      </w:r>
    </w:p>
    <w:p>
      <w:pPr>
        <w:pStyle w:val="ListBullet"/>
      </w:pPr>
      <w:r/>
      <w:r>
        <w:rPr>
          <w:b/>
        </w:rPr>
        <w:t>GOLD 2024 (BPCO)</w:t>
      </w:r>
      <w:r>
        <w:t xml:space="preserve"> : les associations fixes CSI + LABA sont indiquées en </w:t>
      </w:r>
      <w:r>
        <w:rPr>
          <w:b/>
        </w:rPr>
        <w:t>groupe D/E</w:t>
      </w:r>
      <w:r>
        <w:t xml:space="preserve"> (BPCO modérée à sévère avec antécédents d'exacerbations répétées ou hospitalisations pour exacerbation), particulièrement chez les patients avec éosinophiles sanguins ≥ 300/µL (répondeurs aux CSI). En cas d'échec de la double bronchodilatation (LAMA + LABA), l'escalade à l'association triple CSI + LABA + LAMA est recommandée.</w:t>
      </w:r>
    </w:p>
    <w:p>
      <w:pPr>
        <w:pStyle w:val="Heading2"/>
      </w:pPr>
      <w:r>
        <w:t>4. Fiches DCI — Associations CSI + LABA</w:t>
      </w:r>
    </w:p>
    <w:p>
      <w:pPr>
        <w:pStyle w:val="Heading3"/>
      </w:pPr>
      <w:r>
        <w:t>5. DCI : Béclométasone + Formotérol (En Association)</w:t>
      </w:r>
    </w:p>
    <w:p>
      <w:r/>
      <w:r>
        <w:rPr>
          <w:b/>
        </w:rPr>
        <w:t>Liste des Catégories :</w:t>
      </w:r>
      <w:r>
        <w:t xml:space="preserve"> Association fixe CSI + LABA (corticoïde inhalé + β2-mimétique de longue durée d'action) ; Anti-asthmatique de fond ; Anti-asthmatique de secours (concept MART possible) ; Béclométasone dipropionate (prodrogue → 17-BMP) + Formotérol fumarate (LABA à démarrage rapide) ; Solution HFA extrafine (FOSTER MDI) ou poudre sèche (FOSTER NEXTHALER DPI) ; Liste I (toutes formes et dosages) ; Prescription médicale obligatoire.</w:t>
      </w:r>
    </w:p>
    <w:p>
      <w:r>
        <w:t xml:space="preserve">L'association fixe </w:t>
      </w:r>
      <w:r>
        <w:rPr>
          <w:b/>
        </w:rPr>
        <w:t>béclométasone dipropionate + formotérol</w:t>
      </w:r>
      <w:r>
        <w:t xml:space="preserve"> est commercialisée en Algérie exclusivement sous le nom de </w:t>
      </w:r>
      <w:r>
        <w:rPr>
          <w:b/>
        </w:rPr>
        <w:t>FOSTER</w:t>
      </w:r>
      <w:r>
        <w:t xml:space="preserve"> (Chiesi Farmaceutici). Elle se distingue des autres associations fixes CSI + LABA par sa formulation </w:t>
      </w:r>
      <w:r>
        <w:rPr>
          <w:b/>
        </w:rPr>
        <w:t>HFA extrafine</w:t>
      </w:r>
      <w:r>
        <w:t xml:space="preserve"> (FOSTER MDI) avec une particule de </w:t>
      </w:r>
      <w:r>
        <w:rPr>
          <w:b/>
        </w:rPr>
        <w:t>1,3 µm</w:t>
      </w:r>
      <w:r>
        <w:t xml:space="preserve"> de diamètre massique aérodynamique médian (MMAD), contre 2,4 à 3,5 µm pour les MDI classiques. Cette propriété permet une </w:t>
      </w:r>
      <w:r>
        <w:rPr>
          <w:b/>
        </w:rPr>
        <w:t>fraction respirable d'environ 60 %</w:t>
      </w:r>
      <w:r>
        <w:t xml:space="preserve"> (vs 20 % pour les MDI classiques), autorisant une </w:t>
      </w:r>
      <w:r>
        <w:rPr>
          <w:b/>
        </w:rPr>
        <w:t>réduction de 50 % de la dose de CSI</w:t>
      </w:r>
      <w:r>
        <w:t xml:space="preserve"> pour une efficacité équivalente (100 µg béclométasone HFA extrafine ≈ 200 µg béclométasone HFA standard). Le formotérol est un LABA à </w:t>
      </w:r>
      <w:r>
        <w:rPr>
          <w:b/>
        </w:rPr>
        <w:t>début d'action rapide</w:t>
      </w:r>
      <w:r>
        <w:t xml:space="preserve"> (5 min) et à </w:t>
      </w:r>
      <w:r>
        <w:rPr>
          <w:b/>
        </w:rPr>
        <w:t>durée 12 h</w:t>
      </w:r>
      <w:r>
        <w:t xml:space="preserve">, autorisant le concept </w:t>
      </w:r>
      <w:r>
        <w:rPr>
          <w:b/>
        </w:rPr>
        <w:t>MART</w:t>
      </w:r>
      <w:r>
        <w:t xml:space="preserve"> (Foster MART) comme traitement de fond ET de secours. Le FOSTER NEXTHALER est un DPI multidose utilisant la technologie </w:t>
      </w:r>
      <w:r>
        <w:rPr>
          <w:b/>
        </w:rPr>
        <w:t>NEXTHALER</w:t>
      </w:r>
      <w:r>
        <w:t xml:space="preserve"> de Chiesi (déclenchement par inspiration, sans coordonnation main-poumon, avec compteur de doses).</w:t>
      </w:r>
    </w:p>
    <w:p>
      <w:r/>
      <w:r>
        <w:rPr>
          <w:b/>
        </w:rPr>
        <w:t>Médicaments disponibles en Algérie (Marques, Laboratoires, Formes et Dosages) :</w:t>
      </w:r>
      <w:r/>
    </w:p>
    <w:p>
      <w:r/>
      <w:r>
        <w:rPr>
          <w:i/>
        </w:rPr>
        <w:t>Spécialités actives :</w:t>
      </w:r>
      <w:r/>
    </w:p>
    <w:p>
      <w:pPr>
        <w:pStyle w:val="ListBullet"/>
      </w:pPr>
      <w:r/>
      <w:r>
        <w:rPr>
          <w:b/>
        </w:rPr>
        <w:t>FOSTER</w:t>
      </w:r>
      <w:r>
        <w:t xml:space="preserve"> (CHIESI FARMACEUTICI SPA) — Solution pour inhalation 100 µg/6 µg (béclométasone dipropionate 100 µg + formotérol fumarate 6 µg par bouffée) — Flacon 120 doses — Liste I — Statut : Actif (spécialité princeps, formulation MDI HFA extrafine)</w:t>
      </w:r>
    </w:p>
    <w:p>
      <w:pPr>
        <w:pStyle w:val="ListBullet"/>
      </w:pPr>
      <w:r/>
      <w:r>
        <w:rPr>
          <w:b/>
        </w:rPr>
        <w:t>FOSTER NEXTHALER</w:t>
      </w:r>
      <w:r>
        <w:t xml:space="preserve"> (CHIESI FARMACEUTICI SPA) — Poudre pour inhalation 100 µg/6 µg (béclométasone dipropionate 100 µg + formotérol fumarate 6 µg par inhalation) — Inhalateur multidose contenant 120 inhalations — Liste I — Statut : Actif (formulation DPI Nexthaler)</w:t>
      </w:r>
    </w:p>
    <w:p>
      <w:r/>
      <w:r>
        <w:rPr>
          <w:i/>
        </w:rPr>
        <w:t>Note</w:t>
      </w:r>
      <w:r>
        <w:t xml:space="preserve"> : les dosages du FOSTER NEXTHALER apparaissent à tort dans la nomenclature algérienne sous la forme « 100MG/6MG » au lieu de « 100µG/6µG » ; il s'agit bien d'une formulation en microgrammes et non en milligrammes (le dosage en milligrammes serait létal).</w:t>
      </w:r>
    </w:p>
    <w:p>
      <w:r/>
      <w:r>
        <w:rPr>
          <w:b/>
        </w:rPr>
        <w:t>Sous-classe et Mécanisme d'action :</w:t>
      </w:r>
      <w:r/>
    </w:p>
    <w:p>
      <w:pPr>
        <w:pStyle w:val="ListBullet"/>
      </w:pPr>
      <w:r>
        <w:t>Sous-classe : Association fixe CSI + LABA de troisième génération, composée de béclométasone dipropionate (prodrogue convertie en 17-BMP dans le poumon) et de formotérol fumarate (LABA à démarrage rapide et durée 12 h). Formulation HFA extrafine (MMAD 1,3 µm) permettant une fraction respirable ~60 %. Concept MART possible (Foster MART) en alternative au SABA comme traitement de secours.</w:t>
      </w:r>
    </w:p>
    <w:p>
      <w:pPr>
        <w:pStyle w:val="ListBullet"/>
      </w:pPr>
      <w:r>
        <w:t xml:space="preserve">Mécanisme d'action : synergie pharmacologique entre CSI et LABA (voir introduction sous-classe). Le </w:t>
      </w:r>
      <w:r>
        <w:rPr>
          <w:b/>
        </w:rPr>
        <w:t>formotérol</w:t>
      </w:r>
      <w:r>
        <w:t xml:space="preserve"> stimule le récepteur β2-adrénergique → activation de la protéine Gs → stimulation de l'adénylate cyclase → augmentation de l'AMPc intracellulaire → activation de la PKA → phosphorylation de la MLCK (inhibition), activation de la pompe Ca2+ ATPase du réticulum sarcoplasmique (reprise du calcium cytosolique), ouverture des canaux potassiques BKCa (hyperpolarisation membranaire) → relaxation du muscle lisse bronchique en 5 minutes (début d'action rapide comme un SABA). Le </w:t>
      </w:r>
      <w:r>
        <w:rPr>
          <w:b/>
        </w:rPr>
        <w:t>17-BMP</w:t>
      </w:r>
      <w:r>
        <w:t xml:space="preserve"> (issu de la béclométasone dipropionate) exerce son effet anti-inflammatoire en 2 à 4 semaines (maximal) via la cascade GRα → GRE → transactivation/transrépression décrite précédemment. La formulation HFA extrafine permet une meilleure dépôt pulmonaire périphérique (bronchioles distales et alvéoles), où l'inflammation est souvent profonde et mal atteinte par les particules grossières des MDI classiques.</w:t>
      </w:r>
    </w:p>
    <w:p>
      <w:r/>
      <w:r>
        <w:rPr>
          <w:b/>
        </w:rPr>
        <w:t>Profil Pharmacologique :</w:t>
      </w:r>
      <w:r/>
    </w:p>
    <w:p>
      <w:pPr>
        <w:pStyle w:val="ListBullet"/>
      </w:pPr>
      <w:r>
        <w:t xml:space="preserve">Indications : </w:t>
      </w:r>
      <w:r>
        <w:rPr>
          <w:b/>
        </w:rPr>
        <w:t>asthme persistant modéré à sévère</w:t>
      </w:r>
      <w:r>
        <w:t xml:space="preserve"> (GINA stades 3 à 5) non contrôlé par CSI seul et SABA à la demande, en traitement de fond chez l'adulte et l'enfant à partir de 12 ans ; </w:t>
      </w:r>
      <w:r>
        <w:rPr>
          <w:b/>
        </w:rPr>
        <w:t>concept MART (Foster MART)</w:t>
      </w:r>
      <w:r>
        <w:t xml:space="preserve"> chez l'adulte comme traitement de fond ET de secours (alternative au SABA en secours), selon GINA 2024 piste 1 ; hors AMM : traitement de fond de la BPCO sévère avec éosinophiles ≥ 300/µL (alternative à Seretide ou Symbicort).</w:t>
      </w:r>
    </w:p>
    <w:p>
      <w:pPr>
        <w:pStyle w:val="ListBullet"/>
      </w:pPr>
      <w:r>
        <w:t xml:space="preserve">Contre-indications : hypersensibilité à l'un des composants ; tuberculose pulmonaire active non traitée ; infections bactériennes, virales, fongiques non contrôlées des voies respiratoires ; </w:t>
      </w:r>
      <w:r>
        <w:rPr>
          <w:b/>
        </w:rPr>
        <w:t>arythmies cardiaques sévères</w:t>
      </w:r>
      <w:r>
        <w:t xml:space="preserve"> (bloc auriculo-ventriculaire du 3e degré, tachycardie sinusale &gt; 120/min, QT long congénital ou acquis) ; cardiomyopathie obstructive hypertrophique ; sténose aortique sous-valvulaire ; pheochromocytome (risque d'augmentation de la pression artérielle par les β2-mimétiques) ; thyrotoxicose non contrôlée.</w:t>
      </w:r>
    </w:p>
    <w:p>
      <w:pPr>
        <w:pStyle w:val="ListBullet"/>
      </w:pPr>
      <w:r>
        <w:t xml:space="preserve">Effets Indésirables : locaux ORL et bronchiques — candidose oropharyngée (~5 à 10 %), dysphonie (jusqu'à 30 % au long cours), toux immédiate après inhalation, irritation pharyngée, sécheresse buccale. Systémiques — ralentissement de la croissance chez l'enfant, ostéoporose, cataracte, glaucome, freination surrénale (la formulation extrafine permet une réduction de 50 % de la dose de CSI pour une efficacité équivalente, donc un profil systémique probablement inférieur aux autres associations fixes CSI + LABA aux doses équivalentes). Liés au formotérol — </w:t>
      </w:r>
      <w:r>
        <w:rPr>
          <w:b/>
        </w:rPr>
        <w:t>tremblements</w:t>
      </w:r>
      <w:r>
        <w:t xml:space="preserve"> des extrémités (~5 à 10 %, effet β2 périphérique), </w:t>
      </w:r>
      <w:r>
        <w:rPr>
          <w:b/>
        </w:rPr>
        <w:t>palpitations</w:t>
      </w:r>
      <w:r>
        <w:t xml:space="preserve">, </w:t>
      </w:r>
      <w:r>
        <w:rPr>
          <w:b/>
        </w:rPr>
        <w:t>tachycardie</w:t>
      </w:r>
      <w:r>
        <w:t xml:space="preserve">, </w:t>
      </w:r>
      <w:r>
        <w:rPr>
          <w:b/>
        </w:rPr>
        <w:t>céphalées</w:t>
      </w:r>
      <w:r>
        <w:t xml:space="preserve">, </w:t>
      </w:r>
      <w:r>
        <w:rPr>
          <w:b/>
        </w:rPr>
        <w:t>crampes musculaires</w:t>
      </w:r>
      <w:r>
        <w:t xml:space="preserve"> (β2 sur le muscle squelettique), </w:t>
      </w:r>
      <w:r>
        <w:rPr>
          <w:b/>
        </w:rPr>
        <w:t>hypokaliémie</w:t>
      </w:r>
      <w:r>
        <w:t xml:space="preserve"> (effet β2 sur la pompe Na+/K+ ATPase), </w:t>
      </w:r>
      <w:r>
        <w:rPr>
          <w:b/>
        </w:rPr>
        <w:t>hyperglycémie</w:t>
      </w:r>
      <w:r>
        <w:t xml:space="preserve"> (effet β2 sur la glycogénolyse hépatique), </w:t>
      </w:r>
      <w:r>
        <w:rPr>
          <w:b/>
        </w:rPr>
        <w:t>allongement du QTc</w:t>
      </w:r>
      <w:r>
        <w:t xml:space="preserve"> à doses élevées. Bronchospasme paradoxal exceptionnel.</w:t>
      </w:r>
    </w:p>
    <w:p>
      <w:r/>
      <w:r>
        <w:rPr>
          <w:b/>
        </w:rPr>
        <w:t>Prévention et Gestion des Effets Indésirables :</w:t>
      </w:r>
      <w:r/>
    </w:p>
    <w:p>
      <w:pPr>
        <w:pStyle w:val="ListBullet"/>
      </w:pPr>
      <w:r>
        <w:t>Mesures Préventives : rinçage buccal systématique après chaque inhalation (et recrachement) ; chambre d'inhalation non nécessaire avec FOSTER NEXTHALER (DPI activé par inspiration) mais recommandée avec FOSTER MDI chez l'enfant et le sujet âgé ; surveillance de la croissance chez l'enfant ; ostéodensitométrie chez la femme ménopausée et le sujet âgé ; examen ophtalmologique annuel après 60 ans ; ECG de surveillance en cas d'antécédents cardiaques ; dosage du cortisol à 8 h tous les 6 mois si doses fortes ; surveillance kaliémique et glycémique chez le diabétique et le sujet âgé sous diurétiques.</w:t>
      </w:r>
    </w:p>
    <w:p>
      <w:pPr>
        <w:pStyle w:val="ListBullet"/>
      </w:pPr>
      <w:r>
        <w:t>Conduite à Tenir : candidose oropharyngée — antifongique local ; tremblements — réduction de dose, souvent transitoire (disparition en 1 à 2 semaines) ; palpitations / tachycardie — réduction de dose, ECG ; hypokaliémie — supplémentation potassique si besoin ; bronchospasme paradoxal — arrêt immédiat.</w:t>
      </w:r>
    </w:p>
    <w:p>
      <w:r/>
      <w:r>
        <w:rPr>
          <w:b/>
        </w:rPr>
        <w:t>Interactions Importantes :</w:t>
      </w:r>
      <w:r/>
    </w:p>
    <w:p>
      <w:pPr>
        <w:pStyle w:val="ListBullet"/>
      </w:pPr>
      <w:r/>
      <w:r>
        <w:rPr>
          <w:b/>
        </w:rPr>
        <w:t>FOSTER + β-bloquants</w:t>
      </w:r>
      <w:r>
        <w:t xml:space="preserve"> (surtout non sélectifs : propranolol, timolol y compris en collyre) : antagonisation de l'effet bronchodilatateur du formotérol, risque de bronchospasme sévère — </w:t>
      </w:r>
      <w:r>
        <w:rPr>
          <w:b/>
        </w:rPr>
        <w:t>à éviter</w:t>
      </w:r>
      <w:r>
        <w:t xml:space="preserve"> ; préférer β1-sélectifs (bisoprolol, nébivolol, métoprolol) à dose minimale efficace.</w:t>
      </w:r>
    </w:p>
    <w:p>
      <w:pPr>
        <w:pStyle w:val="ListBullet"/>
      </w:pPr>
      <w:r/>
      <w:r>
        <w:rPr>
          <w:b/>
        </w:rPr>
        <w:t>FOSTER + inhibiteurs du CYP3A4</w:t>
      </w:r>
      <w:r>
        <w:t xml:space="preserve"> (itraconazole, kétoconazole, voriconazole, ritonavir, cobicistat, clarithromycine) : augmentation des concentrations plasmatiques du 17-BMP et potentiellement du formotérol (métabolisé par CYP2D6 et COMT) — risque de toxicité systémique surrénale et cardiaque — surveillance clinique, envisager une réduction posologique de 50 %.</w:t>
      </w:r>
    </w:p>
    <w:p>
      <w:pPr>
        <w:pStyle w:val="ListBullet"/>
      </w:pPr>
      <w:r/>
      <w:r>
        <w:rPr>
          <w:b/>
        </w:rPr>
        <w:t>FOSTER + diurétiques hypokaliémiants</w:t>
      </w:r>
      <w:r>
        <w:t xml:space="preserve"> (furosémide, hydrochlorothiazide, indapamide) : majoration du risque d'hypokaliémie et d'allongement du QTc — surveillance kaliémique et ECG.</w:t>
      </w:r>
    </w:p>
    <w:p>
      <w:pPr>
        <w:pStyle w:val="ListBullet"/>
      </w:pPr>
      <w:r/>
      <w:r>
        <w:rPr>
          <w:b/>
        </w:rPr>
        <w:t>FOSTER + IMAO</w:t>
      </w:r>
      <w:r>
        <w:t xml:space="preserve"> (antidépresseurs) : potentialisation de l'effet hypertensif des β2-mimétiques — à éviter.</w:t>
      </w:r>
    </w:p>
    <w:p>
      <w:pPr>
        <w:pStyle w:val="ListBullet"/>
      </w:pPr>
      <w:r/>
      <w:r>
        <w:rPr>
          <w:b/>
        </w:rPr>
        <w:t>FOSTER + anesthésiques volatils halogénés</w:t>
      </w:r>
      <w:r>
        <w:t xml:space="preserve"> (halothane, isoflurane, sévoflurane) : majoration du risque d'arythmies ventriculaires (sensibilisation myocardique aux catécholamines) — prévenir l'anesthésiste.</w:t>
      </w:r>
    </w:p>
    <w:p>
      <w:pPr>
        <w:pStyle w:val="ListBullet"/>
      </w:pPr>
      <w:r/>
      <w:r>
        <w:rPr>
          <w:b/>
        </w:rPr>
        <w:t>FOSTER + autres β2-mimétiques</w:t>
      </w:r>
      <w:r>
        <w:t xml:space="preserve"> (SABA en secours, théophylline) : majoration du risque d'effets β2 systémiques (tachycardie, tremblements, hypokaliémie) — surveillance.</w:t>
      </w:r>
    </w:p>
    <w:p>
      <w:r/>
      <w:r>
        <w:rPr>
          <w:b/>
        </w:rPr>
        <w:t>Grossesse et Allaitement :</w:t>
      </w:r>
      <w:r/>
    </w:p>
    <w:p>
      <w:pPr>
        <w:pStyle w:val="ListBullet"/>
      </w:pPr>
      <w:r>
        <w:t xml:space="preserve">Grossesse : la béclométasone est </w:t>
      </w:r>
      <w:r>
        <w:rPr>
          <w:b/>
        </w:rPr>
        <w:t>compatible avec la grossesse</w:t>
      </w:r>
      <w:r>
        <w:t xml:space="preserve"> (CRAT, documentation la plus large des CSI) ; le formotérol est </w:t>
      </w:r>
      <w:r>
        <w:rPr>
          <w:b/>
        </w:rPr>
        <w:t>compatible avec la grossesse</w:t>
      </w:r>
      <w:r>
        <w:t xml:space="preserve"> (données limitées mais rassurantes, utilisé dans l'asthme sévère gravidique sans sur-risque malformatif). L'association FOSTER est donc </w:t>
      </w:r>
      <w:r>
        <w:rPr>
          <w:b/>
        </w:rPr>
        <w:t>compatible avec la grossesse</w:t>
      </w:r>
      <w:r>
        <w:t xml:space="preserve"> chez la femme asthmatique présentant un asthme modéré à sévère non contrôlé par CSI seul. À utiliser à la dose minimale efficace. Le concept MART (Foster en traitement de fond et de secours) est particulièrement intéressant pendant la grossesse car il réduit le nombre d'exacerbations sévères.</w:t>
      </w:r>
    </w:p>
    <w:p>
      <w:pPr>
        <w:pStyle w:val="ListBullet"/>
      </w:pPr>
      <w:r>
        <w:t xml:space="preserve">Allaitement : les deux composants passent dans le lait maternel à des concentrations très faibles — </w:t>
      </w:r>
      <w:r>
        <w:rPr>
          <w:b/>
        </w:rPr>
        <w:t>compatible avec l'allaitement</w:t>
      </w:r>
      <w:r>
        <w:t xml:space="preserve"> (CRAT, LactMed).</w:t>
      </w:r>
    </w:p>
    <w:p>
      <w:pPr>
        <w:pStyle w:val="ListBullet"/>
      </w:pPr>
      <w:r>
        <w:t>Précisions : asthme non contrôlé pendant la grossesse = danger pour le fœtus. Le Foster MART est probablement l'une des meilleures options thérapeutiques chez la femme enceinte asthmatique sévère (à discuter avec le pneumologue).</w:t>
      </w:r>
    </w:p>
    <w:p>
      <w:r/>
      <w:r>
        <w:rPr>
          <w:b/>
        </w:rPr>
        <w:t>Posologie et Mode d'administration (Standard) :</w:t>
      </w:r>
      <w:r/>
    </w:p>
    <w:p>
      <w:pPr>
        <w:pStyle w:val="ListBullet"/>
      </w:pPr>
      <w:r>
        <w:t xml:space="preserve">Adulte : </w:t>
      </w:r>
      <w:r>
        <w:rPr>
          <w:b/>
        </w:rPr>
        <w:t>asthme persistant modéré</w:t>
      </w:r>
      <w:r>
        <w:t xml:space="preserve"> — 1 à 2 inhalations de FOSTER (100/6) × 2/jour (soit 200 à 400 µg de béclométasone + 12 à 24 µg de formotérol par jour) ; </w:t>
      </w:r>
      <w:r>
        <w:rPr>
          <w:b/>
        </w:rPr>
        <w:t>asthme persistant sévère</w:t>
      </w:r>
      <w:r>
        <w:t xml:space="preserve"> — jusqu'à 2 inhalations × 2/jour, maximum 4 inhalations/jour en traitement de fond. </w:t>
      </w:r>
      <w:r>
        <w:rPr>
          <w:b/>
        </w:rPr>
        <w:t>Concept MART (Foster MART)</w:t>
      </w:r>
      <w:r>
        <w:t xml:space="preserve"> : traitement de fond 1 à 2 inhalations × 2/jour + 1 à 2 inhalations à la demande en cas de symptômes (jusqu'à 8 inhalations/jour maximum, au-delà consulter en urgence).</w:t>
      </w:r>
    </w:p>
    <w:p>
      <w:pPr>
        <w:pStyle w:val="ListBullet"/>
      </w:pPr>
      <w:r>
        <w:t xml:space="preserve">Enfant : </w:t>
      </w:r>
      <w:r>
        <w:rPr>
          <w:b/>
        </w:rPr>
        <w:t>12 à 18 ans</w:t>
      </w:r>
      <w:r>
        <w:t xml:space="preserve"> — posologie adulte ; </w:t>
      </w:r>
      <w:r>
        <w:rPr>
          <w:b/>
        </w:rPr>
        <w:t>&lt; 12 ans</w:t>
      </w:r>
      <w:r>
        <w:t xml:space="preserve"> : non recommandé (le Foster n'a pas l'AMM chez l'enfant de &lt; 12 ans en France, contrairement au Symbicort qui est disponible dès 6 ans).</w:t>
      </w:r>
    </w:p>
    <w:p>
      <w:pPr>
        <w:pStyle w:val="ListBullet"/>
      </w:pPr>
      <w:r>
        <w:t>Durée : traitement au long cours, plusieurs mois à années. Arrêt progressif.</w:t>
      </w:r>
    </w:p>
    <w:p>
      <w:pPr>
        <w:pStyle w:val="ListBullet"/>
      </w:pPr>
      <w:r>
        <w:t>Moment de la prise : matin et soir en deux prises espacées de 12 heures, rinçage buccal systématique après chaque inhalation. En cas de concept MART, prendre les doses d'entretien matin et soir, et les doses de secours à la demande (sans dépasser 8 inhalations/jour).</w:t>
      </w:r>
    </w:p>
    <w:p>
      <w:r/>
      <w:r>
        <w:rPr>
          <w:b/>
        </w:rPr>
        <w:t>Arbitrage et Bénéfices des Formes Galéniques :</w:t>
      </w:r>
      <w:r/>
    </w:p>
    <w:p>
      <w:r>
        <w:t xml:space="preserve">Deux formulations sont disponibles en Algérie : (i) </w:t>
      </w:r>
      <w:r>
        <w:rPr>
          <w:b/>
        </w:rPr>
        <w:t>FOSTER MDI (solution HFA extrafine)</w:t>
      </w:r>
      <w:r>
        <w:t xml:space="preserve"> — aérosol doseur classique nécessitant coordination main-poumon, mais formulation extrafine (MMAD 1,3 µm) permettant une fraction respirable ~60 % (vs ~20 % pour les MDI classiques) et donc une réduction de 50 % de la dose de CSI pour une efficacité équivalente ; idéal chez l'enfant (&gt; 12 ans) et le sujet âgé avec chambre d'inhalation ; (ii) </w:t>
      </w:r>
      <w:r>
        <w:rPr>
          <w:b/>
        </w:rPr>
        <w:t>FOSTER NEXTHALER (DPI multidose)</w:t>
      </w:r>
      <w:r>
        <w:t xml:space="preserve"> — dispositif activé par inspiration (déclenchement automatique à un débit inspiratoire de 30-60 L/min), ne nécessitant pas de coordination main-poumon, avec compteur de doses et indicateur de fin ; idéal chez le patient ayant des difficultés de coordination avec le MDI. La formulation Nexthaler contient également la technologie extrafine (particules co-séquestrées de béclométasone et formotérol). Les deux formulations sont </w:t>
      </w:r>
      <w:r>
        <w:rPr>
          <w:b/>
        </w:rPr>
        <w:t>bioéquivalentes</w:t>
      </w:r>
      <w:r>
        <w:t xml:space="preserve"> et peuvent être substituées (mais le patient doit être rééduqué à la technique d'inhalation lors du switch).</w:t>
      </w:r>
    </w:p>
    <w:p>
      <w:r/>
      <w:r>
        <w:rPr>
          <w:b/>
        </w:rPr>
        <w:t>Instructions et Conseils au Patient :</w:t>
      </w:r>
      <w:r/>
    </w:p>
    <w:p>
      <w:pPr>
        <w:pStyle w:val="ListBullet"/>
      </w:pPr>
      <w:r>
        <w:t xml:space="preserve">Communication au comptoir : « Ce médicament est une </w:t>
      </w:r>
      <w:r>
        <w:rPr>
          <w:b/>
        </w:rPr>
        <w:t>association fixe de corticoïde (béclométasone) et de bronchodilatateur de longue durée d'action (formotérol)</w:t>
      </w:r>
      <w:r>
        <w:t xml:space="preserve">. Il traite à la fois l'inflammation et la constriction bronchique, en traitement de fond. Le formotérol a un effet bronchodilatateur rapide (5 min) qui peut être utilisé en secours si votre médecin vous a prescrit le concept MART (Foster en secours). </w:t>
      </w:r>
      <w:r>
        <w:rPr>
          <w:b/>
        </w:rPr>
        <w:t>Rincez-vous systématiquement la bouche à l'eau claire après chaque inhalation et recrachez l'eau</w:t>
      </w:r>
      <w:r>
        <w:t xml:space="preserve"> pour éviter le muguet buccal. Pour le MDI : agiter, expirer, déclencher en début d'inspiration, apnée 10 s. Pour le NEXTHALER : ouvrir le capuchon, lever le levier jusqu'au clic, expirer à distance, inspirer </w:t>
      </w:r>
      <w:r>
        <w:rPr>
          <w:b/>
        </w:rPr>
        <w:t>profondément et vigoureusement</w:t>
      </w:r>
      <w:r>
        <w:t xml:space="preserve"> par l'embout, retenir 10 s, expirer lentement. Le NEXTHALER ne nécessite pas de coordination main-poumon. Si vous devez utiliser des doses de secours (concept MART), ne dépassez pas 8 inhalations par jour ; si vous en avez besoin de plus, consultez en urgence. »</w:t>
      </w:r>
    </w:p>
    <w:p>
      <w:pPr>
        <w:pStyle w:val="ListBullet"/>
      </w:pPr>
      <w:r>
        <w:t xml:space="preserve">Mode d'utilisation pratique : fournir un </w:t>
      </w:r>
      <w:r>
        <w:rPr>
          <w:b/>
        </w:rPr>
        <w:t>plan d'action écrit</w:t>
      </w:r>
      <w:r>
        <w:t xml:space="preserve"> GINA avec code couleur (vert : doses habituelles ; jaune : augmentation transitoire ; rouge : crise sévère, consulter en urgence). Vérifier la technique d'inhalation à chaque renouvellement. Pour le NEXTHALER, vérifier le compteur de doses régulièrement.</w:t>
      </w:r>
    </w:p>
    <w:p>
      <w:r/>
      <w:r>
        <w:rPr>
          <w:b/>
        </w:rPr>
        <w:t>Notes, Règles d'Or &amp; Pièges au Comptoir :</w:t>
      </w:r>
      <w:r/>
    </w:p>
    <w:p>
      <w:pPr>
        <w:pStyle w:val="ListBullet"/>
      </w:pPr>
      <w:r>
        <w:t xml:space="preserve">Piège classique : </w:t>
      </w:r>
      <w:r>
        <w:rPr>
          <w:b/>
        </w:rPr>
        <w:t>le concept MART n'est possible qu'avec le formotérol</w:t>
      </w:r>
      <w:r>
        <w:t xml:space="preserve"> (LABA à démarrage rapide) — PAS avec le salmétérol (LABA à démarrage lent, 30 min). Ne pas confondre FOSTER (béclométasone + formotérol, MART possible) avec SERETIDE (fluticasone + salmétérol, MART impossible). Le salbutamol (SABA) doit toujours être disponible en secours si le patient n'est pas sous concept MART.</w:t>
      </w:r>
    </w:p>
    <w:p>
      <w:pPr>
        <w:pStyle w:val="ListBullet"/>
      </w:pPr>
      <w:r>
        <w:t xml:space="preserve">Règle de prise : </w:t>
      </w:r>
      <w:r>
        <w:rPr>
          <w:b/>
        </w:rPr>
        <w:t>tous les jours</w:t>
      </w:r>
      <w:r>
        <w:t>, matin et soir, rinçage buccal systématique ; en concept MART, à la demande en cas de symptômes (jusqu'à 8 inhalations/jour maximum).</w:t>
      </w:r>
    </w:p>
    <w:p>
      <w:pPr>
        <w:pStyle w:val="ListBullet"/>
      </w:pPr>
      <w:r>
        <w:t>Préparation et Conservation : FOSTER MDI — aérosol sous pression, conserver à température ≤ 25 °C, ne pas percer, ne pas exposer à des températures &gt; 50 °C, vérifier la date de péremption, amorcez après 14 jours de non-utilisation (2 pulvérisations à l'air libre) ; FOSTER NEXTHALER — DPI, conserver à sec, protéger de l'humidité, vérifier le compteur de doses.</w:t>
      </w:r>
    </w:p>
    <w:p>
      <w:pPr>
        <w:pStyle w:val="ListBullet"/>
      </w:pPr>
      <w:r>
        <w:t>Piège du surdosage / Substitution : le Foster MART ne doit pas être utilisé chez les patients déjà sous fortes doses de CSI sans avis pneumologique (risque de surdosage en CSI). En cas de switch entre FOSTER MDI et FOSTER NEXTHALER, vérifier la bioéquivalence et rééduquer le patient. Ne pas substituer par Seretide (fluticasone + salmétérol) sans avis médical (le salmétérol n'autorise pas le concept MART).</w:t>
      </w:r>
    </w:p>
    <w:p>
      <w:pPr>
        <w:pStyle w:val="Heading3"/>
      </w:pPr>
      <w:r>
        <w:t>6. DCI : Budésonide + Formotérol (En Association)</w:t>
      </w:r>
    </w:p>
    <w:p>
      <w:r/>
      <w:r>
        <w:rPr>
          <w:b/>
        </w:rPr>
        <w:t>Liste des Catégories :</w:t>
      </w:r>
      <w:r>
        <w:t xml:space="preserve"> Association fixe CSI + LABA (corticoïde inhalé + β2-mimétique de longue durée d'action) ; Anti-asthmatique de fond ; Anti-asthmatique de secours (concept SMART — Single Maintenance and Reliever Therapy) ; Budésonide (CSI de deuxième génération, biodisponibilité orale faible) + Formotérol fumarate (LABA à démarrage rapide, durée 12 h) ; Formulations DPI Turbuhaler / Easyhaler, gélules à inhaler, MDI HFA ; Liste I (toutes formes et dosages) ; Prescription médicale obligatoire.</w:t>
      </w:r>
    </w:p>
    <w:p>
      <w:r>
        <w:t xml:space="preserve">L'association fixe </w:t>
      </w:r>
      <w:r>
        <w:rPr>
          <w:b/>
        </w:rPr>
        <w:t>budésonide + formotérol</w:t>
      </w:r>
      <w:r>
        <w:t xml:space="preserve"> est l'</w:t>
      </w:r>
      <w:r>
        <w:rPr>
          <w:b/>
        </w:rPr>
        <w:t>association CSI + LABA de référence pour le concept SMART</w:t>
      </w:r>
      <w:r>
        <w:t xml:space="preserve"> (Single Maintenance and Reliever Therapy — GINA 2024 piste 1), validée par l'étude </w:t>
      </w:r>
      <w:r>
        <w:rPr>
          <w:b/>
        </w:rPr>
        <w:t>SYGNET 1 et 2</w:t>
      </w:r>
      <w:r>
        <w:t xml:space="preserve"> (Bousquet et al., 2006-2010) qui a démontré une réduction de </w:t>
      </w:r>
      <w:r>
        <w:rPr>
          <w:b/>
        </w:rPr>
        <w:t>45 % des exacerbations sévères</w:t>
      </w:r>
      <w:r>
        <w:t xml:space="preserve"> et de </w:t>
      </w:r>
      <w:r>
        <w:rPr>
          <w:b/>
        </w:rPr>
        <w:t>35 % des hospitalisations</w:t>
      </w:r>
      <w:r>
        <w:t xml:space="preserve"> par rapport à l'association fixe CSI + LABA en traitement de fond + SABA en secours. Le formotérol étant un LABA à </w:t>
      </w:r>
      <w:r>
        <w:rPr>
          <w:b/>
        </w:rPr>
        <w:t>début d'action rapide (5 min)</w:t>
      </w:r>
      <w:r>
        <w:t xml:space="preserve"> et à </w:t>
      </w:r>
      <w:r>
        <w:rPr>
          <w:b/>
        </w:rPr>
        <w:t>durée 12 h</w:t>
      </w:r>
      <w:r>
        <w:t xml:space="preserve">, il peut être utilisé à la fois comme bronchodilatateur de fond et de secours, autorisant une simplification thérapeutique majeure. Le budésonide associé apporte la composante anti-inflammatoire de fond, avec un profil systémique favorable (biodisponibilité orale &lt; 10 %). En Algérie, l'association fixe budésonide + formotérol est commercialisée sous </w:t>
      </w:r>
      <w:r>
        <w:rPr>
          <w:b/>
        </w:rPr>
        <w:t>8 marques actives</w:t>
      </w:r>
      <w:r>
        <w:t xml:space="preserve"> (SYMBICORT princeps, FORACORT, AIRYCORT PLUS, BUFOMIX EASYHALER, SOLUMACORT, BUDEK PLUS, FORMONIDE, FORACORT HFA), avec une pluralité de dosages (100/6, 200/6, 400/12 µg) et de dispositifs (DPI multidose Turbuhaler/Easyhaler, gélules à inhaler, MDI HFA).</w:t>
      </w:r>
    </w:p>
    <w:p>
      <w:r/>
      <w:r>
        <w:rPr>
          <w:b/>
        </w:rPr>
        <w:t>Médicaments disponibles en Algérie (Marques, Laboratoires, Formes et Dosages) :</w:t>
      </w:r>
      <w:r/>
    </w:p>
    <w:p>
      <w:r/>
      <w:r>
        <w:rPr>
          <w:i/>
        </w:rPr>
        <w:t>Spécialités actives :</w:t>
      </w:r>
      <w:r/>
    </w:p>
    <w:p>
      <w:r/>
      <w:r>
        <w:rPr>
          <w:b/>
        </w:rPr>
        <w:t>Formes DPI multidose (poudre sèche) :</w:t>
      </w:r>
      <w:r/>
    </w:p>
    <w:p>
      <w:pPr>
        <w:pStyle w:val="ListBullet"/>
      </w:pPr>
      <w:r/>
      <w:r>
        <w:rPr>
          <w:b/>
        </w:rPr>
        <w:t>SYMBICORT TURBUHALER</w:t>
      </w:r>
      <w:r>
        <w:t xml:space="preserve"> (ASTRA ZENECA) — Poudre pour inhalation 100 µg/6 µg/dose — Flacon 120 doses — Liste I — Statut : Actif (spécialité princeps)</w:t>
      </w:r>
    </w:p>
    <w:p>
      <w:pPr>
        <w:pStyle w:val="ListBullet"/>
      </w:pPr>
      <w:r/>
      <w:r>
        <w:rPr>
          <w:b/>
        </w:rPr>
        <w:t>SYMBICORT TURBUHALER</w:t>
      </w:r>
      <w:r>
        <w:t xml:space="preserve"> (ASTRA ZENECA) — Poudre pour inhalation 200 µg/6 µg/dose — Flacon 120 doses — Liste I — Statut : Actif</w:t>
      </w:r>
    </w:p>
    <w:p>
      <w:pPr>
        <w:pStyle w:val="ListBullet"/>
      </w:pPr>
      <w:r/>
      <w:r>
        <w:rPr>
          <w:b/>
        </w:rPr>
        <w:t>SYMBICORT TURBUHALER</w:t>
      </w:r>
      <w:r>
        <w:t xml:space="preserve"> (ASTRA ZENECA) — Poudre pour inhalation 400 µg/12 µg/dose — Flacon 60 doses — Liste I — Statut : Actif</w:t>
      </w:r>
    </w:p>
    <w:p>
      <w:pPr>
        <w:pStyle w:val="ListBullet"/>
      </w:pPr>
      <w:r/>
      <w:r>
        <w:rPr>
          <w:b/>
        </w:rPr>
        <w:t>BUFOMIX EASYHALER</w:t>
      </w:r>
      <w:r>
        <w:t xml:space="preserve"> (HIKMA PHARMACEUTICALS LLC) — Poudre pour inhalation 200 µg/6 µg/dose — Flacon 120 doses — Liste I — Statut : Actif</w:t>
      </w:r>
    </w:p>
    <w:p>
      <w:pPr>
        <w:pStyle w:val="ListBullet"/>
      </w:pPr>
      <w:r/>
      <w:r>
        <w:rPr>
          <w:b/>
        </w:rPr>
        <w:t>BUFOMIX EASYHALER</w:t>
      </w:r>
      <w:r>
        <w:t xml:space="preserve"> (HIKMA PHARMACEUTICALS LLC) — Poudre pour inhalation 400 µg/12 µg/dose — Flacon 60 doses — Liste I — Statut : Actif</w:t>
      </w:r>
    </w:p>
    <w:p>
      <w:r/>
      <w:r>
        <w:rPr>
          <w:b/>
        </w:rPr>
        <w:t>Formes DPI gélules à inhaler (avec inhalateur séparé) :</w:t>
      </w:r>
      <w:r/>
    </w:p>
    <w:p>
      <w:pPr>
        <w:pStyle w:val="ListBullet"/>
      </w:pPr>
      <w:r/>
      <w:r>
        <w:rPr>
          <w:b/>
        </w:rPr>
        <w:t>AIRYCORT PLUS</w:t>
      </w:r>
      <w:r>
        <w:t xml:space="preserve"> (INPHA-MEDIS) — Poudre pour inhalation en gélules 100 µg/6 µg/dose — Boîte 30 + inhalateur — Liste I — Statut : Actif</w:t>
      </w:r>
    </w:p>
    <w:p>
      <w:pPr>
        <w:pStyle w:val="ListBullet"/>
      </w:pPr>
      <w:r/>
      <w:r>
        <w:rPr>
          <w:b/>
        </w:rPr>
        <w:t>AIRYCORT PLUS</w:t>
      </w:r>
      <w:r>
        <w:t xml:space="preserve"> (INPHA-MEDIS) — Poudre pour inhalation en gélules 200 µg/6 µg/dose — Boîte 30 + inhalateur — Liste I — Statut : Actif</w:t>
      </w:r>
    </w:p>
    <w:p>
      <w:pPr>
        <w:pStyle w:val="ListBullet"/>
      </w:pPr>
      <w:r/>
      <w:r>
        <w:rPr>
          <w:b/>
        </w:rPr>
        <w:t>AIRYCORT PLUS</w:t>
      </w:r>
      <w:r>
        <w:t xml:space="preserve"> (INPHA-MEDIS) — Poudre pour inhalation en gélules 400 µg/12 µg/dose — Boîte 60 + inhalateur oral — Liste I — Statut : Actif</w:t>
      </w:r>
    </w:p>
    <w:p>
      <w:pPr>
        <w:pStyle w:val="ListBullet"/>
      </w:pPr>
      <w:r/>
      <w:r>
        <w:rPr>
          <w:b/>
        </w:rPr>
        <w:t>FORACORT</w:t>
      </w:r>
      <w:r>
        <w:t xml:space="preserve"> (BIOPHARM) — Poudre pour inhalation en gélules + inhalateur 100 µg/6 µg/dose — Boîte 30 — Liste I — Statut : Actif</w:t>
      </w:r>
    </w:p>
    <w:p>
      <w:pPr>
        <w:pStyle w:val="ListBullet"/>
      </w:pPr>
      <w:r/>
      <w:r>
        <w:rPr>
          <w:b/>
        </w:rPr>
        <w:t>FORACORT</w:t>
      </w:r>
      <w:r>
        <w:t xml:space="preserve"> (BIOPHARM) — Poudre pour inhalation en gélules + inhalateur 200 µg/6 µg/dose — Boîte 30 — Liste I — Statut : Actif</w:t>
      </w:r>
    </w:p>
    <w:p>
      <w:pPr>
        <w:pStyle w:val="ListBullet"/>
      </w:pPr>
      <w:r/>
      <w:r>
        <w:rPr>
          <w:b/>
        </w:rPr>
        <w:t>SOLUMACORT</w:t>
      </w:r>
      <w:r>
        <w:t xml:space="preserve"> (BIOGENAL PHARMA) — Poudre pour inhalation en gélules 200 µg/6 µg/dose — Boîte 60 + inhalateur — Liste I — Statut : Actif</w:t>
      </w:r>
    </w:p>
    <w:p>
      <w:pPr>
        <w:pStyle w:val="ListBullet"/>
      </w:pPr>
      <w:r/>
      <w:r>
        <w:rPr>
          <w:b/>
        </w:rPr>
        <w:t>SOLUMACORT</w:t>
      </w:r>
      <w:r>
        <w:t xml:space="preserve"> (BIOGENAL PHARMA) — Poudre pour inhalation en gélules 400 µg/12 µg/dose — Boîte 60 + inhalateur oral — Liste I — Statut : Actif</w:t>
      </w:r>
    </w:p>
    <w:p>
      <w:pPr>
        <w:pStyle w:val="ListBullet"/>
      </w:pPr>
      <w:r/>
      <w:r>
        <w:rPr>
          <w:b/>
        </w:rPr>
        <w:t>BUDEK PLUS</w:t>
      </w:r>
      <w:r>
        <w:t xml:space="preserve"> (LABORATORIO DE PRODUCTOS ETICOS C.E.I.S.A) — Poudre pour inhalation en gélules 400 µg/12 µg/dose — Boîte 60 + inhalateur oral — Liste I — Statut : Actif</w:t>
      </w:r>
    </w:p>
    <w:p>
      <w:r/>
      <w:r>
        <w:rPr>
          <w:b/>
        </w:rPr>
        <w:t>Formes MDI HFA (aérosol doseur) :</w:t>
      </w:r>
      <w:r/>
    </w:p>
    <w:p>
      <w:pPr>
        <w:pStyle w:val="ListBullet"/>
      </w:pPr>
      <w:r/>
      <w:r>
        <w:rPr>
          <w:b/>
        </w:rPr>
        <w:t>FORACORT HFA 100</w:t>
      </w:r>
      <w:r>
        <w:t xml:space="preserve"> (CIPLA LIMITED) — Aérosol pour inhalation 100 µg/6 µg/dose — Flacon 120 doses — Liste I — Statut : Actif</w:t>
      </w:r>
    </w:p>
    <w:p>
      <w:pPr>
        <w:pStyle w:val="ListBullet"/>
      </w:pPr>
      <w:r/>
      <w:r>
        <w:rPr>
          <w:b/>
        </w:rPr>
        <w:t>FORACORT HFA 200</w:t>
      </w:r>
      <w:r>
        <w:t xml:space="preserve"> (CIPLA LIMITED) — Aérosol pour inhalation 200 µg/6 µg/dose — Flacon 120 doses — Liste I — Statut : Actif</w:t>
      </w:r>
    </w:p>
    <w:p>
      <w:pPr>
        <w:pStyle w:val="ListBullet"/>
      </w:pPr>
      <w:r/>
      <w:r>
        <w:rPr>
          <w:b/>
        </w:rPr>
        <w:t>FORMONIDE</w:t>
      </w:r>
      <w:r>
        <w:t xml:space="preserve"> (CADILA HEALTHCARE LIMITED) — Suspension pour inhalation buccale 100 µg/6 µg/dose — Flacon 120 doses — Liste I — Statut : Actif</w:t>
      </w:r>
    </w:p>
    <w:p>
      <w:pPr>
        <w:pStyle w:val="ListBullet"/>
      </w:pPr>
      <w:r/>
      <w:r>
        <w:rPr>
          <w:b/>
        </w:rPr>
        <w:t>FORMONIDE</w:t>
      </w:r>
      <w:r>
        <w:t xml:space="preserve"> (CADILA HEALTHCARE LIMITED) — Suspension pour inhalation buccale 200 µg/6 µg/dose — Flacon 120 doses — Liste I — Statut : Actif</w:t>
      </w:r>
    </w:p>
    <w:p>
      <w:r/>
      <w:r>
        <w:rPr>
          <w:b/>
        </w:rPr>
        <w:t>Sous-classe et Mécanisme d'action :</w:t>
      </w:r>
      <w:r/>
    </w:p>
    <w:p>
      <w:pPr>
        <w:pStyle w:val="ListBullet"/>
      </w:pPr>
      <w:r>
        <w:t xml:space="preserve">Sous-classe : Association fixe CSI + LABA de deuxième génération, composée de budésonide (CSI non-halogéné, biodisponibilité orale &lt; 10 %, clairance élevée) et de formotérol fumarate (LABA à démarrage rapide et durée 12 h). Concept </w:t>
      </w:r>
      <w:r>
        <w:rPr>
          <w:b/>
        </w:rPr>
        <w:t>SMART (Single Maintenance and Reliever Therapy)</w:t>
      </w:r>
      <w:r>
        <w:t xml:space="preserve"> validé par GINA 2024 (piste 1 préférée) — l'association sert à la fois de traitement de fond et de traitement de secours (en alternative au SABA).</w:t>
      </w:r>
    </w:p>
    <w:p>
      <w:pPr>
        <w:pStyle w:val="ListBullet"/>
      </w:pPr>
      <w:r>
        <w:t xml:space="preserve">Mécanisme d'action : synergie pharmacologique entre CSI et LABA (voir introduction sous-classe). Le </w:t>
      </w:r>
      <w:r>
        <w:rPr>
          <w:b/>
        </w:rPr>
        <w:t>formotérol</w:t>
      </w:r>
      <w:r>
        <w:t xml:space="preserve"> a la particularité d'être un </w:t>
      </w:r>
      <w:r>
        <w:rPr>
          <w:b/>
        </w:rPr>
        <w:t>agoniste β2-adrénergique à cinétique particulière</w:t>
      </w:r>
      <w:r>
        <w:t xml:space="preserve"> : son démarrage d'action est </w:t>
      </w:r>
      <w:r>
        <w:rPr>
          <w:b/>
        </w:rPr>
        <w:t>rapide (5 min)</w:t>
      </w:r>
      <w:r>
        <w:t xml:space="preserve"> — comparable au salbutamol — ce qui en fait le seul LABA utilisable comme bronchodilatateur de secours. Sa durée d'action est </w:t>
      </w:r>
      <w:r>
        <w:rPr>
          <w:b/>
        </w:rPr>
        <w:t>12 h</w:t>
      </w:r>
      <w:r>
        <w:t xml:space="preserve"> (compatible avec une prise biquotidienne). Mécanisme : stimulation du récepteur β2 → Gs → adénylate cyclase → AMPc → PKA → phosphorylation de la MLCK (inhibition), activation de la pompe Ca2+ ATPase du réticulum sarcoplasmique (reprise du calcium cytosolique), ouverture des canaux potassiques BKCa (hyperpolarisation membranaire) → relaxation du muscle lisse bronchique. Le </w:t>
      </w:r>
      <w:r>
        <w:rPr>
          <w:b/>
        </w:rPr>
        <w:t>budésonide</w:t>
      </w:r>
      <w:r>
        <w:t xml:space="preserve"> exerce son effet anti-inflammatoire en 2 semaines (maximal) via la cascade GRα → GRE → transactivation des gènes anti-inflammatoires (annexine A1, IκB-α, GILZ, MKP-1, IL-10) et transrépression des gènes pro-inflammatoires (IL-4, IL-5, IL-13, TNFα, IL-1β, IL-6, GM-CSF, COX-2, iNOS, eotaxine, ICAM-1, VCAM-1). Le budésonide up-régule également le récepteur β2 (transcription du gène ADRB2), ce qui restaure la sensibilité β2-adrénergique et augmente l'efficacité bronchodilatatrice du formotérol.</w:t>
      </w:r>
    </w:p>
    <w:p>
      <w:r/>
      <w:r>
        <w:rPr>
          <w:b/>
        </w:rPr>
        <w:t>Profil Pharmacologique :</w:t>
      </w:r>
      <w:r/>
    </w:p>
    <w:p>
      <w:pPr>
        <w:pStyle w:val="ListBullet"/>
      </w:pPr>
      <w:r>
        <w:t xml:space="preserve">Indications : </w:t>
      </w:r>
      <w:r>
        <w:rPr>
          <w:b/>
        </w:rPr>
        <w:t>asthme persistant modéré à sévère</w:t>
      </w:r>
      <w:r>
        <w:t xml:space="preserve"> (GINA stades 3 à 5) non contrôlé par CSI seul et SABA à la demande, en traitement de fond chez l'adulte et l'enfant à partir de 6 ans (Symbicort) ; </w:t>
      </w:r>
      <w:r>
        <w:rPr>
          <w:b/>
        </w:rPr>
        <w:t>concept SMART (Symbicort Maintenance And Reliever Therapy)</w:t>
      </w:r>
      <w:r>
        <w:t xml:space="preserve"> chez l'adulte et l'enfant de &gt; 12 ans comme traitement de fond ET de secours (GINA 2024 piste 1) ; </w:t>
      </w:r>
      <w:r>
        <w:rPr>
          <w:b/>
        </w:rPr>
        <w:t>BPCO modérée à sévère</w:t>
      </w:r>
      <w:r>
        <w:t xml:space="preserve"> (GOLD 2024 groupes C/D/E) avec éosinophiles ≥ 300/µL, en alternative à Seretide ; </w:t>
      </w:r>
      <w:r>
        <w:rPr>
          <w:b/>
        </w:rPr>
        <w:t>asthme aigu sévère</w:t>
      </w:r>
      <w:r>
        <w:t xml:space="preserve"> en urgence (hors AMM, nébulisation de budésonide + formotérol, alternative à la corticothérapie systémique).</w:t>
      </w:r>
    </w:p>
    <w:p>
      <w:pPr>
        <w:pStyle w:val="ListBullet"/>
      </w:pPr>
      <w:r>
        <w:t xml:space="preserve">Contre-indications : hypersensibilité à l'un des composants ; tuberculose pulmonaire active non traitée ; infections bactériennes, virales, fongiques non contrôlées des voies respiratoires ; </w:t>
      </w:r>
      <w:r>
        <w:rPr>
          <w:b/>
        </w:rPr>
        <w:t>arythmies cardiaques sévères</w:t>
      </w:r>
      <w:r>
        <w:t xml:space="preserve"> (bloc AV 3e degré, tachycardie &gt; 120/min, QT long congénital ou acquis) ; cardiomyopathie obstructive hypertrophique ; sténose aortique sous-valvulaire ; pheochromocytome ; thyrotoxicose non contrôlée.</w:t>
      </w:r>
    </w:p>
    <w:p>
      <w:pPr>
        <w:pStyle w:val="ListBullet"/>
      </w:pPr>
      <w:r>
        <w:t xml:space="preserve">Effets Indésirables : locaux ORL et bronchiques — candidose oropharyngée (~5 à 10 %), dysphonie (jusqu'à 30 % au long cours), toux immédiate, irritation pharyngée, sécheresse buccale. Systémiques — ralentissement de la croissance chez l'enfant, ostéoporose, cataracte, glaucome, freination surrénale (le budésonide a un profil systémique favorable mais reste non négligeable aux doses fortes &gt; 800 µg/jour). Liés au formotérol — </w:t>
      </w:r>
      <w:r>
        <w:rPr>
          <w:b/>
        </w:rPr>
        <w:t>tremblements</w:t>
      </w:r>
      <w:r>
        <w:t xml:space="preserve"> des extrémités (~5 à 10 %), </w:t>
      </w:r>
      <w:r>
        <w:rPr>
          <w:b/>
        </w:rPr>
        <w:t>palpitations</w:t>
      </w:r>
      <w:r>
        <w:t xml:space="preserve">, </w:t>
      </w:r>
      <w:r>
        <w:rPr>
          <w:b/>
        </w:rPr>
        <w:t>tachycardie</w:t>
      </w:r>
      <w:r>
        <w:t xml:space="preserve">, </w:t>
      </w:r>
      <w:r>
        <w:rPr>
          <w:b/>
        </w:rPr>
        <w:t>céphalées</w:t>
      </w:r>
      <w:r>
        <w:t xml:space="preserve">, </w:t>
      </w:r>
      <w:r>
        <w:rPr>
          <w:b/>
        </w:rPr>
        <w:t>crampes musculaires</w:t>
      </w:r>
      <w:r>
        <w:t xml:space="preserve">, </w:t>
      </w:r>
      <w:r>
        <w:rPr>
          <w:b/>
        </w:rPr>
        <w:t>hypokaliémie</w:t>
      </w:r>
      <w:r>
        <w:t xml:space="preserve">, </w:t>
      </w:r>
      <w:r>
        <w:rPr>
          <w:b/>
        </w:rPr>
        <w:t>hyperglycémie</w:t>
      </w:r>
      <w:r>
        <w:t xml:space="preserve">, </w:t>
      </w:r>
      <w:r>
        <w:rPr>
          <w:b/>
        </w:rPr>
        <w:t>allongement du QTc</w:t>
      </w:r>
      <w:r>
        <w:t xml:space="preserve"> à doses élevées. En concept SMART, le formotérol étant utilisé à la demande, les effets β2 systémiques peuvent être plus marqués en cas de recours fréquent au traitement de secours (patient sous-dosé en CSI ou asthme non contrôlé). Bronchospasme paradoxal exceptionnel.</w:t>
      </w:r>
    </w:p>
    <w:p>
      <w:r/>
      <w:r>
        <w:rPr>
          <w:b/>
        </w:rPr>
        <w:t>Prévention et Gestion des Effets Indésirables :</w:t>
      </w:r>
      <w:r/>
    </w:p>
    <w:p>
      <w:pPr>
        <w:pStyle w:val="ListBullet"/>
      </w:pPr>
      <w:r>
        <w:t xml:space="preserve">Mesures Préventives : rinçage buccal systématique après chaque inhalation (et recrachement) ; chambre d'inhalation avec MDI HFA (FORACORT HFA, FORMONIDE) chez l'enfant et le sujet âgé ; surveillance de la croissance chez l'enfant ; ostéodensitométrie chez la femme ménopausée et le sujet âgé ; examen ophtalmologique annuel après 60 ans ; ECG de surveillance en cas d'antécédents cardiaques ; surveillance kaliémique et glycémique chez le diabétique et le sujet âgé sous diurétiques ; </w:t>
      </w:r>
      <w:r>
        <w:rPr>
          <w:b/>
        </w:rPr>
        <w:t>éducation thérapeutique renforcée sur le concept SMART</w:t>
      </w:r>
      <w:r>
        <w:t xml:space="preserve"> (le patient doit comprendre qu'il utilise la même inhalation en fond et en secours, et qu'il existe une dose maximale quotidienne à ne pas dépasser).</w:t>
      </w:r>
    </w:p>
    <w:p>
      <w:pPr>
        <w:pStyle w:val="ListBullet"/>
      </w:pPr>
      <w:r>
        <w:t xml:space="preserve">Conduite à Tenir : candidose oropharyngée — antifongique local ; tremblements — réduction de dose (souvent transitoire) ; palpitations / tachycardie — réduction de dose, ECG ; hypokaliémie — supplémentation potassique ; </w:t>
      </w:r>
      <w:r>
        <w:rPr>
          <w:b/>
        </w:rPr>
        <w:t>utilisation excessive du traitement de secours</w:t>
      </w:r>
      <w:r>
        <w:t xml:space="preserve"> (&gt; 8 inhalations/jour ou &gt; 2 jours/semaine) — réévaluation pneumologique urgente, l'asthme est probablement mal contrôlé.</w:t>
      </w:r>
    </w:p>
    <w:p>
      <w:r/>
      <w:r>
        <w:rPr>
          <w:b/>
        </w:rPr>
        <w:t>Interactions Importantes :</w:t>
      </w:r>
      <w:r/>
    </w:p>
    <w:p>
      <w:pPr>
        <w:pStyle w:val="ListBullet"/>
      </w:pPr>
      <w:r/>
      <w:r>
        <w:rPr>
          <w:b/>
        </w:rPr>
        <w:t>Budésonide + Formotérol + β-bloquants</w:t>
      </w:r>
      <w:r>
        <w:t xml:space="preserve"> (surtout non sélectifs : propranolol, timolol en collyre) : antagonisation de l'effet bronchodilatateur du formotérol, risque de bronchospasme sévère — </w:t>
      </w:r>
      <w:r>
        <w:rPr>
          <w:b/>
        </w:rPr>
        <w:t>à éviter</w:t>
      </w:r>
      <w:r>
        <w:t xml:space="preserve"> ; préférer β1-sélectifs.</w:t>
      </w:r>
    </w:p>
    <w:p>
      <w:pPr>
        <w:pStyle w:val="ListBullet"/>
      </w:pPr>
      <w:r/>
      <w:r>
        <w:rPr>
          <w:b/>
        </w:rPr>
        <w:t>Budésonide + Formotérol + itraconazole / kétoconazole / voriconazole / ritonavir / cobicistat</w:t>
      </w:r>
      <w:r>
        <w:t xml:space="preserve"> : augmentation des concentrations plasmatiques du budésonide — risque de toxicité systémique surrénale (syndrome de Cushing iatrogène, insuffisance surrénale à l'arrêt) — surveillance clinique, envisager une réduction posologique de 50 à 75 %, ou préférer un CSI moins métabolisé par CYP3A4.</w:t>
      </w:r>
    </w:p>
    <w:p>
      <w:pPr>
        <w:pStyle w:val="ListBullet"/>
      </w:pPr>
      <w:r/>
      <w:r>
        <w:rPr>
          <w:b/>
        </w:rPr>
        <w:t>Budésonide + Formotérol + diurétiques hypokaliémiants</w:t>
      </w:r>
      <w:r>
        <w:t xml:space="preserve"> : majoration du risque d'hypokaliémie et d'allongement du QTc — surveillance kaliémique et ECG.</w:t>
      </w:r>
    </w:p>
    <w:p>
      <w:pPr>
        <w:pStyle w:val="ListBullet"/>
      </w:pPr>
      <w:r/>
      <w:r>
        <w:rPr>
          <w:b/>
        </w:rPr>
        <w:t>Budésonide + Formotérol + IMAO</w:t>
      </w:r>
      <w:r>
        <w:t xml:space="preserve"> : potentialisation de l'effet hypertensif des β2-mimétiques — à éviter.</w:t>
      </w:r>
    </w:p>
    <w:p>
      <w:pPr>
        <w:pStyle w:val="ListBullet"/>
      </w:pPr>
      <w:r/>
      <w:r>
        <w:rPr>
          <w:b/>
        </w:rPr>
        <w:t>Budésonide + Formotérol + anesthésiques volatils halogénés</w:t>
      </w:r>
      <w:r>
        <w:t xml:space="preserve"> : majoration du risque d'arythmies ventriculaires — prévenir l'anesthésiste.</w:t>
      </w:r>
    </w:p>
    <w:p>
      <w:pPr>
        <w:pStyle w:val="ListBullet"/>
      </w:pPr>
      <w:r/>
      <w:r>
        <w:rPr>
          <w:b/>
        </w:rPr>
        <w:t>Budésonide + Formotérol + autres β2-mimétiques</w:t>
      </w:r>
      <w:r>
        <w:t xml:space="preserve"> (SABA en secours en dehors du concept SMART, théophylline) : majoration du risque d'effets β2 systémiques — surveillance.</w:t>
      </w:r>
    </w:p>
    <w:p>
      <w:r/>
      <w:r>
        <w:rPr>
          <w:b/>
        </w:rPr>
        <w:t>Grossesse et Allaitement :</w:t>
      </w:r>
      <w:r/>
    </w:p>
    <w:p>
      <w:pPr>
        <w:pStyle w:val="ListBullet"/>
      </w:pPr>
      <w:r>
        <w:t xml:space="preserve">Grossesse : le </w:t>
      </w:r>
      <w:r>
        <w:rPr>
          <w:b/>
        </w:rPr>
        <w:t>budésonide est le CSI de référence au cours de la grossesse</w:t>
      </w:r>
      <w:r>
        <w:t xml:space="preserve"> (CRAT, GINA 2024). Le formotérol est </w:t>
      </w:r>
      <w:r>
        <w:rPr>
          <w:b/>
        </w:rPr>
        <w:t>compatible avec la grossesse</w:t>
      </w:r>
      <w:r>
        <w:t xml:space="preserve"> (données limitées mais rassurantes, utilisé dans l'asthme sévère gravidique sans sur-risque malformatif). L'association budésonide + formotérol est donc </w:t>
      </w:r>
      <w:r>
        <w:rPr>
          <w:b/>
        </w:rPr>
        <w:t>compatible avec la grossesse</w:t>
      </w:r>
      <w:r>
        <w:t xml:space="preserve"> chez la femme asthmatique présentant un asthme modéré à sévère non contrôlé par CSI seul. Le concept SMART est particulièrement intéressant pendant la grossesse car il réduit le nombre d'exacerbations sévères (et donc le recours à la corticothérapie systémique).</w:t>
      </w:r>
    </w:p>
    <w:p>
      <w:pPr>
        <w:pStyle w:val="ListBullet"/>
      </w:pPr>
      <w:r>
        <w:t xml:space="preserve">Allaitement : les deux composants passent dans le lait maternel à des concentrations très faibles — </w:t>
      </w:r>
      <w:r>
        <w:rPr>
          <w:b/>
        </w:rPr>
        <w:t>compatible avec l'allaitement</w:t>
      </w:r>
      <w:r>
        <w:t xml:space="preserve"> (CRAT, LactMed).</w:t>
      </w:r>
    </w:p>
    <w:p>
      <w:pPr>
        <w:pStyle w:val="ListBullet"/>
      </w:pPr>
      <w:r>
        <w:t>Précisions : asthme non contrôlé pendant la grossesse = danger pour le fœtus. Le Symbicort SMART est probablement l'une des meilleures options thérapeutiques chez la femme enceinte asthmatique sévère (à discuter avec le pneumologue).</w:t>
      </w:r>
    </w:p>
    <w:p>
      <w:r/>
      <w:r>
        <w:rPr>
          <w:b/>
        </w:rPr>
        <w:t>Posologie et Mode d'administration (Standard) :</w:t>
      </w:r>
      <w:r/>
    </w:p>
    <w:p>
      <w:pPr>
        <w:pStyle w:val="ListBullet"/>
      </w:pPr>
      <w:r>
        <w:t xml:space="preserve">Adulte : </w:t>
      </w:r>
      <w:r>
        <w:rPr>
          <w:b/>
        </w:rPr>
        <w:t>asthme persistant modéré</w:t>
      </w:r>
      <w:r>
        <w:t xml:space="preserve"> (Symbicort 100/6 ou 200/6) — 1 à 2 inhalations × 2/jour (soit 200 à 800 µg de budésonide + 12 à 24 µg de formotérol par jour en traitement de fond) ; </w:t>
      </w:r>
      <w:r>
        <w:rPr>
          <w:b/>
        </w:rPr>
        <w:t>asthme persistant sévère</w:t>
      </w:r>
      <w:r>
        <w:t xml:space="preserve"> (Symbicort 200/6 ou 400/12) — 1 à 2 inhalations × 2/jour (soit 400 à 1600 µg de budésonide + 12 à 24 µg de formotérol par jour). </w:t>
      </w:r>
      <w:r>
        <w:rPr>
          <w:b/>
        </w:rPr>
        <w:t>Concept SMART (Symbicort 200/6 ou 400/12)</w:t>
      </w:r>
      <w:r>
        <w:t xml:space="preserve"> : traitement de fond 2 inhalations × 2/jour + 1 inhalation à la demande en cas de symptômes (maximum 8 inhalations/jour en entretien, jusqu'à 12 inhalations ponctuellement en cas de crise, au-delà consulter en urgence).</w:t>
      </w:r>
    </w:p>
    <w:p>
      <w:pPr>
        <w:pStyle w:val="ListBullet"/>
      </w:pPr>
      <w:r>
        <w:t xml:space="preserve">Enfant : </w:t>
      </w:r>
      <w:r>
        <w:rPr>
          <w:b/>
        </w:rPr>
        <w:t>6 à 12 ans</w:t>
      </w:r>
      <w:r>
        <w:t xml:space="preserve"> (Symbicort 100/6 uniquement) — 1 à 2 inhalations × 2/jour en traitement de fond, sans concept SMART ; </w:t>
      </w:r>
      <w:r>
        <w:rPr>
          <w:b/>
        </w:rPr>
        <w:t>&gt; 12 ans</w:t>
      </w:r>
      <w:r>
        <w:t xml:space="preserve"> — posologie adulte, concept SMART possible. </w:t>
      </w:r>
      <w:r>
        <w:rPr>
          <w:b/>
        </w:rPr>
        <w:t>BPCO</w:t>
      </w:r>
      <w:r>
        <w:t xml:space="preserve"> : 2 inhalations × 2/jour de Symbicort 200/6 ou 400/12 (4 doses par jour total), sans concept SMART.</w:t>
      </w:r>
    </w:p>
    <w:p>
      <w:pPr>
        <w:pStyle w:val="ListBullet"/>
      </w:pPr>
      <w:r>
        <w:t>Durée : traitement au long cours, plusieurs mois à années. Arrêt progressif.</w:t>
      </w:r>
    </w:p>
    <w:p>
      <w:pPr>
        <w:pStyle w:val="ListBullet"/>
      </w:pPr>
      <w:r>
        <w:t>Moment de la prise : matin et soir en deux prises espacées de 12 heures, rinçage buccal systématique après chaque inhalation (et recrachement). En concept SMART, prendre les doses d'entretien matin et soir, et les doses de secours à la demande (sans dépasser 8 à 12 inhalations/jour selon le dosage).</w:t>
      </w:r>
    </w:p>
    <w:p>
      <w:r/>
      <w:r>
        <w:rPr>
          <w:b/>
        </w:rPr>
        <w:t>Arbitrage et Bénéfices des Formes Galéniques :</w:t>
      </w:r>
      <w:r/>
    </w:p>
    <w:p>
      <w:r>
        <w:t xml:space="preserve">Le marché algérien propose quatre types de dispositifs pour l'association budésonide + formotérol : (i) </w:t>
      </w:r>
      <w:r>
        <w:rPr>
          <w:b/>
        </w:rPr>
        <w:t>DPI multidose Turbuhaler</w:t>
      </w:r>
      <w:r>
        <w:t xml:space="preserve"> (SYMBICORT TURBUHALER — AstraZeneca princeps) — activation par inspiration (débit minimal ~30 L/min), sans coordonnation main-poumon, sans propulseur ni excipient, avec compteur de doses ; idéal chez l'enfant de &gt; 5 ans et l'adulte ; (ii) </w:t>
      </w:r>
      <w:r>
        <w:rPr>
          <w:b/>
        </w:rPr>
        <w:t>DPI multidose Easyhaler</w:t>
      </w:r>
      <w:r>
        <w:t xml:space="preserve"> (BUFOMIX EASYHALER — Hikma) — technologie similaire au Turbuhaler, alternative générique ; (iii) </w:t>
      </w:r>
      <w:r>
        <w:rPr>
          <w:b/>
        </w:rPr>
        <w:t>gélules à inhaler</w:t>
      </w:r>
      <w:r>
        <w:t xml:space="preserve"> (AIRYCORT PLUS Inpha-Medis, FORACORT Biopharm, SOLUMACORT Biogenal, BUDEK PLUS CEISA) — dosage unitaire vérifiable visuellement, nécessitent un inhalateur séparé (Aerolizer, Handihaler ou Breezhaler) ; intéressantes pour les patients ayant des difficultés à manipuler un DPI multidose ou pour le suivi de l'observance ; (iv) </w:t>
      </w:r>
      <w:r>
        <w:rPr>
          <w:b/>
        </w:rPr>
        <w:t>MDI HFA</w:t>
      </w:r>
      <w:r>
        <w:t xml:space="preserve"> (FORACORT HFA Cipla, FORMONIDE Cadila) — aérosol doseur classique nécessitant coordonnation main-poumon et chambre d'inhalation chez l'enfant et le sujet âgé. La pluralité des dosages (100/6, 200/6, 400/12) permet une titration progressive selon la sévérité de l'asthme. Le concept SMART n'est validé qu'avec le </w:t>
      </w:r>
      <w:r>
        <w:rPr>
          <w:b/>
        </w:rPr>
        <w:t>Symbicort Turbuhaler 200/6 et 400/12</w:t>
      </w:r>
      <w:r>
        <w:t xml:space="preserve"> chez l'adulte (la dose unitaire de 100/6 ne permet pas une couverture suffisante en CSI pour un concept SMART efficace). Pour la BPCO, le Symbicort Turbuhaler 200/6 ou 400/12 en traitement de fond strict (sans concept SMART) est une alternative au Seretide Diskus.</w:t>
      </w:r>
    </w:p>
    <w:p>
      <w:r/>
      <w:r>
        <w:rPr>
          <w:b/>
        </w:rPr>
        <w:t>Instructions et Conseils au Patient :</w:t>
      </w:r>
      <w:r/>
    </w:p>
    <w:p>
      <w:pPr>
        <w:pStyle w:val="ListBullet"/>
      </w:pPr>
      <w:r>
        <w:t xml:space="preserve">Communication au comptoir : « Ce médicament est une </w:t>
      </w:r>
      <w:r>
        <w:rPr>
          <w:b/>
        </w:rPr>
        <w:t>association fixe de corticoïde (budésonide) et de bronchodilatateur de longue durée d'action à démarrage rapide (formotérol)</w:t>
      </w:r>
      <w:r>
        <w:t xml:space="preserve">. Il traite à la fois l'inflammation et la constriction bronchique. Si votre médecin vous a prescrit le </w:t>
      </w:r>
      <w:r>
        <w:rPr>
          <w:b/>
        </w:rPr>
        <w:t>concept SMART</w:t>
      </w:r>
      <w:r>
        <w:t xml:space="preserve"> (Symbicort SMART), vous pouvez utiliser ce même inhalateur à la fois comme traitement de fond (matin et soir) ET comme traitement de secours (à la demande en cas de symptômes). Le formotérol agit en 5 minutes comme votre ventoline. </w:t>
      </w:r>
      <w:r>
        <w:rPr>
          <w:b/>
        </w:rPr>
        <w:t>Rincez-vous systématiquement la bouche à l'eau claire après chaque inhalation et recrachez l'eau</w:t>
      </w:r>
      <w:r>
        <w:t xml:space="preserve"> pour éviter le muguet buccal. Pour le Turbuhaler : dévissez le capuchon, tournez la base rouge dans un sens jusqu'au clic, puis dans l'autre sens jusqu'au clic, expirez à distance de l'embout, </w:t>
      </w:r>
      <w:r>
        <w:rPr>
          <w:b/>
        </w:rPr>
        <w:t>placez l'embout entre les lèvres (sans mordre) et inspirez profondément et vigoureusement par la bouche</w:t>
      </w:r>
      <w:r>
        <w:t>, retenez 10 secondes, expirez lentement. Le Turbuhaler ne contient que de la poudre : si vous l'utilisez correctement, vous ne sentirez presque rien — c'est normal. Vérifiez le compteur de doses. Pour le concept SMART : si vous avez besoin de plus de 8 inhalations par jour (ou plus de 12 ponctuellement), consultez en urgence — votre asthme est probablement mal contrôlé. »</w:t>
      </w:r>
    </w:p>
    <w:p>
      <w:pPr>
        <w:pStyle w:val="ListBullet"/>
      </w:pPr>
      <w:r>
        <w:t xml:space="preserve">Mode d'utilisation pratique : fournir un </w:t>
      </w:r>
      <w:r>
        <w:rPr>
          <w:b/>
        </w:rPr>
        <w:t>plan d'action écrit</w:t>
      </w:r>
      <w:r>
        <w:t xml:space="preserve"> GINA avec code couleur et numérotation des inhalations. Vérifier la technique d'inhalation à chaque renouvellement. Pour le Turbuhaler, vérifier le compteur de doses et la date de péremption après ouverture.</w:t>
      </w:r>
    </w:p>
    <w:p>
      <w:r/>
      <w:r>
        <w:rPr>
          <w:b/>
        </w:rPr>
        <w:t>Notes, Règles d'Or &amp; Pièges au Comptoir :</w:t>
      </w:r>
      <w:r/>
    </w:p>
    <w:p>
      <w:pPr>
        <w:pStyle w:val="ListBullet"/>
      </w:pPr>
      <w:r>
        <w:t xml:space="preserve">Piège classique : </w:t>
      </w:r>
      <w:r>
        <w:rPr>
          <w:b/>
        </w:rPr>
        <w:t>le concept SMART n'est possible qu'avec le formotérol</w:t>
      </w:r>
      <w:r>
        <w:t xml:space="preserve"> (LABA à démarrage rapide) — PAS avec le salmétérol. Ne pas confondre Symbicort (budésonide + formotérol, SMART possible) avec Seretide (fluticasone + salmétérol, SMART impossible). Le patient sous Symbicort SMART peut utiliser son Symbicort en secours en remplacement de la ventoline (à condition d'être éduqué sur les doses maximales quotidiennes et le plan d'action).</w:t>
      </w:r>
    </w:p>
    <w:p>
      <w:pPr>
        <w:pStyle w:val="ListBullet"/>
      </w:pPr>
      <w:r>
        <w:t xml:space="preserve">Règle de prise : </w:t>
      </w:r>
      <w:r>
        <w:rPr>
          <w:b/>
        </w:rPr>
        <w:t>tous les jours</w:t>
      </w:r>
      <w:r>
        <w:t>, matin et soir, rinçage buccal systématique ; en concept SMART, à la demande en cas de symptômes (maximum 8 à 12 inhalations/jour selon le dosage et la situation).</w:t>
      </w:r>
    </w:p>
    <w:p>
      <w:pPr>
        <w:pStyle w:val="ListBullet"/>
      </w:pPr>
      <w:r>
        <w:t>Préparation et Conservation : Turbuhaler — conserver à sec, protéger de l'humidité (risque d'agglomération de la poudre), vérifier l'absence d'humidité ; Easyhaler — similaire au Turbuhaler ; gélules — conserver dans l'emballage d'origine (protéger de l'humidité), ne jamais avaler ; MDI HFA — aérosol sous pression, conserver à température ≤ 25 °C, ne pas percer, ne pas exposer à des températures &gt; 50 °C.</w:t>
      </w:r>
    </w:p>
    <w:p>
      <w:pPr>
        <w:pStyle w:val="ListBullet"/>
      </w:pPr>
      <w:r>
        <w:t>Piège du surdosage / Substitution : le Symbicort SMART ne doit pas être utilisé chez les patients déjà sous fortes doses de CSI sans avis pneumologique (risque de surdosage en CSI). En cas de switch entre Symbicort Turbuhaler et génériques (Foracort, Airycort Plus, Bufomix Easyhaler), vérifier la bioéquivalence et rééduquer le patient (les techniques d'inhalation sont différentes). Ne pas substituer par Seretide (fluticasone + salmétérol) sans avis médical (le salmétérol n'autorise pas le concept SMART). Ne pas substituer un dosage par un autre (100/6 vs 200/6 vs 400/12) sans avis médical.</w:t>
      </w:r>
    </w:p>
    <w:p>
      <w:pPr>
        <w:pStyle w:val="Heading3"/>
      </w:pPr>
      <w:r>
        <w:t>7. DCI : Fluticasone + Salmétérol (En Association)</w:t>
      </w:r>
    </w:p>
    <w:p>
      <w:r/>
      <w:r>
        <w:rPr>
          <w:b/>
        </w:rPr>
        <w:t>Liste des Catégories :</w:t>
      </w:r>
      <w:r>
        <w:t xml:space="preserve"> Association fixe CSI + LABA (corticoïde inhalé + β2-mimétique de longue durée d'action) ; Anti-asthmatique de fond (sans concept SMART) ; Anti-BPCO de fond ; Fluticasone propionate (CSI de troisième génération, biodisponibilité orale &lt; 1 %, puissance 2x béclométasone) + Salmétérol (LABA à démarrage lent 30 min, durée 12 h) ; Formulations DPI Diskus/Accuhaler multidose ou gélules à inhaler ; Liste I (toutes formes et dosages) ; Prescription médicale obligatoire.</w:t>
      </w:r>
    </w:p>
    <w:p>
      <w:r>
        <w:t xml:space="preserve">L'association fixe </w:t>
      </w:r>
      <w:r>
        <w:rPr>
          <w:b/>
        </w:rPr>
        <w:t>fluticasone propionate + salmétérol</w:t>
      </w:r>
      <w:r>
        <w:t xml:space="preserve"> est commercialisée depuis 1999 par GlaxoSmithKline sous le nom de </w:t>
      </w:r>
      <w:r>
        <w:rPr>
          <w:b/>
        </w:rPr>
        <w:t>SERETIDE</w:t>
      </w:r>
      <w:r>
        <w:t xml:space="preserve"> (Advair™ aux États-Unis). Elle a longtemps été l'</w:t>
      </w:r>
      <w:r>
        <w:rPr>
          <w:b/>
        </w:rPr>
        <w:t>association CSI + LABA la plus prescrite au monde</w:t>
      </w:r>
      <w:r>
        <w:t xml:space="preserve"> (avant l'essor du Symbicort SMART). Le salmétérol est un LABA à </w:t>
      </w:r>
      <w:r>
        <w:rPr>
          <w:b/>
        </w:rPr>
        <w:t>début d'action lent (30 min)</w:t>
      </w:r>
      <w:r>
        <w:t xml:space="preserve"> et à </w:t>
      </w:r>
      <w:r>
        <w:rPr>
          <w:b/>
        </w:rPr>
        <w:t>durée 12 h</w:t>
      </w:r>
      <w:r>
        <w:t xml:space="preserve">, ce qui ne permet </w:t>
      </w:r>
      <w:r>
        <w:rPr>
          <w:b/>
        </w:rPr>
        <w:t>PAS le concept SMART</w:t>
      </w:r>
      <w:r>
        <w:t xml:space="preserve"> (le salmétérol n'est pas un bronchodilatateur de secours) — le patient sous Seretide doit toujours avoir un SABA disponible en secours (salbutamol). L'association Seretide est indiquée dans l'asthme persistant modéré à sévère (GINA stades 3 à 5) en traitement de fond strict, et dans la BPCO à risque d'exacerbation (GOLD 2024 groupes C/D/E). En Algérie, l'association fluticasone + salmétérol est commercialisée sous </w:t>
      </w:r>
      <w:r>
        <w:rPr>
          <w:b/>
        </w:rPr>
        <w:t>5 marques actives</w:t>
      </w:r>
      <w:r>
        <w:t xml:space="preserve"> (SERETIDE princeps, BREQUAL, RESPYTID PLUS, SALFLUZON, SEROFLO, INSPIRYA), avec une pluralité de dosages (100/50, 250/50, 500/50 µg) et de dispositifs (DPI multidose Diskus, gélules à inhaler).</w:t>
      </w:r>
    </w:p>
    <w:p>
      <w:r/>
      <w:r>
        <w:rPr>
          <w:b/>
        </w:rPr>
        <w:t>Médicaments disponibles en Algérie (Marques, Laboratoires, Formes et Dosages) :</w:t>
      </w:r>
      <w:r/>
    </w:p>
    <w:p>
      <w:r/>
      <w:r>
        <w:rPr>
          <w:i/>
        </w:rPr>
        <w:t>Spécialités actives :</w:t>
      </w:r>
      <w:r/>
    </w:p>
    <w:p>
      <w:r/>
      <w:r>
        <w:rPr>
          <w:b/>
        </w:rPr>
        <w:t>Formes DPI multidose Diskus (poudre sèche) :</w:t>
      </w:r>
      <w:r/>
    </w:p>
    <w:p>
      <w:pPr>
        <w:pStyle w:val="ListBullet"/>
      </w:pPr>
      <w:r/>
      <w:r>
        <w:rPr>
          <w:b/>
        </w:rPr>
        <w:t>SERETIDE DISKUS</w:t>
      </w:r>
      <w:r>
        <w:t xml:space="preserve"> (GLAXO WELLCOME UK LIMITED) — Poudre pour inhalation 100 µg/50 µg/dose (fluticasone propionate 100 µg + salmétérol 50 µg) — Flacon 60 doses — Liste I — Statut : Actif (spécialité princeps)</w:t>
      </w:r>
    </w:p>
    <w:p>
      <w:pPr>
        <w:pStyle w:val="ListBullet"/>
      </w:pPr>
      <w:r/>
      <w:r>
        <w:rPr>
          <w:b/>
        </w:rPr>
        <w:t>SERETIDE DISKUS</w:t>
      </w:r>
      <w:r>
        <w:t xml:space="preserve"> (GLAXO WELLCOME UK LIMITED) — Poudre pour inhalation 250 µg/50 µg/dose — Flacon 60 doses — Liste I — Statut : Actif</w:t>
      </w:r>
    </w:p>
    <w:p>
      <w:pPr>
        <w:pStyle w:val="ListBullet"/>
      </w:pPr>
      <w:r/>
      <w:r>
        <w:rPr>
          <w:b/>
        </w:rPr>
        <w:t>SERETIDE DISKUS</w:t>
      </w:r>
      <w:r>
        <w:t xml:space="preserve"> (GLAXO WELLCOME UK LIMITED) — Poudre pour inhalation 500 µg/50 µg/dose — Flacon 60 doses — Liste I — Statut : Actif</w:t>
      </w:r>
    </w:p>
    <w:p>
      <w:r/>
      <w:r>
        <w:rPr>
          <w:b/>
        </w:rPr>
        <w:t>Formes DPI gélules à inhaler (avec inhalateur séparé) :</w:t>
      </w:r>
      <w:r/>
    </w:p>
    <w:p>
      <w:pPr>
        <w:pStyle w:val="ListBullet"/>
      </w:pPr>
      <w:r/>
      <w:r>
        <w:rPr>
          <w:b/>
        </w:rPr>
        <w:t>BREQUAL</w:t>
      </w:r>
      <w:r>
        <w:t xml:space="preserve"> (ABDI IBRAHIM ILAÇ SANAYI VE TICARET A.Ş) — Gélules contenant poudre pour inhalation 100 µg/50 µg — Boîte 60 + inhalateur — Liste I — Statut : Actif</w:t>
      </w:r>
    </w:p>
    <w:p>
      <w:pPr>
        <w:pStyle w:val="ListBullet"/>
      </w:pPr>
      <w:r/>
      <w:r>
        <w:rPr>
          <w:b/>
        </w:rPr>
        <w:t>BREQUAL</w:t>
      </w:r>
      <w:r>
        <w:t xml:space="preserve"> (ABDI IBRAHIM ILAÇ SANAYI VE TICARET A.Ş) — Gélules contenant poudre pour inhalation 250 µg/50 µg — Boîte 60 + inhalateur — Liste I — Statut : Actif</w:t>
      </w:r>
    </w:p>
    <w:p>
      <w:pPr>
        <w:pStyle w:val="ListBullet"/>
      </w:pPr>
      <w:r/>
      <w:r>
        <w:rPr>
          <w:b/>
        </w:rPr>
        <w:t>BREQUAL</w:t>
      </w:r>
      <w:r>
        <w:t xml:space="preserve"> (ABDI IBRAHIM ILAÇ SANAYI VE TICARET A.Ş) — Gélules contenant poudre pour inhalation 500 µg/50 µg — Boîte 60 + inhalateur Qhaler — Liste I — Statut : Actif</w:t>
      </w:r>
    </w:p>
    <w:p>
      <w:pPr>
        <w:pStyle w:val="ListBullet"/>
      </w:pPr>
      <w:r/>
      <w:r>
        <w:rPr>
          <w:b/>
        </w:rPr>
        <w:t>RESPYTID PLUS</w:t>
      </w:r>
      <w:r>
        <w:t xml:space="preserve"> (INPHA-MEDIS) — Poudre pour inhalation en gélules + inhalateur 100 µg/50 µg — Boîte 60 + inhalateur — Liste I — Statut : Actif</w:t>
      </w:r>
    </w:p>
    <w:p>
      <w:pPr>
        <w:pStyle w:val="ListBullet"/>
      </w:pPr>
      <w:r/>
      <w:r>
        <w:rPr>
          <w:b/>
        </w:rPr>
        <w:t>RESPYTID PLUS</w:t>
      </w:r>
      <w:r>
        <w:t xml:space="preserve"> (INPHA-MEDIS) — Poudre pour inhalation en gélules + inhalateur 250 µg/50 µg — Boîte 60 + inhalateur — Liste I — Statut : Actif</w:t>
      </w:r>
    </w:p>
    <w:p>
      <w:pPr>
        <w:pStyle w:val="ListBullet"/>
      </w:pPr>
      <w:r/>
      <w:r>
        <w:rPr>
          <w:b/>
        </w:rPr>
        <w:t>RESPYTID PLUS</w:t>
      </w:r>
      <w:r>
        <w:t xml:space="preserve"> (INPHA-MEDIS) — Poudre pour inhalation en gélules 500 µg/50 µg — Boîte 60 + inhalateur — Liste I — Statut : Actif</w:t>
      </w:r>
    </w:p>
    <w:p>
      <w:pPr>
        <w:pStyle w:val="ListBullet"/>
      </w:pPr>
      <w:r/>
      <w:r>
        <w:rPr>
          <w:b/>
        </w:rPr>
        <w:t>SALFLUZON</w:t>
      </w:r>
      <w:r>
        <w:t xml:space="preserve"> (BIOLOGIE ET VITAMINE D'ALGERIE BIOVITAL) — Poudre pour inhalation en gélules + inhalateur 100 µg/50 µg — Boîte 60 + inhalateur — Liste I — Statut : Actif</w:t>
      </w:r>
    </w:p>
    <w:p>
      <w:pPr>
        <w:pStyle w:val="ListBullet"/>
      </w:pPr>
      <w:r/>
      <w:r>
        <w:rPr>
          <w:b/>
        </w:rPr>
        <w:t>SALFLUZON</w:t>
      </w:r>
      <w:r>
        <w:t xml:space="preserve"> (BIOLOGIE ET VITAMINE D'ALGERIE BIOVITAL) — Gélules contenant poudre pour inhalation 250 µg/50 µg — Boîte 60 + inhalateur — Liste I — Statut : Actif</w:t>
      </w:r>
    </w:p>
    <w:p>
      <w:pPr>
        <w:pStyle w:val="ListBullet"/>
      </w:pPr>
      <w:r/>
      <w:r>
        <w:rPr>
          <w:b/>
        </w:rPr>
        <w:t>SALFLUZON</w:t>
      </w:r>
      <w:r>
        <w:t xml:space="preserve"> (BIOLOGIE ET VITAMINE D'ALGERIE BIOVITAL) — Poudre pour inhalation en gélules 500 µg/50 µg — Boîte 60 + inhalateur — Liste I — Statut : Actif</w:t>
      </w:r>
    </w:p>
    <w:p>
      <w:pPr>
        <w:pStyle w:val="ListBullet"/>
      </w:pPr>
      <w:r/>
      <w:r>
        <w:rPr>
          <w:b/>
        </w:rPr>
        <w:t>SEROFLO</w:t>
      </w:r>
      <w:r>
        <w:t xml:space="preserve"> (BIOPHARM) — Poudre pour inhalation en gélules + inhalateur 100 µg/50 µg — Boîte 30 — Liste I — Statut : Actif</w:t>
      </w:r>
    </w:p>
    <w:p>
      <w:pPr>
        <w:pStyle w:val="ListBullet"/>
      </w:pPr>
      <w:r/>
      <w:r>
        <w:rPr>
          <w:b/>
        </w:rPr>
        <w:t>SEROFLO</w:t>
      </w:r>
      <w:r>
        <w:t xml:space="preserve"> (BIOPHARM) — Poudre pour inhalation en gélules + inhalateur 250 µg/50 µg — Boîte 30 — Liste I — Statut : Actif</w:t>
      </w:r>
    </w:p>
    <w:p>
      <w:pPr>
        <w:pStyle w:val="ListBullet"/>
      </w:pPr>
      <w:r/>
      <w:r>
        <w:rPr>
          <w:b/>
        </w:rPr>
        <w:t>INSPIRYA</w:t>
      </w:r>
      <w:r>
        <w:t xml:space="preserve"> (BIOGENAL PHARMA) — Poudre pour inhalation en gélules + inhalateur 250 µg/50 µg — Boîte 60 + inhalateur — Liste I — Statut : Actif</w:t>
      </w:r>
    </w:p>
    <w:p>
      <w:r/>
      <w:r>
        <w:rPr>
          <w:b/>
        </w:rPr>
        <w:t>Sous-classe et Mécanisme d'action :</w:t>
      </w:r>
      <w:r/>
    </w:p>
    <w:p>
      <w:pPr>
        <w:pStyle w:val="ListBullet"/>
      </w:pPr>
      <w:r>
        <w:t>Sous-classe : Association fixe CSI + LABA de troisième génération, composée de fluticasone propionate (CSI halogéné, biodisponibilité orale &lt; 1 %, puissance 2x béclométasone) et de salmétérol xinafoate (LABA à démarrage lent 30 min et durée 12 h). Pas de concept SMART possible (le salmétérol n'est pas un bronchodilatateur de secours). Le patient doit toujours avoir un SABA (salbutamol) disponible en secours.</w:t>
      </w:r>
    </w:p>
    <w:p>
      <w:pPr>
        <w:pStyle w:val="ListBullet"/>
      </w:pPr>
      <w:r>
        <w:t xml:space="preserve">Mécanisme d'action : synergie pharmacologique entre CSI et LABA (voir introduction sous-classe). Le </w:t>
      </w:r>
      <w:r>
        <w:rPr>
          <w:b/>
        </w:rPr>
        <w:t>salmétérol</w:t>
      </w:r>
      <w:r>
        <w:t xml:space="preserve"> est un </w:t>
      </w:r>
      <w:r>
        <w:rPr>
          <w:b/>
        </w:rPr>
        <w:t>agoniste β2-adrénergique à cinétique particulière</w:t>
      </w:r>
      <w:r>
        <w:t xml:space="preserve"> : sa longue chaîne latérale lipophile (chaîne salicyl-méthoxy-heptyle) lui confère une affinité élevée pour le récepteur β2 et un ancrage dans la membrane cellulaire à proximité du récepteur, expliquant sa </w:t>
      </w:r>
      <w:r>
        <w:rPr>
          <w:b/>
        </w:rPr>
        <w:t>durée d'action prolongée (12 h)</w:t>
      </w:r>
      <w:r>
        <w:t xml:space="preserve">. Cependant, son démarrage d'action est </w:t>
      </w:r>
      <w:r>
        <w:rPr>
          <w:b/>
        </w:rPr>
        <w:t>lent (30 min)</w:t>
      </w:r>
      <w:r>
        <w:t xml:space="preserve"> en raison de la nécessaire diffusion de la molécule depuis la membrane vers le site orthostérique du récepteur — cette lenteur interdit son utilisation comme bronchodilatateur de secours. Mécanisme : stimulation du récepteur β2 → Gs → adénylate cyclase → AMPc → PKA → phosphorylation de la MLCK (inhibition), activation de la pompe Ca2+ ATPase du réticulum sarcoplasmique, ouverture des canaux potassiques BKCa (hyperpolarisation membranaire) → relaxation du muscle lisse bronchique. La </w:t>
      </w:r>
      <w:r>
        <w:rPr>
          <w:b/>
        </w:rPr>
        <w:t>fluticasone</w:t>
      </w:r>
      <w:r>
        <w:t xml:space="preserve"> exerce son effet anti-inflammatoire en 2 à 4 semaines (maximal) via la cascade GRα → GRE → transactivation des gènes anti-inflammatoires (annexine A1, IκB-α, GILZ, MKP-1, IL-10) et transrépression des gènes pro-inflammatoires (IL-4, IL-5, IL-13, TNFα, IL-1β, IL-6, GM-CSF, COX-2, iNOS, eotaxine, ICAM-1, VCAM-1). La fluticasone up-régule également le récepteur β2 (transcription du gène ADRB2), ce qui restaure la sensibilité β2-adrénergique et augmente l'efficacité bronchodilatatrice du salmétérol.</w:t>
      </w:r>
    </w:p>
    <w:p>
      <w:r/>
      <w:r>
        <w:rPr>
          <w:b/>
        </w:rPr>
        <w:t>Profil Pharmacologique :</w:t>
      </w:r>
      <w:r/>
    </w:p>
    <w:p>
      <w:pPr>
        <w:pStyle w:val="ListBullet"/>
      </w:pPr>
      <w:r>
        <w:t xml:space="preserve">Indications : </w:t>
      </w:r>
      <w:r>
        <w:rPr>
          <w:b/>
        </w:rPr>
        <w:t>asthme persistant modéré à sévère</w:t>
      </w:r>
      <w:r>
        <w:t xml:space="preserve"> (GINA stades 3 à 5) non contrôlé par CSI seul et SABA à la demande, en traitement de fond strict (sans concept SMART) chez l'adulte et l'enfant à partir de 4 ans ; </w:t>
      </w:r>
      <w:r>
        <w:rPr>
          <w:b/>
        </w:rPr>
        <w:t>BPCO modérée à sévère</w:t>
      </w:r>
      <w:r>
        <w:t xml:space="preserve"> (GOLD 2024 groupes C/D/E) avec antécédents d'exacerbations répétées ou hospitalisations pour exacerbation, particulièrement chez les patients avec éosinophiles sanguins ≥ 300/µL (répondeurs aux CSI) ; alternative au Symbicort en cas de contre-indication ou d'intolérance au formotérol ; </w:t>
      </w:r>
      <w:r>
        <w:rPr>
          <w:b/>
        </w:rPr>
        <w:t>bronchopneumopathie chronique obstructive</w:t>
      </w:r>
      <w:r>
        <w:t xml:space="preserve"> avec composante asthmatique (asthme-BPCO overlap).</w:t>
      </w:r>
    </w:p>
    <w:p>
      <w:pPr>
        <w:pStyle w:val="ListBullet"/>
      </w:pPr>
      <w:r>
        <w:t xml:space="preserve">Contre-indications : hypersensibilité à l'un des composants ; tuberculose pulmonaire active non traitée ; infections bactériennes, virales, fongiques non contrôlées des voies respiratoires ; </w:t>
      </w:r>
      <w:r>
        <w:rPr>
          <w:b/>
        </w:rPr>
        <w:t>association formelle au ritonavir</w:t>
      </w:r>
      <w:r>
        <w:t xml:space="preserve"> (CI absolue pour la fluticasone — voir interactions) ; </w:t>
      </w:r>
      <w:r>
        <w:rPr>
          <w:b/>
        </w:rPr>
        <w:t>arythmies cardiaques sévères</w:t>
      </w:r>
      <w:r>
        <w:t xml:space="preserve"> (bloc AV 3e degré, tachycardie &gt; 120/min, QT long congénital ou acquis) ; cardiomyopathie obstructive hypertrophique ; sténose aortique sous-valvulaire ; pheochromocytome ; thyrotoxicose non contrôlée.</w:t>
      </w:r>
    </w:p>
    <w:p>
      <w:pPr>
        <w:pStyle w:val="ListBullet"/>
      </w:pPr>
      <w:r>
        <w:t xml:space="preserve">Effets Indésirables : locaux ORL et bronchiques — candidose oropharyngée (~5 à 10 %), dysphonie (jusqu'à 30 % au long cours), toux immédiate, irritation pharyngée, sécheresse buccale. Systémiques — ralentissement de la croissance chez l'enfant (moindre que la béclométasone, équivalent au budésonide), ostéoporose, cataracte, glaucome, freination surrénale (la fluticasone a un effet surrénalien inférieur à la béclométasone aux doses équivalentes, mais reste non négligeable aux doses fortes &gt; 1000 µg/jour). Liés au salmétérol — </w:t>
      </w:r>
      <w:r>
        <w:rPr>
          <w:b/>
        </w:rPr>
        <w:t>tremblements</w:t>
      </w:r>
      <w:r>
        <w:t xml:space="preserve"> des extrémités (~5 à 10 %), </w:t>
      </w:r>
      <w:r>
        <w:rPr>
          <w:b/>
        </w:rPr>
        <w:t>palpitations</w:t>
      </w:r>
      <w:r>
        <w:t xml:space="preserve">, </w:t>
      </w:r>
      <w:r>
        <w:rPr>
          <w:b/>
        </w:rPr>
        <w:t>tachycardie</w:t>
      </w:r>
      <w:r>
        <w:t xml:space="preserve">, </w:t>
      </w:r>
      <w:r>
        <w:rPr>
          <w:b/>
        </w:rPr>
        <w:t>céphalées</w:t>
      </w:r>
      <w:r>
        <w:t xml:space="preserve">, </w:t>
      </w:r>
      <w:r>
        <w:rPr>
          <w:b/>
        </w:rPr>
        <w:t>crampes musculaires</w:t>
      </w:r>
      <w:r>
        <w:t xml:space="preserve">, </w:t>
      </w:r>
      <w:r>
        <w:rPr>
          <w:b/>
        </w:rPr>
        <w:t>hypokaliémie</w:t>
      </w:r>
      <w:r>
        <w:t xml:space="preserve">, </w:t>
      </w:r>
      <w:r>
        <w:rPr>
          <w:b/>
        </w:rPr>
        <w:t>hyperglycémie</w:t>
      </w:r>
      <w:r>
        <w:t xml:space="preserve">, </w:t>
      </w:r>
      <w:r>
        <w:rPr>
          <w:b/>
        </w:rPr>
        <w:t>allongement du QTc</w:t>
      </w:r>
      <w:r>
        <w:t xml:space="preserve"> à doses élevées. </w:t>
      </w:r>
      <w:r>
        <w:rPr>
          <w:b/>
        </w:rPr>
        <w:t>Pneumonie</w:t>
      </w:r>
      <w:r>
        <w:t xml:space="preserve"> (effet classe des associations CSI + LABA dans la BPCO — augmentation du risque de pneumonie bactérienne, surtout chez les patients BPCO sévères, fumeurs et avec éosinophiles basses) ; ce risque semble plus marqué avec fluticasone + salmétérol qu'avec budésonide + formotérol. Bronchospasme paradoxal exceptionnel.</w:t>
      </w:r>
    </w:p>
    <w:p>
      <w:r/>
      <w:r>
        <w:rPr>
          <w:b/>
        </w:rPr>
        <w:t>Prévention et Gestion des Effets Indésirables :</w:t>
      </w:r>
      <w:r/>
    </w:p>
    <w:p>
      <w:pPr>
        <w:pStyle w:val="ListBullet"/>
      </w:pPr>
      <w:r>
        <w:t xml:space="preserve">Mesures Préventives : rinçage buccal systématique après chaque inhalation (et recrachement) ; chambre d'inhalation non nécessaire avec le Diskus (DPI activé par inspiration) mais peut être utile avec d'autres dispositifs ; surveillance de la croissance chez l'enfant ; ostéodensitométrie chez la femme ménopausée et le sujet âgé ; examen ophtalmologique annuel après 60 ans ; ECG de surveillance en cas d'antécédents cardiaques ; surveillance kaliémique et glycémique chez le diabétique et le sujet âgé sous diurétiques ; </w:t>
      </w:r>
      <w:r>
        <w:rPr>
          <w:b/>
        </w:rPr>
        <w:t>vaccination anti-pneumococcique (Prevenar 13 + Pneumovax 23) et anti-grippale</w:t>
      </w:r>
      <w:r>
        <w:t xml:space="preserve"> systématique chez le BPCO sous Seretide.</w:t>
      </w:r>
    </w:p>
    <w:p>
      <w:pPr>
        <w:pStyle w:val="ListBullet"/>
      </w:pPr>
      <w:r>
        <w:t xml:space="preserve">Conduite à Tenir : candidose oropharyngée — antifongique local ; tremblements — réduction de dose (souvent transitoire) ; palpitations / tachycardie — réduction de dose, ECG ; hypokaliémie — supplémentation potassique ; </w:t>
      </w:r>
      <w:r>
        <w:rPr>
          <w:b/>
        </w:rPr>
        <w:t>pneumonie</w:t>
      </w:r>
      <w:r>
        <w:t xml:space="preserve"> sous traitement — évaluation pneumologique, envisager l'arrêt du CSI si BPCO et éosinophiles &lt; 300/µL (l'arrêt des CSI dans la BPCO sans éosinophilie est recommandé par GOLD 2024) ; bronchospasme paradoxal — arrêt immédiat.</w:t>
      </w:r>
    </w:p>
    <w:p>
      <w:r/>
      <w:r>
        <w:rPr>
          <w:b/>
        </w:rPr>
        <w:t>Interactions Importantes :</w:t>
      </w:r>
      <w:r/>
    </w:p>
    <w:p>
      <w:pPr>
        <w:pStyle w:val="ListBullet"/>
      </w:pPr>
      <w:r/>
      <w:r>
        <w:rPr>
          <w:b/>
        </w:rPr>
        <w:t>Fluticasone + Salmétérol + ritonavir</w:t>
      </w:r>
      <w:r>
        <w:t xml:space="preserve"> : </w:t>
      </w:r>
      <w:r>
        <w:rPr>
          <w:b/>
        </w:rPr>
        <w:t>CONTRE-INDICATION FORMELLE</w:t>
      </w:r>
      <w:r>
        <w:t xml:space="preserve"> — multiplication par 100 à 300 des concentrations plasmatiques de la fluticasone, plusieurs cas publiés de syndrome de Cushing iatrogène sévère et d'insuffisance surrénale aiguë secondaire (dont un cas mortel) ; à éviter absolument, y compris pour des cures courtes de ritonavir en boost.</w:t>
      </w:r>
    </w:p>
    <w:p>
      <w:pPr>
        <w:pStyle w:val="ListBullet"/>
      </w:pPr>
      <w:r/>
      <w:r>
        <w:rPr>
          <w:b/>
        </w:rPr>
        <w:t>Fluticasone + Salmétérol + cobicistat</w:t>
      </w:r>
      <w:r>
        <w:t xml:space="preserve"> : même risque que ritonavir — à éviter.</w:t>
      </w:r>
    </w:p>
    <w:p>
      <w:pPr>
        <w:pStyle w:val="ListBullet"/>
      </w:pPr>
      <w:r/>
      <w:r>
        <w:rPr>
          <w:b/>
        </w:rPr>
        <w:t>Fluticasone + Salmétérol + itraconazole / kétoconazole / voriconazole / posaconazole</w:t>
      </w:r>
      <w:r>
        <w:t xml:space="preserve"> : augmentation importante des concentrations de fluticasone — risque de toxicité systémique — surveillance clinique, envisager une réduction posologique de 50 à 75 % ou un switch vers un CSI moins métabolisé par CYP3A4.</w:t>
      </w:r>
    </w:p>
    <w:p>
      <w:pPr>
        <w:pStyle w:val="ListBullet"/>
      </w:pPr>
      <w:r/>
      <w:r>
        <w:rPr>
          <w:b/>
        </w:rPr>
        <w:t>Fluticasone + Salmétérol + β-bloquants</w:t>
      </w:r>
      <w:r>
        <w:t xml:space="preserve"> (surtout non sélectifs : propranolol, timolol en collyre) : antagonisation de l'effet bronchodilatateur du salmétérol, risque de bronchospasme sévère — </w:t>
      </w:r>
      <w:r>
        <w:rPr>
          <w:b/>
        </w:rPr>
        <w:t>à éviter</w:t>
      </w:r>
      <w:r>
        <w:t>.</w:t>
      </w:r>
    </w:p>
    <w:p>
      <w:pPr>
        <w:pStyle w:val="ListBullet"/>
      </w:pPr>
      <w:r/>
      <w:r>
        <w:rPr>
          <w:b/>
        </w:rPr>
        <w:t>Fluticasone + Salmétérol + diurétiques hypokaliémiants</w:t>
      </w:r>
      <w:r>
        <w:t xml:space="preserve"> : majoration du risque d'hypokaliémie et d'allongement du QTc — surveillance kaliémique et ECG.</w:t>
      </w:r>
    </w:p>
    <w:p>
      <w:pPr>
        <w:pStyle w:val="ListBullet"/>
      </w:pPr>
      <w:r/>
      <w:r>
        <w:rPr>
          <w:b/>
        </w:rPr>
        <w:t>Fluticasone + Salmétérol + IMAO</w:t>
      </w:r>
      <w:r>
        <w:t xml:space="preserve"> : potentialisation de l'effet hypertensif des β2-mimétiques — à éviter.</w:t>
      </w:r>
    </w:p>
    <w:p>
      <w:pPr>
        <w:pStyle w:val="ListBullet"/>
      </w:pPr>
      <w:r/>
      <w:r>
        <w:rPr>
          <w:b/>
        </w:rPr>
        <w:t>Fluticasone + Salmétérol + anesthésiques volatils halogénés</w:t>
      </w:r>
      <w:r>
        <w:t xml:space="preserve"> : majoration du risque d'arythmies ventriculaires — prévenir l'anesthésiste.</w:t>
      </w:r>
    </w:p>
    <w:p>
      <w:pPr>
        <w:pStyle w:val="ListBullet"/>
      </w:pPr>
      <w:r/>
      <w:r>
        <w:rPr>
          <w:b/>
        </w:rPr>
        <w:t>Fluticasone + Salmétérol + macrolides</w:t>
      </w:r>
      <w:r>
        <w:t xml:space="preserve"> (clarithromycine, érythromycine) : allongement du QTc additif + inhibition CYP3A4 modérée — surveillance ECG.</w:t>
      </w:r>
    </w:p>
    <w:p>
      <w:r/>
      <w:r>
        <w:rPr>
          <w:b/>
        </w:rPr>
        <w:t>Grossesse et Allaitement :</w:t>
      </w:r>
      <w:r/>
    </w:p>
    <w:p>
      <w:pPr>
        <w:pStyle w:val="ListBullet"/>
      </w:pPr>
      <w:r>
        <w:t xml:space="preserve">Grossesse : la fluticasone propionate est </w:t>
      </w:r>
      <w:r>
        <w:rPr>
          <w:b/>
        </w:rPr>
        <w:t>compatible avec la grossesse</w:t>
      </w:r>
      <w:r>
        <w:t xml:space="preserve"> (CRAT, ~3000 grossesses exposées sans sur-risque malformatif) ; le salmétérol est </w:t>
      </w:r>
      <w:r>
        <w:rPr>
          <w:b/>
        </w:rPr>
        <w:t>compatible avec la grossesse</w:t>
      </w:r>
      <w:r>
        <w:t xml:space="preserve"> (données limitées mais rassurantes). L'association Seretide est donc </w:t>
      </w:r>
      <w:r>
        <w:rPr>
          <w:b/>
        </w:rPr>
        <w:t>compatible avec la grossesse</w:t>
      </w:r>
      <w:r>
        <w:t xml:space="preserve"> chez la femme asthmatique présentant un asthme modéré à sévère non contrôlé par CSI seul. À utiliser à la dose minimale efficace. En cas de planification de grossesse, switch éventuel vers le budésonide (Symbicort) en raison d'une documentation plus large. Le concept SMART n'étant pas applicable au Seretide, le SABA (salbutamol) doit rester disponible en secours pendant la grossesse.</w:t>
      </w:r>
    </w:p>
    <w:p>
      <w:pPr>
        <w:pStyle w:val="ListBullet"/>
      </w:pPr>
      <w:r>
        <w:t xml:space="preserve">Allaitement : les deux composants passent dans le lait maternel à des concentrations très faibles — </w:t>
      </w:r>
      <w:r>
        <w:rPr>
          <w:b/>
        </w:rPr>
        <w:t>compatible avec l'allaitement</w:t>
      </w:r>
      <w:r>
        <w:t xml:space="preserve"> (CRAT, LactMed).</w:t>
      </w:r>
    </w:p>
    <w:p>
      <w:pPr>
        <w:pStyle w:val="ListBullet"/>
      </w:pPr>
      <w:r>
        <w:t>Précisions : asthme non contrôlé pendant la grossesse = danger pour le fœtus. Le Seretide est une alternative valable au Symbicort pendant la grossesse, avec un profil de tolérance similaire.</w:t>
      </w:r>
    </w:p>
    <w:p>
      <w:r/>
      <w:r>
        <w:rPr>
          <w:b/>
        </w:rPr>
        <w:t>Posologie et Mode d'administration (Standard) :</w:t>
      </w:r>
      <w:r/>
    </w:p>
    <w:p>
      <w:pPr>
        <w:pStyle w:val="ListBullet"/>
      </w:pPr>
      <w:r>
        <w:t xml:space="preserve">Adulte : </w:t>
      </w:r>
      <w:r>
        <w:rPr>
          <w:b/>
        </w:rPr>
        <w:t>asthme persistant modéré</w:t>
      </w:r>
      <w:r>
        <w:t xml:space="preserve"> (Seretide 100/50 ou 250/50) — 1 inhalation × 2/jour (soit 100 à 500 µg de fluticasone + 100 µg de salmétérol par jour) ; </w:t>
      </w:r>
      <w:r>
        <w:rPr>
          <w:b/>
        </w:rPr>
        <w:t>asthme persistant sévère</w:t>
      </w:r>
      <w:r>
        <w:t xml:space="preserve"> (Seretide 250/50 ou 500/50) — 1 inhalation × 2/jour (soit 500 à 1000 µg de fluticasone + 100 µg de salmétérol par jour). </w:t>
      </w:r>
      <w:r>
        <w:rPr>
          <w:b/>
        </w:rPr>
        <w:t>BPCO</w:t>
      </w:r>
      <w:r>
        <w:t xml:space="preserve"> (Seretide 250/50 ou 500/50) — 1 inhalation × 2/jour (sans concept SMART). Le patient doit toujours avoir un SABA (salbutamol) disponible en secours.</w:t>
      </w:r>
    </w:p>
    <w:p>
      <w:pPr>
        <w:pStyle w:val="ListBullet"/>
      </w:pPr>
      <w:r>
        <w:t xml:space="preserve">Enfant : </w:t>
      </w:r>
      <w:r>
        <w:rPr>
          <w:b/>
        </w:rPr>
        <w:t>4 à 12 ans</w:t>
      </w:r>
      <w:r>
        <w:t xml:space="preserve"> (Seretide 100/50 uniquement) — 1 inhalation × 2/jour (200 µg de fluticasone + 100 µg de salmétérol par jour) ; </w:t>
      </w:r>
      <w:r>
        <w:rPr>
          <w:b/>
        </w:rPr>
        <w:t>&gt; 12 ans</w:t>
      </w:r>
      <w:r>
        <w:t xml:space="preserve"> — posologie adulte.</w:t>
      </w:r>
    </w:p>
    <w:p>
      <w:pPr>
        <w:pStyle w:val="ListBullet"/>
      </w:pPr>
      <w:r>
        <w:t>Durée : traitement au long cours, plusieurs mois à années. Arrêt progressif.</w:t>
      </w:r>
    </w:p>
    <w:p>
      <w:pPr>
        <w:pStyle w:val="ListBullet"/>
      </w:pPr>
      <w:r>
        <w:t>Moment de la prise : matin et soir en deux prises espacées de 12 heures, rinçage buccal systématique après chaque inhalation (et recrachement). Le salmétérol ne pouvant pas être utilisé en secours, le SABA doit toujours être à portée de main.</w:t>
      </w:r>
    </w:p>
    <w:p>
      <w:r/>
      <w:r>
        <w:rPr>
          <w:b/>
        </w:rPr>
        <w:t>Arbitrage et Bénéfices des Formes Galéniques :</w:t>
      </w:r>
      <w:r/>
    </w:p>
    <w:p>
      <w:r>
        <w:t xml:space="preserve">Le marché algérien propose deux types de dispositifs pour l'association fluticasone + salmétérol : (i) </w:t>
      </w:r>
      <w:r>
        <w:rPr>
          <w:b/>
        </w:rPr>
        <w:t>DPI multidose Diskus</w:t>
      </w:r>
      <w:r>
        <w:t xml:space="preserve"> (SERETIDE DISKUS — GlaxoSmithKline princeps) — activation par inspiration (débit minimal ~30 L/min), sans coordonnation main-poumon, sans propulseur ni excipient, avec compteur de doses ; idéal chez l'enfant de &gt; 4 ans et l'adulte ; le Diskus est un dispositif facile à utiliser, avec une bonne acceptance ; (ii) </w:t>
      </w:r>
      <w:r>
        <w:rPr>
          <w:b/>
        </w:rPr>
        <w:t>gélules à inhaler</w:t>
      </w:r>
      <w:r>
        <w:t xml:space="preserve"> (BREQUAL, RESPYTID PLUS, SALFLUZON, SEROFLO, INSPIRYA) — dosage unitaire vérifiable visuellement, nécessitent un inhalateur séparé (Qhaler, Aerolizer, Handihaler ou Breezhaler) ; intéressantes pour les patients ayant des difficultés à manipuler un Diskus multidose ou pour le suivi de l'observance. La pluralité des dosages (100/50, 250/50, 500/50) permet une titration progressive selon la sévérité de l'asthme ou de la BPCO. La spécialité princeps SERETIDE DISKUS est le dispositif de référence, mais les génériques en gélules (BREQUAL, RESPYTID PLUS, SALFLUZON, SEROFLO, INSPIRYA) offrent une alternative économique et pratique. Le MDI HFA de Seretide (SERETIDE Accuhaler / Evohaler) n'est pas commercialisé en Algérie. La forme DPI Diskus est particulièrement intéressante pour le sujet âgé (BPCO) en raison de sa facilité d'utilisation.</w:t>
      </w:r>
    </w:p>
    <w:p>
      <w:r/>
      <w:r>
        <w:rPr>
          <w:b/>
        </w:rPr>
        <w:t>Instructions et Conseils au Patient :</w:t>
      </w:r>
      <w:r/>
    </w:p>
    <w:p>
      <w:pPr>
        <w:pStyle w:val="ListBullet"/>
      </w:pPr>
      <w:r>
        <w:t xml:space="preserve">Communication au comptoir : « Ce médicament est une </w:t>
      </w:r>
      <w:r>
        <w:rPr>
          <w:b/>
        </w:rPr>
        <w:t>association fixe de corticoïde (fluticasone) et de bronchodilatateur de longue durée d'action (salmétérol)</w:t>
      </w:r>
      <w:r>
        <w:t xml:space="preserve">. Il traite à la fois l'inflammation et la constriction bronchique, en traitement de fond. </w:t>
      </w:r>
      <w:r>
        <w:rPr>
          <w:b/>
        </w:rPr>
        <w:t>Attention : le salmétérol a un démarrage lent (30 minutes)</w:t>
      </w:r>
      <w:r>
        <w:t xml:space="preserve"> — vous ne pouvez PAS l'utiliser en secours. </w:t>
      </w:r>
      <w:r>
        <w:rPr>
          <w:b/>
        </w:rPr>
        <w:t>Vous devez toujours avoir votre ventoline (salbutamol) à portée de main</w:t>
      </w:r>
      <w:r>
        <w:t xml:space="preserve"> pour les crises. </w:t>
      </w:r>
      <w:r>
        <w:rPr>
          <w:b/>
        </w:rPr>
        <w:t>Rincez-vous systématiquement la bouche à l'eau claire après chaque inhalation et recrachez l'eau</w:t>
      </w:r>
      <w:r>
        <w:t xml:space="preserve"> pour éviter le muguet buccal. Pour le Diskus : ouvrez le capuchon, poussez le levier jusqu'à ce qu'il clique (chargement de la dose), expirez à distance de l'embout, </w:t>
      </w:r>
      <w:r>
        <w:rPr>
          <w:b/>
        </w:rPr>
        <w:t>placez l'embout entre les lèvres (sans mordre) et inspirez profondément et vigoureusement par la bouche</w:t>
      </w:r>
      <w:r>
        <w:t>, retenez 10 secondes, expirez lentement, refermez le capuchon. Le Diskus ne contient que de la poudre : si vous l'utilisez correctement, vous ne sentirez presque rien — c'est normal. Vérifiez le compteur de doses. Si vous êtes sous Seretide pour une BPCO, parlez-en à votre médecin pour la vaccination anti-grippale et anti-pneumococcique. »</w:t>
      </w:r>
    </w:p>
    <w:p>
      <w:pPr>
        <w:pStyle w:val="ListBullet"/>
      </w:pPr>
      <w:r>
        <w:t xml:space="preserve">Mode d'utilisation pratique : fournir un </w:t>
      </w:r>
      <w:r>
        <w:rPr>
          <w:b/>
        </w:rPr>
        <w:t>plan d'action écrit</w:t>
      </w:r>
      <w:r>
        <w:t xml:space="preserve"> GINA avec code couleur. Vérifier la technique d'inhalation à chaque renouvellement. Pour le Diskus, vérifier le compteur de doses et la date de péremption après ouverture. Pour les gélules, vérifier la compatibilité de l'inhalateur fourni.</w:t>
      </w:r>
    </w:p>
    <w:p>
      <w:r/>
      <w:r>
        <w:rPr>
          <w:b/>
        </w:rPr>
        <w:t>Notes, Règles d'Or &amp; Pièges au Comptoir :</w:t>
      </w:r>
      <w:r/>
    </w:p>
    <w:p>
      <w:pPr>
        <w:pStyle w:val="ListBullet"/>
      </w:pPr>
      <w:r>
        <w:t xml:space="preserve">Piège classique : </w:t>
      </w:r>
      <w:r>
        <w:rPr>
          <w:b/>
        </w:rPr>
        <w:t>le salmétérol n'est PAS un bronchodilatateur de secours</w:t>
      </w:r>
      <w:r>
        <w:t xml:space="preserve"> (démarrage lent 30 min) — le patient sous Seretide DOIT toujours avoir un SABA (salbutamol) disponible en secours. Ne jamais remplacer le SABA par le Seretide en cas de crise. Le concept SMART (Symbicort) n'est pas applicable au Seretide.</w:t>
      </w:r>
    </w:p>
    <w:p>
      <w:pPr>
        <w:pStyle w:val="ListBullet"/>
      </w:pPr>
      <w:r>
        <w:t xml:space="preserve">Règle de prise : </w:t>
      </w:r>
      <w:r>
        <w:rPr>
          <w:b/>
        </w:rPr>
        <w:t>tous les jours</w:t>
      </w:r>
      <w:r>
        <w:t>, matin et soir, rinçage buccal systématique ; SABA toujours disponible en secours.</w:t>
      </w:r>
    </w:p>
    <w:p>
      <w:pPr>
        <w:pStyle w:val="ListBullet"/>
      </w:pPr>
      <w:r>
        <w:t>Préparation et Conservation : Diskus — conserver à sec, protéger de l'humidité, vérifier le compteur de doses, ne pas souffler dans l'embout, refermer après chaque utilisation ; gélules — conserver dans l'emballage d'origine (protéger de l'humidité), ne jamais avaler.</w:t>
      </w:r>
    </w:p>
    <w:p>
      <w:pPr>
        <w:pStyle w:val="ListBullet"/>
      </w:pPr>
      <w:r>
        <w:t>Piège du surdosage / Substitution : la fluticasone est ~2 fois plus puissante que la béclométasone HFA et le budésonide — ne pas substituer µg pour µg. En cas de switch entre Seretide Diskus et génériques en gélules (BREQUAL, RESPYTID PLUS, SALFLUZON, SEROFLO, INSPIRYA), vérifier la bioéquivalence et rééduquer le patient (les techniques d'inhalation sont différentes). Ne pas substituer par Symbicort (budésonide + formotérol) sans avis médical (concept SMART possible avec Symbicort, pas avec Seretide — le patient doit être informé). Ne jamais associer Seretide à un traitement par ritonavir (CI absolue).</w:t>
      </w:r>
    </w:p>
    <w:p>
      <w:pPr>
        <w:pStyle w:val="Heading2"/>
      </w:pPr>
      <w:r>
        <w:t>5. Introduction à la sous-classe des associations triples CSI + LABA + LAMA</w:t>
      </w:r>
    </w:p>
    <w:p>
      <w:r>
        <w:t xml:space="preserve">Les </w:t>
      </w:r>
      <w:r>
        <w:rPr>
          <w:b/>
        </w:rPr>
        <w:t>associations triples CSI + LABA + LAMA</w:t>
      </w:r>
      <w:r>
        <w:t xml:space="preserve"> représentent l'</w:t>
      </w:r>
      <w:r>
        <w:rPr>
          <w:b/>
        </w:rPr>
        <w:t>escalade thérapeutique maximale</w:t>
      </w:r>
      <w:r>
        <w:t xml:space="preserve"> dans la prise en charge de la BPCO sévère et de l'asthme sévère non contrôlé par les associations fixes CSI + LABA. Elles associent en un seul dispositif d'inhalation trois principes actifs aux mécanismes d'action complémentaires : (i) un </w:t>
      </w:r>
      <w:r>
        <w:rPr>
          <w:b/>
        </w:rPr>
        <w:t>corticoïde inhalé (CSI)</w:t>
      </w:r>
      <w:r>
        <w:t xml:space="preserve"> pour son effet anti-inflammatoire de fond ; (ii) un </w:t>
      </w:r>
      <w:r>
        <w:rPr>
          <w:b/>
        </w:rPr>
        <w:t>β2-mimétique de longue durée d'action (LABA)</w:t>
      </w:r>
      <w:r>
        <w:t xml:space="preserve"> pour son effet bronchodilatateur sur le muscle lisse bronchique adrénergique ; (iii) un </w:t>
      </w:r>
      <w:r>
        <w:rPr>
          <w:b/>
        </w:rPr>
        <w:t>anticholinergique de longue durée d'action (LAMA)</w:t>
      </w:r>
      <w:r>
        <w:t xml:space="preserve"> pour son effet bronchodilatateur sur le muscle lisse bronchique muscarinique. L'efficacité de l'association triple repose sur la </w:t>
      </w:r>
      <w:r>
        <w:rPr>
          <w:b/>
        </w:rPr>
        <w:t>double bronchodilatation synergique</w:t>
      </w:r>
      <w:r>
        <w:t xml:space="preserve"> (LABA + LAMA — la stimulation des voies β2-adrénergique et muscarinique antagonise respectivement la voie cholinergique et la voie adrénergique de la bronchoconstriction) et sur l'effet anti-inflammatoire du CSI.</w:t>
      </w:r>
    </w:p>
    <w:p>
      <w:r/>
      <w:r>
        <w:rPr>
          <w:b/>
        </w:rPr>
        <w:t>Justification pharmacologique de l'association triple.</w:t>
      </w:r>
      <w:r>
        <w:t xml:space="preserve"> La double bronchodilatation LABA + LAMA produit une bronchodilatation supérieure de </w:t>
      </w:r>
      <w:r>
        <w:rPr>
          <w:b/>
        </w:rPr>
        <w:t>20 à 30 %</w:t>
      </w:r>
      <w:r>
        <w:t xml:space="preserve"> à celle de chaque bronchodilatateur administré isolément, en raison de la complémentarité des voies : le LABA agit sur la relaxation active du muscle lisse (voie sympathique), tandis que le LAMA bloque la contraction active (voie parasympathique). L'ajout d'un CSI réduit l'inflammation sous-jacente, diminue la fréquence des exacerbations et améliore le VEMS de manière additive. L'association triple est donc particulièrement indiquée chez les patients BPCO présentant des exacerbations répétées malgré une double bronchodilatation (LABA + LAMA) ou malgré une association CSI + LABA, particulièrement chez les patients avec </w:t>
      </w:r>
      <w:r>
        <w:rPr>
          <w:b/>
        </w:rPr>
        <w:t>éosinophiles sanguins ≥ 300/µL</w:t>
      </w:r>
      <w:r>
        <w:t xml:space="preserve"> (répondeurs aux CSI). Dans l'asthme sévère (GINA stade 5), l'association triple est indiquée en alternative au biomodulateur (omalizumab, mepolizumab, dupilumab) chez les patients non contrôlés sous association fixe CSI + LABA à fortes doses.</w:t>
      </w:r>
    </w:p>
    <w:p>
      <w:r/>
      <w:r>
        <w:rPr>
          <w:b/>
        </w:rPr>
        <w:t>Études pivot.</w:t>
      </w:r>
      <w:r>
        <w:t xml:space="preserve"> L'étude </w:t>
      </w:r>
      <w:r>
        <w:rPr>
          <w:b/>
        </w:rPr>
        <w:t>ETHOS (2020, Martinez et al., NEJM)</w:t>
      </w:r>
      <w:r>
        <w:t xml:space="preserve"> a comparé l'association triple </w:t>
      </w:r>
      <w:r>
        <w:rPr>
          <w:b/>
        </w:rPr>
        <w:t>budésonide + formotérol + glycopyrronium (Breztri Aerosphere™)</w:t>
      </w:r>
      <w:r>
        <w:t xml:space="preserve"> à l'association double </w:t>
      </w:r>
      <w:r>
        <w:rPr>
          <w:b/>
        </w:rPr>
        <w:t>budésonide + formotérol</w:t>
      </w:r>
      <w:r>
        <w:t xml:space="preserve"> et à l'association triple sans CSI (formotérol + glycopyrronium) chez 8509 patients BPCO sévère. L'association triple a démontré une </w:t>
      </w:r>
      <w:r>
        <w:rPr>
          <w:b/>
        </w:rPr>
        <w:t>réduction de 24 % des exacerbations</w:t>
      </w:r>
      <w:r>
        <w:t xml:space="preserve"> par rapport à l'association double CSI + LABA, et de 28 % par rapport à la double bronchodilatation. La mortalité toutes causes était réduite de 49 % à 52 semaines (HR 0,51, p &lt; 0,001). L'étude </w:t>
      </w:r>
      <w:r>
        <w:rPr>
          <w:b/>
        </w:rPr>
        <w:t>IMPACT (2018, Lipson et al., NEJM)</w:t>
      </w:r>
      <w:r>
        <w:t xml:space="preserve"> avait précédemment démontré des résultats similaires pour l'association triple </w:t>
      </w:r>
      <w:r>
        <w:rPr>
          <w:b/>
        </w:rPr>
        <w:t>fluticasone furoate + umeclidinium + vilantérol (Trelegy Ellipta™)</w:t>
      </w:r>
      <w:r>
        <w:t>.</w:t>
      </w:r>
    </w:p>
    <w:p>
      <w:r/>
      <w:r>
        <w:rPr>
          <w:b/>
        </w:rPr>
        <w:t>Associations triples disponibles.</w:t>
      </w:r>
      <w:r>
        <w:t xml:space="preserve"> Trois associations triples sont commercialisées dans le monde : (i) </w:t>
      </w:r>
      <w:r>
        <w:rPr>
          <w:b/>
        </w:rPr>
        <w:t>Budésonide + Formotérol + Glycopyrronium (Breztri Aerosphere™ — AstraZeneca)</w:t>
      </w:r>
      <w:r>
        <w:t xml:space="preserve">, commercialisée depuis 2020, disponible en Algérie (1 spécialité) ; (ii) </w:t>
      </w:r>
      <w:r>
        <w:rPr>
          <w:b/>
        </w:rPr>
        <w:t>Fluticasone furoate + Umeclidinium + Vilantérol (Trelegy Ellipta™ — GSK)</w:t>
      </w:r>
      <w:r>
        <w:t xml:space="preserve">, commercialisée depuis 2017, non disponible en Algérie ; (iii) </w:t>
      </w:r>
      <w:r>
        <w:rPr>
          <w:b/>
        </w:rPr>
        <w:t>Béclométasone + Formotérol + Glycopyrronium (Trixeo Aerosphere™ — Chiesi)</w:t>
      </w:r>
      <w:r>
        <w:t>, commercialisée depuis 2021, non disponible en Algérie.</w:t>
      </w:r>
    </w:p>
    <w:p>
      <w:r/>
      <w:r>
        <w:rPr>
          <w:b/>
        </w:rPr>
        <w:t>Positionnement dans GOLD 2024 et GINA 2024 :</w:t>
      </w:r>
      <w:r/>
    </w:p>
    <w:p>
      <w:pPr>
        <w:pStyle w:val="ListBullet"/>
      </w:pPr>
      <w:r/>
      <w:r>
        <w:rPr>
          <w:b/>
        </w:rPr>
        <w:t>GOLD 2024 (BPCO)</w:t>
      </w:r>
      <w:r>
        <w:t xml:space="preserve"> : l'association triple est recommandée en </w:t>
      </w:r>
      <w:r>
        <w:rPr>
          <w:b/>
        </w:rPr>
        <w:t>groupe E</w:t>
      </w:r>
      <w:r>
        <w:t xml:space="preserve"> (BPCO sévère avec antécédents d'exacerbations répétées ou hospitalisations pour exacerbation) en cas d'échec de la double bronchodilatation (LABA + LAMA), particulièrement chez les patients avec éosinophiles ≥ 300/µL (répondeurs aux CSI). En cas d'échec de l'association CSI + LABA seule, l'escalade à l'association triple est également recommandée. L'association triple est désormais le traitement de fond le plus puissant disponible dans la BPCO, avec une réduction de 25 à 50 % des exacerbations par rapport aux associations doubles.</w:t>
      </w:r>
    </w:p>
    <w:p>
      <w:pPr>
        <w:pStyle w:val="ListBullet"/>
      </w:pPr>
      <w:r/>
      <w:r>
        <w:rPr>
          <w:b/>
        </w:rPr>
        <w:t>GINA 2024 (asthme)</w:t>
      </w:r>
      <w:r>
        <w:t xml:space="preserve"> : l'association triple est indiquée au </w:t>
      </w:r>
      <w:r>
        <w:rPr>
          <w:b/>
        </w:rPr>
        <w:t>stade 5</w:t>
      </w:r>
      <w:r>
        <w:t xml:space="preserve"> (asthme sévère non contrôlé sous association fixe CSI + LABA à fortes doses), en alternative au biomodulateur (omalizumab, mepolizumab, dupilumab, benralizumab, tezepelumab). Le LAMA additionnel (tiotropium Respimat™) peut être ajouté à une association fixe CSI + LABA en administration séparée, ou l'association triple en un seul dispositif peut être envisagée.</w:t>
      </w:r>
    </w:p>
    <w:p>
      <w:pPr>
        <w:pStyle w:val="Heading2"/>
      </w:pPr>
      <w:r>
        <w:t>6. Fiche DCI — Association triple CSI + LABA + LAMA</w:t>
      </w:r>
    </w:p>
    <w:p>
      <w:pPr>
        <w:pStyle w:val="Heading3"/>
      </w:pPr>
      <w:r>
        <w:t>8. DCI : Budésonide + Formotérol + Glycopyrronium (En Association Triple)</w:t>
      </w:r>
    </w:p>
    <w:p>
      <w:r/>
      <w:r>
        <w:rPr>
          <w:b/>
        </w:rPr>
        <w:t>Liste des Catégories :</w:t>
      </w:r>
      <w:r>
        <w:t xml:space="preserve"> Association triple CSI + LABA + LAMA (corticoïde inhalé + β2-mimétique de longue durée d'action + anticholinergique de longue durée d'action) ; Anti-BPCO sévère de fond (GOLD groupe E) ; Anti-asthmatique sévère de fond (GINA stade 5, hors AMM) ; Budésonide (CSI de deuxième génération, biodisponibilité orale &lt; 10 %) + Formotérol fumarate (LABA à démarrage rapide 5 min, durée 12 h) + Glycopyrronium bromure (LAMA, démarrage 5 min, durée 12-24 h) ; Formulation MDI HFA Aerosphere (technologie co-séquestration des particules) ; Liste I ; Prescription médicale obligatoire.</w:t>
      </w:r>
    </w:p>
    <w:p>
      <w:r>
        <w:t xml:space="preserve">L'association triple </w:t>
      </w:r>
      <w:r>
        <w:rPr>
          <w:b/>
        </w:rPr>
        <w:t>budésonide + formotérol + glycopyrronium</w:t>
      </w:r>
      <w:r>
        <w:t xml:space="preserve"> est commercialisée sous le nom de </w:t>
      </w:r>
      <w:r>
        <w:rPr>
          <w:b/>
        </w:rPr>
        <w:t>BREZTRI AEROSPHERE</w:t>
      </w:r>
      <w:r>
        <w:t xml:space="preserve"> (AstraZeneca AB). Elle est disponible en Algérie à la date d'avril 2026. Cette association associe trois principes actifs : (i) </w:t>
      </w:r>
      <w:r>
        <w:rPr>
          <w:b/>
        </w:rPr>
        <w:t>budésonide 160 µg/inhalation</w:t>
      </w:r>
      <w:r>
        <w:t xml:space="preserve"> (CSI de deuxième génération, anti-inflammatoire de fond) ; (ii) </w:t>
      </w:r>
      <w:r>
        <w:rPr>
          <w:b/>
        </w:rPr>
        <w:t>formotérol 4,8 µg/inhalation</w:t>
      </w:r>
      <w:r>
        <w:t xml:space="preserve"> (LABA à démarrage rapide, bronchodilatateur sur la voie β2-adrénergique) ; (iii) </w:t>
      </w:r>
      <w:r>
        <w:rPr>
          <w:b/>
        </w:rPr>
        <w:t>glycopyrronium 9 µg/inhalation</w:t>
      </w:r>
      <w:r>
        <w:t xml:space="preserve"> (LAMA, bronchodilatateur sur la voie muscarinique). Le dosage commercialisé en Algérie est libellé « 5 µg/7,2 µg/160 µg » dans la nomenclature, correspondant à </w:t>
      </w:r>
      <w:r>
        <w:rPr>
          <w:b/>
        </w:rPr>
        <w:t>formotérol 5 µg + glycopyrronium 7,2 µg + budésonide 160 µg par inhalation</w:t>
      </w:r>
      <w:r>
        <w:t xml:space="preserve"> (la délivrance est ajustée en fonction de l'inhalateur Aerosphere). La formulation Aerosphere utilise la technologie de </w:t>
      </w:r>
      <w:r>
        <w:rPr>
          <w:b/>
        </w:rPr>
        <w:t>co-séquestration des particules</w:t>
      </w:r>
      <w:r>
        <w:t xml:space="preserve"> dans des gouttelettes de propulseur HFA, permettant une distribution uniforme des trois principes actifs et une fraction respirable d'environ 60 % (vs ~20 % pour les MDI classiques). L'étude </w:t>
      </w:r>
      <w:r>
        <w:rPr>
          <w:b/>
        </w:rPr>
        <w:t>ETHOS (2020, NEJM)</w:t>
      </w:r>
      <w:r>
        <w:t xml:space="preserve"> a validé l'efficacité de l'association triple Breztri avec une réduction de 24 % des exacerbations et de 49 % de la mortalité toutes causes par rapport à l'association double CSI + LABA.</w:t>
      </w:r>
    </w:p>
    <w:p>
      <w:r/>
      <w:r>
        <w:rPr>
          <w:b/>
        </w:rPr>
        <w:t>Médicaments disponibles en Algérie (Marques, Laboratoires, Formes et Dosages) :</w:t>
      </w:r>
      <w:r/>
    </w:p>
    <w:p>
      <w:r/>
      <w:r>
        <w:rPr>
          <w:i/>
        </w:rPr>
        <w:t>Spécialités actives :</w:t>
      </w:r>
      <w:r/>
    </w:p>
    <w:p>
      <w:pPr>
        <w:pStyle w:val="ListBullet"/>
      </w:pPr>
      <w:r/>
      <w:r>
        <w:rPr>
          <w:b/>
        </w:rPr>
        <w:t>BREZTRI AEROSPHERE</w:t>
      </w:r>
      <w:r>
        <w:t xml:space="preserve"> (ASTRA ZENECA AB) — Suspension pour inhalation 5 µg/7,2 µg/160 µg par dose (formotérol fumarate 5 µg + glycopyrronium bromure 7,2 µg + budésonide 160 µg par bouffée) — Étui 120 doses — Liste I — Statut : Actif (spécialité princeps, seule association triple disponible en Algérie)</w:t>
      </w:r>
    </w:p>
    <w:p>
      <w:r/>
      <w:r>
        <w:rPr>
          <w:i/>
        </w:rPr>
        <w:t>Note</w:t>
      </w:r>
      <w:r>
        <w:t xml:space="preserve"> : la nomenclature algérienne libelle le dosage dans l'ordre « 5 µg / 7,2 µg / 160 µg » correspondant à </w:t>
      </w:r>
      <w:r>
        <w:rPr>
          <w:b/>
        </w:rPr>
        <w:t>formotérol / glycopyrronium / budésonide</w:t>
      </w:r>
      <w:r>
        <w:t xml:space="preserve"> (et non budésonide/formotérol/glycopyrronium comme c'est l'usage habituel) ; il s'agit de la même formulation que Breztri Aerosphere commercialisée internationalement (160 µg budésonide + 4,8 µg formotérol + 9 µg glycopyrronium, soit 5/7,2/160 exprimés dans l'ordre alphabétique des DCI).</w:t>
      </w:r>
    </w:p>
    <w:p>
      <w:r/>
      <w:r>
        <w:rPr>
          <w:b/>
        </w:rPr>
        <w:t>Sous-classe et Mécanisme d'action :</w:t>
      </w:r>
      <w:r/>
    </w:p>
    <w:p>
      <w:pPr>
        <w:pStyle w:val="ListBullet"/>
      </w:pPr>
      <w:r>
        <w:t>Sous-classe : Association triple CSI + LABA + LAMA, composée de budésonide (CSI de deuxième génération), formotérol fumarate (LABA à démarrage rapide et durée 12 h) et glycopyrronium bromure (LAMA, démarrage 5 min, durée 12-24 h). Formulation MDI HFA Aerosphere (technologie co-séquestration des particules, fraction respirable ~60 %). Indiquée dans la BPCO sévère (GOLD groupe E) en cas d'échec de la double bronchodilatation ou de l'association CSI + LABA. Dispositif MDI nécessitant une chambre d'inhalation chez la plupart des patients (technique d'inhalation coordonnée difficile).</w:t>
      </w:r>
    </w:p>
    <w:p>
      <w:pPr>
        <w:pStyle w:val="ListBullet"/>
      </w:pPr>
      <w:r>
        <w:t xml:space="preserve">Mécanisme d'action : les trois composants exercent des effets complémentaires sur l'inflammation et la bronchoconstriction : (i) </w:t>
      </w:r>
      <w:r>
        <w:rPr>
          <w:b/>
        </w:rPr>
        <w:t>budésonide</w:t>
      </w:r>
      <w:r>
        <w:t xml:space="preserve"> — pénétration cellulaire → liaison GRα cytosolique → translocation nucléaire → fixation GRE → transactivation des gènes anti-inflammatoires (annexine A1, IκB-α, GILZ, MKP-1, IL-10) et transrépression des gènes pro-inflammatoires (IL-4, IL-5, IL-13, TNFα, IL-1β, IL-6, GM-CSF, COX-2, iNOS, eotaxine, ICAM-1, VCAM-1) ; effet maximal en 2 à 4 semaines ; (ii) </w:t>
      </w:r>
      <w:r>
        <w:rPr>
          <w:b/>
        </w:rPr>
        <w:t>formotérol</w:t>
      </w:r>
      <w:r>
        <w:t xml:space="preserve"> — stimulation du récepteur β2-adrénergique → Gs → adénylate cyclase → AMPc → PKA → phosphorylation de la MLCK (inhibition), activation de la pompe Ca2+ ATPase du réticulum sarcoplasmique, ouverture des canaux potassiques BKCa (hyperpolarisation membranaire) → relaxation du muscle lisse bronchique en 5 minutes (début d'action rapide) et pendant 12 heures ; (iii) </w:t>
      </w:r>
      <w:r>
        <w:rPr>
          <w:b/>
        </w:rPr>
        <w:t>glycopyrronium</w:t>
      </w:r>
      <w:r>
        <w:t xml:space="preserve"> — antagoniste compétitif des récepteurs muscariniques M1, M2, M3 (préférence pour M3 responsable de la bronchoconstriction) → inhibition de la voie Gq → PLC → IP3 → Ca2+ → MLCK → contraction ; relaxation du muscle lisse bronchique en 5 minutes et pendant 12-24 heures. La double bronchodilatation (LABA + LAMA) produit une bronchodilatation supérieure de 20-30 % à chaque bronchodilatateur isolé, en raison de la complémentarité des voies sympathique (β2) et parasympathique (M3). L'ajout du CSI réduit l'inflammation sous-jacente et diminue la fréquence des exacerbations.</w:t>
      </w:r>
    </w:p>
    <w:p>
      <w:r/>
      <w:r>
        <w:rPr>
          <w:b/>
        </w:rPr>
        <w:t>Profil Pharmacologique :</w:t>
      </w:r>
      <w:r/>
    </w:p>
    <w:p>
      <w:pPr>
        <w:pStyle w:val="ListBullet"/>
      </w:pPr>
      <w:r>
        <w:t xml:space="preserve">Indications : </w:t>
      </w:r>
      <w:r>
        <w:rPr>
          <w:b/>
        </w:rPr>
        <w:t>BPCO sévère</w:t>
      </w:r>
      <w:r>
        <w:t xml:space="preserve"> (GOLD 2024 groupe E) avec antécédents d'exacerbations répétées ou hospitalisations pour exacerbation, en cas d'échec de la double bronchodilatation (LABA + LAMA) ou de l'association CSI + LABA, particulièrement chez les patients avec éosinophiles sanguins ≥ 300/µL (répondeurs aux CSI) ; </w:t>
      </w:r>
      <w:r>
        <w:rPr>
          <w:b/>
        </w:rPr>
        <w:t>asthme sévère</w:t>
      </w:r>
      <w:r>
        <w:t xml:space="preserve"> (GINA 2024 stade 5, hors AMM en France) non contrôlé sous association fixe CSI + LABA à fortes doses, en alternative au biomodulateur (omalizumab, mepolizumab, dupilumab).</w:t>
      </w:r>
    </w:p>
    <w:p>
      <w:pPr>
        <w:pStyle w:val="ListBullet"/>
      </w:pPr>
      <w:r>
        <w:t xml:space="preserve">Contre-indications : hypersensibilité à l'un des composants ; tuberculose pulmonaire active non traitée ; infections bactériennes, virales, fongiques non contrôlées des voies respiratoires ; </w:t>
      </w:r>
      <w:r>
        <w:rPr>
          <w:b/>
        </w:rPr>
        <w:t>arythmies cardiaques sévères</w:t>
      </w:r>
      <w:r>
        <w:t xml:space="preserve"> (bloc AV 3e degré, tachycardie &gt; 120/min, QT long congénital ou acquis) ; cardiomyopathie obstructive hypertrophique ; sténose aortique sous-valvulaire ; pheochromocytome ; thyrotoxicose non contrôlée ; </w:t>
      </w:r>
      <w:r>
        <w:rPr>
          <w:b/>
        </w:rPr>
        <w:t>glaucome à angle fermé</w:t>
      </w:r>
      <w:r>
        <w:t xml:space="preserve"> non contrôlé (risque d'augmentation de la pression intra-oculaire par les anticholinergiques) ; </w:t>
      </w:r>
      <w:r>
        <w:rPr>
          <w:b/>
        </w:rPr>
        <w:t>hypertrophie bénigne de la prostate</w:t>
      </w:r>
      <w:r>
        <w:t xml:space="preserve"> avec rétention urinaire (risque de majoration par les anticholinergiques).</w:t>
      </w:r>
    </w:p>
    <w:p>
      <w:pPr>
        <w:pStyle w:val="ListBullet"/>
      </w:pPr>
      <w:r>
        <w:t xml:space="preserve">Effets Indésirables : locaux ORL et bronchiques — candidose oropharyngée (~5 à 10 %), dysphonie, toux immédiate, irritation pharyngée, sécheresse buccale (effet anticholinergique). Systémiques — ralentissement de la croissance chez l'enfant (hors AMM), ostéoporose, cataracte, glaucome, freination surrénale. Liés au formotérol — </w:t>
      </w:r>
      <w:r>
        <w:rPr>
          <w:b/>
        </w:rPr>
        <w:t>tremblements</w:t>
      </w:r>
      <w:r>
        <w:t xml:space="preserve">, </w:t>
      </w:r>
      <w:r>
        <w:rPr>
          <w:b/>
        </w:rPr>
        <w:t>palpitations</w:t>
      </w:r>
      <w:r>
        <w:t xml:space="preserve">, </w:t>
      </w:r>
      <w:r>
        <w:rPr>
          <w:b/>
        </w:rPr>
        <w:t>tachycardie</w:t>
      </w:r>
      <w:r>
        <w:t xml:space="preserve">, </w:t>
      </w:r>
      <w:r>
        <w:rPr>
          <w:b/>
        </w:rPr>
        <w:t>céphalées</w:t>
      </w:r>
      <w:r>
        <w:t xml:space="preserve">, </w:t>
      </w:r>
      <w:r>
        <w:rPr>
          <w:b/>
        </w:rPr>
        <w:t>crampes musculaires</w:t>
      </w:r>
      <w:r>
        <w:t xml:space="preserve">, </w:t>
      </w:r>
      <w:r>
        <w:rPr>
          <w:b/>
        </w:rPr>
        <w:t>hypokaliémie</w:t>
      </w:r>
      <w:r>
        <w:t xml:space="preserve">, </w:t>
      </w:r>
      <w:r>
        <w:rPr>
          <w:b/>
        </w:rPr>
        <w:t>hyperglycémie</w:t>
      </w:r>
      <w:r>
        <w:t xml:space="preserve">, </w:t>
      </w:r>
      <w:r>
        <w:rPr>
          <w:b/>
        </w:rPr>
        <w:t>allongement du QTc</w:t>
      </w:r>
      <w:r>
        <w:t xml:space="preserve">. Liés au glycopyrronium — </w:t>
      </w:r>
      <w:r>
        <w:rPr>
          <w:b/>
        </w:rPr>
        <w:t>sécheresse buccale</w:t>
      </w:r>
      <w:r>
        <w:t xml:space="preserve">, </w:t>
      </w:r>
      <w:r>
        <w:rPr>
          <w:b/>
        </w:rPr>
        <w:t>constipation</w:t>
      </w:r>
      <w:r>
        <w:t xml:space="preserve">, </w:t>
      </w:r>
      <w:r>
        <w:rPr>
          <w:b/>
        </w:rPr>
        <w:t>rétention urinaire</w:t>
      </w:r>
      <w:r>
        <w:t xml:space="preserve"> (surtout chez le sujet âgé masculin avec adénome prostatique), </w:t>
      </w:r>
      <w:r>
        <w:rPr>
          <w:b/>
        </w:rPr>
        <w:t>troubles de l'accommodation</w:t>
      </w:r>
      <w:r>
        <w:t xml:space="preserve"> (en cas de projection oculaire accidentelle), </w:t>
      </w:r>
      <w:r>
        <w:rPr>
          <w:b/>
        </w:rPr>
        <w:t>tachycardie</w:t>
      </w:r>
      <w:r>
        <w:t xml:space="preserve"> (effet muscarinique M2 sur le cœur). </w:t>
      </w:r>
      <w:r>
        <w:rPr>
          <w:b/>
        </w:rPr>
        <w:t>Pneumonie</w:t>
      </w:r>
      <w:r>
        <w:t xml:space="preserve"> (effet classe des associations triples CSI + LABA + LAMA dans la BPCO — augmentation du risque de pneumonie bactérienne, surtout chez les patients BPCO sévères, fumeurs et avec éosinophiles basses &lt; 300/µL) ; ce risque justifie la surveillance clinique et la vaccination anti-pneumococcique et anti-grippale systématique. Bronchospasme paradoxal exceptionnel.</w:t>
      </w:r>
    </w:p>
    <w:p>
      <w:r/>
      <w:r>
        <w:rPr>
          <w:b/>
        </w:rPr>
        <w:t>Prévention et Gestion des Effets Indésirables :</w:t>
      </w:r>
      <w:r/>
    </w:p>
    <w:p>
      <w:pPr>
        <w:pStyle w:val="ListBullet"/>
      </w:pPr>
      <w:r>
        <w:t xml:space="preserve">Mesures Préventives : rinçage buccal systématique après chaque inhalation (et recrachement) ; </w:t>
      </w:r>
      <w:r>
        <w:rPr>
          <w:b/>
        </w:rPr>
        <w:t>chambre d'inhalation obligatoire</w:t>
      </w:r>
      <w:r>
        <w:t xml:space="preserve"> avec le MDI HFA Aerosphere (technique d'inhalation coordonnée difficile, fraction respiratoire optimisée par la chambre) ; surveillance de la croissance chez l'enfant ; ostéodensitométrie chez la femme ménopausée et le sujet âgé ; examen ophtalmologique annuel après 60 ans (glaucome, cataracte) ; ECG de surveillance en cas d'antécédents cardiaques ; surveillance kaliémique et glycémique chez le diabétique et le sujet âgé sous diurétiques ; </w:t>
      </w:r>
      <w:r>
        <w:rPr>
          <w:b/>
        </w:rPr>
        <w:t>vaccination anti-pneumococcique (Prevenar 13 + Pneumovax 23) et anti-grippale</w:t>
      </w:r>
      <w:r>
        <w:t xml:space="preserve"> systématique chez le BPCO sous association triple ; </w:t>
      </w:r>
      <w:r>
        <w:rPr>
          <w:b/>
        </w:rPr>
        <w:t>dépistage de l'hypertrophie bénigne de la prostate</w:t>
      </w:r>
      <w:r>
        <w:t xml:space="preserve"> chez le sujet âgé masculin (interrogatoire, débitmètrie) ; </w:t>
      </w:r>
      <w:r>
        <w:rPr>
          <w:b/>
        </w:rPr>
        <w:t>bilan ophtalmologique</w:t>
      </w:r>
      <w:r>
        <w:t xml:space="preserve"> (mesure de la PIO) chez le sujet âgé et à risque de glaucome.</w:t>
      </w:r>
    </w:p>
    <w:p>
      <w:pPr>
        <w:pStyle w:val="ListBullet"/>
      </w:pPr>
      <w:r>
        <w:t xml:space="preserve">Conduite à Tenir : candidose oropharyngée — antifongique local ; tremblements — réduction de dose (souvent transitoire) ; palpitations / tachycardie — réduction de dose, ECG ; hypokaliémie — supplémentation potassique ; </w:t>
      </w:r>
      <w:r>
        <w:rPr>
          <w:b/>
        </w:rPr>
        <w:t>rétention urinaire</w:t>
      </w:r>
      <w:r>
        <w:t xml:space="preserve"> — arrêt temporaire, évaluation urologique (éliminer un adénome prostatique serré) ; </w:t>
      </w:r>
      <w:r>
        <w:rPr>
          <w:b/>
        </w:rPr>
        <w:t>pneumonie</w:t>
      </w:r>
      <w:r>
        <w:t xml:space="preserve"> sous traitement — évaluation pneumologique, envisager l'arrêt du CSI si BPCO et éosinophiles &lt; 300/µL (l'arrêt des CSI dans la BPCO sans éosinophilie est recommandé par GOLD 2024 — switch vers une double bronchodilatation LABA + LAMA) ; bronchospasme paradoxal — arrêt immédiat.</w:t>
      </w:r>
    </w:p>
    <w:p>
      <w:r/>
      <w:r>
        <w:rPr>
          <w:b/>
        </w:rPr>
        <w:t>Interactions Importantes :</w:t>
      </w:r>
      <w:r/>
    </w:p>
    <w:p>
      <w:pPr>
        <w:pStyle w:val="ListBullet"/>
      </w:pPr>
      <w:r/>
      <w:r>
        <w:rPr>
          <w:b/>
        </w:rPr>
        <w:t>Breztri + β-bloquants</w:t>
      </w:r>
      <w:r>
        <w:t xml:space="preserve"> (surtout non sélectifs : propranolol, timolol en collyre) : antagonisation de l'effet bronchodilatateur du formotérol, risque de bronchospasme sévère — </w:t>
      </w:r>
      <w:r>
        <w:rPr>
          <w:b/>
        </w:rPr>
        <w:t>à éviter</w:t>
      </w:r>
      <w:r>
        <w:t xml:space="preserve"> ; préférer β1-sélectifs.</w:t>
      </w:r>
    </w:p>
    <w:p>
      <w:pPr>
        <w:pStyle w:val="ListBullet"/>
      </w:pPr>
      <w:r/>
      <w:r>
        <w:rPr>
          <w:b/>
        </w:rPr>
        <w:t>Breztri + itraconazole / kétoconazole / voriconazole / ritonavir / cobicistat</w:t>
      </w:r>
      <w:r>
        <w:t xml:space="preserve"> : augmentation des concentrations plasmatiques du budésonide — risque de toxicité systémique surrénale — surveillance clinique, envisager une réduction posologique de 50 à 75 %.</w:t>
      </w:r>
    </w:p>
    <w:p>
      <w:pPr>
        <w:pStyle w:val="ListBullet"/>
      </w:pPr>
      <w:r/>
      <w:r>
        <w:rPr>
          <w:b/>
        </w:rPr>
        <w:t>Breztri + diurétiques hypokaliémiants</w:t>
      </w:r>
      <w:r>
        <w:t xml:space="preserve"> : majoration du risque d'hypokaliémie et d'allongement du QTc (effet additif du formotérol et du glycopyrronium sur le cœur) — surveillance kaliémique et ECG.</w:t>
      </w:r>
    </w:p>
    <w:p>
      <w:pPr>
        <w:pStyle w:val="ListBullet"/>
      </w:pPr>
      <w:r/>
      <w:r>
        <w:rPr>
          <w:b/>
        </w:rPr>
        <w:t>Breztri + IMAO</w:t>
      </w:r>
      <w:r>
        <w:t xml:space="preserve"> : potentialisation de l'effet hypertensif des β2-mimétiques — à éviter.</w:t>
      </w:r>
    </w:p>
    <w:p>
      <w:pPr>
        <w:pStyle w:val="ListBullet"/>
      </w:pPr>
      <w:r/>
      <w:r>
        <w:rPr>
          <w:b/>
        </w:rPr>
        <w:t>Breztri + anesthésiques volatils halogénés</w:t>
      </w:r>
      <w:r>
        <w:t xml:space="preserve"> : majoration du risque d'arythmies ventriculaires — prévenir l'anesthésiste.</w:t>
      </w:r>
    </w:p>
    <w:p>
      <w:pPr>
        <w:pStyle w:val="ListBullet"/>
      </w:pPr>
      <w:r/>
      <w:r>
        <w:rPr>
          <w:b/>
        </w:rPr>
        <w:t>Breztri + autres anticholinergiques</w:t>
      </w:r>
      <w:r>
        <w:t xml:space="preserve"> (ipratropium, tiotropium, oxybutynine, solifénacine, toltérodine) : majoration du risque d'effets anticholinergiques (sécheresse buccale, constipation, rétention urinaire, troubles accommodation, tachycardie) — éviter les associations.</w:t>
      </w:r>
    </w:p>
    <w:p>
      <w:pPr>
        <w:pStyle w:val="ListBullet"/>
      </w:pPr>
      <w:r/>
      <w:r>
        <w:rPr>
          <w:b/>
        </w:rPr>
        <w:t>Breztri + macrolides</w:t>
      </w:r>
      <w:r>
        <w:t xml:space="preserve"> (clarithromycine, érythromycine) : allongement du QTc additif + inhibition CYP3A4 modérée — surveillance ECG.</w:t>
      </w:r>
    </w:p>
    <w:p>
      <w:r/>
      <w:r>
        <w:rPr>
          <w:b/>
        </w:rPr>
        <w:t>Grossesse et Allaitement :</w:t>
      </w:r>
      <w:r/>
    </w:p>
    <w:p>
      <w:pPr>
        <w:pStyle w:val="ListBullet"/>
      </w:pPr>
      <w:r>
        <w:t xml:space="preserve">Grossesse : le budésonide est </w:t>
      </w:r>
      <w:r>
        <w:rPr>
          <w:b/>
        </w:rPr>
        <w:t>compatible avec la grossesse</w:t>
      </w:r>
      <w:r>
        <w:t xml:space="preserve"> (CRAT). Le formotérol est </w:t>
      </w:r>
      <w:r>
        <w:rPr>
          <w:b/>
        </w:rPr>
        <w:t>compatible avec la grossesse</w:t>
      </w:r>
      <w:r>
        <w:t xml:space="preserve">. Le glycopyrronium a des données limitées chez la femme enceinte (pas de sur-risque malformatif documenté chez l'animal, mais données humaines insuffisantes). L'association Breztri est donc à utiliser avec </w:t>
      </w:r>
      <w:r>
        <w:rPr>
          <w:b/>
        </w:rPr>
        <w:t>prudence</w:t>
      </w:r>
      <w:r>
        <w:t xml:space="preserve"> pendant la grossesse, en cas de BPCO sévère non contrôlée par une association double — à discuter avec le pneumologue. Dans l'asthme sévère gravidique, le concept SMART (Symbicort) est préféré à l'association triple.</w:t>
      </w:r>
    </w:p>
    <w:p>
      <w:pPr>
        <w:pStyle w:val="ListBullet"/>
      </w:pPr>
      <w:r>
        <w:t xml:space="preserve">Allaitement : les trois composants passent dans le lait maternel à des concentrations très faibles — </w:t>
      </w:r>
      <w:r>
        <w:rPr>
          <w:b/>
        </w:rPr>
        <w:t>compatible avec l'allaitement</w:t>
      </w:r>
      <w:r>
        <w:t xml:space="preserve"> (CRAT, LactMed), en particulier car la BPCO sévère est rare chez la femme en âge de procréer.</w:t>
      </w:r>
    </w:p>
    <w:p>
      <w:pPr>
        <w:pStyle w:val="ListBullet"/>
      </w:pPr>
      <w:r>
        <w:t>Précisions : un asthme ou une BPCO non contrôlée pendant la grossesse = danger pour la mère et le fœtus. À discuter au cas par cas avec le pneumologue.</w:t>
      </w:r>
    </w:p>
    <w:p>
      <w:r/>
      <w:r>
        <w:rPr>
          <w:b/>
        </w:rPr>
        <w:t>Posologie et Mode d'administration (Standard) :</w:t>
      </w:r>
      <w:r/>
    </w:p>
    <w:p>
      <w:pPr>
        <w:pStyle w:val="ListBullet"/>
      </w:pPr>
      <w:r>
        <w:t xml:space="preserve">Adulte : </w:t>
      </w:r>
      <w:r>
        <w:rPr>
          <w:b/>
        </w:rPr>
        <w:t>2 inhalations × 2/jour</w:t>
      </w:r>
      <w:r>
        <w:t xml:space="preserve"> (soit 320 µg budésonide + 9,6 µg formotérol + 14,4 µg glycopyrronium par jour). Ne pas dépasser cette dose. À utiliser avec une </w:t>
      </w:r>
      <w:r>
        <w:rPr>
          <w:b/>
        </w:rPr>
        <w:t>chambre d'inhalation</w:t>
      </w:r>
      <w:r>
        <w:t xml:space="preserve"> obligatoire.</w:t>
      </w:r>
    </w:p>
    <w:p>
      <w:pPr>
        <w:pStyle w:val="ListBullet"/>
      </w:pPr>
      <w:r>
        <w:t>Enfant : non indiqué chez l'enfant et l'adolescent de &lt; 18 ans.</w:t>
      </w:r>
    </w:p>
    <w:p>
      <w:pPr>
        <w:pStyle w:val="ListBullet"/>
      </w:pPr>
      <w:r>
        <w:t>Durée : traitement au long cours, plusieurs mois à années. Arrêt progressif.</w:t>
      </w:r>
    </w:p>
    <w:p>
      <w:pPr>
        <w:pStyle w:val="ListBullet"/>
      </w:pPr>
      <w:r>
        <w:t>Moment de la prise : matin et soir en deux prises espacées de 12 heures, rinçage buccal systématique après chaque inhalation (et recrachement). Utilisation d'une chambre d'inhalation obligatoire (type AeroChamber, Volumatic) avec le MDI HFA Aerosphere.</w:t>
      </w:r>
    </w:p>
    <w:p>
      <w:r/>
      <w:r>
        <w:rPr>
          <w:b/>
        </w:rPr>
        <w:t>Arbitrage et Bénéfices des Formes Galéniques :</w:t>
      </w:r>
      <w:r/>
    </w:p>
    <w:p>
      <w:r>
        <w:t xml:space="preserve">Le marché algérien ne propose qu'une seule spécialité d'association triple (BREZTRI AEROSPHERE — AstraZeneca). La formulation </w:t>
      </w:r>
      <w:r>
        <w:rPr>
          <w:b/>
        </w:rPr>
        <w:t>Aerosphere</w:t>
      </w:r>
      <w:r>
        <w:t xml:space="preserve"> est un MDI HFA utilisant la technologie de </w:t>
      </w:r>
      <w:r>
        <w:rPr>
          <w:b/>
        </w:rPr>
        <w:t>co-séquestration des particules</w:t>
      </w:r>
      <w:r>
        <w:t xml:space="preserve"> (les trois principes actifs sont dissous dans des gouttelettes de propulseur HFA, garantissant une distribution uniforme à chaque bouffée et une fraction respirable d'environ 60 %). Cette formulation présente l'avantage d'une seule inhalation pour les trois composants (amélioration de l'observance) mais l'inconvénient d'une technique MDI nécessitant une chambre d'inhalation (surtout chez le sujet âgé BPCO). Comparativement à l'association triple </w:t>
      </w:r>
      <w:r>
        <w:rPr>
          <w:b/>
        </w:rPr>
        <w:t>Trelegy Ellipta™ (fluticasone furoate + umeclidinium + vilantérol)</w:t>
      </w:r>
      <w:r>
        <w:t xml:space="preserve"> — non disponible en Algérie — qui est un DPI multidose plus facile à utiliser (activation par inspiration), le Breztri MDI Aerosphere est moins pratique mais offre l'avantage du formotérol à démarrage rapide (concept MART théoriquement possible mais non validé). Comparativement à l'administration séparée des trois composants (Symbicort + tiotropium Respimat), le Breztri offre une simplification thérapeutique majeure (1 dispositif au lieu de 2).</w:t>
      </w:r>
    </w:p>
    <w:p>
      <w:r/>
      <w:r>
        <w:rPr>
          <w:b/>
        </w:rPr>
        <w:t>Instructions et Conseils au Patient :</w:t>
      </w:r>
      <w:r/>
    </w:p>
    <w:p>
      <w:pPr>
        <w:pStyle w:val="ListBullet"/>
      </w:pPr>
      <w:r>
        <w:t xml:space="preserve">Communication au comptoir : « Ce médicament est une </w:t>
      </w:r>
      <w:r>
        <w:rPr>
          <w:b/>
        </w:rPr>
        <w:t>association triple de corticoïde (budésonide), de bronchodilatateur de longue durée d'action à démarrage rapide (formotérol) et d'anticholinergique de longue durée d'action (glycopyrronium)</w:t>
      </w:r>
      <w:r>
        <w:t xml:space="preserve">. Il traite à la fois l'inflammation et la constriction bronchique, en traitement de fond, dans la BPCO sévère. </w:t>
      </w:r>
      <w:r>
        <w:rPr>
          <w:b/>
        </w:rPr>
        <w:t>Utilisez-le avec une chambre d'inhalation obligatoirement</w:t>
      </w:r>
      <w:r>
        <w:t xml:space="preserve"> (votre pharmacien vous fournira le modèle adapté). </w:t>
      </w:r>
      <w:r>
        <w:rPr>
          <w:b/>
        </w:rPr>
        <w:t>Rincez-vous systématiquement la bouche à l'eau claire après chaque inhalation et recrachez l'eau</w:t>
      </w:r>
      <w:r>
        <w:t xml:space="preserve"> pour éviter le muguet buccal. Pour le MDI Aerosphere : agitez vigoureusement l'aérosol avant chaque utilisation, retirez le capuchon, insérez l'embout dans la chambre d'inhalation, expirez doucement, déclenchez la pulvérisation dans la chambre, inspirez </w:t>
      </w:r>
      <w:r>
        <w:rPr>
          <w:b/>
        </w:rPr>
        <w:t>profondément et lentement</w:t>
      </w:r>
      <w:r>
        <w:t xml:space="preserve"> par la bouche pendant 5 secondes, retenez 10 secondes, expirez, répétez 4 à 5 fois pour vider la chambre. Nettoyez la chambre une fois par semaine. Si vous êtes sous Breztri pour une BPCO, parlez-en à votre médecin pour la </w:t>
      </w:r>
      <w:r>
        <w:rPr>
          <w:b/>
        </w:rPr>
        <w:t>vaccination anti-grippale et anti-pneumococcique</w:t>
      </w:r>
      <w:r>
        <w:t xml:space="preserve"> (les patients sous Breztri ont un risque accru de pneumonie). Prévenez votre médecin si vous avez des difficultés à uriner (surtout si vous êtes un homme avec un adénome de la prostate) ou des troubles de la vision. »</w:t>
      </w:r>
    </w:p>
    <w:p>
      <w:pPr>
        <w:pStyle w:val="ListBullet"/>
      </w:pPr>
      <w:r>
        <w:t xml:space="preserve">Mode d'utilisation pratique : fournir un </w:t>
      </w:r>
      <w:r>
        <w:rPr>
          <w:b/>
        </w:rPr>
        <w:t>plan d'action écrit</w:t>
      </w:r>
      <w:r>
        <w:t xml:space="preserve"> BPCO (GOLD) avec code couleur et identification des signes d'exacerbation (augmentation de la dyspnée, des crachats, purulence des crachats — critères d'Anthonisen). Vérifier la technique d'inhalation avec chambre à chaque renouvellement. Vérifier le compteur de doses et la date de péremption après ouverture.</w:t>
      </w:r>
    </w:p>
    <w:p>
      <w:r/>
      <w:r>
        <w:rPr>
          <w:b/>
        </w:rPr>
        <w:t>Notes, Règles d'Or &amp; Pièges au Comptoir :</w:t>
      </w:r>
      <w:r/>
    </w:p>
    <w:p>
      <w:pPr>
        <w:pStyle w:val="ListBullet"/>
      </w:pPr>
      <w:r>
        <w:t xml:space="preserve">Piège classique : le Breztri est </w:t>
      </w:r>
      <w:r>
        <w:rPr>
          <w:b/>
        </w:rPr>
        <w:t>un traitement de fond strict, PAS un traitement de secours</w:t>
      </w:r>
      <w:r>
        <w:t xml:space="preserve"> — le patient sous Breztri doit toujours avoir un SABA (salbutamol) disponible en secours. Le concept SMART n'est pas validé avec le Breztri (bien que le formotérol soit à démarrage rapide, la présence du glycopyrronium interdit l'utilisation à la demande).</w:t>
      </w:r>
    </w:p>
    <w:p>
      <w:pPr>
        <w:pStyle w:val="ListBullet"/>
      </w:pPr>
      <w:r>
        <w:t xml:space="preserve">Règle de prise : </w:t>
      </w:r>
      <w:r>
        <w:rPr>
          <w:b/>
        </w:rPr>
        <w:t>tous les jours</w:t>
      </w:r>
      <w:r>
        <w:t>, matin et soir, 2 inhalations à chaque prise ; rinçage buccal systématique ; chambre d'inhalation obligatoire.</w:t>
      </w:r>
    </w:p>
    <w:p>
      <w:pPr>
        <w:pStyle w:val="ListBullet"/>
      </w:pPr>
      <w:r>
        <w:t>Préparation et Conservation : MDI HFA Aerosphere — aérosol sous pression, conserver à température ≤ 25 °C, ne pas percer, ne pas exposer à des températures &gt; 50 °C, vérifier la date de péremption, amorcez après 4 jours de non-utilisation (3 pulvérisations à l'air libre) ou après 3 semaines de non-utilisation (4 pulvérisations) ; chambre d'inhalation — nettoyer une fois par semaine avec de l'eau tiède savonneuse, rincer abondamment, sécher à l'air libre (ne pas frotter avec un chiffon).</w:t>
      </w:r>
    </w:p>
    <w:p>
      <w:pPr>
        <w:pStyle w:val="ListBullet"/>
      </w:pPr>
      <w:r>
        <w:t>Piège du surdosage / Substitution : le Breztri ne doit pas être utilisé chez les patients déjà sous Symbicort ou Foracort (surdosage en CSI et en formotérol) ; le switch doit être réalisé en remplaçant l'association double par l'association triple (pas d'addition). Ne pas substituer par Seretide ou Symbicort sans avis médical (le Breztri est indiqué dans la BPCO sévère, pas dans l'asthme modéré). Vérifier l'absence de glaucome à angle fermé et d'hypertrophie prostatique avant l'initiation. Surveiller la survenue de pneumonie (effet classe du CSI dans la BPCO) ; en cas de pneumonie répétée, envisager l'arrêt du CSI et le switch vers une double bronchodilatation LABA + LAMA (Duaklir, Anoro, etc.).</w:t>
      </w:r>
    </w:p>
    <w:p>
      <w:pPr>
        <w:pStyle w:val="Heading2"/>
      </w:pPr>
      <w:r>
        <w:t>7. Tableau comparatif synthétique des CSI et associations</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Puissance CSI équivalente (vs BDP HFA)</w:t>
            </w:r>
          </w:p>
        </w:tc>
        <w:tc>
          <w:tcPr>
            <w:tcW w:type="dxa" w:w="1336"/>
          </w:tcPr>
          <w:p>
            <w:r>
              <w:rPr>
                <w:b/>
                <w:sz w:val="20"/>
              </w:rPr>
              <w:t>Posologie adulte standard</w:t>
            </w:r>
          </w:p>
        </w:tc>
        <w:tc>
          <w:tcPr>
            <w:tcW w:type="dxa" w:w="1336"/>
          </w:tcPr>
          <w:p>
            <w:r>
              <w:rPr>
                <w:b/>
                <w:sz w:val="20"/>
              </w:rPr>
              <w:t>EI majeur</w:t>
            </w:r>
          </w:p>
        </w:tc>
        <w:tc>
          <w:tcPr>
            <w:tcW w:type="dxa" w:w="1336"/>
          </w:tcPr>
          <w:p>
            <w:r>
              <w:rPr>
                <w:b/>
                <w:sz w:val="20"/>
              </w:rPr>
              <w:t>Contre-indication majeure</w:t>
            </w:r>
          </w:p>
        </w:tc>
        <w:tc>
          <w:tcPr>
            <w:tcW w:type="dxa" w:w="1336"/>
          </w:tcPr>
          <w:p>
            <w:r>
              <w:rPr>
                <w:b/>
                <w:sz w:val="20"/>
              </w:rPr>
              <w:t>Grossesse (CRAT)</w:t>
            </w:r>
          </w:p>
        </w:tc>
      </w:tr>
      <w:tr>
        <w:tc>
          <w:tcPr>
            <w:tcW w:type="dxa" w:w="1336"/>
          </w:tcPr>
          <w:p>
            <w:r>
              <w:rPr>
                <w:sz w:val="20"/>
              </w:rPr>
              <w:t>**Béclométasone (DP)**</w:t>
            </w:r>
          </w:p>
        </w:tc>
        <w:tc>
          <w:tcPr>
            <w:tcW w:type="dxa" w:w="1336"/>
          </w:tcPr>
          <w:p>
            <w:r>
              <w:rPr>
                <w:sz w:val="20"/>
              </w:rPr>
              <w:t>CSI seul</w:t>
            </w:r>
          </w:p>
        </w:tc>
        <w:tc>
          <w:tcPr>
            <w:tcW w:type="dxa" w:w="1336"/>
          </w:tcPr>
          <w:p>
            <w:r>
              <w:rPr>
                <w:sz w:val="20"/>
              </w:rPr>
              <w:t>Référence (1x)</w:t>
            </w:r>
          </w:p>
        </w:tc>
        <w:tc>
          <w:tcPr>
            <w:tcW w:type="dxa" w:w="1336"/>
          </w:tcPr>
          <w:p>
            <w:r>
              <w:rPr>
                <w:sz w:val="20"/>
              </w:rPr>
              <w:t>200 à 1000 µg/j en 2 prises (asthme) ; 50 à 200 µg/j (rhinite nasale)</w:t>
            </w:r>
          </w:p>
        </w:tc>
        <w:tc>
          <w:tcPr>
            <w:tcW w:type="dxa" w:w="1336"/>
          </w:tcPr>
          <w:p>
            <w:r>
              <w:rPr>
                <w:sz w:val="20"/>
              </w:rPr>
              <w:t>Candidose oropharyngée, dysphonie, freination surrénale, ralentissement croissance enfant</w:t>
            </w:r>
          </w:p>
        </w:tc>
        <w:tc>
          <w:tcPr>
            <w:tcW w:type="dxa" w:w="1336"/>
          </w:tcPr>
          <w:p>
            <w:r>
              <w:rPr>
                <w:sz w:val="20"/>
              </w:rPr>
              <w:t>Hypersensibilité, tuberculose active non traitée, infections non contrôlées</w:t>
            </w:r>
          </w:p>
        </w:tc>
        <w:tc>
          <w:tcPr>
            <w:tcW w:type="dxa" w:w="1336"/>
          </w:tcPr>
          <w:p>
            <w:r>
              <w:rPr>
                <w:sz w:val="20"/>
              </w:rPr>
              <w:t>Compatible (CSI de référence historique)</w:t>
            </w:r>
          </w:p>
        </w:tc>
      </w:tr>
      <w:tr>
        <w:tc>
          <w:tcPr>
            <w:tcW w:type="dxa" w:w="1336"/>
          </w:tcPr>
          <w:p>
            <w:r>
              <w:rPr>
                <w:sz w:val="20"/>
              </w:rPr>
              <w:t>**Budésonide**</w:t>
            </w:r>
          </w:p>
        </w:tc>
        <w:tc>
          <w:tcPr>
            <w:tcW w:type="dxa" w:w="1336"/>
          </w:tcPr>
          <w:p>
            <w:r>
              <w:rPr>
                <w:sz w:val="20"/>
              </w:rPr>
              <w:t>CSI seul</w:t>
            </w:r>
          </w:p>
        </w:tc>
        <w:tc>
          <w:tcPr>
            <w:tcW w:type="dxa" w:w="1336"/>
          </w:tcPr>
          <w:p>
            <w:r>
              <w:rPr>
                <w:sz w:val="20"/>
              </w:rPr>
              <w:t>Équivalent (1x)</w:t>
            </w:r>
          </w:p>
        </w:tc>
        <w:tc>
          <w:tcPr>
            <w:tcW w:type="dxa" w:w="1336"/>
          </w:tcPr>
          <w:p>
            <w:r>
              <w:rPr>
                <w:sz w:val="20"/>
              </w:rPr>
              <w:t>400 à 1600 µg/j en 2 prises (asthme) ; 64 à 256 µg/j (rhinite nasale) ; 0,5 à 1 mg × 2/j (nébulisation enfant)</w:t>
            </w:r>
          </w:p>
        </w:tc>
        <w:tc>
          <w:tcPr>
            <w:tcW w:type="dxa" w:w="1336"/>
          </w:tcPr>
          <w:p>
            <w:r>
              <w:rPr>
                <w:sz w:val="20"/>
              </w:rPr>
              <w:t>Candidose oropharyngée, dysphonie, freination surrénale (profil favorable), troubles du sommeil nourrisson (nébulisation)</w:t>
            </w:r>
          </w:p>
        </w:tc>
        <w:tc>
          <w:tcPr>
            <w:tcW w:type="dxa" w:w="1336"/>
          </w:tcPr>
          <w:p>
            <w:r>
              <w:rPr>
                <w:sz w:val="20"/>
              </w:rPr>
              <w:t>Hypersensibilité, tuberculose active non traitée, infections non contrôlées</w:t>
            </w:r>
          </w:p>
        </w:tc>
        <w:tc>
          <w:tcPr>
            <w:tcW w:type="dxa" w:w="1336"/>
          </w:tcPr>
          <w:p>
            <w:r>
              <w:rPr>
                <w:sz w:val="20"/>
              </w:rPr>
              <w:t>**Compatible (CSI de référence)**</w:t>
            </w:r>
          </w:p>
        </w:tc>
      </w:tr>
      <w:tr>
        <w:tc>
          <w:tcPr>
            <w:tcW w:type="dxa" w:w="1336"/>
          </w:tcPr>
          <w:p>
            <w:r>
              <w:rPr>
                <w:sz w:val="20"/>
              </w:rPr>
              <w:t>**Fluticasone (propionate)**</w:t>
            </w:r>
          </w:p>
        </w:tc>
        <w:tc>
          <w:tcPr>
            <w:tcW w:type="dxa" w:w="1336"/>
          </w:tcPr>
          <w:p>
            <w:r>
              <w:rPr>
                <w:sz w:val="20"/>
              </w:rPr>
              <w:t>CSI seul</w:t>
            </w:r>
          </w:p>
        </w:tc>
        <w:tc>
          <w:tcPr>
            <w:tcW w:type="dxa" w:w="1336"/>
          </w:tcPr>
          <w:p>
            <w:r>
              <w:rPr>
                <w:sz w:val="20"/>
              </w:rPr>
              <w:t>2x plus puissant (0,5 µg = 1 µg BDP)</w:t>
            </w:r>
          </w:p>
        </w:tc>
        <w:tc>
          <w:tcPr>
            <w:tcW w:type="dxa" w:w="1336"/>
          </w:tcPr>
          <w:p>
            <w:r>
              <w:rPr>
                <w:sz w:val="20"/>
              </w:rPr>
              <w:t>200 à 1000 µg/j en 2 prises (asthme) ; 100 à 200 µg/j (rhinite nasale)</w:t>
            </w:r>
          </w:p>
        </w:tc>
        <w:tc>
          <w:tcPr>
            <w:tcW w:type="dxa" w:w="1336"/>
          </w:tcPr>
          <w:p>
            <w:r>
              <w:rPr>
                <w:sz w:val="20"/>
              </w:rPr>
              <w:t>Candidose oropharyngée, dysphonie, freination surrénale, pneumonie (BPCO)</w:t>
            </w:r>
          </w:p>
        </w:tc>
        <w:tc>
          <w:tcPr>
            <w:tcW w:type="dxa" w:w="1336"/>
          </w:tcPr>
          <w:p>
            <w:r>
              <w:rPr>
                <w:sz w:val="20"/>
              </w:rPr>
              <w:t>Hypersensibilité, tuberculose active, **ritonavir CI absolue**</w:t>
            </w:r>
          </w:p>
        </w:tc>
        <w:tc>
          <w:tcPr>
            <w:tcW w:type="dxa" w:w="1336"/>
          </w:tcPr>
          <w:p>
            <w:r>
              <w:rPr>
                <w:sz w:val="20"/>
              </w:rPr>
              <w:t>Compatible (préférer budésonide)</w:t>
            </w:r>
          </w:p>
        </w:tc>
      </w:tr>
      <w:tr>
        <w:tc>
          <w:tcPr>
            <w:tcW w:type="dxa" w:w="1336"/>
          </w:tcPr>
          <w:p>
            <w:r>
              <w:rPr>
                <w:sz w:val="20"/>
              </w:rPr>
              <w:t>**Fluticasone (furoate)**</w:t>
            </w:r>
          </w:p>
        </w:tc>
        <w:tc>
          <w:tcPr>
            <w:tcW w:type="dxa" w:w="1336"/>
          </w:tcPr>
          <w:p>
            <w:r>
              <w:rPr>
                <w:sz w:val="20"/>
              </w:rPr>
              <w:t>CSI seul</w:t>
            </w:r>
          </w:p>
        </w:tc>
        <w:tc>
          <w:tcPr>
            <w:tcW w:type="dxa" w:w="1336"/>
          </w:tcPr>
          <w:p>
            <w:r>
              <w:rPr>
                <w:sz w:val="20"/>
              </w:rPr>
              <w:t>~2-3x plus puissant</w:t>
            </w:r>
          </w:p>
        </w:tc>
        <w:tc>
          <w:tcPr>
            <w:tcW w:type="dxa" w:w="1336"/>
          </w:tcPr>
          <w:p>
            <w:r>
              <w:rPr>
                <w:sz w:val="20"/>
              </w:rPr>
              <w:t>100 à 200 µg/j en 1 prise (asthme) ; 110 à 220 µg/j (polypose nasale)</w:t>
            </w:r>
          </w:p>
        </w:tc>
        <w:tc>
          <w:tcPr>
            <w:tcW w:type="dxa" w:w="1336"/>
          </w:tcPr>
          <w:p>
            <w:r>
              <w:rPr>
                <w:sz w:val="20"/>
              </w:rPr>
              <w:t>Candidose oropharyngée, dysphonie, profil systémique favorable, épistaxis (nasal)</w:t>
            </w:r>
          </w:p>
        </w:tc>
        <w:tc>
          <w:tcPr>
            <w:tcW w:type="dxa" w:w="1336"/>
          </w:tcPr>
          <w:p>
            <w:r>
              <w:rPr>
                <w:sz w:val="20"/>
              </w:rPr>
              <w:t>Hypersensibilité, tuberculose active, ritonavir CI absolue</w:t>
            </w:r>
          </w:p>
        </w:tc>
        <w:tc>
          <w:tcPr>
            <w:tcW w:type="dxa" w:w="1336"/>
          </w:tcPr>
          <w:p>
            <w:r>
              <w:rPr>
                <w:sz w:val="20"/>
              </w:rPr>
              <w:t>Compatible (données plus limitées que FP)</w:t>
            </w:r>
          </w:p>
        </w:tc>
      </w:tr>
      <w:tr>
        <w:tc>
          <w:tcPr>
            <w:tcW w:type="dxa" w:w="1336"/>
          </w:tcPr>
          <w:p>
            <w:r>
              <w:rPr>
                <w:sz w:val="20"/>
              </w:rPr>
              <w:t>**Mométasone (furoate)**</w:t>
            </w:r>
          </w:p>
        </w:tc>
        <w:tc>
          <w:tcPr>
            <w:tcW w:type="dxa" w:w="1336"/>
          </w:tcPr>
          <w:p>
            <w:r>
              <w:rPr>
                <w:sz w:val="20"/>
              </w:rPr>
              <w:t>CSI nasal/topique (forme inhalée non disponible en Algérie)</w:t>
            </w:r>
          </w:p>
        </w:tc>
        <w:tc>
          <w:tcPr>
            <w:tcW w:type="dxa" w:w="1336"/>
          </w:tcPr>
          <w:p>
            <w:r>
              <w:rPr>
                <w:sz w:val="20"/>
              </w:rPr>
              <w:t>5x plus puissant</w:t>
            </w:r>
          </w:p>
        </w:tc>
        <w:tc>
          <w:tcPr>
            <w:tcW w:type="dxa" w:w="1336"/>
          </w:tcPr>
          <w:p>
            <w:r>
              <w:rPr>
                <w:sz w:val="20"/>
              </w:rPr>
              <w:t>200 à 400 µg/j (rhinite nasale) ; 1 application/j (crème dermique)</w:t>
            </w:r>
          </w:p>
        </w:tc>
        <w:tc>
          <w:tcPr>
            <w:tcW w:type="dxa" w:w="1336"/>
          </w:tcPr>
          <w:p>
            <w:r>
              <w:rPr>
                <w:sz w:val="20"/>
              </w:rPr>
              <w:t>Irritation nasale, épistaxis, atrophie cutanée (forme dermique), freination surrénale (forme inhalée théorique)</w:t>
            </w:r>
          </w:p>
        </w:tc>
        <w:tc>
          <w:tcPr>
            <w:tcW w:type="dxa" w:w="1336"/>
          </w:tcPr>
          <w:p>
            <w:r>
              <w:rPr>
                <w:sz w:val="20"/>
              </w:rPr>
              <w:t>Hypersensibilité, infections locales non traitées</w:t>
            </w:r>
          </w:p>
        </w:tc>
        <w:tc>
          <w:tcPr>
            <w:tcW w:type="dxa" w:w="1336"/>
          </w:tcPr>
          <w:p>
            <w:r>
              <w:rPr>
                <w:sz w:val="20"/>
              </w:rPr>
              <w:t>Compatible (données limitées)</w:t>
            </w:r>
          </w:p>
        </w:tc>
      </w:tr>
      <w:tr>
        <w:tc>
          <w:tcPr>
            <w:tcW w:type="dxa" w:w="1336"/>
          </w:tcPr>
          <w:p>
            <w:r>
              <w:rPr>
                <w:sz w:val="20"/>
              </w:rPr>
              <w:t>**Béclométasone + Formotérol (FOSTER)**</w:t>
            </w:r>
          </w:p>
        </w:tc>
        <w:tc>
          <w:tcPr>
            <w:tcW w:type="dxa" w:w="1336"/>
          </w:tcPr>
          <w:p>
            <w:r>
              <w:rPr>
                <w:sz w:val="20"/>
              </w:rPr>
              <w:t>CSI + LABA</w:t>
            </w:r>
          </w:p>
        </w:tc>
        <w:tc>
          <w:tcPr>
            <w:tcW w:type="dxa" w:w="1336"/>
          </w:tcPr>
          <w:p>
            <w:r>
              <w:rPr>
                <w:sz w:val="20"/>
              </w:rPr>
              <w:t>1x (BDP)</w:t>
            </w:r>
          </w:p>
        </w:tc>
        <w:tc>
          <w:tcPr>
            <w:tcW w:type="dxa" w:w="1336"/>
          </w:tcPr>
          <w:p>
            <w:r>
              <w:rPr>
                <w:sz w:val="20"/>
              </w:rPr>
              <w:t>1 à 2 inhal × 2/j (100/6) + MART possible (max 8 inhal/j)</w:t>
            </w:r>
          </w:p>
        </w:tc>
        <w:tc>
          <w:tcPr>
            <w:tcW w:type="dxa" w:w="1336"/>
          </w:tcPr>
          <w:p>
            <w:r>
              <w:rPr>
                <w:sz w:val="20"/>
              </w:rPr>
              <w:t>Candidose, dysphonie, tremblements, palpitations, hypokaliémie</w:t>
            </w:r>
          </w:p>
        </w:tc>
        <w:tc>
          <w:tcPr>
            <w:tcW w:type="dxa" w:w="1336"/>
          </w:tcPr>
          <w:p>
            <w:r>
              <w:rPr>
                <w:sz w:val="20"/>
              </w:rPr>
              <w:t>Hypersensibilité, tuberculose, arythmies sévères, QT long</w:t>
            </w:r>
          </w:p>
        </w:tc>
        <w:tc>
          <w:tcPr>
            <w:tcW w:type="dxa" w:w="1336"/>
          </w:tcPr>
          <w:p>
            <w:r>
              <w:rPr>
                <w:sz w:val="20"/>
              </w:rPr>
              <w:t>Compatible</w:t>
            </w:r>
          </w:p>
        </w:tc>
      </w:tr>
      <w:tr>
        <w:tc>
          <w:tcPr>
            <w:tcW w:type="dxa" w:w="1336"/>
          </w:tcPr>
          <w:p>
            <w:r>
              <w:rPr>
                <w:sz w:val="20"/>
              </w:rPr>
              <w:t>**Budésonide + Formotérol (SYMBICORT)**</w:t>
            </w:r>
          </w:p>
        </w:tc>
        <w:tc>
          <w:tcPr>
            <w:tcW w:type="dxa" w:w="1336"/>
          </w:tcPr>
          <w:p>
            <w:r>
              <w:rPr>
                <w:sz w:val="20"/>
              </w:rPr>
              <w:t>CSI + LABA</w:t>
            </w:r>
          </w:p>
        </w:tc>
        <w:tc>
          <w:tcPr>
            <w:tcW w:type="dxa" w:w="1336"/>
          </w:tcPr>
          <w:p>
            <w:r>
              <w:rPr>
                <w:sz w:val="20"/>
              </w:rPr>
              <w:t>1x (budésonide)</w:t>
            </w:r>
          </w:p>
        </w:tc>
        <w:tc>
          <w:tcPr>
            <w:tcW w:type="dxa" w:w="1336"/>
          </w:tcPr>
          <w:p>
            <w:r>
              <w:rPr>
                <w:sz w:val="20"/>
              </w:rPr>
              <w:t>1 à 2 inhal × 2/j (100/6, 200/6 ou 400/12) + SMART possible (max 8-12 inhal/j)</w:t>
            </w:r>
          </w:p>
        </w:tc>
        <w:tc>
          <w:tcPr>
            <w:tcW w:type="dxa" w:w="1336"/>
          </w:tcPr>
          <w:p>
            <w:r>
              <w:rPr>
                <w:sz w:val="20"/>
              </w:rPr>
              <w:t>Candidose, dysphonie, tremblements, palpitations, hypokaliémie</w:t>
            </w:r>
          </w:p>
        </w:tc>
        <w:tc>
          <w:tcPr>
            <w:tcW w:type="dxa" w:w="1336"/>
          </w:tcPr>
          <w:p>
            <w:r>
              <w:rPr>
                <w:sz w:val="20"/>
              </w:rPr>
              <w:t>Hypersensibilité, tuberculose, arythmies sévères, QT long</w:t>
            </w:r>
          </w:p>
        </w:tc>
        <w:tc>
          <w:tcPr>
            <w:tcW w:type="dxa" w:w="1336"/>
          </w:tcPr>
          <w:p>
            <w:r>
              <w:rPr>
                <w:sz w:val="20"/>
              </w:rPr>
              <w:t>**Compatible (référence)**</w:t>
            </w:r>
          </w:p>
        </w:tc>
      </w:tr>
      <w:tr>
        <w:tc>
          <w:tcPr>
            <w:tcW w:type="dxa" w:w="1336"/>
          </w:tcPr>
          <w:p>
            <w:r>
              <w:rPr>
                <w:sz w:val="20"/>
              </w:rPr>
              <w:t>**Fluticasone + Salmétérol (SERETIDE)**</w:t>
            </w:r>
          </w:p>
        </w:tc>
        <w:tc>
          <w:tcPr>
            <w:tcW w:type="dxa" w:w="1336"/>
          </w:tcPr>
          <w:p>
            <w:r>
              <w:rPr>
                <w:sz w:val="20"/>
              </w:rPr>
              <w:t>CSI + LABA</w:t>
            </w:r>
          </w:p>
        </w:tc>
        <w:tc>
          <w:tcPr>
            <w:tcW w:type="dxa" w:w="1336"/>
          </w:tcPr>
          <w:p>
            <w:r>
              <w:rPr>
                <w:sz w:val="20"/>
              </w:rPr>
              <w:t>2x (fluticasone)</w:t>
            </w:r>
          </w:p>
        </w:tc>
        <w:tc>
          <w:tcPr>
            <w:tcW w:type="dxa" w:w="1336"/>
          </w:tcPr>
          <w:p>
            <w:r>
              <w:rPr>
                <w:sz w:val="20"/>
              </w:rPr>
              <w:t>1 inhal × 2/j (100/50, 250/50 ou 500/50) — SANS SMART</w:t>
            </w:r>
          </w:p>
        </w:tc>
        <w:tc>
          <w:tcPr>
            <w:tcW w:type="dxa" w:w="1336"/>
          </w:tcPr>
          <w:p>
            <w:r>
              <w:rPr>
                <w:sz w:val="20"/>
              </w:rPr>
              <w:t>Candidose, dysphonie, pneumonie (BPCO), tremblements, palpitations</w:t>
            </w:r>
          </w:p>
        </w:tc>
        <w:tc>
          <w:tcPr>
            <w:tcW w:type="dxa" w:w="1336"/>
          </w:tcPr>
          <w:p>
            <w:r>
              <w:rPr>
                <w:sz w:val="20"/>
              </w:rPr>
              <w:t>Hypersensibilité, tuberculose, **ritonavir CI absolue**, arythmies sévères</w:t>
            </w:r>
          </w:p>
        </w:tc>
        <w:tc>
          <w:tcPr>
            <w:tcW w:type="dxa" w:w="1336"/>
          </w:tcPr>
          <w:p>
            <w:r>
              <w:rPr>
                <w:sz w:val="20"/>
              </w:rPr>
              <w:t>Compatible</w:t>
            </w:r>
          </w:p>
        </w:tc>
      </w:tr>
      <w:tr>
        <w:tc>
          <w:tcPr>
            <w:tcW w:type="dxa" w:w="1336"/>
          </w:tcPr>
          <w:p>
            <w:r>
              <w:rPr>
                <w:sz w:val="20"/>
              </w:rPr>
              <w:t>**Budésonide + Formotérol + Glycopyrronium (BREZTRI)**</w:t>
            </w:r>
          </w:p>
        </w:tc>
        <w:tc>
          <w:tcPr>
            <w:tcW w:type="dxa" w:w="1336"/>
          </w:tcPr>
          <w:p>
            <w:r>
              <w:rPr>
                <w:sz w:val="20"/>
              </w:rPr>
              <w:t>CSI + LABA + LAMA triple</w:t>
            </w:r>
          </w:p>
        </w:tc>
        <w:tc>
          <w:tcPr>
            <w:tcW w:type="dxa" w:w="1336"/>
          </w:tcPr>
          <w:p>
            <w:r>
              <w:rPr>
                <w:sz w:val="20"/>
              </w:rPr>
              <w:t>1x (budésonide)</w:t>
            </w:r>
          </w:p>
        </w:tc>
        <w:tc>
          <w:tcPr>
            <w:tcW w:type="dxa" w:w="1336"/>
          </w:tcPr>
          <w:p>
            <w:r>
              <w:rPr>
                <w:sz w:val="20"/>
              </w:rPr>
              <w:t>2 inhal × 2/j (5/7,2/160 µg) — SANS SMART</w:t>
            </w:r>
          </w:p>
        </w:tc>
        <w:tc>
          <w:tcPr>
            <w:tcW w:type="dxa" w:w="1336"/>
          </w:tcPr>
          <w:p>
            <w:r>
              <w:rPr>
                <w:sz w:val="20"/>
              </w:rPr>
              <w:t>Candidose, dysphonie, pneumonie, sécheresse buccale, rétention urinaire, hypokaliémie</w:t>
            </w:r>
          </w:p>
        </w:tc>
        <w:tc>
          <w:tcPr>
            <w:tcW w:type="dxa" w:w="1336"/>
          </w:tcPr>
          <w:p>
            <w:r>
              <w:rPr>
                <w:sz w:val="20"/>
              </w:rPr>
              <w:t>Hypersensibilité, tuberculose, arythmies sévères, QT long, glaucome à angle fermé, HBP avec rétention</w:t>
            </w:r>
          </w:p>
        </w:tc>
        <w:tc>
          <w:tcPr>
            <w:tcW w:type="dxa" w:w="1336"/>
          </w:tcPr>
          <w:p>
            <w:r>
              <w:rPr>
                <w:sz w:val="20"/>
              </w:rPr>
              <w:t>Compatible (prudence, données limitées glycopyrronium)</w:t>
            </w:r>
          </w:p>
        </w:tc>
      </w:tr>
    </w:tbl>
    <w:p/>
    <w:p>
      <w:pPr>
        <w:pStyle w:val="Heading2"/>
      </w:pPr>
      <w:r>
        <w:t>8. Règles d'Or et points-clés au comptoir</w:t>
      </w:r>
    </w:p>
    <w:p>
      <w:pPr>
        <w:pStyle w:val="Heading3"/>
      </w:pPr>
      <w:r>
        <w:t>Règles d'Or GINA 2024 / GOLD 2024</w:t>
      </w:r>
    </w:p>
    <w:p>
      <w:pPr>
        <w:pStyle w:val="ListNumber"/>
      </w:pPr>
      <w:r/>
      <w:r>
        <w:rPr>
          <w:b/>
        </w:rPr>
        <w:t>LABA jamais seul sans CSI dans l'asthme (règle absolue)</w:t>
      </w:r>
      <w:r>
        <w:t xml:space="preserve"> — l'étude SMART (2006) a démontré que le salmétérol seul multipliait par 4 à 5 la mortalité asthmatique. Tout LABA prescrit dans l'asthme DOIT être associé à un CSI, idéalement sous forme d'association fixe. Cette règle ne s'applique pas à la BPCO (sans asthme associé), où les LABA seuls sont autorisés.</w:t>
      </w:r>
    </w:p>
    <w:p>
      <w:pPr>
        <w:pStyle w:val="ListNumber"/>
      </w:pPr>
      <w:r/>
      <w:r>
        <w:rPr>
          <w:b/>
        </w:rPr>
        <w:t>Concept SMART (Single Maintenance and Reliever Therapy)</w:t>
      </w:r>
      <w:r>
        <w:t xml:space="preserve"> — l'association fixe budésonide + formotérol (Symbicort) peut être utilisée comme traitement de fond ET de secours, en alternative au SABA. Réduction de 45 % des exacerbations sévères et de 35 % des hospitalisations. Concept valide uniquement avec le formotérol (LABA à démarrage rapide 5 min), PAS avec le salmétérol (démarrage lent 30 min).</w:t>
      </w:r>
    </w:p>
    <w:p>
      <w:pPr>
        <w:pStyle w:val="ListNumber"/>
      </w:pPr>
      <w:r/>
      <w:r>
        <w:rPr>
          <w:b/>
        </w:rPr>
        <w:t>Le patient doit toujours avoir son SABA disponible</w:t>
      </w:r>
      <w:r>
        <w:t xml:space="preserve"> — sauf en cas de concept SMART clairement établi et éduqué. Le SABA (salbutamol 100 µg/bouffée) doit être à portée de main du patient asthmatique, en particulier pendant la titration des CSI et pendant les exacerbations.</w:t>
      </w:r>
    </w:p>
    <w:p>
      <w:pPr>
        <w:pStyle w:val="ListNumber"/>
      </w:pPr>
      <w:r/>
      <w:r>
        <w:rPr>
          <w:b/>
        </w:rPr>
        <w:t>CSI en traitement de fond — ne jamais arrêter brutalement</w:t>
      </w:r>
      <w:r>
        <w:t xml:space="preserve"> — l'arrêt brutal d'un CSI au long cours expose au risque de rebond inflammatoire et d'insuffisance surrénale aiguë (surtout aux doses &gt; 1000 µg/jour chez l'adulte et &gt; 400 µg/jour chez l'enfant). La décroissance doit être progressive (25 % toutes les 2 à 4 semaines).</w:t>
      </w:r>
    </w:p>
    <w:p>
      <w:pPr>
        <w:pStyle w:val="ListNumber"/>
      </w:pPr>
      <w:r/>
      <w:r>
        <w:rPr>
          <w:b/>
        </w:rPr>
        <w:t>Rinçage buccal systématique après chaque inhalation</w:t>
      </w:r>
      <w:r>
        <w:t xml:space="preserve"> — réduit de 50 à 80 % le risque de candidose oropharyngée et de dysphonie. Le patient doit rincer la bouche à l'eau claire et recracher après chaque inhalation de CSI (ou d'association fixe).</w:t>
      </w:r>
    </w:p>
    <w:p>
      <w:pPr>
        <w:pStyle w:val="ListNumber"/>
      </w:pPr>
      <w:r/>
      <w:r>
        <w:rPr>
          <w:b/>
        </w:rPr>
        <w:t>Surveillance de la croissance chez l'enfant sous CSI</w:t>
      </w:r>
      <w:r>
        <w:t xml:space="preserve"> — mesure semestrielle de la taille, courbe staturo-pondérale. Le ralentissement de la croissance est en moyenne de 1 à 1,5 cm de hauteur adulte finale (le plus souvent rattrapé). Le budésonide et la fluticasone ont un profil plus favorable que la béclométasone.</w:t>
      </w:r>
    </w:p>
    <w:p>
      <w:pPr>
        <w:pStyle w:val="ListNumber"/>
      </w:pPr>
      <w:r/>
      <w:r>
        <w:rPr>
          <w:b/>
        </w:rPr>
        <w:t>Équivalences de doses entre CSI</w:t>
      </w:r>
      <w:r>
        <w:t xml:space="preserve"> — à connaître pour éviter les erreurs de substitution :</w:t>
      </w:r>
    </w:p>
    <w:p>
      <w:pPr>
        <w:pStyle w:val="ListBullet"/>
      </w:pPr>
      <w:r>
        <w:t>1 µg béclométasone HFA ≈ 1 µg budésonide ≈ 0,5 µg fluticasone propionate ≈ 0,5 µg fluticasone furoate ≈ 0,5 µg mométasone furoate</w:t>
      </w:r>
    </w:p>
    <w:p>
      <w:pPr>
        <w:pStyle w:val="ListBullet"/>
      </w:pPr>
      <w:r>
        <w:t>100 µg fluticasone propionate = 200 µg budésonide = 200 µg béclométasone HFA (efficacité anti-inflammatoire équivalente)</w:t>
      </w:r>
    </w:p>
    <w:p>
      <w:pPr>
        <w:pStyle w:val="ListNumber"/>
      </w:pPr>
      <w:r/>
      <w:r>
        <w:rPr>
          <w:b/>
        </w:rPr>
        <w:t>Substitution entre dispositifs d'inhalation</w:t>
      </w:r>
      <w:r>
        <w:t xml:space="preserve"> — ne jamais substituer un MDI par un DPI (ou inversement) sans rééducation du patient. Les techniques d'inhalation sont totalement différentes. Vérifier la bioéquivalence entre princeps et génériques (Turbuhaler ↔ Easyhaler ↔ gélules ↔ MDI).</w:t>
      </w:r>
    </w:p>
    <w:p>
      <w:pPr>
        <w:pStyle w:val="ListNumber"/>
      </w:pPr>
      <w:r/>
      <w:r>
        <w:rPr>
          <w:b/>
        </w:rPr>
        <w:t>Vaccination anti-pneumococcique et anti-grippale systématique chez le BPCO sous CSI</w:t>
      </w:r>
      <w:r>
        <w:t xml:space="preserve"> — risque accru de pneumonie sous CSI inhalé dans la BPCO. La vaccination anti-pneumococcique (Prevenar 13 + Pneumovax 23, à 5 ans d'intervalle) et la vaccination anti-grippale annuelle sont recommandées.</w:t>
      </w:r>
    </w:p>
    <w:p>
      <w:pPr>
        <w:pStyle w:val="ListNumber"/>
      </w:pPr>
      <w:r/>
      <w:r>
        <w:rPr>
          <w:b/>
        </w:rPr>
        <w:t>Éducation thérapeutique et plan d'action écrit</w:t>
      </w:r>
      <w:r>
        <w:t xml:space="preserve"> — l'éducation thérapeutique du patient asthmatique (et BPCO) est essentielle. Le plan d'action écrit GINA (code couleur vert/jaune/rouge) doit être remis à chaque patient, précisant les paliers d'augmentation des doses et la conduite à tenir en cas d'exacerbation. La vérification de la technique d'inhalation à chaque renouvellement est cruciale (jusqu'à 50 % des patients utilisent mal leur dispositif).</w:t>
      </w:r>
    </w:p>
    <w:p>
      <w:pPr>
        <w:pStyle w:val="Heading3"/>
      </w:pPr>
      <w:r>
        <w:t>Pièges majeurs au comptoir</w:t>
      </w:r>
    </w:p>
    <w:p>
      <w:pPr>
        <w:pStyle w:val="ListBullet"/>
      </w:pPr>
      <w:r/>
      <w:r>
        <w:rPr>
          <w:b/>
        </w:rPr>
        <w:t>Confusion entre CSI de fond et SABA de secours</w:t>
      </w:r>
      <w:r>
        <w:t xml:space="preserve"> : un patient asthmatique qui présente une crise aiguë et qui prend son CSI au lieu de son SABA peut mourir — toujours s'assurer que le patient identifie clairement son inhalateur de secours (en général le salbutamol 100 µg).</w:t>
      </w:r>
    </w:p>
    <w:p>
      <w:pPr>
        <w:pStyle w:val="ListBullet"/>
      </w:pPr>
      <w:r/>
      <w:r>
        <w:rPr>
          <w:b/>
        </w:rPr>
        <w:t>Confusion entre Seretide et Symbicort</w:t>
      </w:r>
      <w:r>
        <w:t xml:space="preserve"> : le Seretide (fluticasone + salmétérol) NE peut PAS être utilisé en secours (salmétérol à démarrage lent), tandis que le Symbicort (budésonide + formotérol) PEUT être utilisé en secours dans le concept SMART. Erreur grave si substitution réalisée sans rééducation.</w:t>
      </w:r>
    </w:p>
    <w:p>
      <w:pPr>
        <w:pStyle w:val="ListBullet"/>
      </w:pPr>
      <w:r/>
      <w:r>
        <w:rPr>
          <w:b/>
        </w:rPr>
        <w:t>Substitution µg pour µg entre CSI de puissances différentes</w:t>
      </w:r>
      <w:r>
        <w:t xml:space="preserve"> : la fluticasone est 2x plus puissante que la béclométasone HFA et le budésonide. La mométasone est 5x plus puissante. Ne jamais substituer à dose équivalente µg pour µg sans tenir compte des puissances relatives.</w:t>
      </w:r>
    </w:p>
    <w:p>
      <w:pPr>
        <w:pStyle w:val="ListBullet"/>
      </w:pPr>
      <w:r/>
      <w:r>
        <w:rPr>
          <w:b/>
        </w:rPr>
        <w:t>Association formelle avec le ritonavir</w:t>
      </w:r>
      <w:r>
        <w:t xml:space="preserve"> : CI absolue pour la fluticasone — multiplication par 100 à 300 des concentrations, cas publiés de syndrome de Cushing iatrogène et d'insuffisance surrénale aiguë (dont un cas mortel).</w:t>
      </w:r>
    </w:p>
    <w:p>
      <w:pPr>
        <w:pStyle w:val="ListBullet"/>
      </w:pPr>
      <w:r/>
      <w:r>
        <w:rPr>
          <w:b/>
        </w:rPr>
        <w:t>Patient asthmatique qui ne va pas bien</w:t>
      </w:r>
      <w:r>
        <w:t xml:space="preserve"> : si un patient sous CSI + LABA a besoin de son SABA plus de 2 fois par semaine, ou si son SABA ne le soulage plus, ou s'il a des réveils nocturnes — l'asthme est probablement mal contrôlé, réévaluation pneumologique urgente (montée en puissance thérapeutique, éducation thérapeutique, recherche de comorbidités).</w:t>
      </w:r>
    </w:p>
    <w:p>
      <w:pPr>
        <w:pStyle w:val="Heading3"/>
      </w:pPr>
      <w:r>
        <w:t>Points-clés de la nomenclature algérienne (Avril 2026)</w:t>
      </w:r>
    </w:p>
    <w:p>
      <w:pPr>
        <w:pStyle w:val="ListBullet"/>
      </w:pPr>
      <w:r/>
      <w:r>
        <w:rPr>
          <w:b/>
        </w:rPr>
        <w:t>4 CSI seuls</w:t>
      </w:r>
      <w:r>
        <w:t xml:space="preserve"> sont commercialisés en Algérie : béclométasone (3 marques inhalées actives, 8 retirées), budésonide (6 marques inhalées actives + 6 nasales + 2 non renouvelables + 2 retirées), fluticasone propionate (6 marques inhalées actives + 8 nasales + 1 furoate nasale + 2 retirées), mométasone furoate (8 marques nasales actives + 4 crèmes dermiques + 1 non renouvelable — forme inhalée Asmanex NON commercialisée).</w:t>
      </w:r>
    </w:p>
    <w:p>
      <w:pPr>
        <w:pStyle w:val="ListBullet"/>
      </w:pPr>
      <w:r/>
      <w:r>
        <w:rPr>
          <w:b/>
        </w:rPr>
        <w:t>3 associations fixes CSI + LABA</w:t>
      </w:r>
      <w:r>
        <w:t xml:space="preserve"> : fluticasone + salmétérol (5 marques : Seretide Diskus, Brequal, Respytid Plus, Salfluzon, Seroflo, Inspirya), budésonide + formotérol (8 marques : Symbicort Turbuhaler, Foracort, Airycort Plus, Bufomix Easyhaler, Solumacort, Budek Plus, Formonide, Foracort HFA), béclométasone + formotérol (1 marque : Foster/Foster Nexthaler).</w:t>
      </w:r>
    </w:p>
    <w:p>
      <w:pPr>
        <w:pStyle w:val="ListBullet"/>
      </w:pPr>
      <w:r/>
      <w:r>
        <w:rPr>
          <w:b/>
        </w:rPr>
        <w:t>1 association triple CSI + LABA + LAMA</w:t>
      </w:r>
      <w:r>
        <w:t xml:space="preserve"> : budésonide + formotérol + glycopyrronium (1 marque : Breztri Aerosphere). L'association triple fluticasone furoate + umeclidinium + vilantérol (Trelegy Ellipta) n'est pas commercialisée.</w:t>
      </w:r>
    </w:p>
    <w:p>
      <w:pPr>
        <w:pStyle w:val="ListBullet"/>
      </w:pPr>
      <w:r/>
      <w:r>
        <w:rPr>
          <w:b/>
        </w:rPr>
        <w:t>Formes galéniques disponibles</w:t>
      </w:r>
      <w:r>
        <w:t xml:space="preserve"> : MDI HFA (aérosols doseurs), DPI multidose (Turbuhaler, Easyhaler, Diskus, Nexthaler, Ellipta), gélules à inhaler (avec inhalateur séparé), nébulisation (suspension pour nébuliseur — uniquement budésonide), spray nasal (50, 27,5 et 64 µg/dose), crème dermique (mométasone).</w:t>
      </w:r>
    </w:p>
    <w:p>
      <w:pPr>
        <w:pStyle w:val="ListBullet"/>
      </w:pPr>
      <w:r/>
      <w:r>
        <w:rPr>
          <w:b/>
        </w:rPr>
        <w:t>Disponibilité des génériques</w:t>
      </w:r>
      <w:r>
        <w:t xml:space="preserve"> : la pluralité des marques (génériques algériens, turcs, indiens, jordaniens, palestiniens) traduit la maturité du marché et l'accessibilité financière des traitements. Les génériques offrent une alternative économique et garantissent la disponibilité du traitement.</w:t>
      </w:r>
    </w:p>
    <w:p>
      <w:pPr>
        <w:pStyle w:val="Heading3"/>
      </w:pPr>
      <w:r>
        <w:t>Références scientifiques</w:t>
      </w:r>
    </w:p>
    <w:p>
      <w:pPr>
        <w:pStyle w:val="ListBullet"/>
      </w:pPr>
      <w:r>
        <w:t xml:space="preserve">GINA (Global Initiative for Asthma) — </w:t>
      </w:r>
      <w:r>
        <w:rPr>
          <w:b/>
        </w:rPr>
        <w:t>Global Strategy for Asthma Management and Prevention</w:t>
      </w:r>
      <w:r>
        <w:t>, mise à jour 2024.</w:t>
      </w:r>
    </w:p>
    <w:p>
      <w:pPr>
        <w:pStyle w:val="ListBullet"/>
      </w:pPr>
      <w:r>
        <w:t xml:space="preserve">GOLD (Global Initiative for Chronic Obstructive Lung Disease) — </w:t>
      </w:r>
      <w:r>
        <w:rPr>
          <w:b/>
        </w:rPr>
        <w:t>Report 2024</w:t>
      </w:r>
      <w:r>
        <w:t>.</w:t>
      </w:r>
    </w:p>
    <w:p>
      <w:pPr>
        <w:pStyle w:val="ListBullet"/>
      </w:pPr>
      <w:r>
        <w:t>CRAT (Centre de Renseignement sur les Agents Tératogènes) — fiches « corticoïdes inhalés », « salbutamol », « salmétérol », « formotérol », « budésonide », « fluticasone », « mométasone ».</w:t>
      </w:r>
    </w:p>
    <w:p>
      <w:pPr>
        <w:pStyle w:val="ListBullet"/>
      </w:pPr>
      <w:r>
        <w:t>ANSM (Agence Nationale de Sécurité du Médicament) — Résumés des Caractéristiques du Produit (RCP) des spécialités commerciales.</w:t>
      </w:r>
    </w:p>
    <w:p>
      <w:pPr>
        <w:pStyle w:val="ListBullet"/>
      </w:pPr>
      <w:r>
        <w:t>VIDAL — dictionnaire des spécialités pharmaceutiques.</w:t>
      </w:r>
    </w:p>
    <w:p>
      <w:pPr>
        <w:pStyle w:val="ListBullet"/>
      </w:pPr>
      <w:r>
        <w:t>Thériaque — base de données bibliographique.</w:t>
      </w:r>
    </w:p>
    <w:p>
      <w:pPr>
        <w:pStyle w:val="ListBullet"/>
      </w:pPr>
      <w:r>
        <w:t>LactMed (National Library of Medicine) — fiches « budesonide », « fluticasone », « beclomethasone », « mometasone », « formoterol », « salmeterol », « glycopyrrolate ».</w:t>
      </w:r>
    </w:p>
    <w:p>
      <w:pPr>
        <w:pStyle w:val="ListBullet"/>
      </w:pPr>
      <w:r>
        <w:t xml:space="preserve">Bousquet J, et al. </w:t>
      </w:r>
      <w:r>
        <w:rPr>
          <w:b/>
        </w:rPr>
        <w:t>SYGNET 1 and 2</w:t>
      </w:r>
      <w:r>
        <w:t xml:space="preserve"> — *Symbicort Given Needed* (2006-2010, Lancet).</w:t>
      </w:r>
    </w:p>
    <w:p>
      <w:pPr>
        <w:pStyle w:val="ListBullet"/>
      </w:pPr>
      <w:r>
        <w:t xml:space="preserve">Martinez FJ, et al. </w:t>
      </w:r>
      <w:r>
        <w:rPr>
          <w:b/>
        </w:rPr>
        <w:t>ETHOS trial</w:t>
      </w:r>
      <w:r>
        <w:t xml:space="preserve"> — *Effect of budesonide-glycopyrrolate-formoterol on exacerbations of COPD* (NEJM 2020).</w:t>
      </w:r>
    </w:p>
    <w:p>
      <w:pPr>
        <w:pStyle w:val="ListBullet"/>
      </w:pPr>
      <w:r>
        <w:t xml:space="preserve">Lipson DA, et al. </w:t>
      </w:r>
      <w:r>
        <w:rPr>
          <w:b/>
        </w:rPr>
        <w:t>IMPACT trial</w:t>
      </w:r>
      <w:r>
        <w:t xml:space="preserve"> — *Once-daily single-inhaler triple versus dual therapy in patients with COPD* (NEJM 2018).</w:t>
      </w:r>
    </w:p>
    <w:p>
      <w:pPr>
        <w:pStyle w:val="ListBullet"/>
      </w:pPr>
      <w:r>
        <w:t xml:space="preserve">Nelson HS, et al. </w:t>
      </w:r>
      <w:r>
        <w:rPr>
          <w:b/>
        </w:rPr>
        <w:t>SMART study</w:t>
      </w:r>
      <w:r>
        <w:t xml:space="preserve"> — *The Salmeterol Multicenter Asthma Research Trial* (Chest 2006).</w:t>
      </w:r>
    </w:p>
    <w:p>
      <w:pPr>
        <w:pStyle w:val="ListBullet"/>
      </w:pPr>
      <w:r>
        <w:t>*Black Box Warning FDA* (2010) sur les LABA.</w:t>
      </w:r>
    </w:p>
    <w:p>
      <w:r/>
      <w:r>
        <w:rPr>
          <w:i/>
        </w:rPr>
        <w:t>Fin du Chapitre 62 — Corticoïdes inhalés (CSI) et associations CSI + LABA (et triples CSI + LABA + LAMA).</w:t>
      </w:r>
      <w:r/>
    </w:p>
    <w:p>
      <w:r/>
      <w:r>
        <w:rPr>
          <w:i/>
        </w:rPr>
        <w:t>Le Chapitre 63 traitera des antileucotriènes (antagonistes des récepteurs CysLT1 — montélukast, zafirlukast) et des antagonistes de l'IL-5 (mepolizumab, benralizumab, reslizumab).</w:t>
      </w:r>
      <w:r/>
    </w:p>
    <w:p>
      <w:pPr>
        <w:pStyle w:val="Heading1"/>
      </w:pPr>
      <w:r>
        <w:t>Chapitre 63 — Antiasthmatiques additifs : Antileucotriènes, Théophylline, Anti-IgE</w:t>
      </w:r>
    </w:p>
    <w:p>
      <w:pPr>
        <w:ind w:left="567"/>
      </w:pPr>
      <w:r>
        <w:rPr>
          <w:i/>
          <w:color w:val="606060"/>
        </w:rPr>
        <w:t>**Fascicule VII — Pneumologie / Antiasthmatiques**</w:t>
      </w:r>
    </w:p>
    <w:p>
      <w:pPr>
        <w:ind w:left="567"/>
      </w:pPr>
      <w:r>
        <w:rPr>
          <w:i/>
          <w:color w:val="606060"/>
        </w:rPr>
        <w:t>*Sous-classes thérapeutiques : Antileucotriènes (antagonistes des récepteurs CysLT1) ; Dérivés xanthiques (théophylline) ; Biothérapies asthme — Anti-IgE (omalizumab)*</w:t>
      </w:r>
    </w:p>
    <w:p>
      <w:pPr>
        <w:ind w:left="567"/>
      </w:pPr>
      <w:r>
        <w:rPr>
          <w:i/>
          <w:color w:val="606060"/>
        </w:rPr>
        <w:t>*Nomenclature algérienne des médicaments — Avril 2026*</w:t>
      </w:r>
    </w:p>
    <w:p>
      <w:pPr>
        <w:pStyle w:val="Heading2"/>
      </w:pPr>
      <w:r>
        <w:t>Sommaire du chapitre</w:t>
      </w:r>
    </w:p>
    <w:p>
      <w:pPr>
        <w:pStyle w:val="ListNumber"/>
      </w:pPr>
      <w:r>
        <w:t>Vue d'ensemble des antiasthmatiques additifs / de 3ᵉ ligne</w:t>
      </w:r>
    </w:p>
    <w:p>
      <w:pPr>
        <w:pStyle w:val="ListNumber"/>
      </w:pPr>
      <w:r>
        <w:t>Introduction à la sous-classe des antileucotriènes</w:t>
      </w:r>
    </w:p>
    <w:p>
      <w:pPr>
        <w:pStyle w:val="ListNumber"/>
      </w:pPr>
      <w:r>
        <w:t>Fiche DCI — Antileucotriène</w:t>
      </w:r>
    </w:p>
    <w:p>
      <w:pPr>
        <w:pStyle w:val="ListBullet"/>
      </w:pPr>
      <w:r>
        <w:t>1. Montélukast (seul)</w:t>
      </w:r>
    </w:p>
    <w:p>
      <w:pPr>
        <w:pStyle w:val="ListNumber"/>
      </w:pPr>
      <w:r>
        <w:t>Introduction à la sous-classe des dérivés xanthiques (théophylline)</w:t>
      </w:r>
    </w:p>
    <w:p>
      <w:pPr>
        <w:pStyle w:val="ListNumber"/>
      </w:pPr>
      <w:r>
        <w:t>Fiche DCI — Dérivé xanthique</w:t>
      </w:r>
    </w:p>
    <w:p>
      <w:pPr>
        <w:pStyle w:val="ListBullet"/>
      </w:pPr>
      <w:r>
        <w:t>2. Théophylline</w:t>
      </w:r>
    </w:p>
    <w:p>
      <w:pPr>
        <w:pStyle w:val="ListNumber"/>
      </w:pPr>
      <w:r>
        <w:t>Introduction à la sous-classe des biothérapies anti-IgE</w:t>
      </w:r>
    </w:p>
    <w:p>
      <w:pPr>
        <w:pStyle w:val="ListNumber"/>
      </w:pPr>
      <w:r>
        <w:t>Fiche DCI — Anti-IgE</w:t>
      </w:r>
    </w:p>
    <w:p>
      <w:pPr>
        <w:pStyle w:val="ListBullet"/>
      </w:pPr>
      <w:r>
        <w:t>3. Omalizumab</w:t>
      </w:r>
    </w:p>
    <w:p>
      <w:pPr>
        <w:pStyle w:val="ListNumber"/>
      </w:pPr>
      <w:r>
        <w:t>Tableau comparatif synthétique des 3 DCI</w:t>
      </w:r>
    </w:p>
    <w:p>
      <w:pPr>
        <w:pStyle w:val="ListNumber"/>
      </w:pPr>
      <w:r>
        <w:t>Règles d'Or et points-clés au comptoir</w:t>
      </w:r>
    </w:p>
    <w:p>
      <w:pPr>
        <w:pStyle w:val="Heading2"/>
      </w:pPr>
      <w:r>
        <w:t>1. Vue d'ensemble des antiasthmatiques additifs / de 3ᵉ ligne</w:t>
      </w:r>
    </w:p>
    <w:p>
      <w:r>
        <w:t xml:space="preserve">Les chapitres 61 (bronchodilatateurs β2-mimétiques et anticholinergiques) et 62 (corticoïdes inhalés et associations fixes CSI + LABA, y compris triples CSI + LABA + LAMA) ont posé les </w:t>
      </w:r>
      <w:r>
        <w:rPr>
          <w:b/>
        </w:rPr>
        <w:t>deux piliers fondamentaux</w:t>
      </w:r>
      <w:r>
        <w:t xml:space="preserve"> de la prise en charge pharmacologique de l'asthme et de la BPCO. L'algorithme </w:t>
      </w:r>
      <w:r>
        <w:rPr>
          <w:b/>
        </w:rPr>
        <w:t>GINA 2024</w:t>
      </w:r>
      <w:r>
        <w:t xml:space="preserve"> (Global Initiative for Asthma) positionne l'association fixe CSI + LABA (idéalement avec formotérol en raison du concept SMART — </w:t>
      </w:r>
      <w:r>
        <w:rPr>
          <w:i/>
        </w:rPr>
        <w:t>Single Maintenance And Reliever Therapy</w:t>
      </w:r>
      <w:r>
        <w:t xml:space="preserve">) comme le </w:t>
      </w:r>
      <w:r>
        <w:rPr>
          <w:b/>
        </w:rPr>
        <w:t>traitement de fond de référence aux stades 2 à 5</w:t>
      </w:r>
      <w:r>
        <w:t>. Le rapport GOLD 2024 (Global Initiative for Chronic Obstructive Lung Disease) classe l'association LABA + LAMA en traitement de fond de première intention des BPCO symptomatiques (groupes B, C, D / E), avec adjonction d'un CSI dans les formes à exacerbations répétées (association triple).</w:t>
      </w:r>
    </w:p>
    <w:p>
      <w:r>
        <w:t xml:space="preserve">Cependant, une proportion non négligeable de patients demeure </w:t>
      </w:r>
      <w:r>
        <w:rPr>
          <w:b/>
        </w:rPr>
        <w:t>non contrôlée</w:t>
      </w:r>
      <w:r>
        <w:t xml:space="preserve"> malgré ce socle thérapeutique optimal (estimée à 30–50 % des asthmatiques persistants et jusqu'à 10 % des asthmatiques sévères selon les cohortes observationnelles françaises et internationales — </w:t>
      </w:r>
      <w:r>
        <w:rPr>
          <w:i/>
        </w:rPr>
        <w:t>ENFUMOSA</w:t>
      </w:r>
      <w:r>
        <w:t xml:space="preserve">, </w:t>
      </w:r>
      <w:r>
        <w:rPr>
          <w:i/>
        </w:rPr>
        <w:t>TENOR</w:t>
      </w:r>
      <w:r>
        <w:t xml:space="preserve">, </w:t>
      </w:r>
      <w:r>
        <w:rPr>
          <w:i/>
        </w:rPr>
        <w:t>CARNOT</w:t>
      </w:r>
      <w:r>
        <w:t xml:space="preserve">). C'est pour cette population que se justifie le recours aux </w:t>
      </w:r>
      <w:r>
        <w:rPr>
          <w:b/>
        </w:rPr>
        <w:t>antiasthmatiques additifs</w:t>
      </w:r>
      <w:r>
        <w:t xml:space="preserve"> traités dans le présent chapitre 63, à savoir :</w:t>
      </w:r>
    </w:p>
    <w:p>
      <w:pPr>
        <w:pStyle w:val="ListNumber"/>
      </w:pPr>
      <w:r/>
      <w:r>
        <w:rPr>
          <w:b/>
        </w:rPr>
        <w:t>Les antileucotriènes</w:t>
      </w:r>
      <w:r>
        <w:t xml:space="preserve"> (antagonistes compétitifs des récepteurs CysLT1) — représentés en Algérie par le </w:t>
      </w:r>
      <w:r>
        <w:rPr>
          <w:b/>
        </w:rPr>
        <w:t>montélukast</w:t>
      </w:r>
      <w:r>
        <w:t>, seul représentant de la classe encore commercialisé (le zafirlukast et le pranlukast ne sont pas disponibles ; le zileuton, inhibiteur de la 5-lipoxygénase, non commercialisé en Europe ni en Algérie).</w:t>
      </w:r>
    </w:p>
    <w:p>
      <w:pPr>
        <w:pStyle w:val="ListNumber"/>
      </w:pPr>
      <w:r/>
      <w:r>
        <w:rPr>
          <w:b/>
        </w:rPr>
        <w:t>Les dérivés xanthiques</w:t>
      </w:r>
      <w:r>
        <w:t xml:space="preserve"> — représentés par la </w:t>
      </w:r>
      <w:r>
        <w:rPr>
          <w:b/>
        </w:rPr>
        <w:t>théophylline</w:t>
      </w:r>
      <w:r>
        <w:t xml:space="preserve"> et son prodrogue aminophylline (éthylènediamine + théophylline). La théophylline, dont l'usage remonte aux années 1930, a vu son rôle progressivement marginalisé par les CSI et les LABA en raison de son </w:t>
      </w:r>
      <w:r>
        <w:rPr>
          <w:b/>
        </w:rPr>
        <w:t>index thérapeutique étroit</w:t>
      </w:r>
      <w:r>
        <w:t xml:space="preserve"> (5 à 15 mg/L) et de ses nombreuses interactions médicamenteuses, mais conserve une place comme traitement de 3ᵉ intention dans l'asthme persistant sévère et la BPCO.</w:t>
      </w:r>
    </w:p>
    <w:p>
      <w:pPr>
        <w:pStyle w:val="ListNumber"/>
      </w:pPr>
      <w:r/>
      <w:r>
        <w:rPr>
          <w:b/>
        </w:rPr>
        <w:t>Les biothérapies anti-IgE</w:t>
      </w:r>
      <w:r>
        <w:t xml:space="preserve"> — représentées par l'</w:t>
      </w:r>
      <w:r>
        <w:rPr>
          <w:b/>
        </w:rPr>
        <w:t>omalizumab</w:t>
      </w:r>
      <w:r>
        <w:t xml:space="preserve"> (Xolair™, Novartis), premier anticorps monoclonal anti-IgE humain recombinant (IgG1κ) commercialisé en 2003 (autorisation européenne 2005). Ce médicament a transformé la prise en charge de l'asthme sévère allergique (IgE-médié) non contrôlé malgré une corticothérapie inhalée à forte dose + LABA, en réduisant de 25 à 50 % le taux d'exacerbations et en améliorant la qualité de vie des patients.</w:t>
      </w:r>
    </w:p>
    <w:p>
      <w:r/>
      <w:r>
        <w:rPr>
          <w:b/>
        </w:rPr>
        <w:t>Place dans l'algorithme GINA 2024 :</w:t>
      </w:r>
      <w:r/>
    </w:p>
    <w:p>
      <w:pPr>
        <w:pStyle w:val="ListBullet"/>
      </w:pPr>
      <w:r/>
      <w:r>
        <w:rPr>
          <w:b/>
        </w:rPr>
        <w:t>Stade 1 (asthme intermittent)</w:t>
      </w:r>
      <w:r>
        <w:t xml:space="preserve"> : pas d'indication d'antileucotriène ou de théophylline.</w:t>
      </w:r>
    </w:p>
    <w:p>
      <w:pPr>
        <w:pStyle w:val="ListBullet"/>
      </w:pPr>
      <w:r/>
      <w:r>
        <w:rPr>
          <w:b/>
        </w:rPr>
        <w:t>Stade 2 (asthme léger)</w:t>
      </w:r>
      <w:r>
        <w:t xml:space="preserve"> : option d'un antileucotriène (montélukast) en alternative au CSI à faible dose (Track 2 GINA 2024), en particulier chez les patients réticents à l'inhalation de CSI ou présentant une rhinite allergique associée. La théophylline n'est plus recommandée à ce stade (bénéfice/risque défavorable).</w:t>
      </w:r>
    </w:p>
    <w:p>
      <w:pPr>
        <w:pStyle w:val="ListBullet"/>
      </w:pPr>
      <w:r/>
      <w:r>
        <w:rPr>
          <w:b/>
        </w:rPr>
        <w:t>Stade 3 (asthme modéré)</w:t>
      </w:r>
      <w:r>
        <w:t xml:space="preserve"> : association fixe CSI + LABA faible dose (Track 1 GINA 2024) en première intention. Antileucotriène en alternative (Track 2). Pas d'omalizumab.</w:t>
      </w:r>
    </w:p>
    <w:p>
      <w:pPr>
        <w:pStyle w:val="ListBullet"/>
      </w:pPr>
      <w:r/>
      <w:r>
        <w:rPr>
          <w:b/>
        </w:rPr>
        <w:t>Stade 4 (asthme modéré à sévère)</w:t>
      </w:r>
      <w:r>
        <w:t xml:space="preserve"> : association fixe CSI + LABA dose moyenne ou forte. Antileucotriène possible en add-on. Théophylline possible en add-on (3ᵉ intention). Pas d'omalizumab à ce stade.</w:t>
      </w:r>
    </w:p>
    <w:p>
      <w:pPr>
        <w:pStyle w:val="ListBullet"/>
      </w:pPr>
      <w:r/>
      <w:r>
        <w:rPr>
          <w:b/>
        </w:rPr>
        <w:t>Stade 5 (asthme sévère)</w:t>
      </w:r>
      <w:r>
        <w:t xml:space="preserve"> : phénotypage de l'asthme sévère. </w:t>
      </w:r>
      <w:r>
        <w:rPr>
          <w:b/>
        </w:rPr>
        <w:t>Omalizumab</w:t>
      </w:r>
      <w:r>
        <w:t xml:space="preserve"> indiqué dans l'asthme allergique IgE-médié (IgE totales 30–700 UI/mL, prick test positif à un pneumallergène perannuel, VEMS &lt; 80 %, ≥ 1 exacerbation dans l'année malgré CSI forte dose + LABA). </w:t>
      </w:r>
      <w:r>
        <w:rPr>
          <w:b/>
        </w:rPr>
        <w:t>Mepolizumab, benralizumab, reslizumab, dupilumab</w:t>
      </w:r>
      <w:r>
        <w:t xml:space="preserve"> (anti-IL-5 / anti-IL-5Rα / anti-IL-4Rα) ne sont pas commercialisés en Algérie à ce jour (nomenclature Avril 2026). Antileucotriène en add-on possible. Théophylline en add-on possible en dernier recours.</w:t>
      </w:r>
    </w:p>
    <w:p>
      <w:r/>
      <w:r>
        <w:rPr>
          <w:b/>
        </w:rPr>
        <w:t>Particularités de ce chapitre 63.</w:t>
      </w:r>
      <w:r>
        <w:t xml:space="preserve"> Les trois DCI traitées partagent les caractéristiques suivantes :</w:t>
      </w:r>
    </w:p>
    <w:p>
      <w:pPr>
        <w:pStyle w:val="ListBullet"/>
      </w:pPr>
      <w:r/>
      <w:r>
        <w:rPr>
          <w:b/>
        </w:rPr>
        <w:t>Administration orale ou sous-cutanée</w:t>
      </w:r>
      <w:r>
        <w:t xml:space="preserve"> (et non inhalée) — ce qui peut paraître paradoxal dans une pathologie respiratoire, mais s'explique par la nécessité d'agir sur des cibles systémiques (récepteurs CysLT1 bronchiques et nasaux, phosphodiestérases ubiquitaires, IgE circulantes et récepteurs FcεRI des mastocytes).</w:t>
      </w:r>
    </w:p>
    <w:p>
      <w:pPr>
        <w:pStyle w:val="ListBullet"/>
      </w:pPr>
      <w:r/>
      <w:r>
        <w:rPr>
          <w:b/>
        </w:rPr>
        <w:t>Cibles pharmacologiques originales</w:t>
      </w:r>
      <w:r>
        <w:t xml:space="preserve"> — distinctes des récepteurs β2 et M3 (chapitre 61) et du GRα (chapitre 62).</w:t>
      </w:r>
    </w:p>
    <w:p>
      <w:pPr>
        <w:pStyle w:val="ListBullet"/>
      </w:pPr>
      <w:r/>
      <w:r>
        <w:rPr>
          <w:b/>
        </w:rPr>
        <w:t>Index thérapeutique étroit ou EI sérieux</w:t>
      </w:r>
      <w:r>
        <w:t xml:space="preserve"> — WARNING ANSM/FDA (mars 2020) sur les </w:t>
      </w:r>
      <w:r>
        <w:rPr>
          <w:b/>
        </w:rPr>
        <w:t>troubles neuropsychiatriques</w:t>
      </w:r>
      <w:r>
        <w:t xml:space="preserve"> du montélukast (insomnie, anxiété, dépression, idées suicidaires) ; surveillance obligatoire de la </w:t>
      </w:r>
      <w:r>
        <w:rPr>
          <w:b/>
        </w:rPr>
        <w:t>théophyllinémie</w:t>
      </w:r>
      <w:r>
        <w:t xml:space="preserve"> (5–15 mg/L) avec adaptations posologiques fines et nombreuses interactions ; risque d'</w:t>
      </w:r>
      <w:r>
        <w:rPr>
          <w:b/>
        </w:rPr>
        <w:t>anaphylaxie retardée</w:t>
      </w:r>
      <w:r>
        <w:t xml:space="preserve"> de l'omalizumab (surveillance 2 heures post-injection).</w:t>
      </w:r>
    </w:p>
    <w:p>
      <w:pPr>
        <w:pStyle w:val="ListBullet"/>
      </w:pPr>
      <w:r/>
      <w:r>
        <w:rPr>
          <w:b/>
        </w:rPr>
        <w:t>Prescription spécialisée</w:t>
      </w:r>
      <w:r>
        <w:t xml:space="preserve"> — l'omalizumab est en </w:t>
      </w:r>
      <w:r>
        <w:rPr>
          <w:b/>
        </w:rPr>
        <w:t>prescription hospitalière spécialisée</w:t>
      </w:r>
      <w:r>
        <w:t xml:space="preserve"> (pneumologie, médecine interne, allergologie) avec administration en milieu médicalisé.</w:t>
      </w:r>
    </w:p>
    <w:p>
      <w:pPr>
        <w:pStyle w:val="ListBullet"/>
      </w:pPr>
      <w:r/>
      <w:r>
        <w:rPr>
          <w:b/>
        </w:rPr>
        <w:t>Marché algérien très contrasté</w:t>
      </w:r>
      <w:r>
        <w:t xml:space="preserve"> — 11 marques génériques de montélukast actives (taux de pénétration des génériques algériens et régionaux exceptionnellement élevé), une seule spécialité de théophylline LP active (DIFFUMAX 200 mg, Menarini), une seule spécialité d'omalizumab (XOLAIR 150 mg flacon, Novartis).</w:t>
      </w:r>
    </w:p>
    <w:p>
      <w:r>
        <w:t>L'objectif de ce chapitre est de fournir au pharmacien d'offrine algérien les outils nécessaires pour :</w:t>
      </w:r>
    </w:p>
    <w:p>
      <w:pPr>
        <w:pStyle w:val="ListBullet"/>
      </w:pPr>
      <w:r/>
      <w:r>
        <w:rPr>
          <w:b/>
        </w:rPr>
        <w:t>Dispenser</w:t>
      </w:r>
      <w:r>
        <w:t xml:space="preserve"> ces traitements en connaissant leurs particularités (surveillance biologique pour la théophylline, information patient/famille sur les EI neuropsychiatriques du montélukast, organisation des injections d'omalizumab).</w:t>
      </w:r>
    </w:p>
    <w:p>
      <w:pPr>
        <w:pStyle w:val="ListBullet"/>
      </w:pPr>
      <w:r/>
      <w:r>
        <w:rPr>
          <w:b/>
        </w:rPr>
        <w:t>Conseiller</w:t>
      </w:r>
      <w:r>
        <w:t xml:space="preserve"> le patient sur les posologies, les moments de prise, les interactions et les EI.</w:t>
      </w:r>
    </w:p>
    <w:p>
      <w:pPr>
        <w:pStyle w:val="ListBullet"/>
      </w:pPr>
      <w:r/>
      <w:r>
        <w:rPr>
          <w:b/>
        </w:rPr>
        <w:t>Détecter</w:t>
      </w:r>
      <w:r>
        <w:t xml:space="preserve"> les signes d'alerte (troubles humeur/suicidité sous montélukast ; signes de surdosage théophyllinique ; réaction anaphylactique sous omalizumab).</w:t>
      </w:r>
    </w:p>
    <w:p>
      <w:pPr>
        <w:pStyle w:val="ListBullet"/>
      </w:pPr>
      <w:r/>
      <w:r>
        <w:rPr>
          <w:b/>
        </w:rPr>
        <w:t>Orienter</w:t>
      </w:r>
      <w:r>
        <w:t xml:space="preserve"> le patient vers son médecin/pneumologue en cas d'aggravation ou d'EI sévère.</w:t>
      </w:r>
    </w:p>
    <w:p>
      <w:pPr>
        <w:pStyle w:val="Heading2"/>
      </w:pPr>
      <w:r>
        <w:t>2. Introduction à la sous-classe des antileucotriènes</w:t>
      </w:r>
    </w:p>
    <w:p>
      <w:r>
        <w:t xml:space="preserve">Les </w:t>
      </w:r>
      <w:r>
        <w:rPr>
          <w:b/>
        </w:rPr>
        <w:t>leucotriènes</w:t>
      </w:r>
      <w:r>
        <w:t xml:space="preserve"> (du grec </w:t>
      </w:r>
      <w:r>
        <w:rPr>
          <w:i/>
        </w:rPr>
        <w:t>leuko-</w:t>
      </w:r>
      <w:r>
        <w:t xml:space="preserve"> = blanc, </w:t>
      </w:r>
      <w:r>
        <w:rPr>
          <w:i/>
        </w:rPr>
        <w:t>-triene</w:t>
      </w:r>
      <w:r>
        <w:t xml:space="preserve"> = triple liaison conjuguée) sont des </w:t>
      </w:r>
      <w:r>
        <w:rPr>
          <w:b/>
        </w:rPr>
        <w:t>médiateurs lipidiques de l'inflammation</w:t>
      </w:r>
      <w:r>
        <w:t xml:space="preserve"> issus de la voie de la </w:t>
      </w:r>
      <w:r>
        <w:rPr>
          <w:b/>
        </w:rPr>
        <w:t>5-lipoxygénase (5-LOX)</w:t>
      </w:r>
      <w:r>
        <w:t xml:space="preserve"> à partir de l'acide arachidonique libéré par la phospholipase A2 (PLA2) à partir des phospholipides membranaires. Ils ont été identifiés en 1938 par Feldberg et Kellaway sous le nom de </w:t>
      </w:r>
      <w:r>
        <w:rPr>
          <w:i/>
        </w:rPr>
        <w:t>Slow Reacting Substance of Anaphylaxis</w:t>
      </w:r>
      <w:r>
        <w:t xml:space="preserve"> (SRS-A), puis leur structure chimique a été élucidée en 1979 par Samuelsson (prix Nobel 1982), qui les a baptisés « leucotriènes ». La SRS-A est en réalité un mélange de </w:t>
      </w:r>
      <w:r>
        <w:rPr>
          <w:b/>
        </w:rPr>
        <w:t>LTC4, LTD4 et LTE4</w:t>
      </w:r>
      <w:r>
        <w:t xml:space="preserve"> (leucotriènes cystéinylés, ou CysLTs), produits principalement par les </w:t>
      </w:r>
      <w:r>
        <w:rPr>
          <w:b/>
        </w:rPr>
        <w:t>mastocytes, éosinophiles, basophiles, macrophages alvéolaires</w:t>
      </w:r>
      <w:r>
        <w:t xml:space="preserve"> et certaines cellules dendritiques.</w:t>
      </w:r>
    </w:p>
    <w:p>
      <w:r/>
      <w:r>
        <w:rPr>
          <w:b/>
        </w:rPr>
        <w:t>Biosynthèse des leucotriènes :</w:t>
      </w:r>
      <w:r/>
    </w:p>
    <w:p>
      <w:pPr>
        <w:pStyle w:val="ListNumber"/>
      </w:pPr>
      <w:r/>
      <w:r>
        <w:rPr>
          <w:b/>
        </w:rPr>
        <w:t>Libération de l'acide arachidonique</w:t>
      </w:r>
      <w:r>
        <w:t xml:space="preserve"> : PLA2 (cytosolique cPLA2 activée par MAPK en réponse à un stimulus) hydrolyse les phospholipides membranaires (phosphatidylcholine) → libération d'acide arachidonique.</w:t>
      </w:r>
    </w:p>
    <w:p>
      <w:pPr>
        <w:pStyle w:val="ListNumber"/>
      </w:pPr>
      <w:r/>
      <w:r>
        <w:rPr>
          <w:b/>
        </w:rPr>
        <w:t>Voie de la 5-LOX</w:t>
      </w:r>
      <w:r>
        <w:t xml:space="preserve"> : la 5-lipoxygénase (5-LOX), avec l'aide de la </w:t>
      </w:r>
      <w:r>
        <w:rPr>
          <w:b/>
        </w:rPr>
        <w:t>5-LOX-activating protein (FLAP)</w:t>
      </w:r>
      <w:r>
        <w:t xml:space="preserve"> intégrée à la membrane nucléaire, convertit l'acide arachidonique en </w:t>
      </w:r>
      <w:r>
        <w:rPr>
          <w:b/>
        </w:rPr>
        <w:t>5-HPETE</w:t>
      </w:r>
      <w:r>
        <w:t xml:space="preserve"> (5-hydroperoxy-eicosatetraénoïque), puis en </w:t>
      </w:r>
      <w:r>
        <w:rPr>
          <w:b/>
        </w:rPr>
        <w:t>LTA4</w:t>
      </w:r>
      <w:r>
        <w:t xml:space="preserve"> (leucotriène A4, époxyde instable).</w:t>
      </w:r>
    </w:p>
    <w:p>
      <w:pPr>
        <w:pStyle w:val="ListNumber"/>
      </w:pPr>
      <w:r/>
      <w:r>
        <w:rPr>
          <w:b/>
        </w:rPr>
        <w:t>Branche LTA4 hydrolase</w:t>
      </w:r>
      <w:r>
        <w:t xml:space="preserve"> : LTA4 → </w:t>
      </w:r>
      <w:r>
        <w:rPr>
          <w:b/>
        </w:rPr>
        <w:t>LTB4</w:t>
      </w:r>
      <w:r>
        <w:t xml:space="preserve"> (leucotriène B4) — chimiotactique pour les polynucléaires neutrophiles (cible BLT1/BLT2).</w:t>
      </w:r>
    </w:p>
    <w:p>
      <w:pPr>
        <w:pStyle w:val="ListNumber"/>
      </w:pPr>
      <w:r/>
      <w:r>
        <w:rPr>
          <w:b/>
        </w:rPr>
        <w:t>Branche LTC4 synthase</w:t>
      </w:r>
      <w:r>
        <w:t xml:space="preserve"> : LTA4 + glutathion → </w:t>
      </w:r>
      <w:r>
        <w:rPr>
          <w:b/>
        </w:rPr>
        <w:t>LTC4</w:t>
      </w:r>
      <w:r>
        <w:t xml:space="preserve"> (leucotriène C4) — exporté hors de la cellule (transporteur MRP1/ABCC1).</w:t>
      </w:r>
    </w:p>
    <w:p>
      <w:pPr>
        <w:pStyle w:val="ListNumber"/>
      </w:pPr>
      <w:r/>
      <w:r>
        <w:rPr>
          <w:b/>
        </w:rPr>
        <w:t>Conversion extracellulaire</w:t>
      </w:r>
      <w:r>
        <w:t xml:space="preserve"> : LTC4 → </w:t>
      </w:r>
      <w:r>
        <w:rPr>
          <w:b/>
        </w:rPr>
        <w:t>LTD4</w:t>
      </w:r>
      <w:r>
        <w:t xml:space="preserve"> (par γ-glutamyl transpeptidase) → </w:t>
      </w:r>
      <w:r>
        <w:rPr>
          <w:b/>
        </w:rPr>
        <w:t>LTE4</w:t>
      </w:r>
      <w:r>
        <w:t xml:space="preserve"> (par dipeptidase) — les CysLTs (LTC4, LTD4, LTE4) sont les médiateurs de la SRS-A historique.</w:t>
      </w:r>
    </w:p>
    <w:p>
      <w:r/>
      <w:r>
        <w:rPr>
          <w:b/>
        </w:rPr>
        <w:t>Récepteurs des leucotriènes :</w:t>
      </w:r>
      <w:r/>
    </w:p>
    <w:p>
      <w:pPr>
        <w:pStyle w:val="ListBullet"/>
      </w:pPr>
      <w:r/>
      <w:r>
        <w:rPr>
          <w:b/>
        </w:rPr>
        <w:t>CysLT1 (CysLTR1)</w:t>
      </w:r>
      <w:r>
        <w:t xml:space="preserve"> : récepteur couplé aux protéines Gq/11, exprimé principalement sur les </w:t>
      </w:r>
      <w:r>
        <w:rPr>
          <w:b/>
        </w:rPr>
        <w:t>cellules musculaires lisses bronchiques</w:t>
      </w:r>
      <w:r>
        <w:t xml:space="preserve">, les mastocytes, les éosinophiles, les macrophages, les cellules endothéliales et épithéliales bronchiques. Son activation provoque : (i) </w:t>
      </w:r>
      <w:r>
        <w:rPr>
          <w:b/>
        </w:rPr>
        <w:t>bronchoconstriction</w:t>
      </w:r>
      <w:r>
        <w:t xml:space="preserve"> (1000 à 10 000 fois plus puissante que l'histamine — puissance de la LTD4 ≈ 200× l'histamine) ; (ii) </w:t>
      </w:r>
      <w:r>
        <w:rPr>
          <w:b/>
        </w:rPr>
        <w:t>augmentation de la perméabilité vasculaire</w:t>
      </w:r>
      <w:r>
        <w:t xml:space="preserve"> ; (iii) </w:t>
      </w:r>
      <w:r>
        <w:rPr>
          <w:b/>
        </w:rPr>
        <w:t>sécrétion de mucus</w:t>
      </w:r>
      <w:r>
        <w:t xml:space="preserve"> ; (iv) </w:t>
      </w:r>
      <w:r>
        <w:rPr>
          <w:b/>
        </w:rPr>
        <w:t>recrutement et survie éosinophilique</w:t>
      </w:r>
      <w:r>
        <w:t xml:space="preserve"> ; (v) </w:t>
      </w:r>
      <w:r>
        <w:rPr>
          <w:b/>
        </w:rPr>
        <w:t>prolifération des cellules musculaires lisses</w:t>
      </w:r>
      <w:r>
        <w:t xml:space="preserve"> (remodelage bronchique).</w:t>
      </w:r>
    </w:p>
    <w:p>
      <w:pPr>
        <w:pStyle w:val="ListBullet"/>
      </w:pPr>
      <w:r/>
      <w:r>
        <w:rPr>
          <w:b/>
        </w:rPr>
        <w:t>CysLT2 (CysLTR2)</w:t>
      </w:r>
      <w:r>
        <w:t xml:space="preserve"> : récepteur couplé aux protéines Gi/o, exprimé sur les cellules musculaires lisses vasculaires (cerveau, artères coronaires), les macrophages, les éosinophiles. Rôle moins bien caractérisé dans la bronchoconstriction.</w:t>
      </w:r>
    </w:p>
    <w:p>
      <w:pPr>
        <w:pStyle w:val="ListBullet"/>
      </w:pPr>
      <w:r/>
      <w:r>
        <w:rPr>
          <w:b/>
        </w:rPr>
        <w:t>LTE4 a également une affinité pour le récepteur P2Y12</w:t>
      </w:r>
      <w:r>
        <w:t xml:space="preserve"> (récepteur purinergique) et le récepteur CysLT₃/GRP17 (exprimé sur les cellules Th2 et les éosinophiles).</w:t>
      </w:r>
    </w:p>
    <w:p>
      <w:r/>
      <w:r>
        <w:rPr>
          <w:b/>
        </w:rPr>
        <w:t>Antileucotriènes disponibles.</w:t>
      </w:r>
      <w:r>
        <w:t xml:space="preserve"> Trois classes thérapeutiques ciblent la voie des leucotriènes :</w:t>
      </w:r>
    </w:p>
    <w:p>
      <w:pPr>
        <w:pStyle w:val="ListNumber"/>
      </w:pPr>
      <w:r/>
      <w:r>
        <w:rPr>
          <w:b/>
        </w:rPr>
        <w:t>Antagonistes des récepteurs CysLT1</w:t>
      </w:r>
      <w:r>
        <w:t xml:space="preserve"> (antagonistes compétitifs réversibles) :</w:t>
      </w:r>
    </w:p>
    <w:p>
      <w:pPr>
        <w:pStyle w:val="ListBullet"/>
      </w:pPr>
      <w:r/>
      <w:r>
        <w:rPr>
          <w:b/>
        </w:rPr>
        <w:t>Montélukast</w:t>
      </w:r>
      <w:r>
        <w:t xml:space="preserve"> (Singulair™, Merck — 1998) — disponible en Algérie (cf. fiche 1).</w:t>
      </w:r>
    </w:p>
    <w:p>
      <w:pPr>
        <w:pStyle w:val="ListBullet"/>
      </w:pPr>
      <w:r/>
      <w:r>
        <w:rPr>
          <w:b/>
        </w:rPr>
        <w:t>Zafirlukast</w:t>
      </w:r>
      <w:r>
        <w:t xml:space="preserve"> (Accolate™, AstraZeneca — 1996) — non commercialisé en Algérie.</w:t>
      </w:r>
    </w:p>
    <w:p>
      <w:pPr>
        <w:pStyle w:val="ListBullet"/>
      </w:pPr>
      <w:r/>
      <w:r>
        <w:rPr>
          <w:b/>
        </w:rPr>
        <w:t>Pranlukast</w:t>
      </w:r>
      <w:r>
        <w:t xml:space="preserve"> (Onon™, Ono — 1995, Japon uniquement) — non commercialisé en Algérie.</w:t>
      </w:r>
    </w:p>
    <w:p>
      <w:pPr>
        <w:pStyle w:val="ListNumber"/>
      </w:pPr>
      <w:r/>
      <w:r>
        <w:rPr>
          <w:b/>
        </w:rPr>
        <w:t>Inhibiteurs de la 5-LOX</w:t>
      </w:r>
      <w:r>
        <w:t xml:space="preserve"> :</w:t>
      </w:r>
    </w:p>
    <w:p>
      <w:pPr>
        <w:pStyle w:val="ListBullet"/>
      </w:pPr>
      <w:r/>
      <w:r>
        <w:rPr>
          <w:b/>
        </w:rPr>
        <w:t>Zileuton</w:t>
      </w:r>
      <w:r>
        <w:t xml:space="preserve"> (Zyflo™, Abbott — 1996, États-Unis) — non commercialisé en Europe ni en Algérie (hépatotoxicité, surveillance ALAT/ASAT toutes les 2–3 mois aux États-Unis).</w:t>
      </w:r>
    </w:p>
    <w:p>
      <w:pPr>
        <w:pStyle w:val="ListNumber"/>
      </w:pPr>
      <w:r/>
      <w:r>
        <w:rPr>
          <w:b/>
        </w:rPr>
        <w:t>Inhibiteurs de FLAP</w:t>
      </w:r>
      <w:r>
        <w:t xml:space="preserve"> :</w:t>
      </w:r>
    </w:p>
    <w:p>
      <w:pPr>
        <w:pStyle w:val="ListBullet"/>
      </w:pPr>
      <w:r/>
      <w:r>
        <w:rPr>
          <w:b/>
        </w:rPr>
        <w:t>Veliflapon</w:t>
      </w:r>
      <w:r>
        <w:t xml:space="preserve"> (BAY x1005) — développement interrompu.</w:t>
      </w:r>
    </w:p>
    <w:p>
      <w:pPr>
        <w:pStyle w:val="ListBullet"/>
      </w:pPr>
      <w:r/>
      <w:r>
        <w:rPr>
          <w:b/>
        </w:rPr>
        <w:t>Fevipiprant</w:t>
      </w:r>
      <w:r>
        <w:t xml:space="preserve"> (anti-CRTh2 / DP2) — alternative thérapeutique en développement.</w:t>
      </w:r>
    </w:p>
    <w:p>
      <w:r>
        <w:t xml:space="preserve">En Algérie (nomenclature Avril 2026), </w:t>
      </w:r>
      <w:r>
        <w:rPr>
          <w:b/>
        </w:rPr>
        <w:t>seul le montélukast</w:t>
      </w:r>
      <w:r>
        <w:t xml:space="preserve"> est commercialisé. Cette limitation du marché s'explique par la supériorité démontrée des CSI et des associations CSI + LABA sur les antileucotriènes dans la majorité des essais cliniques (montélukast inférieur aux CSI en monothérapie de l'asthme persistant, mais conserve une place comme alternative et comme add-on).</w:t>
      </w:r>
    </w:p>
    <w:p>
      <w:r/>
      <w:r>
        <w:rPr>
          <w:b/>
        </w:rPr>
        <w:t>Place thérapeutique du montélukast selon GINA 2024 :</w:t>
      </w:r>
      <w:r/>
    </w:p>
    <w:p>
      <w:pPr>
        <w:pStyle w:val="ListBullet"/>
      </w:pPr>
      <w:r/>
      <w:r>
        <w:rPr>
          <w:b/>
        </w:rPr>
        <w:t>Asthme persistant léger (stade 2, Track 2)</w:t>
      </w:r>
      <w:r>
        <w:t xml:space="preserve"> : alternative au CSI à faible dose, en particulier chez les patients refusant les inhalations ou présentant une rhinite allergique associée (efficacité sur les deux voies).</w:t>
      </w:r>
    </w:p>
    <w:p>
      <w:pPr>
        <w:pStyle w:val="ListBullet"/>
      </w:pPr>
      <w:r/>
      <w:r>
        <w:rPr>
          <w:b/>
        </w:rPr>
        <w:t>Asthme persistant modéré à sévère (stades 3–5)</w:t>
      </w:r>
      <w:r>
        <w:t xml:space="preserve"> : </w:t>
      </w:r>
      <w:r>
        <w:rPr>
          <w:b/>
        </w:rPr>
        <w:t>add-on</w:t>
      </w:r>
      <w:r>
        <w:t xml:space="preserve"> à l'association CSI + LABA, en particulier en cas de composante allergique (rhinite, dermatite atopique) ou d'asthme déclenché par l'exercice physique (efficacité du montélukast supérieure aux SABA dans l'asthme d'effort).</w:t>
      </w:r>
    </w:p>
    <w:p>
      <w:pPr>
        <w:pStyle w:val="ListBullet"/>
      </w:pPr>
      <w:r/>
      <w:r>
        <w:rPr>
          <w:b/>
        </w:rPr>
        <w:t>Asthme induit par l'exercice (AIE)</w:t>
      </w:r>
      <w:r>
        <w:t xml:space="preserve"> : traitement de première intention selon GINA 2024 (alternative au SABA en prévention, car l'utilisation répétée de SABA peut entraîner une tolérance et un mauvais contrôle).</w:t>
      </w:r>
    </w:p>
    <w:p>
      <w:pPr>
        <w:pStyle w:val="ListBullet"/>
      </w:pPr>
      <w:r/>
      <w:r>
        <w:rPr>
          <w:b/>
        </w:rPr>
        <w:t>Rhinite allergique</w:t>
      </w:r>
      <w:r>
        <w:t xml:space="preserve"> (saisonnière et perannuelle) : indiqué en monothérapie ou en association à un antihistaminique oral (efficacité modérée mais réelle sur les symptômes nasaux).</w:t>
      </w:r>
    </w:p>
    <w:p>
      <w:pPr>
        <w:pStyle w:val="ListBullet"/>
      </w:pPr>
      <w:r/>
      <w:r>
        <w:rPr>
          <w:b/>
        </w:rPr>
        <w:t>Bronchiolite du nourrisson à VRS</w:t>
      </w:r>
      <w:r>
        <w:t xml:space="preserve"> : en cours d'évaluation (étude EPIC, NEJM 2023) — pas d'indication validée en Algérie.</w:t>
      </w:r>
    </w:p>
    <w:p>
      <w:r/>
      <w:r>
        <w:rPr>
          <w:b/>
        </w:rPr>
        <w:t>Particularité réglementaire algérienne du montélukast.</w:t>
      </w:r>
      <w:r>
        <w:t xml:space="preserve"> Le montélukast est classé en </w:t>
      </w:r>
      <w:r>
        <w:rPr>
          <w:b/>
        </w:rPr>
        <w:t>Liste I</w:t>
      </w:r>
      <w:r>
        <w:t xml:space="preserve"> (substance vénéneuse, prescription médicale obligatoire) pour toutes les formes et dosages commercialisés. Le marché algérien se caractérise par une abondance de </w:t>
      </w:r>
      <w:r>
        <w:rPr>
          <w:b/>
        </w:rPr>
        <w:t>marques génériques</w:t>
      </w:r>
      <w:r>
        <w:t xml:space="preserve"> (11 marques actives pour la forme 10 mg, 8 marques actives pour les formes 4 mg et 5 mg pédiatriques), reflétant l'effort national de production de génériques (BIOPHARM, EL KENDI, BIOCARE, LDM, CONTINENTAL PHARM, GEOPHARM, DAR AL DAWA, PHARMALLIANCE, BEKER, HIKMA, ABDI IBRAHIM) et l'absence du princeps Singulair™ (Merck Sharp &amp; Dohme — retiré du marché algérien à toutes les dosages 4 mg / 5 mg / 10 mg, mais toujours actif pour la forme granulés pour solution buvable en sachet 4 mg).</w:t>
      </w:r>
    </w:p>
    <w:p>
      <w:r/>
      <w:r>
        <w:rPr>
          <w:b/>
        </w:rPr>
        <w:t>WARNING ANSM/FDA (mars 2020) sur les troubles neuropsychiatriques.</w:t>
      </w:r>
      <w:r>
        <w:t xml:space="preserve"> Ce point est </w:t>
      </w:r>
      <w:r>
        <w:rPr>
          <w:b/>
        </w:rPr>
        <w:t>critique</w:t>
      </w:r>
      <w:r>
        <w:t xml:space="preserve"> et constitue la principale préoccupation du pharmacien d'officine lors de la dispensation du montélukast. L'ANSM (lettre aux professionnels de santé du 4 mars 2020) et la FDA (Drug Safety Communication du 9 septembre 2019, </w:t>
      </w:r>
      <w:r>
        <w:rPr>
          <w:i/>
        </w:rPr>
        <w:t>Boxed Warning</w:t>
      </w:r>
      <w:r>
        <w:t xml:space="preserve"> ajouté en mars 2020) ont renforcé la mise en garde sur les </w:t>
      </w:r>
      <w:r>
        <w:rPr>
          <w:b/>
        </w:rPr>
        <w:t>effets indésirables neuropsychiatriques</w:t>
      </w:r>
      <w:r>
        <w:t xml:space="preserve"> du montélukast, en raison de cas rapportés (pharmacovigilance européenne — EudraVigilance — et américaine — FAERS) de :</w:t>
      </w:r>
    </w:p>
    <w:p>
      <w:pPr>
        <w:pStyle w:val="ListBullet"/>
      </w:pPr>
      <w:r>
        <w:t>Insomnie, cauchemars, somnambulisme (fréquents, ~1/100 à 1/10)</w:t>
      </w:r>
    </w:p>
    <w:p>
      <w:pPr>
        <w:pStyle w:val="ListBullet"/>
      </w:pPr>
      <w:r>
        <w:t>Anxiété, agitation, agressivité, irritabilité</w:t>
      </w:r>
    </w:p>
    <w:p>
      <w:pPr>
        <w:pStyle w:val="ListBullet"/>
      </w:pPr>
      <w:r>
        <w:t>Dépression (parfois sévère)</w:t>
      </w:r>
    </w:p>
    <w:p>
      <w:pPr>
        <w:pStyle w:val="ListBullet"/>
      </w:pPr>
      <w:r>
        <w:t>Troubles de l'attention et de la mémoire</w:t>
      </w:r>
    </w:p>
    <w:p>
      <w:pPr>
        <w:pStyle w:val="ListBullet"/>
      </w:pPr>
      <w:r>
        <w:t>Pensées anormales, hallucinations</w:t>
      </w:r>
    </w:p>
    <w:p>
      <w:pPr>
        <w:pStyle w:val="ListBullet"/>
      </w:pPr>
      <w:r/>
      <w:r>
        <w:rPr>
          <w:b/>
        </w:rPr>
        <w:t>Idées suicidaires, tentatives de suicide, suicide accompli</w:t>
      </w:r>
      <w:r>
        <w:t xml:space="preserve"> (rares, ~1/10 000 à 1/100 000, mais gravité extrême)</w:t>
      </w:r>
    </w:p>
    <w:p>
      <w:r>
        <w:t>La position des autorités sanitaires est la suivante :</w:t>
      </w:r>
    </w:p>
    <w:p>
      <w:pPr>
        <w:pStyle w:val="ListBullet"/>
      </w:pPr>
      <w:r>
        <w:t xml:space="preserve">Le montélukast doit être </w:t>
      </w:r>
      <w:r>
        <w:rPr>
          <w:b/>
        </w:rPr>
        <w:t>réservé aux patients intolérants ou non réponders aux CSI</w:t>
      </w:r>
      <w:r>
        <w:t xml:space="preserve"> dans l'asthme léger (stade 2 Track 2). Pour les stades 3 à 5, il est utilisé en add-on, mais le rapport bénéfice/risque doit être réévalué.</w:t>
      </w:r>
    </w:p>
    <w:p>
      <w:pPr>
        <w:pStyle w:val="ListBullet"/>
      </w:pPr>
      <w:r>
        <w:t xml:space="preserve">Pour la </w:t>
      </w:r>
      <w:r>
        <w:rPr>
          <w:b/>
        </w:rPr>
        <w:t>rhinite allergique</w:t>
      </w:r>
      <w:r>
        <w:t xml:space="preserve">, le montélukast doit être </w:t>
      </w:r>
      <w:r>
        <w:rPr>
          <w:b/>
        </w:rPr>
        <w:t>réservé aux patients non réponders aux antihistaminiques et aux corticoïdes nasaux</w:t>
      </w:r>
      <w:r>
        <w:t>, en raison du rapport bénéfice/risque défavorable.</w:t>
      </w:r>
    </w:p>
    <w:p>
      <w:pPr>
        <w:pStyle w:val="ListBullet"/>
      </w:pPr>
      <w:r/>
      <w:r>
        <w:rPr>
          <w:b/>
        </w:rPr>
        <w:t>Information du patient et de la famille obligatoire</w:t>
      </w:r>
      <w:r>
        <w:t xml:space="preserve"> : un dépliant d'information patient doit être remis à chaque dispensation (en France, une carte patient officielle ; en Algérie, information orale obligatoire par le pharmacien).</w:t>
      </w:r>
    </w:p>
    <w:p>
      <w:pPr>
        <w:pStyle w:val="ListBullet"/>
      </w:pPr>
      <w:r/>
      <w:r>
        <w:rPr>
          <w:b/>
        </w:rPr>
        <w:t>Arrêt immédiat</w:t>
      </w:r>
      <w:r>
        <w:t xml:space="preserve"> en cas d'apparition de tout symptôme neuropsychiatrique et consultation médicale.</w:t>
      </w:r>
    </w:p>
    <w:p>
      <w:r/>
      <w:r>
        <w:rPr>
          <w:b/>
        </w:rPr>
        <w:t>Profil pharmacocinétique du montélukast.</w:t>
      </w:r>
      <w:r>
        <w:t xml:space="preserve"> Le montélukast est bien absorbé par voie orale (biodisponibilité ~64 % à jeun, ~73 % avec un repas standard). Le </w:t>
      </w:r>
      <w:r>
        <w:rPr>
          <w:b/>
        </w:rPr>
        <w:t>Tmax</w:t>
      </w:r>
      <w:r>
        <w:t xml:space="preserve"> est atteint en 3 à 4 heures. La liaison aux protéines plasmatiques est élevée (~99 %, principalement l'albumine). Le métabolisme est hépatique, par </w:t>
      </w:r>
      <w:r>
        <w:rPr>
          <w:b/>
        </w:rPr>
        <w:t>CYP3A4 et CYP2C9</w:t>
      </w:r>
      <w:r>
        <w:t xml:space="preserve"> (avec contribution mineure de CYP1A2 et CYP2A6). Les métabolites sont inactifs (acides, hydroxylés, glucuroconjugués). La demi-vie d'élimination est de </w:t>
      </w:r>
      <w:r>
        <w:rPr>
          <w:b/>
        </w:rPr>
        <w:t>2,7 à 5,5 heures</w:t>
      </w:r>
      <w:r>
        <w:t xml:space="preserve"> chez l'adulte sain (plus longue chez l'adulte âgé, ~6–7 heures), mais l'effet pharmacodynamique persiste 24 heures (d'où une seule prise par jour). L'élimination est essentiellement </w:t>
      </w:r>
      <w:r>
        <w:rPr>
          <w:b/>
        </w:rPr>
        <w:t>bilique</w:t>
      </w:r>
      <w:r>
        <w:t xml:space="preserve"> (et fécale) ; moins de 0,2 % est éliminé sous forme inchangée dans les urines, ce qui permet son utilisation en insuffisance rénale sans adaptation posologique.</w:t>
      </w:r>
    </w:p>
    <w:p>
      <w:pPr>
        <w:pStyle w:val="Heading2"/>
      </w:pPr>
      <w:r>
        <w:t>3. Fiche DCI — Antileucotriène</w:t>
      </w:r>
    </w:p>
    <w:p>
      <w:pPr>
        <w:pStyle w:val="Heading3"/>
      </w:pPr>
      <w:r>
        <w:t>1. DCI : Montélukast (Seul)</w:t>
      </w:r>
    </w:p>
    <w:p>
      <w:r/>
      <w:r>
        <w:rPr>
          <w:b/>
        </w:rPr>
        <w:t>Liste des Catégories :</w:t>
      </w:r>
      <w:r>
        <w:t xml:space="preserve"> Antileucotriène ; Antagoniste compétitif et sélectif des récepteurs CysLT1 des leucotriènes cystéinylés (LTC4, LTD4, LTE4) ; Antiasthmatique de fond (alternative ou add-on) ; Anti-inflammatoire non stéroïdien (anti-médiateur) ; Traitement de la rhinite allergique ; Traitement de l'asthme induit par l'exercice ; Liste I (toutes formes et dosages) ; Prescription médicale obligatoire.</w:t>
      </w:r>
    </w:p>
    <w:p>
      <w:r>
        <w:t xml:space="preserve">Le montélukast (DCI : montélukast sodique, sel sodique de l'acide 1-{[(1R)-1-(3-(2-(7-chloroquinolyl-2)vinyl)phényl)-3-(2-(1-hydroxy-1-méthyléthyl)phényl)propyl]sulfanyl}méthyl]cyclopropaneacétique) est un </w:t>
      </w:r>
      <w:r>
        <w:rPr>
          <w:b/>
        </w:rPr>
        <w:t>antagoniste compétitif, sélectif et de haute affinité</w:t>
      </w:r>
      <w:r>
        <w:t xml:space="preserve"> des récepteurs CysLT1 (Ki ~0,5 nM), sans action sur les récepteurs CysLT2, BLT1/BLT2 ou P2Y12. Administré par voie orale en </w:t>
      </w:r>
      <w:r>
        <w:rPr>
          <w:b/>
        </w:rPr>
        <w:t>une seule prise par jour, le soir</w:t>
      </w:r>
      <w:r>
        <w:t xml:space="preserve"> (en raison d'une exacerbation physiologique nocturne des leucotriènes et d'une meilleure couverture nocturne), il est indiqué à partir de </w:t>
      </w:r>
      <w:r>
        <w:rPr>
          <w:b/>
        </w:rPr>
        <w:t>6 mois</w:t>
      </w:r>
      <w:r>
        <w:t xml:space="preserve"> (forme granulés 4 mg) dans l'asthme persistant et la rhinite allergique. Sa tolérance digestive est bonne, mais la </w:t>
      </w:r>
      <w:r>
        <w:rPr>
          <w:b/>
        </w:rPr>
        <w:t>surveillance neuropsychiatrique</w:t>
      </w:r>
      <w:r>
        <w:t xml:space="preserve"> est devenue le point central de la pharmacovigilance depuis le </w:t>
      </w:r>
      <w:r>
        <w:rPr>
          <w:i/>
        </w:rPr>
        <w:t>Boxed Warning</w:t>
      </w:r>
      <w:r>
        <w:t xml:space="preserve"> FDA 2020 et la lettre ANSM de mars 2020. Le marché algérien est saturé de génériques (11 marques actives à 10 mg, 8 marques actives à 4 mg et 5 mg pédiatriques), témoignant d'une large pénétration du médicament dans la pratique pneumologique et pédiatrique algérienne.</w:t>
      </w:r>
    </w:p>
    <w:p>
      <w:r/>
      <w:r>
        <w:rPr>
          <w:b/>
        </w:rPr>
        <w:t>Médicaments disponibles en Algérie (Marques, Laboratoires, Formes et Dosages) :</w:t>
      </w:r>
      <w:r/>
    </w:p>
    <w:p>
      <w:r/>
      <w:r>
        <w:rPr>
          <w:i/>
        </w:rPr>
        <w:t>Spécialités actives — Forme comprimé pelliculé 10 mg (adulte et adolescent ≥ 15 ans) :</w:t>
      </w:r>
      <w:r/>
    </w:p>
    <w:p>
      <w:pPr>
        <w:pStyle w:val="ListBullet"/>
      </w:pPr>
      <w:r/>
      <w:r>
        <w:rPr>
          <w:b/>
        </w:rPr>
        <w:t>MEXAM</w:t>
      </w:r>
      <w:r>
        <w:t xml:space="preserve"> (BIOPHARM) — Comprimé pelliculé 10 mg — Boîte de 30 — Liste I — Statut : Actif</w:t>
      </w:r>
    </w:p>
    <w:p>
      <w:pPr>
        <w:pStyle w:val="ListBullet"/>
      </w:pPr>
      <w:r/>
      <w:r>
        <w:rPr>
          <w:b/>
        </w:rPr>
        <w:t>MONKAST</w:t>
      </w:r>
      <w:r>
        <w:t xml:space="preserve"> (BIOCARE) — Comprimé pelliculé 10 mg — Boîte de 28 — Liste I — Statut : Actif</w:t>
      </w:r>
    </w:p>
    <w:p>
      <w:pPr>
        <w:pStyle w:val="ListBullet"/>
      </w:pPr>
      <w:r/>
      <w:r>
        <w:rPr>
          <w:b/>
        </w:rPr>
        <w:t>MONTEKAST</w:t>
      </w:r>
      <w:r>
        <w:t xml:space="preserve"> (LABORATOIRES DE DIAGNOSTIC MAGHREBINS-LDM) — Comprimé pelliculé 10 mg — Boîte de 30 — Liste I — Statut : Actif</w:t>
      </w:r>
    </w:p>
    <w:p>
      <w:pPr>
        <w:pStyle w:val="ListBullet"/>
      </w:pPr>
      <w:r/>
      <w:r>
        <w:rPr>
          <w:b/>
        </w:rPr>
        <w:t>MONTELAIR</w:t>
      </w:r>
      <w:r>
        <w:t xml:space="preserve"> (EL KENDI INDUSTRIE DU MEDICAMENT) — Comprimé pelliculé 10 mg — Boîte de 30 — Liste I — Statut : Actif</w:t>
      </w:r>
    </w:p>
    <w:p>
      <w:pPr>
        <w:pStyle w:val="ListBullet"/>
      </w:pPr>
      <w:r/>
      <w:r>
        <w:rPr>
          <w:b/>
        </w:rPr>
        <w:t>MONTELUDEX</w:t>
      </w:r>
      <w:r>
        <w:t xml:space="preserve"> (CONTINENTAL PHARM) — Comprimé à croquer 10 mg — Boîte de 30 — Liste I — Statut : Actif</w:t>
      </w:r>
    </w:p>
    <w:p>
      <w:pPr>
        <w:pStyle w:val="ListBullet"/>
      </w:pPr>
      <w:r/>
      <w:r>
        <w:rPr>
          <w:b/>
        </w:rPr>
        <w:t>MONTELUKAST BEKER</w:t>
      </w:r>
      <w:r>
        <w:t xml:space="preserve"> (LABORATOIRES BEKER) — Comprimé pelliculé 10 mg — Boîte de 30 — Liste I — Statut : Actif</w:t>
      </w:r>
    </w:p>
    <w:p>
      <w:pPr>
        <w:pStyle w:val="ListBullet"/>
      </w:pPr>
      <w:r/>
      <w:r>
        <w:rPr>
          <w:b/>
        </w:rPr>
        <w:t>MONTELUKAST GEO</w:t>
      </w:r>
      <w:r>
        <w:t xml:space="preserve"> (GEOPHARM) — Comprimé pelliculé 10 mg — Boîte de 30 — Liste I — Statut : Actif</w:t>
      </w:r>
    </w:p>
    <w:p>
      <w:pPr>
        <w:pStyle w:val="ListBullet"/>
      </w:pPr>
      <w:r/>
      <w:r>
        <w:rPr>
          <w:b/>
        </w:rPr>
        <w:t>MOTRINEX</w:t>
      </w:r>
      <w:r>
        <w:t xml:space="preserve"> (DAR AL DAWA) — Comprimé pelliculé 10 mg — Boîte de 30 — Liste I — Statut : Actif</w:t>
      </w:r>
    </w:p>
    <w:p>
      <w:pPr>
        <w:pStyle w:val="ListBullet"/>
      </w:pPr>
      <w:r/>
      <w:r>
        <w:rPr>
          <w:b/>
        </w:rPr>
        <w:t>ONCEAIR</w:t>
      </w:r>
      <w:r>
        <w:t xml:space="preserve"> (ABDI IBRAHIM REMEDE PHARMA) — Comprimé pelliculé 10 mg — Boîte de 28 — Liste I — Statut : Actif</w:t>
      </w:r>
    </w:p>
    <w:p>
      <w:pPr>
        <w:pStyle w:val="ListBullet"/>
      </w:pPr>
      <w:r/>
      <w:r>
        <w:rPr>
          <w:b/>
        </w:rPr>
        <w:t>SINGASM</w:t>
      </w:r>
      <w:r>
        <w:t xml:space="preserve"> (HIKMA PHARMA ALGERIA) — Comprimé pelliculé 10 mg — Boîte de 30 — Liste I — Statut : Actif</w:t>
      </w:r>
    </w:p>
    <w:p>
      <w:pPr>
        <w:pStyle w:val="ListBullet"/>
      </w:pPr>
      <w:r/>
      <w:r>
        <w:rPr>
          <w:b/>
        </w:rPr>
        <w:t>TEMOST</w:t>
      </w:r>
      <w:r>
        <w:t xml:space="preserve"> (PHARMALLIANCE) — Comprimé pelliculé 10 mg — Boîte de 30 — Liste I — Statut : Actif</w:t>
      </w:r>
    </w:p>
    <w:p>
      <w:r/>
      <w:r>
        <w:rPr>
          <w:i/>
        </w:rPr>
        <w:t>Spécialités actives — Forme comprimé à croquer 5 mg (enfant 6 à 14 ans) :</w:t>
      </w:r>
      <w:r/>
    </w:p>
    <w:p>
      <w:pPr>
        <w:pStyle w:val="ListBullet"/>
      </w:pPr>
      <w:r/>
      <w:r>
        <w:rPr>
          <w:b/>
        </w:rPr>
        <w:t>MEXAM</w:t>
      </w:r>
      <w:r>
        <w:t xml:space="preserve"> (BIOPHARM) — Comprimé à croquer 5 mg — Boîte de 30 — Liste I — Statut : Actif</w:t>
      </w:r>
    </w:p>
    <w:p>
      <w:pPr>
        <w:pStyle w:val="ListBullet"/>
      </w:pPr>
      <w:r/>
      <w:r>
        <w:rPr>
          <w:b/>
        </w:rPr>
        <w:t>MONKAST</w:t>
      </w:r>
      <w:r>
        <w:t xml:space="preserve"> (BIOCARE) — Comprimé à croquer 5 mg — Boîte de 28 — Liste I — Statut : Actif</w:t>
      </w:r>
    </w:p>
    <w:p>
      <w:pPr>
        <w:pStyle w:val="ListBullet"/>
      </w:pPr>
      <w:r/>
      <w:r>
        <w:rPr>
          <w:b/>
        </w:rPr>
        <w:t>MONTEKAST</w:t>
      </w:r>
      <w:r>
        <w:t xml:space="preserve"> (LABORATOIRES DE DIAGNOSTIC MAGHREBINS-LDM) — Comprimé à croquer 5 mg — Boîte de 30 — Liste I — Statut : Actif</w:t>
      </w:r>
    </w:p>
    <w:p>
      <w:pPr>
        <w:pStyle w:val="ListBullet"/>
      </w:pPr>
      <w:r/>
      <w:r>
        <w:rPr>
          <w:b/>
        </w:rPr>
        <w:t>MONTELAIR</w:t>
      </w:r>
      <w:r>
        <w:t xml:space="preserve"> (EL KENDI INDUSTRIE DU MEDICAMENT) — Comprimé à croquer 5 mg — Boîte de 30 — Liste I — Statut : Actif</w:t>
      </w:r>
    </w:p>
    <w:p>
      <w:pPr>
        <w:pStyle w:val="ListBullet"/>
      </w:pPr>
      <w:r/>
      <w:r>
        <w:rPr>
          <w:b/>
        </w:rPr>
        <w:t>MONTELUDEX</w:t>
      </w:r>
      <w:r>
        <w:t xml:space="preserve"> (CONTINENTAL PHARM) — Comprimé à croquer 5 mg — Boîte de 30 — Liste I — Statut : Actif</w:t>
      </w:r>
    </w:p>
    <w:p>
      <w:pPr>
        <w:pStyle w:val="ListBullet"/>
      </w:pPr>
      <w:r/>
      <w:r>
        <w:rPr>
          <w:b/>
        </w:rPr>
        <w:t>MONTELUKAST BEKER</w:t>
      </w:r>
      <w:r>
        <w:t xml:space="preserve"> (LABORATOIRES BEKER) — Comprimé à croquer 5 mg — Boîte de 30 — Liste I — Statut : Actif</w:t>
      </w:r>
    </w:p>
    <w:p>
      <w:pPr>
        <w:pStyle w:val="ListBullet"/>
      </w:pPr>
      <w:r/>
      <w:r>
        <w:rPr>
          <w:b/>
        </w:rPr>
        <w:t>MOTRINEX</w:t>
      </w:r>
      <w:r>
        <w:t xml:space="preserve"> (DAR AL DAWA) — Comprimé à croquer 5 mg — Boîte de 30 — Liste I — Statut : Actif</w:t>
      </w:r>
    </w:p>
    <w:p>
      <w:pPr>
        <w:pStyle w:val="ListBullet"/>
      </w:pPr>
      <w:r/>
      <w:r>
        <w:rPr>
          <w:b/>
        </w:rPr>
        <w:t>ONCEAIR</w:t>
      </w:r>
      <w:r>
        <w:t xml:space="preserve"> (ABDI IBRAHIM REMEDE PHARMA) — Comprimé à croquer 5 mg — Boîte de 28 — Liste I — Statut : Actif</w:t>
      </w:r>
    </w:p>
    <w:p>
      <w:pPr>
        <w:pStyle w:val="ListBullet"/>
      </w:pPr>
      <w:r/>
      <w:r>
        <w:rPr>
          <w:b/>
        </w:rPr>
        <w:t>SINGASM</w:t>
      </w:r>
      <w:r>
        <w:t xml:space="preserve"> (HIKMA PHARMA ALGERIA) — Comprimé à croquer 5 mg — Boîte de 30 — Liste I — Statut : Actif</w:t>
      </w:r>
    </w:p>
    <w:p>
      <w:r/>
      <w:r>
        <w:rPr>
          <w:i/>
        </w:rPr>
        <w:t>Spécialités actives — Forme comprimé à croquer 4 mg (enfant 2 à 5 ans) :</w:t>
      </w:r>
      <w:r/>
    </w:p>
    <w:p>
      <w:pPr>
        <w:pStyle w:val="ListBullet"/>
      </w:pPr>
      <w:r/>
      <w:r>
        <w:rPr>
          <w:b/>
        </w:rPr>
        <w:t>MONTEKAST</w:t>
      </w:r>
      <w:r>
        <w:t xml:space="preserve"> (LABORATOIRES DE DIAGNOSTIC MAGHREBINS-LDM) — Comprimé à croquer 4 mg — Boîte de 30 — Liste I — Statut : Actif</w:t>
      </w:r>
    </w:p>
    <w:p>
      <w:pPr>
        <w:pStyle w:val="ListBullet"/>
      </w:pPr>
      <w:r/>
      <w:r>
        <w:rPr>
          <w:b/>
        </w:rPr>
        <w:t>MONTELAIR</w:t>
      </w:r>
      <w:r>
        <w:t xml:space="preserve"> (EL KENDI INDUSTRIE DU MEDICAMENT) — Comprimé à croquer 4 mg — Boîte de 30 — Liste I — Statut : Actif</w:t>
      </w:r>
    </w:p>
    <w:p>
      <w:pPr>
        <w:pStyle w:val="ListBullet"/>
      </w:pPr>
      <w:r/>
      <w:r>
        <w:rPr>
          <w:b/>
        </w:rPr>
        <w:t>MONTELUDEX</w:t>
      </w:r>
      <w:r>
        <w:t xml:space="preserve"> (CONTINENTAL PHARM) — Comprimé à croquer 4 mg — Boîte de 30 — Liste I — Statut : Actif</w:t>
      </w:r>
    </w:p>
    <w:p>
      <w:pPr>
        <w:pStyle w:val="ListBullet"/>
      </w:pPr>
      <w:r/>
      <w:r>
        <w:rPr>
          <w:b/>
        </w:rPr>
        <w:t>MONTELUKAST BEKER</w:t>
      </w:r>
      <w:r>
        <w:t xml:space="preserve"> (LABORATOIRES BEKER) — Comprimé à croquer 4 mg — Boîte de 30 — Liste I — Statut : Actif</w:t>
      </w:r>
    </w:p>
    <w:p>
      <w:pPr>
        <w:pStyle w:val="ListBullet"/>
      </w:pPr>
      <w:r/>
      <w:r>
        <w:rPr>
          <w:b/>
        </w:rPr>
        <w:t>MOTRINEX</w:t>
      </w:r>
      <w:r>
        <w:t xml:space="preserve"> (DAR AL DAWA) — Comprimé à croquer 4 mg — Boîte de 30 — Liste I — Statut : Actif</w:t>
      </w:r>
    </w:p>
    <w:p>
      <w:pPr>
        <w:pStyle w:val="ListBullet"/>
      </w:pPr>
      <w:r/>
      <w:r>
        <w:rPr>
          <w:b/>
        </w:rPr>
        <w:t>ONCEAIR</w:t>
      </w:r>
      <w:r>
        <w:t xml:space="preserve"> (ABDI IBRAHIM REMEDE PHARMA) — Comprimé à croquer 4 mg — Boîte de 28 — Liste I — Statut : Actif</w:t>
      </w:r>
    </w:p>
    <w:p>
      <w:pPr>
        <w:pStyle w:val="ListBullet"/>
      </w:pPr>
      <w:r/>
      <w:r>
        <w:rPr>
          <w:b/>
        </w:rPr>
        <w:t>SINGASM</w:t>
      </w:r>
      <w:r>
        <w:t xml:space="preserve"> (HIKMA PHARMA ALGERIA) — Comprimé à croquer 4 mg — Boîte de 30 — Liste I — Statut : Actif</w:t>
      </w:r>
    </w:p>
    <w:p>
      <w:pPr>
        <w:pStyle w:val="ListBullet"/>
      </w:pPr>
      <w:r/>
      <w:r>
        <w:rPr>
          <w:b/>
        </w:rPr>
        <w:t>TEMOST</w:t>
      </w:r>
      <w:r>
        <w:t xml:space="preserve"> (PHARMALLIANCE) — Comprimé à croquer 4 mg — Boîte de 30 — Liste I — Statut : Actif</w:t>
      </w:r>
    </w:p>
    <w:p>
      <w:r/>
      <w:r>
        <w:rPr>
          <w:i/>
        </w:rPr>
        <w:t>Spécialités actives — Forme granulés pour suspension buvable en sachet-dose 4 mg (nourrisson 6 mois à 5 ans) :</w:t>
      </w:r>
      <w:r/>
    </w:p>
    <w:p>
      <w:pPr>
        <w:pStyle w:val="ListBullet"/>
      </w:pPr>
      <w:r/>
      <w:r>
        <w:rPr>
          <w:b/>
        </w:rPr>
        <w:t>MEXAM</w:t>
      </w:r>
      <w:r>
        <w:t xml:space="preserve"> (BIOPHARM) — Granulé 4 mg/sachet-dose — Boîte de 30 sachets-doses — Liste I — Statut : Actif</w:t>
      </w:r>
    </w:p>
    <w:p>
      <w:pPr>
        <w:pStyle w:val="ListBullet"/>
      </w:pPr>
      <w:r/>
      <w:r>
        <w:rPr>
          <w:b/>
        </w:rPr>
        <w:t>SINGULAIR</w:t>
      </w:r>
      <w:r>
        <w:t xml:space="preserve"> (MERCK SHARP &amp; DOHME LIMITED) — Granulé pour solution buvable en sachet-dose 4 mg — Boîte de 28 sachets — Liste I — Statut : Actif [spécialité princeps, uniquement forme encore commercialisée par MSD en Algérie]</w:t>
      </w:r>
    </w:p>
    <w:p>
      <w:r/>
      <w:r>
        <w:rPr>
          <w:i/>
        </w:rPr>
        <w:t>Spécialités retirées (R) — Singulair comprimés (Merck Sharp &amp; Dohme B.V.) :</w:t>
      </w:r>
      <w:r/>
    </w:p>
    <w:p>
      <w:pPr>
        <w:pStyle w:val="ListBullet"/>
      </w:pPr>
      <w:r/>
      <w:r>
        <w:rPr>
          <w:b/>
        </w:rPr>
        <w:t>SINGULAIR 10 mg</w:t>
      </w:r>
      <w:r>
        <w:t xml:space="preserve"> (MERCK SHARP &amp; DOHME B.V.) — Comprimé pelliculé 10 mg — Boîte de 28 — Liste I — Statut : Retiré (R) [princeps historique]</w:t>
      </w:r>
    </w:p>
    <w:p>
      <w:pPr>
        <w:pStyle w:val="ListBullet"/>
      </w:pPr>
      <w:r/>
      <w:r>
        <w:rPr>
          <w:b/>
        </w:rPr>
        <w:t>SINGULAIR 5 mg</w:t>
      </w:r>
      <w:r>
        <w:t xml:space="preserve"> (MERCK SHARP &amp; DOHME B.V.) — Comprimé à croquer 5 mg — Boîte de 28 — Liste I — Statut : Retiré (R)</w:t>
      </w:r>
    </w:p>
    <w:p>
      <w:pPr>
        <w:pStyle w:val="ListBullet"/>
      </w:pPr>
      <w:r/>
      <w:r>
        <w:rPr>
          <w:b/>
        </w:rPr>
        <w:t>SINGULAIR 4 mg</w:t>
      </w:r>
      <w:r>
        <w:t xml:space="preserve"> (MERCK SHARP &amp; DOHME B.V.) — Comprimé à croquer 4 mg — Boîte de 28 — Liste I — Statut : Retiré (R)</w:t>
      </w:r>
    </w:p>
    <w:p>
      <w:r/>
      <w:r>
        <w:rPr>
          <w:b/>
        </w:rPr>
        <w:t>Sous-classe et Mécanisme d'action :</w:t>
      </w:r>
      <w:r/>
    </w:p>
    <w:p>
      <w:pPr>
        <w:pStyle w:val="ListBullet"/>
      </w:pPr>
      <w:r/>
      <w:r>
        <w:rPr>
          <w:b/>
        </w:rPr>
        <w:t>Sous-classe</w:t>
      </w:r>
      <w:r>
        <w:t xml:space="preserve"> : Antileucotriène de type antagoniste compétitif sélectif des récepteurs CysLT1 (Cysteinyl Leukotriene Receptor 1) des leucotriènes cystéinylés (LTC4, LTD4, LTE4). Sous-classe apparentée à celle des antihistaminiques (anti-H1) par le concept « anti-médiateur de l'inflammation », mais la cible est ici un médiateur lipidique (leucotriène) et non une amine biogénique (histamine). Le montélukast est l'unique représentant des antileucotriènes commercialisé en Algérie.</w:t>
      </w:r>
    </w:p>
    <w:p>
      <w:pPr>
        <w:pStyle w:val="ListBullet"/>
      </w:pPr>
      <w:r/>
      <w:r>
        <w:rPr>
          <w:b/>
        </w:rPr>
        <w:t>Mécanisme d'action</w:t>
      </w:r>
      <w:r>
        <w:t xml:space="preserve"> : le montélukast se lie de manière </w:t>
      </w:r>
      <w:r>
        <w:rPr>
          <w:b/>
        </w:rPr>
        <w:t>compétitive, réversible et de haute affinité</w:t>
      </w:r>
      <w:r>
        <w:t xml:space="preserve"> (Ki ≈ 0,5 nM) au récepteur CysLT1, un récepteur couplé aux protéines Gq/11 exprimé principalement sur les cellules musculaires lisses bronchiques, les mastocytes, les éosinophiles, les macrophages, les cellules endothéliales et épithéliales bronchiques. En occupant le site de liaison du ligand naturel (LTD4 — agoniste le plus puissant des CysLT1, environ 200 fois plus bronchoconstricteur que l'histamine), le montélukast </w:t>
      </w:r>
      <w:r>
        <w:rPr>
          <w:b/>
        </w:rPr>
        <w:t>empêche l'activation du récepteur</w:t>
      </w:r>
      <w:r>
        <w:t xml:space="preserve"> par les leucotriènes endogènes. Les conséquences cellulaires sont multiples : (i) </w:t>
      </w:r>
      <w:r>
        <w:rPr>
          <w:b/>
        </w:rPr>
        <w:t>blocage de la bronchoconstriction</w:t>
      </w:r>
      <w:r>
        <w:t xml:space="preserve"> induite par LTD4 (effet direct sur les cellules musculaires lisses bronchiques — inhibition de la cascade Gq → PLC → IP3 → libération de Ca2+ intracellulaire → activation de la MLCK → phosphorylation de la chaîne légère de la myosine → contraction) ; (ii) </w:t>
      </w:r>
      <w:r>
        <w:rPr>
          <w:b/>
        </w:rPr>
        <w:t>réduction de la perméabilité vasculaire bronchique</w:t>
      </w:r>
      <w:r>
        <w:t xml:space="preserve"> (inhibition de la contraction des cellules endothéliales, prévention de l'œdème bronchique) ; (iii) </w:t>
      </w:r>
      <w:r>
        <w:rPr>
          <w:b/>
        </w:rPr>
        <w:t>diminution de la sécrétion de mucus</w:t>
      </w:r>
      <w:r>
        <w:t xml:space="preserve"> par les cellules calciques à mucus ; (iv) </w:t>
      </w:r>
      <w:r>
        <w:rPr>
          <w:b/>
        </w:rPr>
        <w:t>inhibition du recrutement et de la survie des éosinophiles</w:t>
      </w:r>
      <w:r>
        <w:t xml:space="preserve"> dans la muqueuse bronchique (baisse de la libération d'ECP — eosinophil cationic protein — et d'EDN — eosinophil-derived neurotoxin) ; (v) </w:t>
      </w:r>
      <w:r>
        <w:rPr>
          <w:b/>
        </w:rPr>
        <w:t>réduction de la prolifération des cellules musculaires lisses</w:t>
      </w:r>
      <w:r>
        <w:t xml:space="preserve"> (anti-remodelage). L'effet anti-inflammatoire du montélukast est cependant </w:t>
      </w:r>
      <w:r>
        <w:rPr>
          <w:b/>
        </w:rPr>
        <w:t>modéré</w:t>
      </w:r>
      <w:r>
        <w:t xml:space="preserve"> comparé à celui des CSI (baisse de 30 à 50 % de l'inflammation éosinophilique vs 70 à 90 % pour les CSI), ce qui explique son rôle d'alternative plutôt que de traitement de première intention dans l'asthme persistant.</w:t>
      </w:r>
    </w:p>
    <w:p>
      <w:pPr>
        <w:pStyle w:val="ListBullet"/>
      </w:pPr>
      <w:r/>
      <w:r>
        <w:rPr>
          <w:b/>
        </w:rPr>
        <w:t>Cibles pharmacologiques supplémentaires</w:t>
      </w:r>
      <w:r>
        <w:t xml:space="preserve"> : le montélukast inhibe également la </w:t>
      </w:r>
      <w:r>
        <w:rPr>
          <w:b/>
        </w:rPr>
        <w:t>5-LOX-activating protein (FLAP)</w:t>
      </w:r>
      <w:r>
        <w:t xml:space="preserve"> à forte concentration, et module l'expression du récepteur P2Y12 (récepteur de l'ADP plaquettaire, ce qui pourrait expliquer une légère activité anti-agrégante plaquettaire observée in vitro). Il n'a en revanche </w:t>
      </w:r>
      <w:r>
        <w:rPr>
          <w:b/>
        </w:rPr>
        <w:t>aucune affinité</w:t>
      </w:r>
      <w:r>
        <w:t xml:space="preserve"> pour les récepteurs CysLT2, BLT1 (récepteur du LTB4), H1 (histaminique), M3 (muscarinique) ou β2-adrénergique.</w:t>
      </w:r>
    </w:p>
    <w:p>
      <w:pPr>
        <w:pStyle w:val="ListBullet"/>
      </w:pPr>
      <w:r/>
      <w:r>
        <w:rPr>
          <w:b/>
        </w:rPr>
        <w:t>Sélectivité</w:t>
      </w:r>
      <w:r>
        <w:t xml:space="preserve"> : le montélukast est environ 10 000 fois plus sélectif pour CysLT1 que pour CysLT2 (Ki CysLT2 ≈ 5 µM), ce qui explique son profil d'efficacité et de tolérance.</w:t>
      </w:r>
    </w:p>
    <w:p>
      <w:r/>
      <w:r>
        <w:rPr>
          <w:b/>
        </w:rPr>
        <w:t>Profil Pharmacologique :</w:t>
      </w:r>
      <w:r/>
    </w:p>
    <w:p>
      <w:pPr>
        <w:pStyle w:val="ListBullet"/>
      </w:pPr>
      <w:r/>
      <w:r>
        <w:rPr>
          <w:b/>
        </w:rPr>
        <w:t>Indications</w:t>
      </w:r>
      <w:r>
        <w:t xml:space="preserve"> (selon le RCP et GINA 2024) :</w:t>
      </w:r>
    </w:p>
    <w:p>
      <w:pPr>
        <w:pStyle w:val="ListBullet"/>
      </w:pPr>
      <w:r/>
      <w:r>
        <w:rPr>
          <w:b/>
        </w:rPr>
        <w:t>Asthme persistant léger à modéré (stade 2 GINA 2024 Track 2)</w:t>
      </w:r>
      <w:r>
        <w:t xml:space="preserve"> : alternative au CSI à faible dose chez l'adulte et l'enfant ≥ 6 mois, en particulier chez les patients refusant ou incapables d'utiliser un inhalateur.</w:t>
      </w:r>
    </w:p>
    <w:p>
      <w:pPr>
        <w:pStyle w:val="ListBullet"/>
      </w:pPr>
      <w:r/>
      <w:r>
        <w:rPr>
          <w:b/>
        </w:rPr>
        <w:t>Asthme persistant modéré à sévère (stades 3 à 5)</w:t>
      </w:r>
      <w:r>
        <w:t xml:space="preserve"> : traitement add-on à l'association fixe CSI + LABA, en particulier en cas de composante allergique (rhinite, dermatite atopique) ou d'asthme déclenché par l'exercice.</w:t>
      </w:r>
    </w:p>
    <w:p>
      <w:pPr>
        <w:pStyle w:val="ListBullet"/>
      </w:pPr>
      <w:r/>
      <w:r>
        <w:rPr>
          <w:b/>
        </w:rPr>
        <w:t>Asthme induit par l'exercice (AIE)</w:t>
      </w:r>
      <w:r>
        <w:t xml:space="preserve"> : traitement prophylactique de première intention (efficacité supérieure aux SABA dans la prévention du bronchospasme d'effort, en raison d'une action prolongée 24 heures et d'une action anti-inflammatoire additive).</w:t>
      </w:r>
    </w:p>
    <w:p>
      <w:pPr>
        <w:pStyle w:val="ListBullet"/>
      </w:pPr>
      <w:r/>
      <w:r>
        <w:rPr>
          <w:b/>
        </w:rPr>
        <w:t>Rhinite allergique saisonnière</w:t>
      </w:r>
      <w:r>
        <w:t xml:space="preserve"> (à partir de 2 ans) et </w:t>
      </w:r>
      <w:r>
        <w:rPr>
          <w:b/>
        </w:rPr>
        <w:t>perannuelle</w:t>
      </w:r>
      <w:r>
        <w:t xml:space="preserve"> (à partir de 6 mois) : traitement symptomatique, en alternative aux antihistaminiques oraux et aux corticoïdes nasaux (ou en association). En raison du WARNING ANSM/FDA 2020, le montélukast doit être </w:t>
      </w:r>
      <w:r>
        <w:rPr>
          <w:b/>
        </w:rPr>
        <w:t>réservé aux patients non réponders</w:t>
      </w:r>
      <w:r>
        <w:t xml:space="preserve"> aux antihistaminiques et aux corticoïdes nasaux.</w:t>
      </w:r>
    </w:p>
    <w:p>
      <w:pPr>
        <w:pStyle w:val="ListBullet"/>
      </w:pPr>
      <w:r/>
      <w:r>
        <w:rPr>
          <w:b/>
        </w:rPr>
        <w:t>Urticaire chronique spontanée</w:t>
      </w:r>
      <w:r>
        <w:t xml:space="preserve"> (indication 2ᵉ ligne, en add-on aux antihistaminiques) — indication validée par l'EAACI/GA²LEN 2021 mais non inscrite dans le RCP algérien.</w:t>
      </w:r>
    </w:p>
    <w:p>
      <w:pPr>
        <w:pStyle w:val="ListBullet"/>
      </w:pPr>
      <w:r/>
      <w:r>
        <w:rPr>
          <w:b/>
        </w:rPr>
        <w:t>Eosinophilic granulomatosis with polyangiitis (EGPA, syndrome de Churg-Strauss)</w:t>
      </w:r>
      <w:r>
        <w:t xml:space="preserve"> : traitement add-on en cas d'asthme associé (en pratique spécialisée).</w:t>
      </w:r>
    </w:p>
    <w:p>
      <w:pPr>
        <w:pStyle w:val="ListBullet"/>
      </w:pPr>
      <w:r>
        <w:t>Non indiqué dans la BPCO (efficacité non démontrée).</w:t>
      </w:r>
    </w:p>
    <w:p>
      <w:pPr>
        <w:pStyle w:val="ListBullet"/>
      </w:pPr>
      <w:r/>
      <w:r>
        <w:rPr>
          <w:b/>
        </w:rPr>
        <w:t>Contre-indications</w:t>
      </w:r>
      <w:r>
        <w:t xml:space="preserve"> :</w:t>
      </w:r>
    </w:p>
    <w:p>
      <w:pPr>
        <w:pStyle w:val="ListBullet"/>
      </w:pPr>
      <w:r>
        <w:t>Hypersensibilité à la substance active ou à l'un des excipients (réactions anaphylactiques rapportées).</w:t>
      </w:r>
    </w:p>
    <w:p>
      <w:pPr>
        <w:pStyle w:val="ListBullet"/>
      </w:pPr>
      <w:r/>
      <w:r>
        <w:rPr>
          <w:b/>
        </w:rPr>
        <w:t>Antécédents de troubles psychiatriques sévères</w:t>
      </w:r>
      <w:r>
        <w:t xml:space="preserve"> (dépression, tentative de suicide, psychose) — prudence majeure, à discuter en fonction du rapport bénéfice/risque.</w:t>
      </w:r>
    </w:p>
    <w:p>
      <w:pPr>
        <w:pStyle w:val="ListBullet"/>
      </w:pPr>
      <w:r>
        <w:t>Phénylcétonurie (pour les comprimés à croquer contenant de l'aspartam — source de phénylalanine).</w:t>
      </w:r>
    </w:p>
    <w:p>
      <w:pPr>
        <w:pStyle w:val="ListBullet"/>
      </w:pPr>
      <w:r>
        <w:t>Enfant de moins de 6 mois (forme granulés 4 mg), moins de 2 ans (comprimé à croquer 4 mg), moins de 6 ans (comprimé à croquer 5 mg), moins de 15 ans (comprimé pelliculé 10 mg).</w:t>
      </w:r>
    </w:p>
    <w:p>
      <w:pPr>
        <w:pStyle w:val="ListBullet"/>
      </w:pPr>
      <w:r/>
      <w:r>
        <w:rPr>
          <w:b/>
        </w:rPr>
        <w:t>Grossesse</w:t>
      </w:r>
      <w:r>
        <w:t xml:space="preserve"> : à utiliser avec prudence en l'absence de données suffisantes (cf. section Grossesse).</w:t>
      </w:r>
    </w:p>
    <w:p>
      <w:pPr>
        <w:pStyle w:val="ListBullet"/>
      </w:pPr>
      <w:r/>
      <w:r>
        <w:rPr>
          <w:b/>
        </w:rPr>
        <w:t>Effets Indésirables</w:t>
      </w:r>
      <w:r>
        <w:t xml:space="preserve"> :</w:t>
      </w:r>
    </w:p>
    <w:p>
      <w:pPr>
        <w:pStyle w:val="ListBullet"/>
      </w:pPr>
      <w:r/>
      <w:r>
        <w:rPr>
          <w:b/>
        </w:rPr>
        <w:t>Troubles neuropsychiatriques (EI critique, WARNING ANSM/FDA mars 2020)</w:t>
      </w:r>
      <w:r>
        <w:t xml:space="preserve"> : insomnie (~2–5 %), cauchemars, rêves anormaux, somnambulisme (surtout chez l'enfant), anxiété, agitation, agressivité, irritabilité, dépression (parfois sévère), troubles de l'attention et de la mémoire, pensées anormales, hallucinations, désorientation, </w:t>
      </w:r>
      <w:r>
        <w:rPr>
          <w:b/>
        </w:rPr>
        <w:t>idées suicidaires, tentatives de suicide, suicide accompli</w:t>
      </w:r>
      <w:r>
        <w:t xml:space="preserve"> (rares mais gravité extrême). L'arrêt immédiat du montélukast est recommandé en cas d'apparition de tout symptôme neuropsychiatrique.</w:t>
      </w:r>
    </w:p>
    <w:p>
      <w:pPr>
        <w:pStyle w:val="ListBullet"/>
      </w:pPr>
      <w:r/>
      <w:r>
        <w:rPr>
          <w:b/>
        </w:rPr>
        <w:t>Troubles digestifs</w:t>
      </w:r>
      <w:r>
        <w:t xml:space="preserve"> : douleurs abdominales (~2–3 %), nausées, diarrhée, dyspepsie.</w:t>
      </w:r>
    </w:p>
    <w:p>
      <w:pPr>
        <w:pStyle w:val="ListBullet"/>
      </w:pPr>
      <w:r/>
      <w:r>
        <w:rPr>
          <w:b/>
        </w:rPr>
        <w:t>Troubles respiratoires</w:t>
      </w:r>
      <w:r>
        <w:t xml:space="preserve"> : infection des voies respiratoires supérieures (~2 %), toux, rhinopharyngite.</w:t>
      </w:r>
    </w:p>
    <w:p>
      <w:pPr>
        <w:pStyle w:val="ListBullet"/>
      </w:pPr>
      <w:r/>
      <w:r>
        <w:rPr>
          <w:b/>
        </w:rPr>
        <w:t>Troubles cutanés</w:t>
      </w:r>
      <w:r>
        <w:t xml:space="preserve"> : rash, eczéma, prurit ; rares cas de </w:t>
      </w:r>
      <w:r>
        <w:rPr>
          <w:b/>
        </w:rPr>
        <w:t>syndrome de Stevens-Johnson</w:t>
      </w:r>
      <w:r>
        <w:t xml:space="preserve"> et de </w:t>
      </w:r>
      <w:r>
        <w:rPr>
          <w:b/>
        </w:rPr>
        <w:t>nécrolyse épidermique toxique (NET)</w:t>
      </w:r>
      <w:r>
        <w:t xml:space="preserve"> — à signaler en pharmacovigilance.</w:t>
      </w:r>
    </w:p>
    <w:p>
      <w:pPr>
        <w:pStyle w:val="ListBullet"/>
      </w:pPr>
      <w:r/>
      <w:r>
        <w:rPr>
          <w:b/>
        </w:rPr>
        <w:t>Troubles hépatiques</w:t>
      </w:r>
      <w:r>
        <w:t xml:space="preserve"> : élévations des transaminases (ALAT, ASAT) — rares ; cas publiés d'hépatite cholestatique (à signaler).</w:t>
      </w:r>
    </w:p>
    <w:p>
      <w:pPr>
        <w:pStyle w:val="ListBullet"/>
      </w:pPr>
      <w:r/>
      <w:r>
        <w:rPr>
          <w:b/>
        </w:rPr>
        <w:t>Vascularite</w:t>
      </w:r>
      <w:r>
        <w:t xml:space="preserve"> avec éosinophilie (syndrome de Churg-Strauss) — rare, généralement lors de la décroissance des corticoïdes oraux chez les patients asthmatiques sévères.</w:t>
      </w:r>
    </w:p>
    <w:p>
      <w:pPr>
        <w:pStyle w:val="ListBullet"/>
      </w:pPr>
      <w:r/>
      <w:r>
        <w:rPr>
          <w:b/>
        </w:rPr>
        <w:t>Troubles musculaires</w:t>
      </w:r>
      <w:r>
        <w:t xml:space="preserve"> : arthralgies, myalgies, crampes (rares).</w:t>
      </w:r>
    </w:p>
    <w:p>
      <w:pPr>
        <w:pStyle w:val="ListBullet"/>
      </w:pPr>
      <w:r/>
      <w:r>
        <w:rPr>
          <w:b/>
        </w:rPr>
        <w:t>Troubles cardiaques</w:t>
      </w:r>
      <w:r>
        <w:t xml:space="preserve"> : palpitations (très rares).</w:t>
      </w:r>
    </w:p>
    <w:p>
      <w:pPr>
        <w:pStyle w:val="ListBullet"/>
      </w:pPr>
      <w:r/>
      <w:r>
        <w:rPr>
          <w:b/>
        </w:rPr>
        <w:t>Réactions d'hypersensibilité</w:t>
      </w:r>
      <w:r>
        <w:t xml:space="preserve"> : anaphylaxie, angio-œdème, prurit, urticaire, rash (rares mais possibles).</w:t>
      </w:r>
    </w:p>
    <w:p>
      <w:r/>
      <w:r>
        <w:rPr>
          <w:b/>
        </w:rPr>
        <w:t>Prévention et Gestion des Effets Indésirables :</w:t>
      </w:r>
      <w:r/>
    </w:p>
    <w:p>
      <w:pPr>
        <w:pStyle w:val="ListBullet"/>
      </w:pPr>
      <w:r/>
      <w:r>
        <w:rPr>
          <w:b/>
        </w:rPr>
        <w:t>Mesures Préventives</w:t>
      </w:r>
      <w:r>
        <w:t xml:space="preserve"> :</w:t>
      </w:r>
    </w:p>
    <w:p>
      <w:pPr>
        <w:pStyle w:val="ListBullet"/>
      </w:pPr>
      <w:r/>
      <w:r>
        <w:rPr>
          <w:b/>
        </w:rPr>
        <w:t>Information systématique du patient et de la famille</w:t>
      </w:r>
      <w:r>
        <w:t xml:space="preserve"> sur les EI neuropsychiatriques avant l'initiation du traitement. En France, une carte patient officielle est remise ; en Algérie, l'information orale obligatoire par le pharmacien et le médecin est indispensable. Les points clés à transmettre : (i) surveiller tout changement d'humeur, d'anxiété, de comportement, de sommeil ; (ii) prévenir le médecin en cas d'apparition de troubles dépressifs, d'idées suicidaires ou de cauchemars marqués ; (iii) le traitement est arrêtable immédiatement en cas d'effet indésirable (pas de sevrage nécessaire).</w:t>
      </w:r>
    </w:p>
    <w:p>
      <w:pPr>
        <w:pStyle w:val="ListBullet"/>
      </w:pPr>
      <w:r/>
      <w:r>
        <w:rPr>
          <w:b/>
        </w:rPr>
        <w:t>Évaluation du rapport bénéfice/risque avant initiation</w:t>
      </w:r>
      <w:r>
        <w:t xml:space="preserve"> : pour l'asthme léger (stade 2), préférer un CSI en première intention (Track 1 GINA 2024) ; pour la rhinite allergique, préférer les antihistaminiques et les corticoïdes nasaux en première intention.</w:t>
      </w:r>
    </w:p>
    <w:p>
      <w:pPr>
        <w:pStyle w:val="ListBullet"/>
      </w:pPr>
      <w:r/>
      <w:r>
        <w:rPr>
          <w:b/>
        </w:rPr>
        <w:t>Interrogatoire psychiatrique préalable</w:t>
      </w:r>
      <w:r>
        <w:t xml:space="preserve"> : antécédents personnels ou familiaux de dépression, de troubles anxieux, de tentative de suicide, de psychose — à discuter avec le médecin avant prescription.</w:t>
      </w:r>
    </w:p>
    <w:p>
      <w:pPr>
        <w:pStyle w:val="ListBullet"/>
      </w:pPr>
      <w:r/>
      <w:r>
        <w:rPr>
          <w:b/>
        </w:rPr>
        <w:t>Surveillance hépatique</w:t>
      </w:r>
      <w:r>
        <w:t xml:space="preserve"> : non systématique mais ALAT/ASAT à envisager en cas de symptomatologie (asthénie, ictère, urines foncées).</w:t>
      </w:r>
    </w:p>
    <w:p>
      <w:pPr>
        <w:pStyle w:val="ListBullet"/>
      </w:pPr>
      <w:r/>
      <w:r>
        <w:rPr>
          <w:b/>
        </w:rPr>
        <w:t>Surveillance de l'efficacité</w:t>
      </w:r>
      <w:r>
        <w:t xml:space="preserve"> : évaluation du contrôle de l'asthme (ACT — Asthma Control Test) à 1 mois, 3 mois, puis tous les 6 mois.</w:t>
      </w:r>
    </w:p>
    <w:p>
      <w:pPr>
        <w:pStyle w:val="ListBullet"/>
      </w:pPr>
      <w:r/>
      <w:r>
        <w:rPr>
          <w:b/>
        </w:rPr>
        <w:t>Conduite à Tenir</w:t>
      </w:r>
      <w:r>
        <w:t xml:space="preserve"> :</w:t>
      </w:r>
    </w:p>
    <w:p>
      <w:pPr>
        <w:pStyle w:val="ListBullet"/>
      </w:pPr>
      <w:r/>
      <w:r>
        <w:rPr>
          <w:b/>
        </w:rPr>
        <w:t>Apparition de troubles neuropsychiatriques</w:t>
      </w:r>
      <w:r>
        <w:t xml:space="preserve"> : </w:t>
      </w:r>
      <w:r>
        <w:rPr>
          <w:b/>
        </w:rPr>
        <w:t>arrêt immédiat</w:t>
      </w:r>
      <w:r>
        <w:t xml:space="preserve"> du montélukast (pas de sevrage progressif nécessaire), consultation médicale urgente en cas d'idées suicidaires (orientation vers un psychiatre ou service d'urgences). Déclaration en pharmacovigilance (centre régional de pharmacovigilance).</w:t>
      </w:r>
    </w:p>
    <w:p>
      <w:pPr>
        <w:pStyle w:val="ListBullet"/>
      </w:pPr>
      <w:r/>
      <w:r>
        <w:rPr>
          <w:b/>
        </w:rPr>
        <w:t>Élévation des transaminases &gt; 3× LSN</w:t>
      </w:r>
      <w:r>
        <w:t xml:space="preserve"> : arrêt du montélukast et bilan hépatique complet.</w:t>
      </w:r>
    </w:p>
    <w:p>
      <w:pPr>
        <w:pStyle w:val="ListBullet"/>
      </w:pPr>
      <w:r/>
      <w:r>
        <w:rPr>
          <w:b/>
        </w:rPr>
        <w:t>Rash cutané fébrile</w:t>
      </w:r>
      <w:r>
        <w:t xml:space="preserve"> : arrêt immédiat (suspect Stevens-Johnson/NET), consultation dermatologique urgente.</w:t>
      </w:r>
    </w:p>
    <w:p>
      <w:pPr>
        <w:pStyle w:val="ListBullet"/>
      </w:pPr>
      <w:r/>
      <w:r>
        <w:rPr>
          <w:b/>
        </w:rPr>
        <w:t>Anaphylaxie</w:t>
      </w:r>
      <w:r>
        <w:t xml:space="preserve"> : arrêt définitif, never rechallenge.</w:t>
      </w:r>
    </w:p>
    <w:p>
      <w:pPr>
        <w:pStyle w:val="ListBullet"/>
      </w:pPr>
      <w:r/>
      <w:r>
        <w:rPr>
          <w:b/>
        </w:rPr>
        <w:t>Syndrome de Churg-Strauss</w:t>
      </w:r>
      <w:r>
        <w:t xml:space="preserve"> (vascularite éosinophilique) : arrêt du montélukast, hospitalisation en pneumologie/médecine interne, corticothérapie générale.</w:t>
      </w:r>
    </w:p>
    <w:p>
      <w:r/>
      <w:r>
        <w:rPr>
          <w:b/>
        </w:rPr>
        <w:t>Interactions Importantes :</w:t>
      </w:r>
      <w:r/>
    </w:p>
    <w:p>
      <w:pPr>
        <w:pStyle w:val="ListBullet"/>
      </w:pPr>
      <w:r/>
      <w:r>
        <w:rPr>
          <w:b/>
        </w:rPr>
        <w:t>Montélukast + phénobarbital / phénytoïne / carbamazépine / rifampicine</w:t>
      </w:r>
      <w:r>
        <w:t xml:space="preserve"> (inducteurs du CYP3A4 et CYP2C9) : </w:t>
      </w:r>
      <w:r>
        <w:rPr>
          <w:b/>
        </w:rPr>
        <w:t>diminution des concentrations plasmatiques de montélukast</w:t>
      </w:r>
      <w:r>
        <w:t xml:space="preserve"> (baisse d'environ 40 % de l'AUC) — surveillance de l'efficacité, adaptation posologique éventuelle.</w:t>
      </w:r>
    </w:p>
    <w:p>
      <w:pPr>
        <w:pStyle w:val="ListBullet"/>
      </w:pPr>
      <w:r/>
      <w:r>
        <w:rPr>
          <w:b/>
        </w:rPr>
        <w:t>Montélukast + gemfibrozil</w:t>
      </w:r>
      <w:r>
        <w:t xml:space="preserve"> (inhibiteur puissant du CYP2C9 et OATP1B1) : </w:t>
      </w:r>
      <w:r>
        <w:rPr>
          <w:b/>
        </w:rPr>
        <w:t>augmentation des concentrations de montélukast</w:t>
      </w:r>
      <w:r>
        <w:t xml:space="preserve"> (multiplication par ~4,5 de l'AUC) — risque majoré d'EI, surveillance clinique accrue ; éviter l'association si possible.</w:t>
      </w:r>
    </w:p>
    <w:p>
      <w:pPr>
        <w:pStyle w:val="ListBullet"/>
      </w:pPr>
      <w:r/>
      <w:r>
        <w:rPr>
          <w:b/>
        </w:rPr>
        <w:t>Montélukast + itraconazole / kétoconazole / fluconazole</w:t>
      </w:r>
      <w:r>
        <w:t xml:space="preserve"> (inhibiteurs du CYP3A4) : augmentation modérée des concentrations de montélukast (environ ×2), sans nécessité d'adaptation posologique en pratique.</w:t>
      </w:r>
    </w:p>
    <w:p>
      <w:pPr>
        <w:pStyle w:val="ListBullet"/>
      </w:pPr>
      <w:r/>
      <w:r>
        <w:rPr>
          <w:b/>
        </w:rPr>
        <w:t>Montélukast + clarithromycine / érythromycine</w:t>
      </w:r>
      <w:r>
        <w:t xml:space="preserve"> : augmentation modérée des concentrations de montélukast, surveillance clinique.</w:t>
      </w:r>
    </w:p>
    <w:p>
      <w:pPr>
        <w:pStyle w:val="ListBullet"/>
      </w:pPr>
      <w:r/>
      <w:r>
        <w:rPr>
          <w:b/>
        </w:rPr>
        <w:t>Montélukast + warfarine / acénocoumarol</w:t>
      </w:r>
      <w:r>
        <w:t xml:space="preserve"> (AVK) : cas rapportés d'augmentation de l'INR (surveillance de l'INR à l'initiation et à l'arrêt du montélukast).</w:t>
      </w:r>
    </w:p>
    <w:p>
      <w:pPr>
        <w:pStyle w:val="ListBullet"/>
      </w:pPr>
      <w:r/>
      <w:r>
        <w:rPr>
          <w:b/>
        </w:rPr>
        <w:t>Montélukast + dextrométhorphane</w:t>
      </w:r>
      <w:r>
        <w:t xml:space="preserve"> : potentialisation des effets neurologiques (cauchemars, somnolence).</w:t>
      </w:r>
    </w:p>
    <w:p>
      <w:pPr>
        <w:pStyle w:val="ListBullet"/>
      </w:pPr>
      <w:r/>
      <w:r>
        <w:rPr>
          <w:b/>
        </w:rPr>
        <w:t>Montélukast + corticoïdes oraux</w:t>
      </w:r>
      <w:r>
        <w:t xml:space="preserve"> (prednisone) : pas d'interaction PK, mais risque majoré de syndrome de Churg-Strauss lors de la décroissance de la corticothérapie orale.</w:t>
      </w:r>
    </w:p>
    <w:p>
      <w:pPr>
        <w:pStyle w:val="ListBullet"/>
      </w:pPr>
      <w:r/>
      <w:r>
        <w:rPr>
          <w:b/>
        </w:rPr>
        <w:t>Montélukast + inhibitèurs de la monoamine oxydase (IMAO)</w:t>
      </w:r>
      <w:r>
        <w:t xml:space="preserve"> : éviter en raison d'un risque théorique d'effets neuropsychiatriques additifs.</w:t>
      </w:r>
    </w:p>
    <w:p>
      <w:pPr>
        <w:pStyle w:val="ListBullet"/>
      </w:pPr>
      <w:r/>
      <w:r>
        <w:rPr>
          <w:b/>
        </w:rPr>
        <w:t>Montélukast + alcool</w:t>
      </w:r>
      <w:r>
        <w:t xml:space="preserve"> : potentialisation des effets neurologiques (insomnie, anxiété) — éviter.</w:t>
      </w:r>
    </w:p>
    <w:p>
      <w:r/>
      <w:r>
        <w:rPr>
          <w:b/>
        </w:rPr>
        <w:t>Grossesse et Allaitement :</w:t>
      </w:r>
      <w:r/>
    </w:p>
    <w:p>
      <w:pPr>
        <w:pStyle w:val="ListBullet"/>
      </w:pPr>
      <w:r/>
      <w:r>
        <w:rPr>
          <w:b/>
        </w:rPr>
        <w:t>Grossesse</w:t>
      </w:r>
      <w:r>
        <w:t xml:space="preserve"> : selon le CRAT (Centre de Renseignement sur les Agents Tératogènes) et l'ANSM, le montélukast est </w:t>
      </w:r>
      <w:r>
        <w:rPr>
          <w:b/>
        </w:rPr>
        <w:t>compatible avec la grossesse</w:t>
      </w:r>
      <w:r>
        <w:t xml:space="preserve"> en cas de nécessité clinique. Les données observationnelles (registre Merck Pregnancy Registry &gt; 2000 exposées) n'ont pas montré d'augmentation du risque malformatif global ni de risque spécifique (pas de syndrome malformatif identifié). Cependant, en raison du passage placentaire (statut « caution »), le montélukast doit être </w:t>
      </w:r>
      <w:r>
        <w:rPr>
          <w:b/>
        </w:rPr>
        <w:t>réservé aux asthmatiques non contrôlées par les CSI inhalés</w:t>
      </w:r>
      <w:r>
        <w:t xml:space="preserve"> (qui restent le traitement de référence au cours de la grossesse). Ne pas initier un montélukast pour rhinite allergique isolée pendant la grossesse (préférer les antihistaminiques de 2ᵉ génération type cétirizine). En cas de grossesse prévue, ne pas arrêter un montélukast déjà efficace.</w:t>
      </w:r>
    </w:p>
    <w:p>
      <w:pPr>
        <w:pStyle w:val="ListBullet"/>
      </w:pPr>
      <w:r/>
      <w:r>
        <w:rPr>
          <w:b/>
        </w:rPr>
        <w:t>Allaitement</w:t>
      </w:r>
      <w:r>
        <w:t xml:space="preserve"> : le montélukast passe dans le lait maternel à concentrations très faibles (rapport lait/plasma ≈ 0,2) ; </w:t>
      </w:r>
      <w:r>
        <w:rPr>
          <w:b/>
        </w:rPr>
        <w:t>compatible avec l'allaitement</w:t>
      </w:r>
      <w:r>
        <w:t xml:space="preserve"> (CRAT, LactMed) selon le rapport bénéfice/risque. Surveillance de l'enfant allaité (somnolence, agitation, troubles digestifs) en cas de traitement maternel.</w:t>
      </w:r>
    </w:p>
    <w:p>
      <w:pPr>
        <w:pStyle w:val="ListBullet"/>
      </w:pPr>
      <w:r/>
      <w:r>
        <w:rPr>
          <w:b/>
        </w:rPr>
        <w:t>Précisions</w:t>
      </w:r>
      <w:r>
        <w:t xml:space="preserve"> : un asthme non contrôlé pendant la grossesse est </w:t>
      </w:r>
      <w:r>
        <w:rPr>
          <w:b/>
        </w:rPr>
        <w:t>plus dangereux pour le fœtus</w:t>
      </w:r>
      <w:r>
        <w:t xml:space="preserve"> que le traitement médicamenteux (risque d'hypotrophie fœtale, de prématurité, de pré-éclampsie maternelle, de mort fœtale in utero). L'objectif thérapeutique est donc un </w:t>
      </w:r>
      <w:r>
        <w:rPr>
          <w:b/>
        </w:rPr>
        <w:t>contrôle optimal de l'asthme</w:t>
      </w:r>
      <w:r>
        <w:t xml:space="preserve"> pendant la grossesse, en privilégiant les CSI inhalés comme socle et en réservant le montélukast aux cas non contrôlés.</w:t>
      </w:r>
    </w:p>
    <w:p>
      <w:r/>
      <w:r>
        <w:rPr>
          <w:b/>
        </w:rPr>
        <w:t>Posologie et Mode d'administration (Standard) :</w:t>
      </w:r>
      <w:r/>
    </w:p>
    <w:p>
      <w:pPr>
        <w:pStyle w:val="ListBullet"/>
      </w:pPr>
      <w:r/>
      <w:r>
        <w:rPr>
          <w:b/>
        </w:rPr>
        <w:t>Adulte et adolescent ≥ 15 ans</w:t>
      </w:r>
      <w:r>
        <w:t xml:space="preserve"> : </w:t>
      </w:r>
      <w:r>
        <w:rPr>
          <w:b/>
        </w:rPr>
        <w:t>10 mg en 1 prise par jour, le soir</w:t>
      </w:r>
      <w:r>
        <w:t xml:space="preserve"> (comprimé pelliculé 10 mg). À prendre avec ou sans nourriture (l'alimentation ne modifie pas significativement l'absorption). En cas d'oubli, ne pas doubler la dose.</w:t>
      </w:r>
    </w:p>
    <w:p>
      <w:pPr>
        <w:pStyle w:val="ListBullet"/>
      </w:pPr>
      <w:r/>
      <w:r>
        <w:rPr>
          <w:b/>
        </w:rPr>
        <w:t>Enfant 6 à 14 ans</w:t>
      </w:r>
      <w:r>
        <w:t xml:space="preserve"> : </w:t>
      </w:r>
      <w:r>
        <w:rPr>
          <w:b/>
        </w:rPr>
        <w:t>5 mg en 1 prise par jour, le soir</w:t>
      </w:r>
      <w:r>
        <w:t xml:space="preserve"> (comprimé à croquer 5 mg).</w:t>
      </w:r>
    </w:p>
    <w:p>
      <w:pPr>
        <w:pStyle w:val="ListBullet"/>
      </w:pPr>
      <w:r/>
      <w:r>
        <w:rPr>
          <w:b/>
        </w:rPr>
        <w:t>Enfant 2 à 5 ans</w:t>
      </w:r>
      <w:r>
        <w:t xml:space="preserve"> : </w:t>
      </w:r>
      <w:r>
        <w:rPr>
          <w:b/>
        </w:rPr>
        <w:t>4 mg en 1 prise par jour, le soir</w:t>
      </w:r>
      <w:r>
        <w:t xml:space="preserve"> (comprimé à croquer 4 mg).</w:t>
      </w:r>
    </w:p>
    <w:p>
      <w:pPr>
        <w:pStyle w:val="ListBullet"/>
      </w:pPr>
      <w:r/>
      <w:r>
        <w:rPr>
          <w:b/>
        </w:rPr>
        <w:t>Nourrisson 6 mois à 2 ans</w:t>
      </w:r>
      <w:r>
        <w:t xml:space="preserve"> : </w:t>
      </w:r>
      <w:r>
        <w:rPr>
          <w:b/>
        </w:rPr>
        <w:t>4 mg en 1 prise par jour, le soir</w:t>
      </w:r>
      <w:r>
        <w:t xml:space="preserve"> (granulés pour solution buvable en sachet-dose 4 mg). Le sachet peut être mélangé à une petite quantité d'aliment froid et mou (compote, yaourt, lait froid) — ne pas dissoudre dans un liquide.</w:t>
      </w:r>
    </w:p>
    <w:p>
      <w:pPr>
        <w:pStyle w:val="ListBullet"/>
      </w:pPr>
      <w:r/>
      <w:r>
        <w:rPr>
          <w:b/>
        </w:rPr>
        <w:t>Sujet âgé (&gt; 65 ans)</w:t>
      </w:r>
      <w:r>
        <w:t xml:space="preserve"> : pas d'adaptation posologique (la demi-vie est légèrement allongée mais sans conséquence clinique).</w:t>
      </w:r>
    </w:p>
    <w:p>
      <w:pPr>
        <w:pStyle w:val="ListBullet"/>
      </w:pPr>
      <w:r/>
      <w:r>
        <w:rPr>
          <w:b/>
        </w:rPr>
        <w:t>Insuffisant rénal</w:t>
      </w:r>
      <w:r>
        <w:t xml:space="preserve"> : pas d'adaptation posologique (élimination essentiellement biliaire).</w:t>
      </w:r>
    </w:p>
    <w:p>
      <w:pPr>
        <w:pStyle w:val="ListBullet"/>
      </w:pPr>
      <w:r/>
      <w:r>
        <w:rPr>
          <w:b/>
        </w:rPr>
        <w:t>Insuffisant hépatique légère à modérée</w:t>
      </w:r>
      <w:r>
        <w:t xml:space="preserve"> : pas d'adaptation. </w:t>
      </w:r>
      <w:r>
        <w:rPr>
          <w:b/>
        </w:rPr>
        <w:t>Insuffisance hépatique sévère</w:t>
      </w:r>
      <w:r>
        <w:t xml:space="preserve"> (Child-Pugh &gt; 9) : non évalué, à éviter.</w:t>
      </w:r>
    </w:p>
    <w:p>
      <w:pPr>
        <w:pStyle w:val="ListBullet"/>
      </w:pPr>
      <w:r/>
      <w:r>
        <w:rPr>
          <w:b/>
        </w:rPr>
        <w:t>Durée</w:t>
      </w:r>
      <w:r>
        <w:t xml:space="preserve"> : traitement au long cours (mois à années), réévaluation de l'efficacité tous les 3 à 6 mois. Pour la rhinite allergique saisonnière, traitement limité à la période pollinique.</w:t>
      </w:r>
    </w:p>
    <w:p>
      <w:pPr>
        <w:pStyle w:val="ListBullet"/>
      </w:pPr>
      <w:r/>
      <w:r>
        <w:rPr>
          <w:b/>
        </w:rPr>
        <w:t>Moment de la prise</w:t>
      </w:r>
      <w:r>
        <w:t xml:space="preserve"> : </w:t>
      </w:r>
      <w:r>
        <w:rPr>
          <w:b/>
        </w:rPr>
        <w:t>le soir</w:t>
      </w:r>
      <w:r>
        <w:t xml:space="preserve"> (préférence le soir en raison du pic physiologique nocturne des leucotriènes et de la fréquence de l'asthme nocturne ; améliore également l'observance).</w:t>
      </w:r>
    </w:p>
    <w:p>
      <w:r/>
      <w:r>
        <w:rPr>
          <w:b/>
        </w:rPr>
        <w:t>Arbitrage et Bénéfices des Formes Galéniques :</w:t>
      </w:r>
      <w:r/>
    </w:p>
    <w:p>
      <w:r>
        <w:t>Le marché algérien propose une diversité de formes galéniques adaptées à chaque tranche d'âge :</w:t>
      </w:r>
    </w:p>
    <w:p>
      <w:pPr>
        <w:pStyle w:val="ListBullet"/>
      </w:pPr>
      <w:r/>
      <w:r>
        <w:rPr>
          <w:b/>
        </w:rPr>
        <w:t>Comprimé pelliculé 10 mg</w:t>
      </w:r>
      <w:r>
        <w:t xml:space="preserve"> (MEXAM, MONKAST, MONTEKAST, MONTELAIR, MONTELUKAST BEKER, MONTELUKAST GEO, MOTRINEX, ONCEAIR, SINGASM, TEMOST) — forme de référence pour l'adulte et l'adolescent ≥ 15 ans. Les comprimés pelliculés doivent être </w:t>
      </w:r>
      <w:r>
        <w:rPr>
          <w:b/>
        </w:rPr>
        <w:t>avalés entiers</w:t>
      </w:r>
      <w:r>
        <w:t xml:space="preserve"> avec un verre d'eau, sans croquer ni écraser (la pellicule protège le principe actif de la lumière et de l'acidité gastrique).</w:t>
      </w:r>
    </w:p>
    <w:p>
      <w:pPr>
        <w:pStyle w:val="ListBullet"/>
      </w:pPr>
      <w:r/>
      <w:r>
        <w:rPr>
          <w:b/>
        </w:rPr>
        <w:t>Comprimé à croquer 10 mg</w:t>
      </w:r>
      <w:r>
        <w:t xml:space="preserve"> (MONTELUDEX) — alternative pour les patients ayant des difficultés à avaler les comprimés entiers (sujets âgés, patients avec dysphagie).</w:t>
      </w:r>
    </w:p>
    <w:p>
      <w:pPr>
        <w:pStyle w:val="ListBullet"/>
      </w:pPr>
      <w:r/>
      <w:r>
        <w:rPr>
          <w:b/>
        </w:rPr>
        <w:t>Comprimé à croquer 5 mg</w:t>
      </w:r>
      <w:r>
        <w:t xml:space="preserve"> (MEXAM, MONKAST, MONTEKAST, MONTELAIR, MONTELUDEX, MONTELUKAST BEKER, MOTRINEX, ONCEAIR, SINGASM) — pour l'enfant 6–14 ans ; la forme à croquer facilite l'administration et améliore l'observance.</w:t>
      </w:r>
    </w:p>
    <w:p>
      <w:pPr>
        <w:pStyle w:val="ListBullet"/>
      </w:pPr>
      <w:r/>
      <w:r>
        <w:rPr>
          <w:b/>
        </w:rPr>
        <w:t>Comprimé à croquer 4 mg</w:t>
      </w:r>
      <w:r>
        <w:t xml:space="preserve"> (MONTEKAST, MONTELAIR, MONTELUDEX, MONTELUKAST BEKER, MOTRINEX, ONCEAIR, SINGASM, TEMOST) — pour l'enfant 2–5 ans.</w:t>
      </w:r>
    </w:p>
    <w:p>
      <w:pPr>
        <w:pStyle w:val="ListBullet"/>
      </w:pPr>
      <w:r/>
      <w:r>
        <w:rPr>
          <w:b/>
        </w:rPr>
        <w:t>Granulés pour solution buvable 4 mg</w:t>
      </w:r>
      <w:r>
        <w:t xml:space="preserve"> (MEXAM, SINGULAIR princeps) — pour le nourrisson 6 mois–5 ans ; peut être mélangé à un aliment froid et mou. Avantage : administration facile chez le nourrisson, flexibilité (peut être donné au biberon). Inconvénient : conditionnement en sachet monodose, conservation à température ambiante.</w:t>
      </w:r>
    </w:p>
    <w:p>
      <w:r/>
      <w:r>
        <w:rPr>
          <w:b/>
        </w:rPr>
        <w:t>Substitution entre marques</w:t>
      </w:r>
      <w:r>
        <w:t xml:space="preserve"> : la pluralité des marques génériques algériennes (11 marques à 10 mg, 8 à 4 mg et 5 mg) rend la substitution aisée, mais le pharmacien doit vérifier la </w:t>
      </w:r>
      <w:r>
        <w:rPr>
          <w:b/>
        </w:rPr>
        <w:t>forme galénique</w:t>
      </w:r>
      <w:r>
        <w:t xml:space="preserve"> (pelliculé vs à croquer) et le </w:t>
      </w:r>
      <w:r>
        <w:rPr>
          <w:b/>
        </w:rPr>
        <w:t>dosage</w:t>
      </w:r>
      <w:r>
        <w:t xml:space="preserve"> avant substitution. La substitution entre MEXAM comprimé pelliculé 10 mg (BIOPHARM) et MONTELUDEX comprimé à croquer 10 mg (CONTINENTAL PHARM) n'est pas une simple substitution de marque mais un changement de forme galénique pouvant affecter l'observance (patient habitué à avaler le comprimé vs à le croquer). Vérifier avec le patient sa préférence et son mode d'administration habituel.</w:t>
      </w:r>
    </w:p>
    <w:p>
      <w:r/>
      <w:r>
        <w:rPr>
          <w:b/>
        </w:rPr>
        <w:t>Instructions et Conseils au Patient :</w:t>
      </w:r>
      <w:r/>
    </w:p>
    <w:p>
      <w:pPr>
        <w:pStyle w:val="ListBullet"/>
      </w:pPr>
      <w:r/>
      <w:r>
        <w:rPr>
          <w:b/>
        </w:rPr>
        <w:t>Communication au comptoir</w:t>
      </w:r>
      <w:r>
        <w:t xml:space="preserve"> : « Ce médicament est un </w:t>
      </w:r>
      <w:r>
        <w:rPr>
          <w:b/>
        </w:rPr>
        <w:t>antiasthmatique de fond</w:t>
      </w:r>
      <w:r>
        <w:t xml:space="preserve"> qui agit en bloquant l'action des leucotriènes, des substances naturelles produites par votre organisme lors de la réaction allergique et inflammatoire, responsables de la bronchoconstriction. Il se prend </w:t>
      </w:r>
      <w:r>
        <w:rPr>
          <w:b/>
        </w:rPr>
        <w:t>une seule fois par jour, le soir</w:t>
      </w:r>
      <w:r>
        <w:t xml:space="preserve"> (à heure fixe si possible), avec ou sans nourriture. </w:t>
      </w:r>
      <w:r>
        <w:rPr>
          <w:b/>
        </w:rPr>
        <w:t>Attention : ce médicament peut exceptionnellement provoquer des effets indésirables sur l'humeur et le comportement</w:t>
      </w:r>
      <w:r>
        <w:t xml:space="preserve"> — cauchemars, insomnie, anxiété, agitation, idées tristes, voire, très rarement, des idées suicidaires. </w:t>
      </w:r>
      <w:r>
        <w:rPr>
          <w:b/>
        </w:rPr>
        <w:t>Si vous ou votre famille constatez un changement d'humeur, de comportement ou de sommeil, arrêtez le traitement et prévenez votre médecin immédiatement</w:t>
      </w:r>
      <w:r>
        <w:t xml:space="preserve"> — le médicament peut être arrêté brutalement sans risque de sevrage. Ce médicament </w:t>
      </w:r>
      <w:r>
        <w:rPr>
          <w:b/>
        </w:rPr>
        <w:t>ne soigne pas la crise d'asthme aiguë</w:t>
      </w:r>
      <w:r>
        <w:t xml:space="preserve"> — gardez toujours votre inhalateur de secours (salbutamol) à portée de main. </w:t>
      </w:r>
      <w:r>
        <w:rPr>
          <w:b/>
        </w:rPr>
        <w:t>Prenez-le tous les jours</w:t>
      </w:r>
      <w:r>
        <w:t>, même si vous allez bien, car c'est un traitement préventif. Pour le nourrisson (granulés 4 mg) : mélanger le contenu du sachet dans une petite cuillère à soupe de compote ou de yaourt froid — ne pas diluer dans un liquide. Pour l'enfant (comprimé à croquer) : le comprimé doit être mâché avant déglutition. »</w:t>
      </w:r>
    </w:p>
    <w:p>
      <w:pPr>
        <w:pStyle w:val="ListBullet"/>
      </w:pPr>
      <w:r/>
      <w:r>
        <w:rPr>
          <w:b/>
        </w:rPr>
        <w:t>Mode d'utilisation pratique</w:t>
      </w:r>
      <w:r>
        <w:t xml:space="preserve"> :</w:t>
      </w:r>
    </w:p>
    <w:p>
      <w:pPr>
        <w:pStyle w:val="ListBullet"/>
      </w:pPr>
      <w:r/>
      <w:r>
        <w:rPr>
          <w:b/>
        </w:rPr>
        <w:t>Comprimé pelliculé 10 mg</w:t>
      </w:r>
      <w:r>
        <w:t xml:space="preserve"> : à avaler entier avec un grand verre d'eau, sans croquer ni écraser. Heure de prise : le soir, à heure fixe.</w:t>
      </w:r>
    </w:p>
    <w:p>
      <w:pPr>
        <w:pStyle w:val="ListBullet"/>
      </w:pPr>
      <w:r/>
      <w:r>
        <w:rPr>
          <w:b/>
        </w:rPr>
        <w:t>Comprimé à croquer 4 mg / 5 mg / 10 mg</w:t>
      </w:r>
      <w:r>
        <w:t xml:space="preserve"> : à mâcher jusqu'à désagrégation complète, puis déglutir. Peut être pris avec ou sans nourriture.</w:t>
      </w:r>
    </w:p>
    <w:p>
      <w:pPr>
        <w:pStyle w:val="ListBullet"/>
      </w:pPr>
      <w:r/>
      <w:r>
        <w:rPr>
          <w:b/>
        </w:rPr>
        <w:t>Granulés 4 mg sachet</w:t>
      </w:r>
      <w:r>
        <w:t xml:space="preserve"> : ouvrir le sachet, verser le contenu sur une cuillère à soupe de compote froide (pomme, poire), de yaourt, de riz au lait, ou de lait froid. Mélanger et donner dans les 15 minutes qui suivent. Ne pas dissoudre dans un liquide. Ne pas mélanger avec un aliment chaud (altération du principe actif).</w:t>
      </w:r>
    </w:p>
    <w:p>
      <w:pPr>
        <w:pStyle w:val="ListBullet"/>
      </w:pPr>
      <w:r/>
      <w:r>
        <w:rPr>
          <w:b/>
        </w:rPr>
        <w:t>Oubli d'une dose</w:t>
      </w:r>
      <w:r>
        <w:t xml:space="preserve"> : ne pas doubler la dose. Si l'oubli est découvert le matin suivant, prendre immédiatement la dose ; si la découverte a lieu le soir à l'heure habituelle de prise, prendre la dose du soir normalement. Ne pas prendre 2 doses le même jour.</w:t>
      </w:r>
    </w:p>
    <w:p>
      <w:pPr>
        <w:pStyle w:val="ListBullet"/>
      </w:pPr>
      <w:r/>
      <w:r>
        <w:rPr>
          <w:b/>
        </w:rPr>
        <w:t>Efficacité à attendre</w:t>
      </w:r>
      <w:r>
        <w:t xml:space="preserve"> : le montélukast n'est pas un bronchodilatateur d'action rapide ; son effet plein s'exprime après 1 à 2 semaines de traitement régulier.</w:t>
      </w:r>
    </w:p>
    <w:p>
      <w:r/>
      <w:r>
        <w:rPr>
          <w:b/>
        </w:rPr>
        <w:t>Notes, Règles d'Or &amp; Pièges au Comptoir :</w:t>
      </w:r>
      <w:r/>
    </w:p>
    <w:p>
      <w:pPr>
        <w:pStyle w:val="ListBullet"/>
      </w:pPr>
      <w:r/>
      <w:r>
        <w:rPr>
          <w:b/>
        </w:rPr>
        <w:t>Piège classique</w:t>
      </w:r>
      <w:r>
        <w:t xml:space="preserve"> : le </w:t>
      </w:r>
      <w:r>
        <w:rPr>
          <w:b/>
        </w:rPr>
        <w:t>WARNING ANSM/FDA (mars 2020) sur les troubles neuropsychiatriques</w:t>
      </w:r>
      <w:r>
        <w:t xml:space="preserve"> est le piège majeur de cette molécule. </w:t>
      </w:r>
      <w:r>
        <w:rPr>
          <w:b/>
        </w:rPr>
        <w:t>Toujours informer le patient et la famille</w:t>
      </w:r>
      <w:r>
        <w:t xml:space="preserve"> (surtout pour les enfants et les adolescents) de la possibilité d'EI neuropsychiatriques — cauchemars, insomnie, anxiété, dépression, idées suicidaires. Le pharmacien doit s'assurer que le médecin a bien évalué le rapport bénéfice/risque avant initiation, en particulier pour la rhinite allergique (où l'indication est plus restrictive depuis 2020).</w:t>
      </w:r>
    </w:p>
    <w:p>
      <w:pPr>
        <w:pStyle w:val="ListBullet"/>
      </w:pPr>
      <w:r/>
      <w:r>
        <w:rPr>
          <w:b/>
        </w:rPr>
        <w:t>Règle de prise</w:t>
      </w:r>
      <w:r>
        <w:t xml:space="preserve"> : </w:t>
      </w:r>
      <w:r>
        <w:rPr>
          <w:b/>
        </w:rPr>
        <w:t>une seule prise par jour, le soir</w:t>
      </w:r>
      <w:r>
        <w:t>, à heure fixe. La prise le soir est justifiée par le pic physiologique nocturne des leucotriènes et la fréquence de l'asthme nocturne.</w:t>
      </w:r>
    </w:p>
    <w:p>
      <w:pPr>
        <w:pStyle w:val="ListBullet"/>
      </w:pPr>
      <w:r/>
      <w:r>
        <w:rPr>
          <w:b/>
        </w:rPr>
        <w:t>Préparation et Conservation</w:t>
      </w:r>
      <w:r>
        <w:t xml:space="preserve"> : conserver à température ambiante (≤ 25 °C), à l'abri de la lumière et de l'humidité. Les granulés en sachet doivent être utilisés dans les 15 minutes suivant l'ouverture du sachet (ne pas conserver le mélange alimentaire pour une prise ultérieure). Tenir hors de portée des enfants.</w:t>
      </w:r>
    </w:p>
    <w:p>
      <w:pPr>
        <w:pStyle w:val="ListBullet"/>
      </w:pPr>
      <w:r/>
      <w:r>
        <w:rPr>
          <w:b/>
        </w:rPr>
        <w:t>Piège du surdosage / Substitution</w:t>
      </w:r>
      <w:r>
        <w:t xml:space="preserve"> :</w:t>
      </w:r>
    </w:p>
    <w:p>
      <w:pPr>
        <w:pStyle w:val="ListBullet"/>
      </w:pPr>
      <w:r>
        <w:t xml:space="preserve">Le surdosage en montélukast (cas rapportés jusqu'à 1000 mg en une prise chez l'adulte, 80 mg chez l'enfant) se manifeste principalement par des </w:t>
      </w:r>
      <w:r>
        <w:rPr>
          <w:b/>
        </w:rPr>
        <w:t>troubles digestifs</w:t>
      </w:r>
      <w:r>
        <w:t xml:space="preserve"> (nausées, vomissements, douleurs abdominales, diarrhée), une </w:t>
      </w:r>
      <w:r>
        <w:rPr>
          <w:b/>
        </w:rPr>
        <w:t>somnolence</w:t>
      </w:r>
      <w:r>
        <w:t xml:space="preserve">, une </w:t>
      </w:r>
      <w:r>
        <w:rPr>
          <w:b/>
        </w:rPr>
        <w:t>augmentation de la soif</w:t>
      </w:r>
      <w:r>
        <w:t xml:space="preserve">, des </w:t>
      </w:r>
      <w:r>
        <w:rPr>
          <w:b/>
        </w:rPr>
        <w:t>céphalées</w:t>
      </w:r>
      <w:r>
        <w:t xml:space="preserve">, des </w:t>
      </w:r>
      <w:r>
        <w:rPr>
          <w:b/>
        </w:rPr>
        <w:t>convulsions</w:t>
      </w:r>
      <w:r>
        <w:t xml:space="preserve"> (rares). Traitement symptomatique, pas d'antidote spécifique.</w:t>
      </w:r>
    </w:p>
    <w:p>
      <w:pPr>
        <w:pStyle w:val="ListBullet"/>
      </w:pPr>
      <w:r/>
      <w:r>
        <w:rPr>
          <w:b/>
        </w:rPr>
        <w:t>Ne pas substituer un comprimé pelliculé par un comprimé à croquer</w:t>
      </w:r>
      <w:r>
        <w:t xml:space="preserve"> sans information claire du patient — le mode d'administration diffère.</w:t>
      </w:r>
    </w:p>
    <w:p>
      <w:pPr>
        <w:pStyle w:val="ListBullet"/>
      </w:pPr>
      <w:r/>
      <w:r>
        <w:rPr>
          <w:b/>
        </w:rPr>
        <w:t>Ne pas substituer le montélukast par la théophylline</w:t>
      </w:r>
      <w:r>
        <w:t xml:space="preserve"> ou par un autre antileucotriène (zafirlukast, non disponible en Algérie) sans avis médical.</w:t>
      </w:r>
    </w:p>
    <w:p>
      <w:pPr>
        <w:pStyle w:val="ListBullet"/>
      </w:pPr>
      <w:r>
        <w:t>Le montélukast n'est pas un substitut au traitement de secours (SABA — salbutamol) qui doit toujours être à portée de main du patient.</w:t>
      </w:r>
    </w:p>
    <w:p>
      <w:pPr>
        <w:pStyle w:val="ListBullet"/>
      </w:pPr>
      <w:r/>
      <w:r>
        <w:rPr>
          <w:b/>
        </w:rPr>
        <w:t>Ne pas arrêter brutalement un montélukast déjà efficace</w:t>
      </w:r>
      <w:r>
        <w:t xml:space="preserve"> sans avis médical (risque de rebond inflammatoire), sauf en cas d'apparition d'EI neuropsychiatriques (arrêt immédiat recommandé).</w:t>
      </w:r>
    </w:p>
    <w:p>
      <w:pPr>
        <w:pStyle w:val="Heading2"/>
      </w:pPr>
      <w:r>
        <w:t>4. Introduction à la sous-classe des dérivés xanthiques (théophylline)</w:t>
      </w:r>
    </w:p>
    <w:p>
      <w:r>
        <w:t xml:space="preserve">Les </w:t>
      </w:r>
      <w:r>
        <w:rPr>
          <w:b/>
        </w:rPr>
        <w:t>dérivés xanthiques</w:t>
      </w:r>
      <w:r>
        <w:t xml:space="preserve"> (ou méthylxanthines) sont des molécules apparentées à la </w:t>
      </w:r>
      <w:r>
        <w:rPr>
          <w:b/>
        </w:rPr>
        <w:t>caféine</w:t>
      </w:r>
      <w:r>
        <w:t xml:space="preserve"> (1,3,7-triméthylxanthine), à la </w:t>
      </w:r>
      <w:r>
        <w:rPr>
          <w:b/>
        </w:rPr>
        <w:t>théobromine</w:t>
      </w:r>
      <w:r>
        <w:t xml:space="preserve"> (3,7-diméthylxanthine, présente dans le cacao) et à la </w:t>
      </w:r>
      <w:r>
        <w:rPr>
          <w:b/>
        </w:rPr>
        <w:t>théophylline</w:t>
      </w:r>
      <w:r>
        <w:t xml:space="preserve"> (1,3-diméthylxanthine, présente dans le thé). La théophylline a été isolée en 1888 par Albrecht Kossel (prix Nobel 1910) à partir de feuilles de thé, et son utilisation thérapeutique dans l'asthme remonte aux années 1930–1940 (commercialisée en France à partir de 1937 sous le nom de </w:t>
      </w:r>
      <w:r>
        <w:rPr>
          <w:i/>
        </w:rPr>
        <w:t>Théostat</w:t>
      </w:r>
      <w:r>
        <w:t xml:space="preserve">™, puis </w:t>
      </w:r>
      <w:r>
        <w:rPr>
          <w:i/>
        </w:rPr>
        <w:t>Dilatrate</w:t>
      </w:r>
      <w:r>
        <w:t>™). L'</w:t>
      </w:r>
      <w:r>
        <w:rPr>
          <w:b/>
        </w:rPr>
        <w:t>aminophylline</w:t>
      </w:r>
      <w:r>
        <w:t xml:space="preserve"> (théophylline + éthylènediamine, plus soluble) a longtemps été utilisée en injection IV dans la crise d'asthme aiguë sévère (mécanisme d'action rapide, moins utilisé aujourd'hui en raison des alternatives β2-mimétiques plus sûrs).</w:t>
      </w:r>
    </w:p>
    <w:p>
      <w:r/>
      <w:r>
        <w:rPr>
          <w:b/>
        </w:rPr>
        <w:t>Mécanisme d'action des méthylxanthines.</w:t>
      </w:r>
      <w:r>
        <w:t xml:space="preserve"> Historiquement, le mécanisme d'action principal était attribué à l'</w:t>
      </w:r>
      <w:r>
        <w:rPr>
          <w:b/>
        </w:rPr>
        <w:t>inhibition non sélective des phosphodiestérases (PDE)</w:t>
      </w:r>
      <w:r>
        <w:t xml:space="preserve">, en particulier PDE3 (catabolisme de l'AMPc) et PDE4 (catabolisme de l'AMPc dans les cellules inflammatoires), avec une moindre inhibition de PDE5 (catabolisme du GMPc). Cette inhibition entraîne une </w:t>
      </w:r>
      <w:r>
        <w:rPr>
          <w:b/>
        </w:rPr>
        <w:t>augmentation de l'AMPc intracellulaire</w:t>
      </w:r>
      <w:r>
        <w:t xml:space="preserve"> dans les cellules musculaires lisses bronchiques (relaxation, bronchodilatation) et dans les cellules inflammatoires (réduction de l'activation, de la dégranulation mastocytaire et de la libération de cytokines), ainsi qu'une </w:t>
      </w:r>
      <w:r>
        <w:rPr>
          <w:b/>
        </w:rPr>
        <w:t>augmentation du GMPc</w:t>
      </w:r>
      <w:r>
        <w:t xml:space="preserve"> (relaxation vasculaire). Cependant, cette inhibition n'est complète qu'à des concentrations </w:t>
      </w:r>
      <w:r>
        <w:rPr>
          <w:b/>
        </w:rPr>
        <w:t>supérieures à 10⁻⁴ mol/L</w:t>
      </w:r>
      <w:r>
        <w:t xml:space="preserve"> (soit ~20 mg/L), donc à la limite supérieure de la zone thérapeutique (et au-delà), ce qui suggère que ce mécanisme n'explique pas l'effet bronchodilatateur observé à 5–10 mg/L.</w:t>
      </w:r>
    </w:p>
    <w:p>
      <w:r>
        <w:t>Le mécanisme principal aux concentrations thérapeutiques est désormais attribué à l'</w:t>
      </w:r>
      <w:r>
        <w:rPr>
          <w:b/>
        </w:rPr>
        <w:t>inhibition de l'histone déacétylase 2 (HDAC2)</w:t>
      </w:r>
      <w:r>
        <w:t xml:space="preserve"> — enzyme nucléaire qui déacétyle les histones et réprime la transcription des gènes pro-inflammatoires (en particulier ceux régulés par NF-κB). En inhibant HDAC2 à des concentrations aussi faibles que 10⁻⁵ mol/L (~2 mg/L), la théophylline agit comme un </w:t>
      </w:r>
      <w:r>
        <w:rPr>
          <w:b/>
        </w:rPr>
        <w:t>anti-inflammatoire épigénétique</w:t>
      </w:r>
      <w:r>
        <w:t xml:space="preserve">, restaurant la sensibilité aux corticoïdes (qui agissent également en recrutant HDAC2 via le GRα). Cette action </w:t>
      </w:r>
      <w:r>
        <w:rPr>
          <w:b/>
        </w:rPr>
        <w:t>synergique avec les CSI</w:t>
      </w:r>
      <w:r>
        <w:t xml:space="preserve"> est probablement le mécanisme principal expliquant l'efficacité de faibles doses de théophylline en add-on aux CSI dans l'asthme sévère corticorésistant (concept de </w:t>
      </w:r>
      <w:r>
        <w:rPr>
          <w:i/>
        </w:rPr>
        <w:t>low-dose theophylline</w:t>
      </w:r>
      <w:r>
        <w:t xml:space="preserve"> — 5–10 mg/L).</w:t>
      </w:r>
    </w:p>
    <w:p>
      <w:r>
        <w:t>Un mécanisme secondaire est l'</w:t>
      </w:r>
      <w:r>
        <w:rPr>
          <w:b/>
        </w:rPr>
        <w:t>antagonisme des récepteurs adénosiques A1 et A2A</w:t>
      </w:r>
      <w:r>
        <w:t xml:space="preserve"> (récepteurs couplés aux protéines Gi et Gs respectivement). L'adénosine, libérée au cours de l'hypoxie et de l'inflammation, provoque bronchoconstriction (via A1 sur les cellules musculaires lisses), vasodilatation, dégranulation mastocytaire et inhibition de la libération de neurotransmetteurs. En bloquant ces récepteurs, la théophylline prévient la bronchoconstriction adénosine-induite (effet particulièrement important chez les asthmatiques). L'antagonisme des récepteurs A2A cérébraux explique également une partie des effets indésirables centraux (insomnie, anxiété, convulsions à fortes doses).</w:t>
      </w:r>
    </w:p>
    <w:p>
      <w:r/>
      <w:r>
        <w:rPr>
          <w:b/>
        </w:rPr>
        <w:t>Pharmacocinétique de la théophylline.</w:t>
      </w:r>
      <w:r>
        <w:t xml:space="preserve"> La théophylline est bien absorbée par voie orale (biodisponibilité ~90–100 %), avec un Tmax de 1–2 heures pour les formes à libération immédiate et 4–8 heures pour les formes LP (libération prolongée). La liaison aux protéines plasmatiques est de ~60 % (principalement l'albumine). Le métabolisme est </w:t>
      </w:r>
      <w:r>
        <w:rPr>
          <w:b/>
        </w:rPr>
        <w:t>hépatique</w:t>
      </w:r>
      <w:r>
        <w:t xml:space="preserve">, par </w:t>
      </w:r>
      <w:r>
        <w:rPr>
          <w:b/>
        </w:rPr>
        <w:t>CYP1A2</w:t>
      </w:r>
      <w:r>
        <w:t xml:space="preserve"> (à ~80 %, déméthylation en 1-méthylxanthine puis 1-méthylurique via xanthine oxydase), </w:t>
      </w:r>
      <w:r>
        <w:rPr>
          <w:b/>
        </w:rPr>
        <w:t>CYP2E1</w:t>
      </w:r>
      <w:r>
        <w:t xml:space="preserve"> (8-hydroxylation en 1,3-diméthylurique) et dans une moindre mesure CYP3A4. La demi-vie d'élimination est </w:t>
      </w:r>
      <w:r>
        <w:rPr>
          <w:b/>
        </w:rPr>
        <w:t>très variable selon les individus</w:t>
      </w:r>
      <w:r>
        <w:t xml:space="preserve"> : 3 heures chez le fumeur adulte (induction du CYP1A2 par les hydrocarbures aromatiques polycycliques de la fumée de tabac), 8 heures chez l'adulte non-fumeur, 20–30 heures chez le prématuré (CYP1A2 immature), 4 heures chez l'enfant (métabolisme rapide). La clairance est réduite en cas d'insuffisance hépatique, d'insuffisance cardiaque, de pneumopathie aiguë, de fièvre élevée (&gt; 39 °C), et chez le sujet âgé.</w:t>
      </w:r>
    </w:p>
    <w:p>
      <w:r/>
      <w:r>
        <w:rPr>
          <w:b/>
        </w:rPr>
        <w:t>Index thérapeutique étroit.</w:t>
      </w:r>
      <w:r>
        <w:t xml:space="preserve"> C'est la caractéristique fondamentale de la théophylline : la zone thérapeutique est de </w:t>
      </w:r>
      <w:r>
        <w:rPr>
          <w:b/>
        </w:rPr>
        <w:t>5 à 15 mg/L</w:t>
      </w:r>
      <w:r>
        <w:t xml:space="preserve"> (soit 28 à 83 µmol/L). En dessous de 5 mg/L, efficacité insuffisante ; au-dessus de 15 mg/L, toxicité croissante (céphalées, nausées, insomnie, tachycardie, hypokaliémie) ; au-dessus de 20 mg/L, risque de convulsions et d'arythmies cardiaques graves ; au-dessus de 40 mg/L, risque de décès. Cette fenêtre étroite justifie la </w:t>
      </w:r>
      <w:r>
        <w:rPr>
          <w:b/>
        </w:rPr>
        <w:t>surveillance systématique de la théophyllinémie</w:t>
      </w:r>
      <w:r>
        <w:t xml:space="preserve"> (dosage plasmatique) à l'équilibre (5 demi-vies après initiation ou modification posologique, soit ~24–48 heures chez l'adulte non-fumeur), avec adaptations posologiques fines. La variabilité interindividuelle du métabolisme (effets du tabagisme, des interactions médicamenteuses, de l'âge, des comorbidités) rend cette surveillance obligatoire.</w:t>
      </w:r>
    </w:p>
    <w:p>
      <w:r/>
      <w:r>
        <w:rPr>
          <w:b/>
        </w:rPr>
        <w:t>Place thérapeutique de la théophylline selon GINA 2024 et GOLD 2024 :</w:t>
      </w:r>
      <w:r/>
    </w:p>
    <w:p>
      <w:pPr>
        <w:pStyle w:val="ListBullet"/>
      </w:pPr>
      <w:r/>
      <w:r>
        <w:rPr>
          <w:b/>
        </w:rPr>
        <w:t>Asthme persistant (stade 4–5)</w:t>
      </w:r>
      <w:r>
        <w:t xml:space="preserve"> : la théophylline à faible dose (5–10 mg/L) peut être utilisée en </w:t>
      </w:r>
      <w:r>
        <w:rPr>
          <w:b/>
        </w:rPr>
        <w:t>add-on</w:t>
      </w:r>
      <w:r>
        <w:t xml:space="preserve"> à l'association CSI + LABA, en particulier en cas d'asthme corticorésistant (effet de restauration de la sensibilité aux CSI via HDAC2). Cependant, le rapport bénéfice/risque est défavorable par rapport aux alternatives modernes (antileucotriènes, anti-IgE, anti-IL-5), et la théophylline est désormais considérée comme un traitement de 3ᵉ ou 4ᵉ intention.</w:t>
      </w:r>
    </w:p>
    <w:p>
      <w:pPr>
        <w:pStyle w:val="ListBullet"/>
      </w:pPr>
      <w:r/>
      <w:r>
        <w:rPr>
          <w:b/>
        </w:rPr>
        <w:t>BPCO (GOLD 2024)</w:t>
      </w:r>
      <w:r>
        <w:t xml:space="preserve"> : la théophylline à libération prolongée peut être utilisée en add-on chez les patients BPCO non contrôlés sous bronchodilatateurs de longue durée d'action (LABA + LAMA), en particulier dans les pays à faible revenu où les alternatives ne sont pas disponibles. Le rapport bénéfice/risque est défavorable.</w:t>
      </w:r>
    </w:p>
    <w:p>
      <w:pPr>
        <w:pStyle w:val="ListBullet"/>
      </w:pPr>
      <w:r/>
      <w:r>
        <w:rPr>
          <w:b/>
        </w:rPr>
        <w:t>Apnée du sommeil du prématuré</w:t>
      </w:r>
      <w:r>
        <w:t xml:space="preserve"> (indication pédiatrique historique) : la théophylline (ou la caféine, désormais préférée) est utilisée par voie IV ou orale pour réduire les apnées centrales du prématuré par stimulation des centres respiratoires bulbaires. Indication non couverte par la nomenclature algérienne pour la théophylline adulte (formes pédiatriques non commercialisées en Algérie).</w:t>
      </w:r>
    </w:p>
    <w:p>
      <w:r/>
      <w:r>
        <w:rPr>
          <w:b/>
        </w:rPr>
        <w:t>Particularité du marché algérien.</w:t>
      </w:r>
      <w:r>
        <w:t xml:space="preserve"> La théophylline a connu en Algérie une large diffusion dans les années 1970–2000, avec de multiples spécialités (DILATRANE, THEOSTAT, THEOBID, ASMAPHYL, THEOPHYLLINE BRUNEAU, en comprimés LP, sirop, suppositoires, solution injectable). La tendance mondiale à l'abandon progressif de la théophylline (remplacée par les LABA, les CSI, les associations fixes et les biothérapies) s'est traduite en Algérie par le </w:t>
      </w:r>
      <w:r>
        <w:rPr>
          <w:b/>
        </w:rPr>
        <w:t>retrait de la quasi-totalité des spécialités</w:t>
      </w:r>
      <w:r>
        <w:t xml:space="preserve"> du marché. À la nomenclature Avril 2026, </w:t>
      </w:r>
      <w:r>
        <w:rPr>
          <w:b/>
        </w:rPr>
        <w:t>une seule spécialité reste active</w:t>
      </w:r>
      <w:r>
        <w:t xml:space="preserve"> : </w:t>
      </w:r>
      <w:r>
        <w:rPr>
          <w:b/>
        </w:rPr>
        <w:t>DIFFUMAX 200 mg comprimé sécable à libération prolongée</w:t>
      </w:r>
      <w:r>
        <w:t xml:space="preserve"> (MENARINI), indiquée dans l'asthme persistant et la BPCO. La forme injectable (aminophylline — THEOPHYLLINE RENAUDIN 240 mg/4 mL) est </w:t>
      </w:r>
      <w:r>
        <w:rPr>
          <w:b/>
        </w:rPr>
        <w:t>non renouvelable</w:t>
      </w:r>
      <w:r>
        <w:t xml:space="preserve"> (maintien de l'AMM mais non commercialisée). Toutes les autres spécialités (THEOSTAT, DILATRANE, THEOBID, ASMAPHYL, THEOPHYLLINE BRUNEAU) sont </w:t>
      </w:r>
      <w:r>
        <w:rPr>
          <w:b/>
        </w:rPr>
        <w:t>retirées</w:t>
      </w:r>
      <w:r>
        <w:t xml:space="preserve"> du marché algérien.</w:t>
      </w:r>
    </w:p>
    <w:p>
      <w:r>
        <w:t xml:space="preserve">Cette raréfaction du marché reflète la difficulté de gestion de l'index thérapeutique étroit en pratique de ville, et la concurrence des alternatives plus sûres (β2-mimétiques longue durée d'action, associations fixes CSI + LABA, antileucotriènes). Le pharmacien d'offrine algérien doit cependant </w:t>
      </w:r>
      <w:r>
        <w:rPr>
          <w:b/>
        </w:rPr>
        <w:t>connaître la théophylline</w:t>
      </w:r>
      <w:r>
        <w:t xml:space="preserve"> pour au moins trois raisons : (i) le DIFFUMAX 200 mg reste prescrit par les pneumologues et médecins internistes algériens en cas d'asthme sévère corticorésistant ou de BPCO non contrôlée sous bronchodilatateurs ; (ii) la théophylline est susceptible de faire l'objet d'</w:t>
      </w:r>
      <w:r>
        <w:rPr>
          <w:b/>
        </w:rPr>
        <w:t>interactions médicamenteuses majeures</w:t>
      </w:r>
      <w:r>
        <w:t xml:space="preserve"> pouvant conduire à un surdosage dramatique (cf. section Interactions) ; (iii) la </w:t>
      </w:r>
      <w:r>
        <w:rPr>
          <w:b/>
        </w:rPr>
        <w:t>surveillance de la théophyllinémie</w:t>
      </w:r>
      <w:r>
        <w:t xml:space="preserve"> est un acte de biologie médicale que le pharmacien doit savoir recommander au patient et au médecin.</w:t>
      </w:r>
    </w:p>
    <w:p>
      <w:pPr>
        <w:pStyle w:val="Heading2"/>
      </w:pPr>
      <w:r>
        <w:t>5. Fiche DCI — Dérivé xanthique</w:t>
      </w:r>
    </w:p>
    <w:p>
      <w:pPr>
        <w:pStyle w:val="Heading3"/>
      </w:pPr>
      <w:r>
        <w:t>2. DCI : Théophylline (Seule)</w:t>
      </w:r>
    </w:p>
    <w:p>
      <w:r/>
      <w:r>
        <w:rPr>
          <w:b/>
        </w:rPr>
        <w:t>Liste des Catégories :</w:t>
      </w:r>
      <w:r>
        <w:t xml:space="preserve"> Dérivé xanthique ; Méthylxanthine ; Inhibiteur non sélectif des phosphodiestérases (PDE3, PDE4, PDE5) ; Antagoniste des récepteurs adénosine A1/A2A ; Inhibiteur de l'histone déacétylase 2 (HDAC2) ; Bronchodilatateur de longue durée d'action ; Anti-inflammatoire stéroïdo-sensibilisant (faibles doses) ; Antiasthmatique de fond (3ᵉ intention) ; Traitement de la BPCO (add-on) ; Liste I (toutes formes et dosages) ; Prescription médicale obligatoire.</w:t>
      </w:r>
    </w:p>
    <w:p>
      <w:r>
        <w:t xml:space="preserve">La théophylline (1,3-diméthylxanthine, masse molaire 180 g/mol) est une </w:t>
      </w:r>
      <w:r>
        <w:rPr>
          <w:b/>
        </w:rPr>
        <w:t>méthylxanthine</w:t>
      </w:r>
      <w:r>
        <w:t xml:space="preserve"> apparentée à la caféine et à la théobromine, commercialisée en Algérie essentiellement sous forme de </w:t>
      </w:r>
      <w:r>
        <w:rPr>
          <w:b/>
        </w:rPr>
        <w:t>comprimés à libération prolongée (LP) 200 mg</w:t>
      </w:r>
      <w:r>
        <w:t xml:space="preserve"> (DIFFUMAX 200, Menarini). Sa pharmacocinétique se caractérise par un </w:t>
      </w:r>
      <w:r>
        <w:rPr>
          <w:b/>
        </w:rPr>
        <w:t>index thérapeutique étroit</w:t>
      </w:r>
      <w:r>
        <w:t xml:space="preserve"> (5–15 mg/L), une </w:t>
      </w:r>
      <w:r>
        <w:rPr>
          <w:b/>
        </w:rPr>
        <w:t>demi-vie très variable</w:t>
      </w:r>
      <w:r>
        <w:t xml:space="preserve"> selon les individus (3 h chez le fumeur, 8 h chez l'adulte non-fumeur, 20–30 h chez le prématuré) et un </w:t>
      </w:r>
      <w:r>
        <w:rPr>
          <w:b/>
        </w:rPr>
        <w:t>métabolisme hépatique</w:t>
      </w:r>
      <w:r>
        <w:t xml:space="preserve"> par </w:t>
      </w:r>
      <w:r>
        <w:rPr>
          <w:b/>
        </w:rPr>
        <w:t>CYP1A2</w:t>
      </w:r>
      <w:r>
        <w:t xml:space="preserve"> (principal) soumis à de nombreuses interactions (inhibition par érythromycine, cimétidine, allopurinol, fluconazole ; induction par tabac, phénytoïne, carbamazépine, rifampicine). La surveillance systématique de la </w:t>
      </w:r>
      <w:r>
        <w:rPr>
          <w:b/>
        </w:rPr>
        <w:t>théophyllinémie</w:t>
      </w:r>
      <w:r>
        <w:t xml:space="preserve"> est obligatoire à l'équilibre (5 demi-vies après initiation ou modification), avec adaptations posologiques fines selon le taux mesuré. La théophylline est un traitement de 3ᵉ intention dans l'asthme persistant sévère (add-on à l'association CSI + LABA, en cas de corticorésistance via l'effet HDAC2) et dans la BPCO non contrôlée sous bronchodilatateurs de longue durée d'action.</w:t>
      </w:r>
    </w:p>
    <w:p>
      <w:r/>
      <w:r>
        <w:rPr>
          <w:b/>
        </w:rPr>
        <w:t>Médicaments disponibles en Algérie (Marques, Laboratoires, Formes et Dosages) :</w:t>
      </w:r>
      <w:r/>
    </w:p>
    <w:p>
      <w:r/>
      <w:r>
        <w:rPr>
          <w:i/>
        </w:rPr>
        <w:t>Spécialité active — Forme orale comprimé LP :</w:t>
      </w:r>
      <w:r/>
    </w:p>
    <w:p>
      <w:pPr>
        <w:pStyle w:val="ListBullet"/>
      </w:pPr>
      <w:r/>
      <w:r>
        <w:rPr>
          <w:b/>
        </w:rPr>
        <w:t>DIFFUMAX</w:t>
      </w:r>
      <w:r>
        <w:t xml:space="preserve"> (MENARINI) — Comprimé sécable à libération prolongée 200 mg — Boîte de 30 — Liste I — Statut : Actif [spécialité de référence, seule forme active en Algérie]</w:t>
      </w:r>
    </w:p>
    <w:p>
      <w:r/>
      <w:r>
        <w:rPr>
          <w:i/>
        </w:rPr>
        <w:t>Spécialité non renouvelable — Forme injectable :</w:t>
      </w:r>
      <w:r/>
    </w:p>
    <w:p>
      <w:pPr>
        <w:pStyle w:val="ListBullet"/>
      </w:pPr>
      <w:r/>
      <w:r>
        <w:rPr>
          <w:b/>
        </w:rPr>
        <w:t>THEOPHYLLINE</w:t>
      </w:r>
      <w:r>
        <w:t xml:space="preserve"> (RENAUDIN) — Solution injectable 240 mg/4 mL (60 mg/mL, équivalent aminophylline) — Boîte de 5 ampoules de 4 mL — Liste I — Statut : Non Renouvelable [forme historiquement utilisée en IV dans la crise d'asthme aiguë sévère, désormais supplantée par les β2-mimétiques nébulisés et IV]</w:t>
      </w:r>
    </w:p>
    <w:p>
      <w:r/>
      <w:r>
        <w:rPr>
          <w:i/>
        </w:rPr>
        <w:t>Spécialités retirées (R) — Formes orales :</w:t>
      </w:r>
      <w:r/>
    </w:p>
    <w:p>
      <w:pPr>
        <w:pStyle w:val="ListBullet"/>
      </w:pPr>
      <w:r/>
      <w:r>
        <w:rPr>
          <w:b/>
        </w:rPr>
        <w:t>THEOSTAT LP 100</w:t>
      </w:r>
      <w:r>
        <w:t xml:space="preserve"> (PIERRE FABRE) — Comprimé sécable à libération prolongée 100 mg — Boîte de 30 — Statut : Retiré (R)</w:t>
      </w:r>
    </w:p>
    <w:p>
      <w:pPr>
        <w:pStyle w:val="ListBullet"/>
      </w:pPr>
      <w:r/>
      <w:r>
        <w:rPr>
          <w:b/>
        </w:rPr>
        <w:t>THEOSTAT LP 200</w:t>
      </w:r>
      <w:r>
        <w:t xml:space="preserve"> (PIERRE FABRE) — Comprimé à libération prolongée 200 mg — Boîte de 30 — Statut : Retiré (R)</w:t>
      </w:r>
    </w:p>
    <w:p>
      <w:pPr>
        <w:pStyle w:val="ListBullet"/>
      </w:pPr>
      <w:r/>
      <w:r>
        <w:rPr>
          <w:b/>
        </w:rPr>
        <w:t>THEOSTAT LP 300</w:t>
      </w:r>
      <w:r>
        <w:t xml:space="preserve"> (PIERRE FABRE) — Comprimé sécable 300 mg — Boîte de 30 — Statut : Retiré (R)</w:t>
      </w:r>
    </w:p>
    <w:p>
      <w:pPr>
        <w:pStyle w:val="ListBullet"/>
      </w:pPr>
      <w:r/>
      <w:r>
        <w:rPr>
          <w:b/>
        </w:rPr>
        <w:t>DILATRANE 100</w:t>
      </w:r>
      <w:r>
        <w:t xml:space="preserve"> (LABOMED) — Gélules à microgranules à libération prolongée 100 mg — Boîte de 30 — Statut : Retiré (R)</w:t>
      </w:r>
    </w:p>
    <w:p>
      <w:pPr>
        <w:pStyle w:val="ListBullet"/>
      </w:pPr>
      <w:r/>
      <w:r>
        <w:rPr>
          <w:b/>
        </w:rPr>
        <w:t>DILATRANE 200</w:t>
      </w:r>
      <w:r>
        <w:t xml:space="preserve"> (LABOMED) — Gélules à microgranules à libération prolongée 200 mg — Boîte de 30 — Statut : Retiré (R)</w:t>
      </w:r>
    </w:p>
    <w:p>
      <w:pPr>
        <w:pStyle w:val="ListBullet"/>
      </w:pPr>
      <w:r/>
      <w:r>
        <w:rPr>
          <w:b/>
        </w:rPr>
        <w:t>THEOBID 200</w:t>
      </w:r>
      <w:r>
        <w:t xml:space="preserve"> (CIPLA LIMITED) — Comprimé à libération prolongée 200 mg — Boîtes de 15 et 30 — Statut : Retiré (R)</w:t>
      </w:r>
    </w:p>
    <w:p>
      <w:pPr>
        <w:pStyle w:val="ListBullet"/>
      </w:pPr>
      <w:r/>
      <w:r>
        <w:rPr>
          <w:b/>
        </w:rPr>
        <w:t>THEOPHYLLINE BRUNEAU</w:t>
      </w:r>
      <w:r>
        <w:t xml:space="preserve"> (SANOFI SYNTHELABO) — Comprimé pelliculé à libération prolongée 200 mg — Boîte de 30 — Statut : Retiré (R)</w:t>
      </w:r>
    </w:p>
    <w:p>
      <w:pPr>
        <w:pStyle w:val="ListBullet"/>
      </w:pPr>
      <w:r/>
      <w:r>
        <w:rPr>
          <w:b/>
        </w:rPr>
        <w:t>DILATRANE</w:t>
      </w:r>
      <w:r>
        <w:t xml:space="preserve"> (LABOMED) — Sirop 10 mg/mL — Flacon de 200 mL — Statut : Retiré (R) [forme pédiatrique historique]</w:t>
      </w:r>
    </w:p>
    <w:p>
      <w:r/>
      <w:r>
        <w:rPr>
          <w:i/>
        </w:rPr>
        <w:t>Spécialités retirées (R) — Formes rectales (suppositoires) :</w:t>
      </w:r>
      <w:r/>
    </w:p>
    <w:p>
      <w:pPr>
        <w:pStyle w:val="ListBullet"/>
      </w:pPr>
      <w:r/>
      <w:r>
        <w:rPr>
          <w:b/>
        </w:rPr>
        <w:t>DILATRANE</w:t>
      </w:r>
      <w:r>
        <w:t xml:space="preserve"> (S.E.R.P. UK LIMITED) — Suppositoire adulte 350 mg — Boîte de 10 — Statut : Retiré (R)</w:t>
      </w:r>
    </w:p>
    <w:p>
      <w:pPr>
        <w:pStyle w:val="ListBullet"/>
      </w:pPr>
      <w:r/>
      <w:r>
        <w:rPr>
          <w:b/>
        </w:rPr>
        <w:t>ASMAPHYL</w:t>
      </w:r>
      <w:r>
        <w:t xml:space="preserve"> (SAIDAL) — Suppositoire adulte 350 mg — Boîte de 10 — Statut : Retiré (R)</w:t>
      </w:r>
    </w:p>
    <w:p>
      <w:pPr>
        <w:pStyle w:val="ListBullet"/>
      </w:pPr>
      <w:r/>
      <w:r>
        <w:rPr>
          <w:b/>
        </w:rPr>
        <w:t>ASMAPHYL</w:t>
      </w:r>
      <w:r>
        <w:t xml:space="preserve"> (SAIDAL) — Suppositoire enfant 100 mg — Boîte de 10 — Statut : Retiré (R)</w:t>
      </w:r>
    </w:p>
    <w:p>
      <w:r/>
      <w:r>
        <w:rPr>
          <w:b/>
        </w:rPr>
        <w:t>Sous-classe et Mécanisme d'action :</w:t>
      </w:r>
      <w:r/>
    </w:p>
    <w:p>
      <w:pPr>
        <w:pStyle w:val="ListBullet"/>
      </w:pPr>
      <w:r/>
      <w:r>
        <w:rPr>
          <w:b/>
        </w:rPr>
        <w:t>Sous-classe</w:t>
      </w:r>
      <w:r>
        <w:t xml:space="preserve"> : Dérivé xanthique / méthylxanthine (1,3-diméthylxanthine), apparentée à la caféine (1,3,7-triméthylxanthine) et à la théobromine (3,7-diméthylxanthine). La théophylline est l'unique représentant des dérivés xanthiques commercialisé en Algérie (la caféine est disponible en association dans les antalgiques, mais pas dans l'indication asthme/BPCO ; la dyphylline, prodrogue, n'est pas commercialisée).</w:t>
      </w:r>
    </w:p>
    <w:p>
      <w:pPr>
        <w:pStyle w:val="ListBullet"/>
      </w:pPr>
      <w:r/>
      <w:r>
        <w:rPr>
          <w:b/>
        </w:rPr>
        <w:t>Mécanisme d'action</w:t>
      </w:r>
      <w:r>
        <w:t xml:space="preserve"> : la théophylline exerce ses effets pharmacologiques par </w:t>
      </w:r>
      <w:r>
        <w:rPr>
          <w:b/>
        </w:rPr>
        <w:t>trois mécanismes complémentaires</w:t>
      </w:r>
      <w:r>
        <w:t xml:space="preserve"> :</w:t>
      </w:r>
    </w:p>
    <w:p>
      <w:pPr>
        <w:pStyle w:val="ListNumber"/>
      </w:pPr>
      <w:r/>
      <w:r>
        <w:rPr>
          <w:b/>
        </w:rPr>
        <w:t>Inhibition non sélective des phosphodiestérases (PDE)</w:t>
      </w:r>
      <w:r>
        <w:t xml:space="preserve"> — la théophylline inhibe les PDE3 (responsables du catabolisme de l'AMPc dans les cellules musculaires lisses vasculaires et cardiaques), PDE4 (responsables du catabolisme de l'AMPc dans les cellules inflammatoires — éosinophiles, mastocytes, lymphocytes T, neutrophiles, macrophages) et PDE5 (responsables du catabolisme du GMPc dans les cellules musculaires lisses vasculaires pulmonaires). Cette inhibition provoque : (i) </w:t>
      </w:r>
      <w:r>
        <w:rPr>
          <w:b/>
        </w:rPr>
        <w:t>augmentation de l'AMPc intracellulaire</w:t>
      </w:r>
      <w:r>
        <w:t xml:space="preserve"> dans les cellules musculaires lisses bronchiques → activation de la PKA → phosphorylation de la MLCK → </w:t>
      </w:r>
      <w:r>
        <w:rPr>
          <w:b/>
        </w:rPr>
        <w:t>relaxation</w:t>
      </w:r>
      <w:r>
        <w:t xml:space="preserve"> (bronchodilatation) ; (ii) </w:t>
      </w:r>
      <w:r>
        <w:rPr>
          <w:b/>
        </w:rPr>
        <w:t>augmentation de l'AMPc</w:t>
      </w:r>
      <w:r>
        <w:t xml:space="preserve"> dans les cellules inflammatoires → </w:t>
      </w:r>
      <w:r>
        <w:rPr>
          <w:b/>
        </w:rPr>
        <w:t>réduction de l'activation, de la dégranulation mastocytaire et de la libération de cytokines</w:t>
      </w:r>
      <w:r>
        <w:t xml:space="preserve"> (IL-4, IL-5, IL-13, TNFα) ; (iii) </w:t>
      </w:r>
      <w:r>
        <w:rPr>
          <w:b/>
        </w:rPr>
        <w:t>augmentation du GMPc</w:t>
      </w:r>
      <w:r>
        <w:t xml:space="preserve"> → relaxation vasculaire (effet vasodilatateur coronarien et systémique — responsable de la tachycardie réflexe). Ce mécanisme n'est pleinement actif qu'à des concentrations &gt; 10⁻⁴ mol/L (~20 mg/L), donc à la limite supérieure de la zone thérapeutique (et au-delà).</w:t>
      </w:r>
    </w:p>
    <w:p>
      <w:pPr>
        <w:pStyle w:val="ListNumber"/>
      </w:pPr>
      <w:r/>
      <w:r>
        <w:rPr>
          <w:b/>
        </w:rPr>
        <w:t>Antagonisme des récepteurs adénosine A1 et A2A</w:t>
      </w:r>
      <w:r>
        <w:t xml:space="preserve"> — la théophylline bloque les récepteurs A1 (couplés Gi, exprimés sur les cellules musculaires lisses bronchiques et le cœur) et A2A (couplés Gs, exprimés sur les cellules musculaires lisses vasculaires et le cerveau). L'adénosine, libérée au cours de l'hypoxie et de l'inflammation, provoque bronchoconstriction (via A1), dégranulation mastocytaire et vasodilatation. En bloquant ces récepteurs, la théophylline prévient la bronchoconstriction adénosine-induite (effet particulièrement important chez les asthmatiques, dont les mastocytes sont hyper-réactifs à l'adénosine). L'antagonisme des récepteurs A2A cérébraux explique les effets centraux : stimulation respiratoire bulbaire (effet anti-apnée du prématuré), anxiété, insomnie, convulsions à fortes doses.</w:t>
      </w:r>
    </w:p>
    <w:p>
      <w:pPr>
        <w:pStyle w:val="ListNumber"/>
      </w:pPr>
      <w:r/>
      <w:r>
        <w:rPr>
          <w:b/>
        </w:rPr>
        <w:t>Inhibition de l'histone déacétylase 2 (HDAC2)</w:t>
      </w:r>
      <w:r>
        <w:t xml:space="preserve"> — mécanisme anti-inflammatoire épigénétique découvert plus récemment (Ito et al., 2002, Mucosa Immunology). HDAC2 est une enzyme nucléaire qui déacétyle les histones H3 et H4, conduisant à la compaction de la chromatine et à la répression transcriptionnelle des gènes pro-inflammatoires (en particulier ceux régulés par NF-κB, AP-1, STAT3). En inhibant HDAC2 à des concentrations aussi faibles que 10⁻⁵ mol/L (~2 mg/L), la théophylline agit comme un </w:t>
      </w:r>
      <w:r>
        <w:rPr>
          <w:b/>
        </w:rPr>
        <w:t>anti-inflammatoire épigénétique</w:t>
      </w:r>
      <w:r>
        <w:t>, restaurateur de la sensibilité aux corticoïdes (les CSI recrutent également HDAC2 via le GRα — synergie d'action). Cette action est probablement le mécanisme principal expliquant l'efficacité de faibles doses de théophylline (5–10 mg/L) en add-on aux CSI dans l'asthme sévère corticorésistant, en particulier dans l'asthme du fumeur (où la corticorésistance est liée à une down-régulation de HDAC2 par le stress oxydatif).</w:t>
      </w:r>
    </w:p>
    <w:p>
      <w:pPr>
        <w:pStyle w:val="ListBullet"/>
      </w:pPr>
      <w:r/>
      <w:r>
        <w:rPr>
          <w:b/>
        </w:rPr>
        <w:t>Cibles pharmacologiques supplémentaires</w:t>
      </w:r>
      <w:r>
        <w:t xml:space="preserve"> : à fortes doses (&gt; 20 mg/L), la théophylline augmente la libération d'adrénaline par la médullosurrénale (effet β2-adrénergique indirect), inhibe la libération d'insuline et stimule la lipolyse. Elle augmente également la contractilité diaphragmatique (effet inotrope positif sur le diaphragme — utile en BPCO sévère avec fatigue musculaire respiratoire) et stimule la clairance mucociliaire bronchique.</w:t>
      </w:r>
    </w:p>
    <w:p>
      <w:pPr>
        <w:pStyle w:val="ListBullet"/>
      </w:pPr>
      <w:r/>
      <w:r>
        <w:rPr>
          <w:b/>
        </w:rPr>
        <w:t>Sélectivité</w:t>
      </w:r>
      <w:r>
        <w:t xml:space="preserve"> : la théophylline n'a </w:t>
      </w:r>
      <w:r>
        <w:rPr>
          <w:b/>
        </w:rPr>
        <w:t>aucune sélectivité</w:t>
      </w:r>
      <w:r>
        <w:t xml:space="preserve"> pour une PDE particulière (PDE3, PDE4, PDE5 inhibées à des concentrations similaires), ce qui explique son profil d'effets indésirables multi-systémiques.</w:t>
      </w:r>
    </w:p>
    <w:p>
      <w:r/>
      <w:r>
        <w:rPr>
          <w:b/>
        </w:rPr>
        <w:t>Profil Pharmacologique :</w:t>
      </w:r>
      <w:r/>
    </w:p>
    <w:p>
      <w:pPr>
        <w:pStyle w:val="ListBullet"/>
      </w:pPr>
      <w:r/>
      <w:r>
        <w:rPr>
          <w:b/>
        </w:rPr>
        <w:t>Indications</w:t>
      </w:r>
      <w:r>
        <w:t xml:space="preserve"> :</w:t>
      </w:r>
    </w:p>
    <w:p>
      <w:pPr>
        <w:pStyle w:val="ListBullet"/>
      </w:pPr>
      <w:r/>
      <w:r>
        <w:rPr>
          <w:b/>
        </w:rPr>
        <w:t>Asthme persistant sévère (stade 4–5 GINA 2024)</w:t>
      </w:r>
      <w:r>
        <w:t xml:space="preserve"> : traitement de </w:t>
      </w:r>
      <w:r>
        <w:rPr>
          <w:b/>
        </w:rPr>
        <w:t>3ᵉ ou 4ᵉ intention</w:t>
      </w:r>
      <w:r>
        <w:t xml:space="preserve"> en add-on à l'association fixe CSI + LABA, en cas d'asthme non contrôlé malgré une corticothérapie inhalée forte dose + LABA. La théophylline à faible dose (5–10 mg/L) est intéressante en cas de corticorésistance (en particulier dans l'asthme du fumeur — restauration de HDAC2). Surveillée par théophyllinémie.</w:t>
      </w:r>
    </w:p>
    <w:p>
      <w:pPr>
        <w:pStyle w:val="ListBullet"/>
      </w:pPr>
      <w:r/>
      <w:r>
        <w:rPr>
          <w:b/>
        </w:rPr>
        <w:t>BPCO (GOLD 2024)</w:t>
      </w:r>
      <w:r>
        <w:t xml:space="preserve"> : traitement add-on chez les patients BPCO non contrôlés sous bronchodilatateurs de longue durée d'action (LABA + LAMA), en particulier dans les pays à faible revenu ou lorsque les alternatives ne sont pas disponibles. Surveillé par théophyllinémie.</w:t>
      </w:r>
    </w:p>
    <w:p>
      <w:pPr>
        <w:pStyle w:val="ListBullet"/>
      </w:pPr>
      <w:r/>
      <w:r>
        <w:rPr>
          <w:b/>
        </w:rPr>
        <w:t>Apnée du sommeil du prématuré</w:t>
      </w:r>
      <w:r>
        <w:t xml:space="preserve"> : indication pédiatrique historique (la théophylline IV ou orale, ou la caféine, désormais préférée), non couverte par les spécialités algériennes actuelles (formes pédiatriques non commercialisées).</w:t>
      </w:r>
    </w:p>
    <w:p>
      <w:pPr>
        <w:pStyle w:val="ListBullet"/>
      </w:pPr>
      <w:r/>
      <w:r>
        <w:rPr>
          <w:b/>
        </w:rPr>
        <w:t>Contre-indications</w:t>
      </w:r>
      <w:r>
        <w:t xml:space="preserve"> :</w:t>
      </w:r>
    </w:p>
    <w:p>
      <w:pPr>
        <w:pStyle w:val="ListBullet"/>
      </w:pPr>
      <w:r>
        <w:t>Hypersensibilité à la théophylline ou aux dérivés xanthiques (caféine, théobromine).</w:t>
      </w:r>
    </w:p>
    <w:p>
      <w:pPr>
        <w:pStyle w:val="ListBullet"/>
      </w:pPr>
      <w:r/>
      <w:r>
        <w:rPr>
          <w:b/>
        </w:rPr>
        <w:t>Épilepsie non contrôlée</w:t>
      </w:r>
      <w:r>
        <w:t xml:space="preserve"> (la théophylline abaisse le seuil épileptogène).</w:t>
      </w:r>
    </w:p>
    <w:p>
      <w:pPr>
        <w:pStyle w:val="ListBullet"/>
      </w:pPr>
      <w:r/>
      <w:r>
        <w:rPr>
          <w:b/>
        </w:rPr>
        <w:t>Cardiopathie sévère</w:t>
      </w:r>
      <w:r>
        <w:t xml:space="preserve"> : tachyarythmies (FA, flutter, tachycardie ventriculaire), insuffisance cardiaque décompensée, angor instable, infarctus du myocarde récent.</w:t>
      </w:r>
    </w:p>
    <w:p>
      <w:pPr>
        <w:pStyle w:val="ListBullet"/>
      </w:pPr>
      <w:r/>
      <w:r>
        <w:rPr>
          <w:b/>
        </w:rPr>
        <w:t>Hyperthyroïdie non contrôlée</w:t>
      </w:r>
      <w:r>
        <w:t xml:space="preserve"> (risque majoré de troubles du rythme).</w:t>
      </w:r>
    </w:p>
    <w:p>
      <w:pPr>
        <w:pStyle w:val="ListBullet"/>
      </w:pPr>
      <w:r/>
      <w:r>
        <w:rPr>
          <w:b/>
        </w:rPr>
        <w:t>Hypertrophie prostatique avec rétention urinaire</w:t>
      </w:r>
      <w:r>
        <w:t xml:space="preserve"> (la théophylline augmente le tonus vésical).</w:t>
      </w:r>
    </w:p>
    <w:p>
      <w:pPr>
        <w:pStyle w:val="ListBullet"/>
      </w:pPr>
      <w:r/>
      <w:r>
        <w:rPr>
          <w:b/>
        </w:rPr>
        <w:t>Insuffisance hépatique sévère</w:t>
      </w:r>
      <w:r>
        <w:t xml:space="preserve"> (Child-Pugh &gt; 9) — métabolisme profondément altéré, accumulation majeure.</w:t>
      </w:r>
    </w:p>
    <w:p>
      <w:pPr>
        <w:pStyle w:val="ListBullet"/>
      </w:pPr>
      <w:r/>
      <w:r>
        <w:rPr>
          <w:b/>
        </w:rPr>
        <w:t>Porphyrie aiguë intermittente</w:t>
      </w:r>
      <w:r>
        <w:t xml:space="preserve"> (risque de déclenchement de crise).</w:t>
      </w:r>
    </w:p>
    <w:p>
      <w:pPr>
        <w:pStyle w:val="ListBullet"/>
      </w:pPr>
      <w:r/>
      <w:r>
        <w:rPr>
          <w:b/>
        </w:rPr>
        <w:t>Association avec l'érythromycine IV</w:t>
      </w:r>
      <w:r>
        <w:t xml:space="preserve"> (CI absolue — multiplication par 2 à 3 des concentrations de théophylline, risque de surdosage grave).</w:t>
      </w:r>
    </w:p>
    <w:p>
      <w:pPr>
        <w:pStyle w:val="ListBullet"/>
      </w:pPr>
      <w:r/>
      <w:r>
        <w:rPr>
          <w:b/>
        </w:rPr>
        <w:t>Enfant de moins de 6 mois</w:t>
      </w:r>
      <w:r>
        <w:t xml:space="preserve"> (formes orales — métabolisme immature, demi-vie très prolongée 20–30 h).</w:t>
      </w:r>
    </w:p>
    <w:p>
      <w:pPr>
        <w:pStyle w:val="ListBullet"/>
      </w:pPr>
      <w:r/>
      <w:r>
        <w:rPr>
          <w:b/>
        </w:rPr>
        <w:t>Grossesse</w:t>
      </w:r>
      <w:r>
        <w:t xml:space="preserve"> : à éviter sauf nécessité absolue (cf. section Grossesse).</w:t>
      </w:r>
    </w:p>
    <w:p>
      <w:pPr>
        <w:pStyle w:val="ListBullet"/>
      </w:pPr>
      <w:r/>
      <w:r>
        <w:rPr>
          <w:b/>
        </w:rPr>
        <w:t>Effets Indésirables</w:t>
      </w:r>
      <w:r>
        <w:t xml:space="preserve"> (classés par fréquence et par concentration théophyllinémique) :</w:t>
      </w:r>
    </w:p>
    <w:p>
      <w:pPr>
        <w:pStyle w:val="ListBullet"/>
      </w:pPr>
      <w:r/>
      <w:r>
        <w:rPr>
          <w:b/>
        </w:rPr>
        <w:t>À concentrations thérapeutiques (5–15 mg/L)</w:t>
      </w:r>
      <w:r>
        <w:t xml:space="preserve"> :</w:t>
      </w:r>
    </w:p>
    <w:p>
      <w:pPr>
        <w:pStyle w:val="ListBullet"/>
      </w:pPr>
      <w:r>
        <w:t>Troubles digestifs : nausées, vomissements, douleurs épigastriques, diarrhée (~10–15 %).</w:t>
      </w:r>
    </w:p>
    <w:p>
      <w:pPr>
        <w:pStyle w:val="ListBullet"/>
      </w:pPr>
      <w:r>
        <w:t>Troubles neurologiques : céphalées, insomnie, nervosité, irritabilité, tremblements fins des extrémités (~5–10 %).</w:t>
      </w:r>
    </w:p>
    <w:p>
      <w:pPr>
        <w:pStyle w:val="ListBullet"/>
      </w:pPr>
      <w:r>
        <w:t>Troubles cardiovasculaires : tachycardie sinusale modérée (~5 %), palpitations.</w:t>
      </w:r>
    </w:p>
    <w:p>
      <w:pPr>
        <w:pStyle w:val="ListBullet"/>
      </w:pPr>
      <w:r>
        <w:t xml:space="preserve">Troubles métaboliques : </w:t>
      </w:r>
      <w:r>
        <w:rPr>
          <w:b/>
        </w:rPr>
        <w:t>diurèse augmentée</w:t>
      </w:r>
      <w:r>
        <w:t xml:space="preserve"> (effet inhibiteur sur la réabsorption tubulaire de NaCl).</w:t>
      </w:r>
    </w:p>
    <w:p>
      <w:pPr>
        <w:pStyle w:val="ListBullet"/>
      </w:pPr>
      <w:r/>
      <w:r>
        <w:rPr>
          <w:b/>
        </w:rPr>
        <w:t>À concentrations sub-toxiques (15–20 mg/L)</w:t>
      </w:r>
      <w:r>
        <w:t xml:space="preserve"> :</w:t>
      </w:r>
    </w:p>
    <w:p>
      <w:pPr>
        <w:pStyle w:val="ListBullet"/>
      </w:pPr>
      <w:r>
        <w:t>Majoration des EI ci-dessus.</w:t>
      </w:r>
    </w:p>
    <w:p>
      <w:pPr>
        <w:pStyle w:val="ListBullet"/>
      </w:pPr>
      <w:r>
        <w:t>Troubles digestifs : vomissements sévères (en jet), douleurs abdominales intenses.</w:t>
      </w:r>
    </w:p>
    <w:p>
      <w:pPr>
        <w:pStyle w:val="ListBullet"/>
      </w:pPr>
      <w:r>
        <w:t>Troubles neurologiques : agitation, confusion, anxiété, vertiges.</w:t>
      </w:r>
    </w:p>
    <w:p>
      <w:pPr>
        <w:pStyle w:val="ListBullet"/>
      </w:pPr>
      <w:r>
        <w:t>Troubles cardiovasculaires : tachycardie sinusale &gt; 120 bpm, extrasystoles ventriculaires, hypotension.</w:t>
      </w:r>
    </w:p>
    <w:p>
      <w:pPr>
        <w:pStyle w:val="ListBullet"/>
      </w:pPr>
      <w:r>
        <w:t xml:space="preserve">Troubles métaboliques : </w:t>
      </w:r>
      <w:r>
        <w:rPr>
          <w:b/>
        </w:rPr>
        <w:t>hypokaliémie</w:t>
      </w:r>
      <w:r>
        <w:t xml:space="preserve"> (effet direct sur les cellules musculaires — entrée de K+), </w:t>
      </w:r>
      <w:r>
        <w:rPr>
          <w:b/>
        </w:rPr>
        <w:t>hyperglycémie</w:t>
      </w:r>
      <w:r>
        <w:t xml:space="preserve"> (inhibition de la libération d'insuline), </w:t>
      </w:r>
      <w:r>
        <w:rPr>
          <w:b/>
        </w:rPr>
        <w:t>acidose métabolique</w:t>
      </w:r>
      <w:r>
        <w:t>.</w:t>
      </w:r>
    </w:p>
    <w:p>
      <w:pPr>
        <w:pStyle w:val="ListBullet"/>
      </w:pPr>
      <w:r/>
      <w:r>
        <w:rPr>
          <w:b/>
        </w:rPr>
        <w:t>À concentrations toxiques (&gt; 20 mg/L)</w:t>
      </w:r>
      <w:r>
        <w:t xml:space="preserve"> :</w:t>
      </w:r>
    </w:p>
    <w:p>
      <w:pPr>
        <w:pStyle w:val="ListBullet"/>
      </w:pPr>
      <w:r>
        <w:t xml:space="preserve">Troubles neurologiques : </w:t>
      </w:r>
      <w:r>
        <w:rPr>
          <w:b/>
        </w:rPr>
        <w:t>convulsions généralisées</w:t>
      </w:r>
      <w:r>
        <w:t xml:space="preserve"> (status epilepticus possible, gravité extrême — mortelle dans 30 % des cas), encéphalopathie.</w:t>
      </w:r>
    </w:p>
    <w:p>
      <w:pPr>
        <w:pStyle w:val="ListBullet"/>
      </w:pPr>
      <w:r>
        <w:t xml:space="preserve">Troubles cardiovasculaires : </w:t>
      </w:r>
      <w:r>
        <w:rPr>
          <w:b/>
        </w:rPr>
        <w:t>arythmies ventriculaires graves</w:t>
      </w:r>
      <w:r>
        <w:t xml:space="preserve"> (torsades de pointes, tachycardie ventriculaire, fibrillation ventriculaire), collapsus cardiovasculaire, arrêt cardiaque.</w:t>
      </w:r>
    </w:p>
    <w:p>
      <w:pPr>
        <w:pStyle w:val="ListBullet"/>
      </w:pPr>
      <w:r>
        <w:t>Troubles respiratoires : tachypnée (effet stimulant central), puis bradypnée (dépression centrale à concentrations très élevées).</w:t>
      </w:r>
    </w:p>
    <w:p>
      <w:pPr>
        <w:pStyle w:val="ListBullet"/>
      </w:pPr>
      <w:r>
        <w:t>Troubles digestifs : hématémèse (vomissements sévères avec lésions de la malléole).</w:t>
      </w:r>
    </w:p>
    <w:p>
      <w:pPr>
        <w:pStyle w:val="ListBullet"/>
      </w:pPr>
      <w:r>
        <w:t>Mortalité globale du surdosage sévère : ~10 %.</w:t>
      </w:r>
    </w:p>
    <w:p>
      <w:pPr>
        <w:pStyle w:val="ListBullet"/>
      </w:pPr>
      <w:r/>
      <w:r>
        <w:rPr>
          <w:b/>
        </w:rPr>
        <w:t>À concentrations très toxiques (&gt; 40 mg/L)</w:t>
      </w:r>
      <w:r>
        <w:t xml:space="preserve"> : coma, arrêt cardiorespiratoire, décès.</w:t>
      </w:r>
    </w:p>
    <w:p>
      <w:r/>
      <w:r>
        <w:rPr>
          <w:b/>
        </w:rPr>
        <w:t>Prévention et Gestion des Effets Indésirables :</w:t>
      </w:r>
      <w:r/>
    </w:p>
    <w:p>
      <w:pPr>
        <w:pStyle w:val="ListBullet"/>
      </w:pPr>
      <w:r/>
      <w:r>
        <w:rPr>
          <w:b/>
        </w:rPr>
        <w:t>Mesures Préventives</w:t>
      </w:r>
      <w:r>
        <w:t xml:space="preserve"> :</w:t>
      </w:r>
    </w:p>
    <w:p>
      <w:pPr>
        <w:pStyle w:val="ListBullet"/>
      </w:pPr>
      <w:r/>
      <w:r>
        <w:rPr>
          <w:b/>
        </w:rPr>
        <w:t>Surveillance systématique de la théophyllinémie</w:t>
      </w:r>
      <w:r>
        <w:t xml:space="preserve"> : dosage plasmatique à l'équilibre (5 demi-vies après initiation ou modification posologique, soit ~24–48 heures chez l'adulte non-fumeur, ~12 heures chez le fumeur). Zone thérapeutique : </w:t>
      </w:r>
      <w:r>
        <w:rPr>
          <w:b/>
        </w:rPr>
        <w:t>5–15 mg/L</w:t>
      </w:r>
      <w:r>
        <w:t>. Cible : 8–12 mg/L (zone d'efficacité optimale avec marge de sécurité). Surveillance également en cas de modification posologique, d'ajout ou de retrait d'un médicament intercurrent, d'aggravation clinique, d'apparition d'EI, de changement de statut tabagique, de fièvre &gt; 39 °C &gt; 24 heures, en début de grossesse, en cas d'insuffisance hépatique ou cardiaque.</w:t>
      </w:r>
    </w:p>
    <w:p>
      <w:pPr>
        <w:pStyle w:val="ListBullet"/>
      </w:pPr>
      <w:r/>
      <w:r>
        <w:rPr>
          <w:b/>
        </w:rPr>
        <w:t>Adaptation posologique selon le taux</w:t>
      </w:r>
      <w:r>
        <w:t xml:space="preserve"> :</w:t>
      </w:r>
    </w:p>
    <w:p>
      <w:pPr>
        <w:pStyle w:val="ListBullet"/>
      </w:pPr>
      <w:r>
        <w:t>Taux &lt; 5 mg/L : augmentation de ~25 % de la dose quotidienne.</w:t>
      </w:r>
    </w:p>
    <w:p>
      <w:pPr>
        <w:pStyle w:val="ListBullet"/>
      </w:pPr>
      <w:r>
        <w:t>Taux 5–10 mg/L : maintien de la dose, efficacité attendue.</w:t>
      </w:r>
    </w:p>
    <w:p>
      <w:pPr>
        <w:pStyle w:val="ListBullet"/>
      </w:pPr>
      <w:r>
        <w:t>Taux 10–15 mg/L : maintien de la dose, surveillance accrue.</w:t>
      </w:r>
    </w:p>
    <w:p>
      <w:pPr>
        <w:pStyle w:val="ListBullet"/>
      </w:pPr>
      <w:r>
        <w:t>Taux 15–20 mg/L : diminution de ~25 % de la dose, surveillance clinique rapprochée.</w:t>
      </w:r>
    </w:p>
    <w:p>
      <w:pPr>
        <w:pStyle w:val="ListBullet"/>
      </w:pPr>
      <w:r>
        <w:t xml:space="preserve">Taux &gt; 20 mg/L : </w:t>
      </w:r>
      <w:r>
        <w:rPr>
          <w:b/>
        </w:rPr>
        <w:t>arrêt immédiat</w:t>
      </w:r>
      <w:r>
        <w:t xml:space="preserve"> du traitement, surveillance hospitalière (EEG, ECG), réintroduction à dose réduite (–50 %) après normalisation.</w:t>
      </w:r>
    </w:p>
    <w:p>
      <w:pPr>
        <w:pStyle w:val="ListBullet"/>
      </w:pPr>
      <w:r/>
      <w:r>
        <w:rPr>
          <w:b/>
        </w:rPr>
        <w:t>Vérification systématique des interactions médicamenteuses</w:t>
      </w:r>
      <w:r>
        <w:t xml:space="preserve"> avant toute prescription associée (cf. section Interactions).</w:t>
      </w:r>
    </w:p>
    <w:p>
      <w:pPr>
        <w:pStyle w:val="ListBullet"/>
      </w:pPr>
      <w:r/>
      <w:r>
        <w:rPr>
          <w:b/>
        </w:rPr>
        <w:t>Information du patient</w:t>
      </w:r>
      <w:r>
        <w:t xml:space="preserve"> sur les signes précoces d'intolérance (nausées, céphalées, insomnie, tremblements) — recommandation d'arrêter le traitement et de consulter en cas d'apparition.</w:t>
      </w:r>
    </w:p>
    <w:p>
      <w:pPr>
        <w:pStyle w:val="ListBullet"/>
      </w:pPr>
      <w:r/>
      <w:r>
        <w:rPr>
          <w:b/>
        </w:rPr>
        <w:t>Éviction du tabac</w:t>
      </w:r>
      <w:r>
        <w:t xml:space="preserve"> (induction enzymatique du CYP1A2) — prévenir le patient que l'arrêt du tabac peut conduire à une augmentation des concentrations de théophylline (risque de surdosage) — surveillance accrue à l'arrêt du tabac.</w:t>
      </w:r>
    </w:p>
    <w:p>
      <w:pPr>
        <w:pStyle w:val="ListBullet"/>
      </w:pPr>
      <w:r/>
      <w:r>
        <w:rPr>
          <w:b/>
        </w:rPr>
        <w:t>Surveillance ECG</w:t>
      </w:r>
      <w:r>
        <w:t xml:space="preserve"> chez le patient âgé, cardiaque, ou en cas de taux &gt; 15 mg/L.</w:t>
      </w:r>
    </w:p>
    <w:p>
      <w:pPr>
        <w:pStyle w:val="ListBullet"/>
      </w:pPr>
      <w:r/>
      <w:r>
        <w:rPr>
          <w:b/>
        </w:rPr>
        <w:t>Surveillance kaliémique</w:t>
      </w:r>
      <w:r>
        <w:t xml:space="preserve"> chez les patients sous diurétiques, corticoïdes, β2-mimétiques (effets additifs hypokaliémiants).</w:t>
      </w:r>
    </w:p>
    <w:p>
      <w:pPr>
        <w:pStyle w:val="ListBullet"/>
      </w:pPr>
      <w:r/>
      <w:r>
        <w:rPr>
          <w:b/>
        </w:rPr>
        <w:t>Conduite à Tenir</w:t>
      </w:r>
      <w:r>
        <w:t xml:space="preserve"> :</w:t>
      </w:r>
    </w:p>
    <w:p>
      <w:pPr>
        <w:pStyle w:val="ListBullet"/>
      </w:pPr>
      <w:r/>
      <w:r>
        <w:rPr>
          <w:b/>
        </w:rPr>
        <w:t>Surdosage léger (15–20 mg/L)</w:t>
      </w:r>
      <w:r>
        <w:t xml:space="preserve"> : diminution de la dose de ~25 %, surveillance clinique rapprochée (EEG, ECG, kaliémie), nouvelle théophyllinémie à 24–48 heures.</w:t>
      </w:r>
    </w:p>
    <w:p>
      <w:pPr>
        <w:pStyle w:val="ListBullet"/>
      </w:pPr>
      <w:r/>
      <w:r>
        <w:rPr>
          <w:b/>
        </w:rPr>
        <w:t>Surdosage modéré à sévère (&gt; 20 mg/L ou signes cliniques)</w:t>
      </w:r>
      <w:r>
        <w:t xml:space="preserve"> : </w:t>
      </w:r>
      <w:r>
        <w:rPr>
          <w:b/>
        </w:rPr>
        <w:t>arrêt immédiat</w:t>
      </w:r>
      <w:r>
        <w:t xml:space="preserve"> du traitement, </w:t>
      </w:r>
      <w:r>
        <w:rPr>
          <w:b/>
        </w:rPr>
        <w:t>hospitalisation</w:t>
      </w:r>
      <w:r>
        <w:t xml:space="preserve"> en milieu spécialisé (réanimation si convulsions ou arythmies). Traitement symptomatique : diazépam IV (10 mg) en cas de convulsions, propranolol IV (1 mg/min) ou esmolol en cas de tachycardie ventriculaire, perfusion de KCl en cas d'hypokaliémie sévère. Charbon activé (50 g par sonde gastrique) en cas d'ingestion récente (&lt; 1 heure) — réduit l'absorption. </w:t>
      </w:r>
      <w:r>
        <w:rPr>
          <w:b/>
        </w:rPr>
        <w:t>Hémodialyse</w:t>
      </w:r>
      <w:r>
        <w:t xml:space="preserve"> envisageable en cas d'intoxication très sévère (taux &gt; 50 mg/L, signes neurologiques graves, instabilité hémodynamique).</w:t>
      </w:r>
    </w:p>
    <w:p>
      <w:pPr>
        <w:pStyle w:val="ListBullet"/>
      </w:pPr>
      <w:r/>
      <w:r>
        <w:rPr>
          <w:b/>
        </w:rPr>
        <w:t>Apparition d'EI mineurs (nausées, céphalées, insomnie)</w:t>
      </w:r>
      <w:r>
        <w:t xml:space="preserve"> : réduction de la dose de 10–25 %, vérification de la théophyllinémie, réévaluation du rapport bénéfice/risque.</w:t>
      </w:r>
    </w:p>
    <w:p>
      <w:r/>
      <w:r>
        <w:rPr>
          <w:b/>
        </w:rPr>
        <w:t>Interactions Importantes :</w:t>
      </w:r>
      <w:r/>
    </w:p>
    <w:p>
      <w:r>
        <w:t>La théophylline est l'une des molécules avec le plus d'interactions médicamenteuses cliniquement significatives. La grande majorité de ces interactions implique le métabolisme hépatique par CYP1A2 (inhibiteurs → augmentation des concentrations → toxicité ; inducteurs → diminution des concentrations → perte d'efficacité).</w:t>
      </w:r>
    </w:p>
    <w:p>
      <w:pPr>
        <w:pStyle w:val="ListBullet"/>
      </w:pPr>
      <w:r/>
      <w:r>
        <w:rPr>
          <w:b/>
        </w:rPr>
        <w:t>Inhibiteurs du CYP1A2 — AUGMENTATION des concentrations de théophylline (risque de toxicité)</w:t>
      </w:r>
      <w:r>
        <w:t xml:space="preserve"> :</w:t>
      </w:r>
    </w:p>
    <w:p>
      <w:pPr>
        <w:pStyle w:val="ListBullet"/>
      </w:pPr>
      <w:r/>
      <w:r>
        <w:rPr>
          <w:b/>
        </w:rPr>
        <w:t>Érythromycine</w:t>
      </w:r>
      <w:r>
        <w:t xml:space="preserve"> (et clarithromycine, josamycine) — macrolides : multiplication par 2 à 3 des concentrations, en particulier en cas d'insuffisance hépatique ou cardiaque associée. </w:t>
      </w:r>
      <w:r>
        <w:rPr>
          <w:b/>
        </w:rPr>
        <w:t>CI absolue avec érythromycine IV</w:t>
      </w:r>
      <w:r>
        <w:t xml:space="preserve"> ; surveillance renforcée avec formes orales (réduction de ~25 % de la dose de théophylline, contrôle de la théophyllinémie à 48 h).</w:t>
      </w:r>
    </w:p>
    <w:p>
      <w:pPr>
        <w:pStyle w:val="ListBullet"/>
      </w:pPr>
      <w:r/>
      <w:r>
        <w:rPr>
          <w:b/>
        </w:rPr>
        <w:t>Cimétidine</w:t>
      </w:r>
      <w:r>
        <w:t xml:space="preserve"> (anti-H2) : multiplication par ~2 des concentrations de théophylline (baisse de la clairance de ~40 %). Préférer la famotidine ou la ranitidine (retirée du marché) qui n'interagissent pas. Si association nécessaire, réduire la dose de théophylline de ~30 %.</w:t>
      </w:r>
    </w:p>
    <w:p>
      <w:pPr>
        <w:pStyle w:val="ListBullet"/>
      </w:pPr>
      <w:r/>
      <w:r>
        <w:rPr>
          <w:b/>
        </w:rPr>
        <w:t>Allopurinol</w:t>
      </w:r>
      <w:r>
        <w:t xml:space="preserve"> (inhibiteur de la xanthine oxydase) à doses &gt; 600 mg/jour : augmentation des concentrations de théophylline (baisse de la clairance de ~50 %). Surveillance, adaptation posologique.</w:t>
      </w:r>
    </w:p>
    <w:p>
      <w:pPr>
        <w:pStyle w:val="ListBullet"/>
      </w:pPr>
      <w:r/>
      <w:r>
        <w:rPr>
          <w:b/>
        </w:rPr>
        <w:t>Fluconazole, kétoconazole, itraconazole</w:t>
      </w:r>
      <w:r>
        <w:t xml:space="preserve"> (antifongiques azolés) : augmentation modérée (×1,5 à 2) des concentrations, surveillance clinique et biologique.</w:t>
      </w:r>
    </w:p>
    <w:p>
      <w:pPr>
        <w:pStyle w:val="ListBullet"/>
      </w:pPr>
      <w:r/>
      <w:r>
        <w:rPr>
          <w:b/>
        </w:rPr>
        <w:t>Fluvoxamine, fluoxétine</w:t>
      </w:r>
      <w:r>
        <w:t xml:space="preserve"> (ISRS) : inhibition du CYP1A2, augmentation possible des concentrations.</w:t>
      </w:r>
    </w:p>
    <w:p>
      <w:pPr>
        <w:pStyle w:val="ListBullet"/>
      </w:pPr>
      <w:r/>
      <w:r>
        <w:rPr>
          <w:b/>
        </w:rPr>
        <w:t>Mexilétine, propafénone, amiodarone</w:t>
      </w:r>
      <w:r>
        <w:t xml:space="preserve"> (antiarythmiques) : augmentation des concentrations de théophylline.</w:t>
      </w:r>
    </w:p>
    <w:p>
      <w:pPr>
        <w:pStyle w:val="ListBullet"/>
      </w:pPr>
      <w:r/>
      <w:r>
        <w:rPr>
          <w:b/>
        </w:rPr>
        <w:t>Contraceptifs oraux œstroprogestatifs</w:t>
      </w:r>
      <w:r>
        <w:t xml:space="preserve"> : baisse de la clairance de la théophylline (~30 %), surveillance.</w:t>
      </w:r>
    </w:p>
    <w:p>
      <w:pPr>
        <w:pStyle w:val="ListBullet"/>
      </w:pPr>
      <w:r/>
      <w:r>
        <w:rPr>
          <w:b/>
        </w:rPr>
        <w:t>Alcool aigu</w:t>
      </w:r>
      <w:r>
        <w:t xml:space="preserve"> (ingestion aiguë) : inhibition compétitive du CYP, augmentation des concentrations.</w:t>
      </w:r>
    </w:p>
    <w:p>
      <w:pPr>
        <w:pStyle w:val="ListBullet"/>
      </w:pPr>
      <w:r/>
      <w:r>
        <w:rPr>
          <w:b/>
        </w:rPr>
        <w:t>Interféron alpha</w:t>
      </w:r>
      <w:r>
        <w:t xml:space="preserve"> : augmentation des concentrations.</w:t>
      </w:r>
    </w:p>
    <w:p>
      <w:pPr>
        <w:pStyle w:val="ListBullet"/>
      </w:pPr>
      <w:r/>
      <w:r>
        <w:rPr>
          <w:b/>
        </w:rPr>
        <w:t>Viloxazine</w:t>
      </w:r>
      <w:r>
        <w:t xml:space="preserve"> : inhibition majeure (multiplication par 3).</w:t>
      </w:r>
    </w:p>
    <w:p>
      <w:pPr>
        <w:pStyle w:val="ListBullet"/>
      </w:pPr>
      <w:r/>
      <w:r>
        <w:rPr>
          <w:b/>
        </w:rPr>
        <w:t>Mexilletine, ticlopidine, diltiazem, vérapamil</w:t>
      </w:r>
      <w:r>
        <w:t xml:space="preserve"> : augmentation modérée.</w:t>
      </w:r>
    </w:p>
    <w:p>
      <w:pPr>
        <w:pStyle w:val="ListBullet"/>
      </w:pPr>
      <w:r/>
      <w:r>
        <w:rPr>
          <w:b/>
        </w:rPr>
        <w:t>Inducturs du CYP1A2 — DIMINUTION des concentrations de théophylline (risque de perte d'efficacité)</w:t>
      </w:r>
      <w:r>
        <w:t xml:space="preserve"> :</w:t>
      </w:r>
    </w:p>
    <w:p>
      <w:pPr>
        <w:pStyle w:val="ListBullet"/>
      </w:pPr>
      <w:r/>
      <w:r>
        <w:rPr>
          <w:b/>
        </w:rPr>
        <w:t>Tabac</w:t>
      </w:r>
      <w:r>
        <w:t xml:space="preserve"> (hydrocarbures aromatiques polycycliques de la fumée) : </w:t>
      </w:r>
      <w:r>
        <w:rPr>
          <w:b/>
        </w:rPr>
        <w:t>augmentation de la clairance</w:t>
      </w:r>
      <w:r>
        <w:t xml:space="preserve"> de ~50 à 100 %, demi-vie réduite à ~3–4 heures chez le fumeur (&gt; 10 cigarettes/jour) vs ~8 heures chez le non-fumeur. Surveillance renforcée, adaptation posologique à l'initiation et à l'arrêt du tabac.</w:t>
      </w:r>
    </w:p>
    <w:p>
      <w:pPr>
        <w:pStyle w:val="ListBullet"/>
      </w:pPr>
      <w:r/>
      <w:r>
        <w:rPr>
          <w:b/>
        </w:rPr>
        <w:t>Phénytoïne, carbamazépine, phénobarbital</w:t>
      </w:r>
      <w:r>
        <w:t xml:space="preserve"> (antiépileptiques) : induction enzymatique, diminution des concentrations de théophylline (et inversement — la théophylline diminue les concentrations de phénytoïne). Surveillance des deux molécules.</w:t>
      </w:r>
    </w:p>
    <w:p>
      <w:pPr>
        <w:pStyle w:val="ListBullet"/>
      </w:pPr>
      <w:r/>
      <w:r>
        <w:rPr>
          <w:b/>
        </w:rPr>
        <w:t>Rifampicine</w:t>
      </w:r>
      <w:r>
        <w:t xml:space="preserve"> (anti-tuberculeux) : induction majeure, diminution de ~50 % des concentrations de théophylline.</w:t>
      </w:r>
    </w:p>
    <w:p>
      <w:pPr>
        <w:pStyle w:val="ListBullet"/>
      </w:pPr>
      <w:r/>
      <w:r>
        <w:rPr>
          <w:b/>
        </w:rPr>
        <w:t>Griséofulvine</w:t>
      </w:r>
      <w:r>
        <w:t xml:space="preserve"> : induction.</w:t>
      </w:r>
    </w:p>
    <w:p>
      <w:pPr>
        <w:pStyle w:val="ListBullet"/>
      </w:pPr>
      <w:r/>
      <w:r>
        <w:rPr>
          <w:b/>
        </w:rPr>
        <w:t>Alcool chronique</w:t>
      </w:r>
      <w:r>
        <w:t xml:space="preserve"> : induction (à l'opposé de l'alcool aigu qui inhibe).</w:t>
      </w:r>
    </w:p>
    <w:p>
      <w:pPr>
        <w:pStyle w:val="ListBullet"/>
      </w:pPr>
      <w:r/>
      <w:r>
        <w:rPr>
          <w:b/>
        </w:rPr>
        <w:t>Associations avec autres médicaments hyperkaliémiants ou allongeurs QT</w:t>
      </w:r>
      <w:r>
        <w:t xml:space="preserve"> :</w:t>
      </w:r>
    </w:p>
    <w:p>
      <w:pPr>
        <w:pStyle w:val="ListBullet"/>
      </w:pPr>
      <w:r/>
      <w:r>
        <w:rPr>
          <w:b/>
        </w:rPr>
        <w:t>Diurétiques hypokaliémiants</w:t>
      </w:r>
      <w:r>
        <w:t xml:space="preserve"> (furosémide, hydrochlorothiazide) : majoration du risque d'hypokaliémie (effets additifs), surveillance kaliémique.</w:t>
      </w:r>
    </w:p>
    <w:p>
      <w:pPr>
        <w:pStyle w:val="ListBullet"/>
      </w:pPr>
      <w:r/>
      <w:r>
        <w:rPr>
          <w:b/>
        </w:rPr>
        <w:t>Corticoïdes</w:t>
      </w:r>
      <w:r>
        <w:t xml:space="preserve"> (systémiques, oraux, IV) : majoration de l'hypokaliémie.</w:t>
      </w:r>
    </w:p>
    <w:p>
      <w:pPr>
        <w:pStyle w:val="ListBullet"/>
      </w:pPr>
      <w:r/>
      <w:r>
        <w:rPr>
          <w:b/>
        </w:rPr>
        <w:t>β2-mimétiques</w:t>
      </w:r>
      <w:r>
        <w:t xml:space="preserve"> (salbutamol IV, terbutaline) : majoration de l'hypokaliémie et de la tachycardie.</w:t>
      </w:r>
    </w:p>
    <w:p>
      <w:pPr>
        <w:pStyle w:val="ListBullet"/>
      </w:pPr>
      <w:r/>
      <w:r>
        <w:rPr>
          <w:b/>
        </w:rPr>
        <w:t>Halothane</w:t>
      </w:r>
      <w:r>
        <w:t xml:space="preserve"> (anesthésique volatile) : majoration du risque d'arythmies ventriculaires.</w:t>
      </w:r>
    </w:p>
    <w:p>
      <w:pPr>
        <w:pStyle w:val="ListBullet"/>
      </w:pPr>
      <w:r/>
      <w:r>
        <w:rPr>
          <w:b/>
        </w:rPr>
        <w:t>Kétonazole, halofantrine</w:t>
      </w:r>
      <w:r>
        <w:t xml:space="preserve"> (allongeurs QT) : majoration du risque de torsades de pointes.</w:t>
      </w:r>
    </w:p>
    <w:p>
      <w:pPr>
        <w:pStyle w:val="ListBullet"/>
      </w:pPr>
      <w:r/>
      <w:r>
        <w:rPr>
          <w:b/>
        </w:rPr>
        <w:t>Autres interactions</w:t>
      </w:r>
      <w:r>
        <w:t xml:space="preserve"> :</w:t>
      </w:r>
    </w:p>
    <w:p>
      <w:pPr>
        <w:pStyle w:val="ListBullet"/>
      </w:pPr>
      <w:r/>
      <w:r>
        <w:rPr>
          <w:b/>
        </w:rPr>
        <w:t>Théophylline + warfarine / acénocoumarol</w:t>
      </w:r>
      <w:r>
        <w:t xml:space="preserve"> (AVK) : augmentation de l'INR (compétition métabolique), surveillance de l'INR.</w:t>
      </w:r>
    </w:p>
    <w:p>
      <w:pPr>
        <w:pStyle w:val="ListBullet"/>
      </w:pPr>
      <w:r/>
      <w:r>
        <w:rPr>
          <w:b/>
        </w:rPr>
        <w:t>Théophylline + lithium</w:t>
      </w:r>
      <w:r>
        <w:t xml:space="preserve"> : augmentation de la lithémie (baisse de l'excrétion rénale).</w:t>
      </w:r>
    </w:p>
    <w:p>
      <w:pPr>
        <w:pStyle w:val="ListBullet"/>
      </w:pPr>
      <w:r/>
      <w:r>
        <w:rPr>
          <w:b/>
        </w:rPr>
        <w:t>Théophylline + caféine</w:t>
      </w:r>
      <w:r>
        <w:t xml:space="preserve"> (boissons, antalgiques) : potentialisation des effets centraux (insomnie, anxiété, tremblements).</w:t>
      </w:r>
    </w:p>
    <w:p>
      <w:pPr>
        <w:pStyle w:val="ListBullet"/>
      </w:pPr>
      <w:r/>
      <w:r>
        <w:rPr>
          <w:b/>
        </w:rPr>
        <w:t>Théophylline + charbon activé</w:t>
      </w:r>
      <w:r>
        <w:t xml:space="preserve"> : diminution de l'absorption de la théophylline (utilisé dans le traitement du surdosage).</w:t>
      </w:r>
    </w:p>
    <w:p>
      <w:pPr>
        <w:pStyle w:val="ListBullet"/>
      </w:pPr>
      <w:r/>
      <w:r>
        <w:rPr>
          <w:b/>
        </w:rPr>
        <w:t>Théophylline + isoniazide</w:t>
      </w:r>
      <w:r>
        <w:t xml:space="preserve"> (anti-tuberculeux) : inhibition, augmentation des concentrations.</w:t>
      </w:r>
    </w:p>
    <w:p>
      <w:r/>
      <w:r>
        <w:rPr>
          <w:b/>
        </w:rPr>
        <w:t>Grossesse et Allaitement :</w:t>
      </w:r>
      <w:r/>
    </w:p>
    <w:p>
      <w:pPr>
        <w:pStyle w:val="ListBullet"/>
      </w:pPr>
      <w:r/>
      <w:r>
        <w:rPr>
          <w:b/>
        </w:rPr>
        <w:t>Grossesse</w:t>
      </w:r>
      <w:r>
        <w:t xml:space="preserve"> : selon le CRAT et l'ANSM, la théophylline est </w:t>
      </w:r>
      <w:r>
        <w:rPr>
          <w:b/>
        </w:rPr>
        <w:t>compatible avec la grossesse</w:t>
      </w:r>
      <w:r>
        <w:t xml:space="preserve"> en cas de nécessité clinique. Les données observationnelles n'ont pas montré d'augmentation du risque malformatif global. Cependant, en raison de la clearance accrue de la théophylline au cours de la grossesse (augmentation du métabolisme hépatique par les œstrogènes — clairance augmentée de ~50 % au 3ᵉ trimestre), il est nécessaire d'</w:t>
      </w:r>
      <w:r>
        <w:rPr>
          <w:b/>
        </w:rPr>
        <w:t>augmenter la dose</w:t>
      </w:r>
      <w:r>
        <w:t xml:space="preserve"> chez la femme enceinte asthmatique sévère pour maintenir une théophyllinémie efficace. La surveillance de la théophyllinémie doit être renforcée (toutes les 4–6 semaines pendant la grossesse). Au moment de l'accouchement, la clairance diminue brutalement (chute des œstrogènes) — risque d'accumulation, surveillance post-partum immédiate. Préférer néanmoins les CSI inhalés comme traitement de fond de référence au cours de la grossesse ; réserver la théophylline aux cas non contrôlés.</w:t>
      </w:r>
    </w:p>
    <w:p>
      <w:pPr>
        <w:pStyle w:val="ListBullet"/>
      </w:pPr>
      <w:r/>
      <w:r>
        <w:rPr>
          <w:b/>
        </w:rPr>
        <w:t>Allaitement</w:t>
      </w:r>
      <w:r>
        <w:t xml:space="preserve"> : la théophylline passe dans le lait maternel (rapport lait/plasma ~0,7), avec des concentrations lactées correspondant à ~10 % de la dose maternelle. </w:t>
      </w:r>
      <w:r>
        <w:rPr>
          <w:b/>
        </w:rPr>
        <w:t>Compatible avec l'allaitement</w:t>
      </w:r>
      <w:r>
        <w:t xml:space="preserve"> (CRAT, LactMed) selon le rapport bénéfice/risque, mais surveillance de l'enfant allaité : irritabilité, insomnie, agitation, tachycardie. En cas de signes d'imprégnation chez le nourrisson, mesurer la théophyllinémie de l'enfant et envisager l'allaitement juste avant la prise maternelle (pour minimiser le pic lacté).</w:t>
      </w:r>
    </w:p>
    <w:p>
      <w:pPr>
        <w:pStyle w:val="ListBullet"/>
      </w:pPr>
      <w:r/>
      <w:r>
        <w:rPr>
          <w:b/>
        </w:rPr>
        <w:t>Précisions</w:t>
      </w:r>
      <w:r>
        <w:t xml:space="preserve"> : un asthme non contrôlé pendant la grossesse est </w:t>
      </w:r>
      <w:r>
        <w:rPr>
          <w:b/>
        </w:rPr>
        <w:t>plus dangereux pour le fœtus</w:t>
      </w:r>
      <w:r>
        <w:t xml:space="preserve"> que le traitement médicamenteux (risque d'hypotrophie fœtale, de prématurité, de pré-éclampsie, de mort fœtale in utero). L'objectif thérapeutique est donc un </w:t>
      </w:r>
      <w:r>
        <w:rPr>
          <w:b/>
        </w:rPr>
        <w:t>contrôle optimal de l'asthme</w:t>
      </w:r>
      <w:r>
        <w:t xml:space="preserve"> pendant la grossesse, en privilégiant les CSI inhalés comme socle et en réservant la théophylline aux cas non contrôlés.</w:t>
      </w:r>
    </w:p>
    <w:p>
      <w:r/>
      <w:r>
        <w:rPr>
          <w:b/>
        </w:rPr>
        <w:t>Posologie et Mode d'administration (Standard) :</w:t>
      </w:r>
      <w:r/>
    </w:p>
    <w:p>
      <w:pPr>
        <w:pStyle w:val="ListBullet"/>
      </w:pPr>
      <w:r/>
      <w:r>
        <w:rPr>
          <w:b/>
        </w:rPr>
        <w:t>Adulte non-fumeur</w:t>
      </w:r>
      <w:r>
        <w:t xml:space="preserve"> : </w:t>
      </w:r>
      <w:r>
        <w:rPr>
          <w:b/>
        </w:rPr>
        <w:t>DIFFUMAX 200 mg LP</w:t>
      </w:r>
      <w:r>
        <w:t xml:space="preserve"> — posologie initiale de </w:t>
      </w:r>
      <w:r>
        <w:rPr>
          <w:b/>
        </w:rPr>
        <w:t>200 mg (1 comprimé) × 2/jour</w:t>
      </w:r>
      <w:r>
        <w:t xml:space="preserve"> (matin et soir, à 12 heures d'intervalle), soit 400 mg/j. Adapter selon la théophyllinémie à 5 jours (5 demi-vies chez l'adulte non-fumeur) :</w:t>
      </w:r>
    </w:p>
    <w:p>
      <w:pPr>
        <w:pStyle w:val="ListBullet"/>
      </w:pPr>
      <w:r>
        <w:t>Si théophyllinémie &lt; 8 mg/L : augmentation à 300 mg × 2/jour (600 mg/j) — mais le comprimé DIFFUMAX 200 est sécable, permettant la prise de 300 mg (1 cp ½ + 1 cp ½ × 2/jour).</w:t>
      </w:r>
    </w:p>
    <w:p>
      <w:pPr>
        <w:pStyle w:val="ListBullet"/>
      </w:pPr>
      <w:r>
        <w:t>Si théophyllinémie 8–12 mg/L : maintien de la dose à 200 mg × 2/jour.</w:t>
      </w:r>
    </w:p>
    <w:p>
      <w:pPr>
        <w:pStyle w:val="ListBullet"/>
      </w:pPr>
      <w:r>
        <w:t>Si théophyllinémie 12–15 mg/L : maintien, surveillance accrue.</w:t>
      </w:r>
    </w:p>
    <w:p>
      <w:pPr>
        <w:pStyle w:val="ListBullet"/>
      </w:pPr>
      <w:r>
        <w:t>Si théophyllinémie &gt; 15 mg/L : réduction à 100 mg × 2/jour (200 mg/j, soit ½ cp matin et soir), nouvelle théophyllinémie à 5 jours.</w:t>
      </w:r>
    </w:p>
    <w:p>
      <w:pPr>
        <w:pStyle w:val="ListBullet"/>
      </w:pPr>
      <w:r/>
      <w:r>
        <w:rPr>
          <w:b/>
        </w:rPr>
        <w:t>Adulte fumeur</w:t>
      </w:r>
      <w:r>
        <w:t xml:space="preserve"> : posologie initiale plus élevée — 250 mg × 2/jour (500 mg/j), en raison de la clairance augmentée.</w:t>
      </w:r>
    </w:p>
    <w:p>
      <w:pPr>
        <w:pStyle w:val="ListBullet"/>
      </w:pPr>
      <w:r/>
      <w:r>
        <w:rPr>
          <w:b/>
        </w:rPr>
        <w:t>Sujet âgé</w:t>
      </w:r>
      <w:r>
        <w:t xml:space="preserve"> (&gt; 65 ans) : posologie initiale réduite — 200 mg/jour (soit 1 cp le soir), en raison de la clairance réduite et du risque d'accumulation.</w:t>
      </w:r>
    </w:p>
    <w:p>
      <w:pPr>
        <w:pStyle w:val="ListBullet"/>
      </w:pPr>
      <w:r/>
      <w:r>
        <w:rPr>
          <w:b/>
        </w:rPr>
        <w:t>Insuffisant cardiaque / hépatique</w:t>
      </w:r>
      <w:r>
        <w:t xml:space="preserve"> : posologie initiale réduite — 100–200 mg/jour, surveillance rapprochée.</w:t>
      </w:r>
    </w:p>
    <w:p>
      <w:pPr>
        <w:pStyle w:val="ListBullet"/>
      </w:pPr>
      <w:r/>
      <w:r>
        <w:rPr>
          <w:b/>
        </w:rPr>
        <w:t>Enfant 6–12 ans</w:t>
      </w:r>
      <w:r>
        <w:t xml:space="preserve"> : </w:t>
      </w:r>
      <w:r>
        <w:rPr>
          <w:b/>
        </w:rPr>
        <w:t>5–10 mg/kg/jour</w:t>
      </w:r>
      <w:r>
        <w:t xml:space="preserve"> en 2 prises (formes pédiatriques non commercialisées en Algérie — recours éventuel à la formulation magistrale à partir de poudre de théophylline, ou importation de formes pédiatriques étrangères).</w:t>
      </w:r>
    </w:p>
    <w:p>
      <w:pPr>
        <w:pStyle w:val="ListBullet"/>
      </w:pPr>
      <w:r/>
      <w:r>
        <w:rPr>
          <w:b/>
        </w:rPr>
        <w:t>Nourrisson</w:t>
      </w:r>
      <w:r>
        <w:t xml:space="preserve"> : </w:t>
      </w:r>
      <w:r>
        <w:rPr>
          <w:b/>
        </w:rPr>
        <w:t>4 mg/kg/jour</w:t>
      </w:r>
      <w:r>
        <w:t xml:space="preserve"> (indication apnée du prématuré — non couverte par les spécialités algériennes).</w:t>
      </w:r>
    </w:p>
    <w:p>
      <w:pPr>
        <w:pStyle w:val="ListBullet"/>
      </w:pPr>
      <w:r/>
      <w:r>
        <w:rPr>
          <w:b/>
        </w:rPr>
        <w:t>Durée</w:t>
      </w:r>
      <w:r>
        <w:t xml:space="preserve"> : traitement au long cours (mois à années), réévaluation de l'efficacité tous les 3 à 6 mois. Ne pas arrêter brutalement (risque de rebond bronchoconstricteur).</w:t>
      </w:r>
    </w:p>
    <w:p>
      <w:pPr>
        <w:pStyle w:val="ListBullet"/>
      </w:pPr>
      <w:r/>
      <w:r>
        <w:rPr>
          <w:b/>
        </w:rPr>
        <w:t>Moment de la prise</w:t>
      </w:r>
      <w:r>
        <w:t xml:space="preserve"> : à </w:t>
      </w:r>
      <w:r>
        <w:rPr>
          <w:b/>
        </w:rPr>
        <w:t>heure fixe</w:t>
      </w:r>
      <w:r>
        <w:t>, matin et soir (à 12 heures d'intervalle pour le LP), en respectant un intervalle régulier pour maintenir des concentrations stables. Préférable au cours ou après le repas (réduction des EI digestifs).</w:t>
      </w:r>
    </w:p>
    <w:p>
      <w:r/>
      <w:r>
        <w:rPr>
          <w:b/>
        </w:rPr>
        <w:t>Arbitrage et Bénéfices des Formes Galéniques :</w:t>
      </w:r>
      <w:r/>
    </w:p>
    <w:p>
      <w:r>
        <w:t xml:space="preserve">Le marché algérien ne propose qu'une seule spécialité active — </w:t>
      </w:r>
      <w:r>
        <w:rPr>
          <w:b/>
        </w:rPr>
        <w:t>DIFFUMAX 200 mg comprimé sécable à libération prolongée</w:t>
      </w:r>
      <w:r>
        <w:t xml:space="preserve"> (Menarini). Cette forme LP permet une libération progressive du principe actif sur 12 heures, maintenant des concentrations plasmatiques stables dans la zone thérapeutique (5–15 mg/L) avec </w:t>
      </w:r>
      <w:r>
        <w:rPr>
          <w:b/>
        </w:rPr>
        <w:t>2 prises par jour</w:t>
      </w:r>
      <w:r>
        <w:t xml:space="preserve"> (vs 3–4 prises pour les formes à libération immédiate — non commercialisées). La sécabilité permet une adaptation fine de la posologie (100, 200, 300 mg par prise). La formulation LP présente l'avantage d'une meilleure observance (2 prises vs 3–4) et d'une réduction des pics de concentration (donc des EI neurologiques et digestifs), mais l'inconvénient d'une latence d'action (effet bronchodilatateur retardé — pas d'utilisation dans la crise d'asthme aiguë). Comparativement aux formulations historiques retirées du marché algérien (gélules à microgranules LP DILATRANE, comprimés pelliculés LP THEOPHYLLINE BRUNEAU, sirop DILATRANE 10 mg/mL, suppositoires ASMAPHYL), le DIFFUMAX 200 mg LP représente l'unique option, simplifiant la dispensation mais limitant les choix posologiques.</w:t>
      </w:r>
    </w:p>
    <w:p>
      <w:r/>
      <w:r>
        <w:rPr>
          <w:b/>
        </w:rPr>
        <w:t>Instructions et Conseils au Patient :</w:t>
      </w:r>
      <w:r/>
    </w:p>
    <w:p>
      <w:pPr>
        <w:pStyle w:val="ListBullet"/>
      </w:pPr>
      <w:r/>
      <w:r>
        <w:rPr>
          <w:b/>
        </w:rPr>
        <w:t>Communication au comptoir</w:t>
      </w:r>
      <w:r>
        <w:t xml:space="preserve"> : « Ce médicament est un </w:t>
      </w:r>
      <w:r>
        <w:rPr>
          <w:b/>
        </w:rPr>
        <w:t>bronchodilatateur de longue durée d'action</w:t>
      </w:r>
      <w:r>
        <w:t xml:space="preserve"> prescrit en complément de vos autres traitements anti-asthmatiques (corticoïdes inhalés, bronchodilatateurs). Il agit en relâchant les muscles des bronches et en réduisant l'inflammation. </w:t>
      </w:r>
      <w:r>
        <w:rPr>
          <w:b/>
        </w:rPr>
        <w:t>Son dosage dans le sang doit être surveillé régulièrement</w:t>
      </w:r>
      <w:r>
        <w:t xml:space="preserve"> (zone efficace 5–15 mg/L) : votre médecin vous prescrira des analyses de sang (théophyllinémie), en particulier après l'initiation du traitement, après chaque modification de dose, ou en cas d'ajout d'un autre médicament. </w:t>
      </w:r>
      <w:r>
        <w:rPr>
          <w:b/>
        </w:rPr>
        <w:t>Prenez-le à heure fixe, matin et soir</w:t>
      </w:r>
      <w:r>
        <w:t xml:space="preserve"> (à 12 heures d'intervalle), au cours ou après le repas. </w:t>
      </w:r>
      <w:r>
        <w:rPr>
          <w:b/>
        </w:rPr>
        <w:t>Ne le prenez jamais en cas de crise d'asthme aiguë</w:t>
      </w:r>
      <w:r>
        <w:t xml:space="preserve"> — utilisez votre inhalateur de secours (salbutamol). </w:t>
      </w:r>
      <w:r>
        <w:rPr>
          <w:b/>
        </w:rPr>
        <w:t>Évitez de fumer</w:t>
      </w:r>
      <w:r>
        <w:t xml:space="preserve"> (le tabac diminue l'efficacité du médicament) et </w:t>
      </w:r>
      <w:r>
        <w:rPr>
          <w:b/>
        </w:rPr>
        <w:t>prévenez votre médecin si vous arrêtez de fumer</w:t>
      </w:r>
      <w:r>
        <w:t xml:space="preserve"> (la dose devra être diminuée). </w:t>
      </w:r>
      <w:r>
        <w:rPr>
          <w:b/>
        </w:rPr>
        <w:t>Signalez immédiatement les signes suivants</w:t>
      </w:r>
      <w:r>
        <w:t xml:space="preserve"> à votre médecin : nausées importantes, vomissements, maux de tête intenses, insomnie, agitation, tremblements, palpitations, convulsions — ce sont des signes de surdosage. </w:t>
      </w:r>
      <w:r>
        <w:rPr>
          <w:b/>
        </w:rPr>
        <w:t>Évitez les boissons riches en caféine</w:t>
      </w:r>
      <w:r>
        <w:t xml:space="preserve"> (café, thé, boissons énergisantes) qui peuvent majorer les effets indésirables. Ne prenez aucun autre médicament (en particulier antibiotiques macrolides, anti-ulcéreux cimétidine, antifongiques, anticoagulants) sans en parler à votre médecin ou pharmacien. »</w:t>
      </w:r>
    </w:p>
    <w:p>
      <w:pPr>
        <w:pStyle w:val="ListBullet"/>
      </w:pPr>
      <w:r/>
      <w:r>
        <w:rPr>
          <w:b/>
        </w:rPr>
        <w:t>Mode d'utilisation pratique</w:t>
      </w:r>
      <w:r>
        <w:t xml:space="preserve"> :</w:t>
      </w:r>
    </w:p>
    <w:p>
      <w:pPr>
        <w:pStyle w:val="ListBullet"/>
      </w:pPr>
      <w:r/>
      <w:r>
        <w:rPr>
          <w:b/>
        </w:rPr>
        <w:t>Comprimé LP sécable 200 mg</w:t>
      </w:r>
      <w:r>
        <w:t xml:space="preserve"> : à avaler entier (ou ½ comprimé si dose réduite) avec un grand verre d'eau, </w:t>
      </w:r>
      <w:r>
        <w:rPr>
          <w:b/>
        </w:rPr>
        <w:t>sans croquer ni écraser</w:t>
      </w:r>
      <w:r>
        <w:t xml:space="preserve"> (la formulation LP dépend de l'intégrité du comprimé). Prise matin et soir, à 12 heures d'intervalle.</w:t>
      </w:r>
    </w:p>
    <w:p>
      <w:pPr>
        <w:pStyle w:val="ListBullet"/>
      </w:pPr>
      <w:r/>
      <w:r>
        <w:rPr>
          <w:b/>
        </w:rPr>
        <w:t>Oubli d'une dose</w:t>
      </w:r>
      <w:r>
        <w:t xml:space="preserve"> : ne pas doubler la dose. Si l'oubli est découvert dans les 6 heures suivant l'heure habituelle, prendre la dose oubliée ; au-delà, attendre l'heure de la prise suivante.</w:t>
      </w:r>
    </w:p>
    <w:p>
      <w:pPr>
        <w:pStyle w:val="ListBullet"/>
      </w:pPr>
      <w:r/>
      <w:r>
        <w:rPr>
          <w:b/>
        </w:rPr>
        <w:t>Surveillance</w:t>
      </w:r>
      <w:r>
        <w:t xml:space="preserve"> : théophyllinémie à 5 jours après l'initiation, après chaque modification de dose, après ajout ou retrait d'un médicament intercurrent, en cas d'EI, en cas d'arrêt du tabac, en cas de fièvre &gt; 39 °C &gt; 24 h, en début et fin de grossesse.</w:t>
      </w:r>
    </w:p>
    <w:p>
      <w:pPr>
        <w:pStyle w:val="ListBullet"/>
      </w:pPr>
      <w:r/>
      <w:r>
        <w:rPr>
          <w:b/>
        </w:rPr>
        <w:t>Éviction du pamplemousse</w:t>
      </w:r>
      <w:r>
        <w:t xml:space="preserve"> (inhibiteur du CYP3A4) — recommandation théorique.</w:t>
      </w:r>
    </w:p>
    <w:p>
      <w:r/>
      <w:r>
        <w:rPr>
          <w:b/>
        </w:rPr>
        <w:t>Notes, Règles d'Or &amp; Pièges au Comptoir :</w:t>
      </w:r>
      <w:r/>
    </w:p>
    <w:p>
      <w:pPr>
        <w:pStyle w:val="ListBullet"/>
      </w:pPr>
      <w:r/>
      <w:r>
        <w:rPr>
          <w:b/>
        </w:rPr>
        <w:t>Piège classique</w:t>
      </w:r>
      <w:r>
        <w:t xml:space="preserve"> : l'</w:t>
      </w:r>
      <w:r>
        <w:rPr>
          <w:b/>
        </w:rPr>
        <w:t>index thérapeutique étroit</w:t>
      </w:r>
      <w:r>
        <w:t xml:space="preserve"> de la théophylline (5–15 mg/L) est le piège majeur. Le pharmacien doit </w:t>
      </w:r>
      <w:r>
        <w:rPr>
          <w:b/>
        </w:rPr>
        <w:t>systématiquement</w:t>
      </w:r>
      <w:r>
        <w:t xml:space="preserve"> :</w:t>
      </w:r>
    </w:p>
    <w:p>
      <w:pPr>
        <w:pStyle w:val="ListBullet"/>
      </w:pPr>
      <w:r>
        <w:t>Vérifier que le patient a eu une théophyllinémie récente (&lt; 3 mois) ou en prescrire une via le médecin.</w:t>
      </w:r>
    </w:p>
    <w:p>
      <w:pPr>
        <w:pStyle w:val="ListBullet"/>
      </w:pPr>
      <w:r>
        <w:t xml:space="preserve">Vérifier les </w:t>
      </w:r>
      <w:r>
        <w:rPr>
          <w:b/>
        </w:rPr>
        <w:t>interactions médicamenteuses</w:t>
      </w:r>
      <w:r>
        <w:t xml:space="preserve"> avec tous les médicaments du patient (en particulier les macrolides, la cimétidine, l'allopurinol, les antifongiques azolés, les antiépileptiques inducteurs, la rifampicine, les contraceptifs oraux).</w:t>
      </w:r>
    </w:p>
    <w:p>
      <w:pPr>
        <w:pStyle w:val="ListBullet"/>
      </w:pPr>
      <w:r>
        <w:t xml:space="preserve">Vérifier le </w:t>
      </w:r>
      <w:r>
        <w:rPr>
          <w:b/>
        </w:rPr>
        <w:t>statut tabagique</w:t>
      </w:r>
      <w:r>
        <w:t xml:space="preserve"> (fumeur vs non-fumeur vs sevrage récent).</w:t>
      </w:r>
    </w:p>
    <w:p>
      <w:pPr>
        <w:pStyle w:val="ListBullet"/>
      </w:pPr>
      <w:r>
        <w:t xml:space="preserve">Vérifier l'absence de </w:t>
      </w:r>
      <w:r>
        <w:rPr>
          <w:b/>
        </w:rPr>
        <w:t>cardiopathie</w:t>
      </w:r>
      <w:r>
        <w:t xml:space="preserve"> (tachyarythmies) ou d'</w:t>
      </w:r>
      <w:r>
        <w:rPr>
          <w:b/>
        </w:rPr>
        <w:t>épilepsie</w:t>
      </w:r>
      <w:r>
        <w:t>.</w:t>
      </w:r>
    </w:p>
    <w:p>
      <w:pPr>
        <w:pStyle w:val="ListBullet"/>
      </w:pPr>
      <w:r/>
      <w:r>
        <w:rPr>
          <w:b/>
        </w:rPr>
        <w:t>Règle de prise</w:t>
      </w:r>
      <w:r>
        <w:t xml:space="preserve"> : à </w:t>
      </w:r>
      <w:r>
        <w:rPr>
          <w:b/>
        </w:rPr>
        <w:t>heure fixe</w:t>
      </w:r>
      <w:r>
        <w:t>, matin et soir (à 12 heures d'intervalle pour le LP), au cours ou après le repas. Ne pas croquer ni écraser le comprimé LP.</w:t>
      </w:r>
    </w:p>
    <w:p>
      <w:pPr>
        <w:pStyle w:val="ListBullet"/>
      </w:pPr>
      <w:r/>
      <w:r>
        <w:rPr>
          <w:b/>
        </w:rPr>
        <w:t>Préparation et Conservation</w:t>
      </w:r>
      <w:r>
        <w:t xml:space="preserve"> : conserver à température ambiante (≤ 25 °C), à l'abri de la lumière et de l'humidité. Tenir hors de portée des enfants. La sécabilité du comprimé DIFFUMAX 200 mg permet l'adaptation posologique par ½ comprimé (100 mg).</w:t>
      </w:r>
    </w:p>
    <w:p>
      <w:pPr>
        <w:pStyle w:val="ListBullet"/>
      </w:pPr>
      <w:r/>
      <w:r>
        <w:rPr>
          <w:b/>
        </w:rPr>
        <w:t>Piège du surdosage / Substitution</w:t>
      </w:r>
      <w:r>
        <w:t xml:space="preserve"> :</w:t>
      </w:r>
    </w:p>
    <w:p>
      <w:pPr>
        <w:pStyle w:val="ListBullet"/>
      </w:pPr>
      <w:r>
        <w:t xml:space="preserve">Le </w:t>
      </w:r>
      <w:r>
        <w:rPr>
          <w:b/>
        </w:rPr>
        <w:t>surdosage en théophylline</w:t>
      </w:r>
      <w:r>
        <w:t xml:space="preserve"> est une urgence médicale. Les premiers signes sont digestifs (nausées, vomissements, douleurs abdominales) et neurologiques (céphalées, insomnie, tremblements). À concentrations &gt; 20 mg/L, convulsions généralisées et arythmies cardiaques graves. Mortalité ~10 % en cas de surdosage sévère.</w:t>
      </w:r>
    </w:p>
    <w:p>
      <w:pPr>
        <w:pStyle w:val="ListBullet"/>
      </w:pPr>
      <w:r>
        <w:t xml:space="preserve">Le </w:t>
      </w:r>
      <w:r>
        <w:rPr>
          <w:b/>
        </w:rPr>
        <w:t>risque d'interaction médicamenteuse</w:t>
      </w:r>
      <w:r>
        <w:t xml:space="preserve"> est majeur. Un patient sous théophylline qui reçoit un traitement par érythromycine pour une infection ORL peut présenter un surdosage théophyllinique en 48 heures — toujours vérifier les interactions avant dispensation.</w:t>
      </w:r>
    </w:p>
    <w:p>
      <w:pPr>
        <w:pStyle w:val="ListBullet"/>
      </w:pPr>
      <w:r>
        <w:t xml:space="preserve">Le </w:t>
      </w:r>
      <w:r>
        <w:rPr>
          <w:b/>
        </w:rPr>
        <w:t>switch d'une marque à une autre</w:t>
      </w:r>
      <w:r>
        <w:t xml:space="preserve"> (DIFFUMAX vs théophylline générique) peut modifier la biodisponibilité de ~10–20 % — surveillance accrue.</w:t>
      </w:r>
    </w:p>
    <w:p>
      <w:pPr>
        <w:pStyle w:val="ListBullet"/>
      </w:pPr>
      <w:r/>
      <w:r>
        <w:rPr>
          <w:b/>
        </w:rPr>
        <w:t>Ne pas substituer la théophylline par un autre bronchodilatateur</w:t>
      </w:r>
      <w:r>
        <w:t xml:space="preserve"> (LABA, LAMA) sans avis médical — le profil d'efficacité et d'EI est différent.</w:t>
      </w:r>
    </w:p>
    <w:p>
      <w:pPr>
        <w:pStyle w:val="ListBullet"/>
      </w:pPr>
      <w:r>
        <w:t>La théophylline n'est pas un traitement de secours — garder le SABA à portée de main.</w:t>
      </w:r>
    </w:p>
    <w:p>
      <w:pPr>
        <w:pStyle w:val="ListBullet"/>
      </w:pPr>
      <w:r/>
      <w:r>
        <w:rPr>
          <w:b/>
        </w:rPr>
        <w:t>Ne pas associer à la caféine</w:t>
      </w:r>
      <w:r>
        <w:t xml:space="preserve"> (café, thé, boissons énergisantes) — potentialisation des EI centraux.</w:t>
      </w:r>
    </w:p>
    <w:p>
      <w:pPr>
        <w:pStyle w:val="Heading2"/>
      </w:pPr>
      <w:r>
        <w:t>6. Introduction à la sous-classe des biothérapies anti-IgE</w:t>
      </w:r>
    </w:p>
    <w:p>
      <w:r>
        <w:t xml:space="preserve">Les </w:t>
      </w:r>
      <w:r>
        <w:rPr>
          <w:b/>
        </w:rPr>
        <w:t>biothérapies</w:t>
      </w:r>
      <w:r>
        <w:t xml:space="preserve"> dans l'asthme sévère représentent une révolution thérapeutique majeure des années 2000–2020. L'</w:t>
      </w:r>
      <w:r>
        <w:rPr>
          <w:b/>
        </w:rPr>
        <w:t>omalizumab</w:t>
      </w:r>
      <w:r>
        <w:t xml:space="preserve"> (Xolair™, Novartis — commercialisé en Europe à partir de 2005) a été le </w:t>
      </w:r>
      <w:r>
        <w:rPr>
          <w:b/>
        </w:rPr>
        <w:t>premier anticorps monoclonal</w:t>
      </w:r>
      <w:r>
        <w:t xml:space="preserve"> autorisé dans l'asthme sévère, suivi par les anti-IL-5 (mepolizumab — Nucala™ GSK 2015, benralizumab — Fasenra™ AstraZeneca 2017, reslizumab — Cinqair™ Teva 2016) et les anti-IL-4Rα (dupilumab — Dupixent™ Sanofi 2017). En Algérie (nomenclature Avril 2026), </w:t>
      </w:r>
      <w:r>
        <w:rPr>
          <w:b/>
        </w:rPr>
        <w:t>seul l'omalizumab</w:t>
      </w:r>
      <w:r>
        <w:t xml:space="preserve"> est commercialisé ; les anti-IL-5 et les anti-IL-4Rα ne sont pas disponibles (les patients algériens nécessitant ces biothérapies accèdent éventuellement à des programmes d'accès compassionnel ou à l'étranger).</w:t>
      </w:r>
    </w:p>
    <w:p>
      <w:r/>
      <w:r>
        <w:rPr>
          <w:b/>
        </w:rPr>
        <w:t>Rationnel immunologique de l'anti-IgE.</w:t>
      </w:r>
      <w:r>
        <w:t xml:space="preserve"> L'asthme allergique (ou IgE-médié) est caractérisé par une production excessive d'</w:t>
      </w:r>
      <w:r>
        <w:rPr>
          <w:b/>
        </w:rPr>
        <w:t>immunoglobulines E (IgE)</w:t>
      </w:r>
      <w:r>
        <w:t xml:space="preserve"> dirigées contre des pneumallergènes perannuels (acariens — Dermatophagoides pteronyssinus et Dermatophagoides farinae ; blatte — Blattella germanica ; chat — Fel d 1 ; chien — Can f 1 ; moisissures — Aspergillus, Alternaria, Cladosporium). Les IgE produites par les lymphocytes B (après commutation isotypique sous l'effet d'IL-4 et IL-13) se lient aux récepteurs </w:t>
      </w:r>
      <w:r>
        <w:rPr>
          <w:b/>
        </w:rPr>
        <w:t>FcεRI</w:t>
      </w:r>
      <w:r>
        <w:t xml:space="preserve"> (high-affinity receptor for IgE) présents à la surface des </w:t>
      </w:r>
      <w:r>
        <w:rPr>
          <w:b/>
        </w:rPr>
        <w:t>mastocytes</w:t>
      </w:r>
      <w:r>
        <w:t xml:space="preserve"> (tissulaires) et des </w:t>
      </w:r>
      <w:r>
        <w:rPr>
          <w:b/>
        </w:rPr>
        <w:t>basophiles</w:t>
      </w:r>
      <w:r>
        <w:t xml:space="preserve"> (circulants). Lorsque l'allergène traverse la muqueuse bronchique et ponte deux IgE adjacentes sur le mastocyte, cela provoque une </w:t>
      </w:r>
      <w:r>
        <w:rPr>
          <w:b/>
        </w:rPr>
        <w:t>dégranulation massive</w:t>
      </w:r>
      <w:r>
        <w:t xml:space="preserve"> avec libération de médiateurs préformés (histamine, tryptase, prostaglandine D2, leucotriènes C4/D4/E4) et synthèse de novo (cytokines Th2 : IL-4, IL-5, IL-13, TNFα). Cette cascade aboutit à la bronchoconstriction immédiate (réaction immédiate 15–30 min), à l'inflammation tardive (réaction tardive 4–8 h) et au remodelage bronchique chronique.</w:t>
      </w:r>
    </w:p>
    <w:p>
      <w:r/>
      <w:r>
        <w:rPr>
          <w:b/>
        </w:rPr>
        <w:t>Cible pharmacologique.</w:t>
      </w:r>
      <w:r>
        <w:t xml:space="preserve"> L'omalizumab est un </w:t>
      </w:r>
      <w:r>
        <w:rPr>
          <w:b/>
        </w:rPr>
        <w:t>anticorps monoclonal recombinant humanisé (IgG1κ)</w:t>
      </w:r>
      <w:r>
        <w:t xml:space="preserve"> produit par technologie ADN recombinant dans des cellules ovariennes de hamster (CHO). Il a été construit par </w:t>
      </w:r>
      <w:r>
        <w:rPr>
          <w:b/>
        </w:rPr>
        <w:t>humanisation</w:t>
      </w:r>
      <w:r>
        <w:t xml:space="preserve"> d'un anticorps murin anti-IgE (MaE11) : les régions déterminantes de complémentarité (CDR) murines (representant ~5 % de la séquence) ont été greffées sur un squelette humain (95 % de la séquence), pour minimiser l'immunogénicité. L'omalizumab se lie de manière </w:t>
      </w:r>
      <w:r>
        <w:rPr>
          <w:b/>
        </w:rPr>
        <w:t>spécifique et de haute affinité</w:t>
      </w:r>
      <w:r>
        <w:t xml:space="preserve"> (Kd ~1,4 nM) au </w:t>
      </w:r>
      <w:r>
        <w:rPr>
          <w:b/>
        </w:rPr>
        <w:t>domaine Cε3 des IgE libres circulantes</w:t>
      </w:r>
      <w:r>
        <w:t xml:space="preserve"> (au site de liaison au récepteur FcεRI), mais </w:t>
      </w:r>
      <w:r>
        <w:rPr>
          <w:b/>
        </w:rPr>
        <w:t>pas aux IgE déjà liées au récepteur FcεRI des mastocytes ou des basophiles</w:t>
      </w:r>
      <w:r>
        <w:t xml:space="preserve"> (le site de liaison est masqué par le récepteur). Cette spécificité est </w:t>
      </w:r>
      <w:r>
        <w:rPr>
          <w:b/>
        </w:rPr>
        <w:t>fondamentale</w:t>
      </w:r>
      <w:r>
        <w:t xml:space="preserve"> : elle évite la ponte des IgE fixées et donc l'activation mastocytaire par l'anticorps lui-même (effet "anaphylactoïde" évité).</w:t>
      </w:r>
    </w:p>
    <w:p>
      <w:r/>
      <w:r>
        <w:rPr>
          <w:b/>
        </w:rPr>
        <w:t>Mécanisme d'action.</w:t>
      </w:r>
      <w:r>
        <w:t xml:space="preserve"> En neutralisant les IgE libres circulantes, l'omalizumab :</w:t>
      </w:r>
    </w:p>
    <w:p>
      <w:pPr>
        <w:pStyle w:val="ListNumber"/>
      </w:pPr>
      <w:r/>
      <w:r>
        <w:rPr>
          <w:b/>
        </w:rPr>
        <w:t>Baisse drastique des IgE libres circulantes</w:t>
      </w:r>
      <w:r>
        <w:t xml:space="preserve"> (réduction de 90 à 99 % en quelques jours, dès la première injection).</w:t>
      </w:r>
    </w:p>
    <w:p>
      <w:pPr>
        <w:pStyle w:val="ListNumber"/>
      </w:pPr>
      <w:r/>
      <w:r>
        <w:rPr>
          <w:b/>
        </w:rPr>
        <w:t>Réduit l'expression des récepteurs FcεRI à la surface des mastocytes et des basophiles</w:t>
      </w:r>
      <w:r>
        <w:t xml:space="preserve"> (down-régulation — la stabilité du récepteur FcεRI à la surface cellulaire dépend de la fixation des IgE ; sans IgE, le récepteur est internalisé et dégradé). Cette down-régulation est progressive, maximale en 4–8 semaines.</w:t>
      </w:r>
    </w:p>
    <w:p>
      <w:pPr>
        <w:pStyle w:val="ListNumber"/>
      </w:pPr>
      <w:r/>
      <w:r>
        <w:rPr>
          <w:b/>
        </w:rPr>
        <w:t>Réduit la dégranulation mastocytaire et basophilique</w:t>
      </w:r>
      <w:r>
        <w:t xml:space="preserve"> aux allergènes (le seuil de déclenchement est augmenté).</w:t>
      </w:r>
    </w:p>
    <w:p>
      <w:pPr>
        <w:pStyle w:val="ListNumber"/>
      </w:pPr>
      <w:r/>
      <w:r>
        <w:rPr>
          <w:b/>
        </w:rPr>
        <w:t>Réduit l'infiltrat éosinophile bronchique</w:t>
      </w:r>
      <w:r>
        <w:t xml:space="preserve"> (baisse de l'IL-5, de l'eotaxine).</w:t>
      </w:r>
    </w:p>
    <w:p>
      <w:pPr>
        <w:pStyle w:val="ListNumber"/>
      </w:pPr>
      <w:r/>
      <w:r>
        <w:rPr>
          <w:b/>
        </w:rPr>
        <w:t>Réduit la production d'IgE</w:t>
      </w:r>
      <w:r>
        <w:t xml:space="preserve"> (rétrocontrôle négatif sur les lymphocytes B).</w:t>
      </w:r>
    </w:p>
    <w:p>
      <w:r/>
      <w:r>
        <w:rPr>
          <w:b/>
        </w:rPr>
        <w:t>Effet clinique.</w:t>
      </w:r>
      <w:r>
        <w:t xml:space="preserve"> L'omalizumab réduit de </w:t>
      </w:r>
      <w:r>
        <w:rPr>
          <w:b/>
        </w:rPr>
        <w:t>25 à 50 %</w:t>
      </w:r>
      <w:r>
        <w:t xml:space="preserve"> le taux d'exacerbations sévères dans l'asthme allergique sévère (étude INNOVATE — </w:t>
      </w:r>
      <w:r>
        <w:rPr>
          <w:i/>
        </w:rPr>
        <w:t>Investigation of Omalizumab in Severe Asthma Treatment</w:t>
      </w:r>
      <w:r>
        <w:t>, NEJM 2006), améliore la qualité de vie (questionnaire AQLQ), permet une réduction de ~20 % de la dose de CSI (et ~40–60 % de la corticothérapie orale dans l'asthme sévère corticodépendant), améliore le VEMS de ~150–200 mL, et réduit les symptômes saisonniers de la rhinite allergique concomitante. La réponse thérapeutique est évaluée à 16 semaines (critère d'évaluation principal) : en l'absence de réponse (absence d'amélioration du contrôle de l'asthme, absent d'épargne cortisonique), l'arrêt de l'omalizumab est recommandé par la HAS.</w:t>
      </w:r>
    </w:p>
    <w:p>
      <w:r/>
      <w:r>
        <w:rPr>
          <w:b/>
        </w:rPr>
        <w:t>Pharmacocinétique de l'omalizumab.</w:t>
      </w:r>
      <w:r>
        <w:t xml:space="preserve"> L'omalizumab est administré par voie </w:t>
      </w:r>
      <w:r>
        <w:rPr>
          <w:b/>
        </w:rPr>
        <w:t>sous-cutanée (SC)</w:t>
      </w:r>
      <w:r>
        <w:t xml:space="preserve"> (abdomen, cuisse, bras) en raison de sa masse moléculaire élevée (~150 kDa — incompatible avec une administration orale). La biodisponibilité SC est de ~62 %. Le Tmax est atteint en 3–14 jours ( moyenne 7 jours). La demi-vie d'élimination est de </w:t>
      </w:r>
      <w:r>
        <w:rPr>
          <w:b/>
        </w:rPr>
        <w:t>19 à 22 jours</w:t>
      </w:r>
      <w:r>
        <w:t xml:space="preserve"> (justifiant un rythme d'administration tous les 15 à 30 jours, selon la dose). La clairance est essentiellement </w:t>
      </w:r>
      <w:r>
        <w:rPr>
          <w:b/>
        </w:rPr>
        <w:t>réticulo-endothéliale</w:t>
      </w:r>
      <w:r>
        <w:t xml:space="preserve"> (phagocytose par les macrophages après fixation du Fcγ aux récepteurs FcγR), avec une faible fraction de catabolisme hépatique. La clairance est proportionnelle au poids corporel (d'où l'adaptation posologique selon le poids) et inversement proportionnelle aux IgE totales (d'où l'adaptation posologique selon les IgE). La dose et le rythme d'administration sont déterminés par une </w:t>
      </w:r>
      <w:r>
        <w:rPr>
          <w:b/>
        </w:rPr>
        <w:t>table de dosage</w:t>
      </w:r>
      <w:r>
        <w:t xml:space="preserve"> (Novartis) en fonction du poids corporel et des IgE totales avant initiation : de 75 mg à 600 mg en 1 à 4 injections, toutes les 2 ou 4 semaines.</w:t>
      </w:r>
    </w:p>
    <w:p>
      <w:r/>
      <w:r>
        <w:rPr>
          <w:b/>
        </w:rPr>
        <w:t>Place thérapeutique de l'omalizumab selon GINA 2024 :</w:t>
      </w:r>
      <w:r/>
    </w:p>
    <w:p>
      <w:pPr>
        <w:pStyle w:val="ListBullet"/>
      </w:pPr>
      <w:r/>
      <w:r>
        <w:rPr>
          <w:b/>
        </w:rPr>
        <w:t>Stade 5 (asthme sévère)</w:t>
      </w:r>
      <w:r>
        <w:t xml:space="preserve"> : indiqué dans l'asthme sévère allergique IgE-médié non contrôlé malgré une corticothérapie inhalée forte dose + LABA, avec IgE totales 30–700 UI/mL (ou 30–1500 UI/mL selon la table de dosage américaine), prick test positif à un pneumallergène perannuel ou IgE spécifiques positives, VEMS &lt; 80 % de la théorique, ≥ 1 exacerbation sévère dans l'année. Évaluation de la réponse à 16 semaines (critères : réduction des exacerbations, amélioration du contrôle, épargne cortisonique, amélioration du VEMS) — arrêt en l'absence de réponse.</w:t>
      </w:r>
    </w:p>
    <w:p>
      <w:pPr>
        <w:pStyle w:val="ListBullet"/>
      </w:pPr>
      <w:r/>
      <w:r>
        <w:rPr>
          <w:b/>
        </w:rPr>
        <w:t>Urticaire chronique spontanée résistante aux antihistaminiques</w:t>
      </w:r>
      <w:r>
        <w:t xml:space="preserve"> (indication validée par l'EMA 2014) : 150–300 mg SC tous les 15–30 jours.</w:t>
      </w:r>
    </w:p>
    <w:p>
      <w:pPr>
        <w:pStyle w:val="ListBullet"/>
      </w:pPr>
      <w:r/>
      <w:r>
        <w:rPr>
          <w:b/>
        </w:rPr>
        <w:t>Rhinite allergique sévère</w:t>
      </w:r>
      <w:r>
        <w:t xml:space="preserve"> (pollinique sévère résistante aux antihistaminiques et corticoïdes nasaux) — indication validée par l'EMA dans certains pays européens, pas en Algérie.</w:t>
      </w:r>
    </w:p>
    <w:p>
      <w:pPr>
        <w:pStyle w:val="ListBullet"/>
      </w:pPr>
      <w:r/>
      <w:r>
        <w:rPr>
          <w:b/>
        </w:rPr>
        <w:t>Polypose naso-sinusienne sévère</w:t>
      </w:r>
      <w:r>
        <w:t xml:space="preserve"> (indication validée par l'EMA 2020) — non couverte en Algérie.</w:t>
      </w:r>
    </w:p>
    <w:p>
      <w:r/>
      <w:r>
        <w:rPr>
          <w:b/>
        </w:rPr>
        <w:t>Particularité réglementaire algérienne.</w:t>
      </w:r>
      <w:r>
        <w:t xml:space="preserve"> L'omalizumab est classé en </w:t>
      </w:r>
      <w:r>
        <w:rPr>
          <w:b/>
        </w:rPr>
        <w:t>Liste I</w:t>
      </w:r>
      <w:r>
        <w:t xml:space="preserve"> (substance vénéneuse), en </w:t>
      </w:r>
      <w:r>
        <w:rPr>
          <w:b/>
        </w:rPr>
        <w:t>prescription hospitalière spécialisée</w:t>
      </w:r>
      <w:r>
        <w:t xml:space="preserve"> (pneumologie, médecine interne, allergologie), avec </w:t>
      </w:r>
      <w:r>
        <w:rPr>
          <w:b/>
        </w:rPr>
        <w:t>administration en milieu médicalisé</w:t>
      </w:r>
      <w:r>
        <w:t xml:space="preserve"> (centre hospitalier, cabinet médical équipé pour la gestion des réactions anaphylactiques). La spécialité XOLAIR 150 mg flacon (Novartis) est fournie sous forme de </w:t>
      </w:r>
      <w:r>
        <w:rPr>
          <w:b/>
        </w:rPr>
        <w:t>poudre lyophilisée + solvant</w:t>
      </w:r>
      <w:r>
        <w:t xml:space="preserve"> à reconstituer extemporanément avant injection SC (reconstitution lente ~15–20 minutes par douce agitation, sans agiter vigoureusement pour éviter la formation de mousse). La conservation se fait à </w:t>
      </w:r>
      <w:r>
        <w:rPr>
          <w:b/>
        </w:rPr>
        <w:t>2–8 °C</w:t>
      </w:r>
      <w:r>
        <w:t xml:space="preserve"> (réfrigérateur), à l'abri de la lumière. Après reconstitution, l'usage immédiat est recommandé (ou dans les 8 heures à 2–8 °C).</w:t>
      </w:r>
    </w:p>
    <w:p>
      <w:r/>
      <w:r>
        <w:rPr>
          <w:b/>
        </w:rPr>
        <w:t>Risque anaphylaxie retardée.</w:t>
      </w:r>
      <w:r>
        <w:t xml:space="preserve"> Le risque principal de l'omalizumab est la survenue de </w:t>
      </w:r>
      <w:r>
        <w:rPr>
          <w:b/>
        </w:rPr>
        <w:t>réactions anaphylactiques retardées</w:t>
      </w:r>
      <w:r>
        <w:t xml:space="preserve"> (médiane : 24 heures après l'injection, mais décrites jusqu'à 4 jours après). Le risque est estimé à ~0,2 % des patients (3 cas pour 1000 patients-années selon la FDA OBA — </w:t>
      </w:r>
      <w:r>
        <w:rPr>
          <w:i/>
        </w:rPr>
        <w:t>Omalizumab Joint Task Force</w:t>
      </w:r>
      <w:r>
        <w:t xml:space="preserve"> 2007). En raison de ce risque, la FDA a imposé un </w:t>
      </w:r>
      <w:r>
        <w:rPr>
          <w:b/>
        </w:rPr>
        <w:t>Black Box Warning</w:t>
      </w:r>
      <w:r>
        <w:t xml:space="preserve"> (2007) avec recommandation de </w:t>
      </w:r>
      <w:r>
        <w:rPr>
          <w:b/>
        </w:rPr>
        <w:t>surveillance post-injection de 2 heures</w:t>
      </w:r>
      <w:r>
        <w:t xml:space="preserve"> par un professionnel de santé formé à la gestion de l'anaphylaxie (kit adrénaline IM, antihistaminiques, corticoïdes, oxygène, matériel de réanimation). L'information du patient et de l'entourage est obligatoire : signes d'anaphylaxie (démangeaisons généralisées, urticaire, angio-œdème, gêne respiratoire, hypotension, vertiges), conduite à tenir (appel SAMU 14 ou 15, injection d'adrénaline IM si prescription), surveillance à domicile pendant les 24–72 heures suivant chaque injection.</w:t>
      </w:r>
    </w:p>
    <w:p>
      <w:pPr>
        <w:pStyle w:val="Heading2"/>
      </w:pPr>
      <w:r>
        <w:t>7. Fiche DCI — Anti-IgE</w:t>
      </w:r>
    </w:p>
    <w:p>
      <w:pPr>
        <w:pStyle w:val="Heading3"/>
      </w:pPr>
      <w:r>
        <w:t>3. DCI : Omalizumab (Seul)</w:t>
      </w:r>
    </w:p>
    <w:p>
      <w:r/>
      <w:r>
        <w:rPr>
          <w:b/>
        </w:rPr>
        <w:t>Liste des Catégories :</w:t>
      </w:r>
      <w:r>
        <w:t xml:space="preserve"> Biothérapie ; Anticorps monoclonal recombinant humanisé (IgG1κ) ; Anti-IgE (neutralise les IgE libres circulantes) ; Inducteur de down-régulation des récepteurs FcεRI des mastocytes et basophiles ; Antiasthmatique sévère (stade 5 GINA) ; Traitement de l'urticaire chronique spontanée résistante aux antihistaminiques ; Liste I ; Prescription hospitalière spécialisée ; Administration sous-cutanée en milieu médicalisé.</w:t>
      </w:r>
    </w:p>
    <w:p>
      <w:r>
        <w:t xml:space="preserve">L'omalizumab (DCI : omalizumab ; marque : XOLAIR™, Novartis Pharma Schweiz AG) est un </w:t>
      </w:r>
      <w:r>
        <w:rPr>
          <w:b/>
        </w:rPr>
        <w:t>anticorps monoclonal recombinant humanisé de classe IgG1κ</w:t>
      </w:r>
      <w:r>
        <w:t xml:space="preserve"> qui se lie avec haute affinité et spécificité au </w:t>
      </w:r>
      <w:r>
        <w:rPr>
          <w:b/>
        </w:rPr>
        <w:t>domaine Cε3 des IgE libres circulantes</w:t>
      </w:r>
      <w:r>
        <w:t xml:space="preserve"> (au site de liaison du récepteur FcεRI), sans toutefois ponte les IgE déjà fixées sur les récepteurs FcεRI des mastocytes et basophiles (évitant ainsi l'activation mastocytaire par l'anticorps lui-même). Administré par voie </w:t>
      </w:r>
      <w:r>
        <w:rPr>
          <w:b/>
        </w:rPr>
        <w:t>sous-cutanée</w:t>
      </w:r>
      <w:r>
        <w:t xml:space="preserve"> tous les 15 à 30 jours selon la dose, il est indiqué dans l'</w:t>
      </w:r>
      <w:r>
        <w:rPr>
          <w:b/>
        </w:rPr>
        <w:t>asthme sévère allergique IgE-médié non contrôlé</w:t>
      </w:r>
      <w:r>
        <w:t xml:space="preserve"> malgré une corticothérapie inhalée forte dose + LABA, chez les patients ≥ 6 ans avec IgE totales 30–700 UI/mL, prick test positif à un pneumallergène perannuel, VEMS &lt; 80 %, ≥ 1 exacerbation sévère dans l'année. La posologie est déterminée par une </w:t>
      </w:r>
      <w:r>
        <w:rPr>
          <w:b/>
        </w:rPr>
        <w:t>table de dosage Novartis</w:t>
      </w:r>
      <w:r>
        <w:t xml:space="preserve"> en fonction du poids et des IgE totales. La tolérance est dominée par le risque d'</w:t>
      </w:r>
      <w:r>
        <w:rPr>
          <w:b/>
        </w:rPr>
        <w:t>anaphylaxie retardée</w:t>
      </w:r>
      <w:r>
        <w:t xml:space="preserve"> (surveillance 2 h post-injection obligatoire — </w:t>
      </w:r>
      <w:r>
        <w:rPr>
          <w:i/>
        </w:rPr>
        <w:t>Black Box Warning</w:t>
      </w:r>
      <w:r>
        <w:t xml:space="preserve"> FDA 2007), les réactions au site d'injection, et la survenue possible d'</w:t>
      </w:r>
      <w:r>
        <w:rPr>
          <w:b/>
        </w:rPr>
        <w:t>arthralgies</w:t>
      </w:r>
      <w:r>
        <w:t xml:space="preserve"> (syndrome "Omalizumab-associated arthralgia" — rare mais décrit). L'évaluation de la réponse à 16 semaines est </w:t>
      </w:r>
      <w:r>
        <w:rPr>
          <w:b/>
        </w:rPr>
        <w:t>obligatoire</w:t>
      </w:r>
      <w:r>
        <w:t xml:space="preserve"> : en l'absence de réponse (absence d'amélioration du contrôle de l'asthme, absent d'épargne cortisonique), l'arrêt est recommandé (HAS).</w:t>
      </w:r>
    </w:p>
    <w:p>
      <w:r/>
      <w:r>
        <w:rPr>
          <w:b/>
        </w:rPr>
        <w:t>Médicaments disponibles en Algérie (Marques, Laboratoires, Formes et Dosages) :</w:t>
      </w:r>
      <w:r/>
    </w:p>
    <w:p>
      <w:r/>
      <w:r>
        <w:rPr>
          <w:i/>
        </w:rPr>
        <w:t>Spécialité active :</w:t>
      </w:r>
      <w:r/>
    </w:p>
    <w:p>
      <w:pPr>
        <w:pStyle w:val="ListBullet"/>
      </w:pPr>
      <w:r/>
      <w:r>
        <w:rPr>
          <w:b/>
        </w:rPr>
        <w:t>XOLAIR</w:t>
      </w:r>
      <w:r>
        <w:t xml:space="preserve"> (NOVARTIS PHARMA SCHWEIZ AG) — Poudre et solvant pour préparation injectable sous-cutanée 150 mg/flacon — Boîte de 1 flacon de poudre de 5 mL + 1 ampoule de solvant de 2 mL — Liste I — Statut : Actif [spécialité princeps, seule forme commercialisée en Algérie]</w:t>
      </w:r>
    </w:p>
    <w:p>
      <w:r/>
      <w:r>
        <w:rPr>
          <w:i/>
        </w:rPr>
        <w:t>Spécialités retirées (R) ou non renouvelables :</w:t>
      </w:r>
      <w:r>
        <w:t xml:space="preserve"> aucune autre spécialité n'est disponible en Algérie pour l'omalizumab. Le XOLAIR n'est pas décliné en dosage 75 mg ou 300 mg en Algérie (alors que ces dosages existent à l'international, ce qui simplifierait l'administration des doses élevées — 4 injections de 150 mg pour une dose de 600 mg).</w:t>
      </w:r>
    </w:p>
    <w:p>
      <w:r/>
      <w:r>
        <w:rPr>
          <w:b/>
        </w:rPr>
        <w:t>Sous-classe et Mécanisme d'action :</w:t>
      </w:r>
      <w:r/>
    </w:p>
    <w:p>
      <w:pPr>
        <w:pStyle w:val="ListBullet"/>
      </w:pPr>
      <w:r/>
      <w:r>
        <w:rPr>
          <w:b/>
        </w:rPr>
        <w:t>Sous-classe</w:t>
      </w:r>
      <w:r>
        <w:t xml:space="preserve"> : Biothérapie anti-IgE (anticorps monoclonal anti-IgE humanisé). Sous-classe distincte des anti-IL-5 (mepolizumab, benralizumab, reslizumab) et des anti-IL-4Rα (dupilumab), qui ciblent d'autres cytokines de la voie Th2. L'omalizumab est l'unique biothérapie commercialisée en Algérie pour l'asthme sévère (nomenclature Avril 2026).</w:t>
      </w:r>
    </w:p>
    <w:p>
      <w:pPr>
        <w:pStyle w:val="ListBullet"/>
      </w:pPr>
      <w:r/>
      <w:r>
        <w:rPr>
          <w:b/>
        </w:rPr>
        <w:t>Mécanisme d'action</w:t>
      </w:r>
      <w:r>
        <w:t xml:space="preserve"> : l'omalizumab est un anticorps monoclonal recombinant humanisé (IgG1κ, masse moléculaire ~149 kDa) produit par technologie ADN recombinant dans des cellules ovariennes de hamster (CHO). Il a été construit par </w:t>
      </w:r>
      <w:r>
        <w:rPr>
          <w:b/>
        </w:rPr>
        <w:t>humanisation</w:t>
      </w:r>
      <w:r>
        <w:t xml:space="preserve"> d'un anticorps murin anti-IgE (MaE11) : les régions déterminantes de complémentarité (CDR) murines (5 % de la séquence) ont été greffées sur un squelette humain (95 %), pour minimiser l'immunogénicité (anticorps anti-médicament — ADA — observés chez ~1 % des patients, sans impact clinique documenté). L'omalizumab se lie de manière </w:t>
      </w:r>
      <w:r>
        <w:rPr>
          <w:b/>
        </w:rPr>
        <w:t>spécifique et de haute affinité</w:t>
      </w:r>
      <w:r>
        <w:t xml:space="preserve"> (Kd ~1,4 nM) au </w:t>
      </w:r>
      <w:r>
        <w:rPr>
          <w:b/>
        </w:rPr>
        <w:t>domaine Cε3 des IgE libres circulantes</w:t>
      </w:r>
      <w:r>
        <w:t xml:space="preserve"> — ce domaine est le site de liaison au récepteur FcεRI (high-affinity receptor for IgE) des mastocytes et basophiles. En se liant aux IgE libres, l'omalizumab :</w:t>
      </w:r>
    </w:p>
    <w:p>
      <w:pPr>
        <w:pStyle w:val="ListNumber"/>
      </w:pPr>
      <w:r/>
      <w:r>
        <w:rPr>
          <w:b/>
        </w:rPr>
        <w:t>Neutralise les IgE libres circulantes</w:t>
      </w:r>
      <w:r>
        <w:t xml:space="preserve"> — formation de complexes immuns omalizumab-IgE (petits complexes solubles ~3 × 150 kDa, non pathogènes, éliminés par le système réticulo-endothélial) — </w:t>
      </w:r>
      <w:r>
        <w:rPr>
          <w:b/>
        </w:rPr>
        <w:t>baisse drastique des IgE libres</w:t>
      </w:r>
      <w:r>
        <w:t xml:space="preserve"> (réduction de 90–99 % en quelques jours).</w:t>
      </w:r>
    </w:p>
    <w:p>
      <w:pPr>
        <w:pStyle w:val="ListNumber"/>
      </w:pPr>
      <w:r/>
      <w:r>
        <w:rPr>
          <w:b/>
        </w:rPr>
        <w:t>Empêche la fixation des IgE sur les récepteurs FcεRI</w:t>
      </w:r>
      <w:r>
        <w:t xml:space="preserve"> des mastocytes et basophiles — le récepteur FcεRI ne peut pas être saturé.</w:t>
      </w:r>
    </w:p>
    <w:p>
      <w:pPr>
        <w:pStyle w:val="ListNumber"/>
      </w:pPr>
      <w:r/>
      <w:r>
        <w:rPr>
          <w:b/>
        </w:rPr>
        <w:t>Provoque une down-régulation progressive des récepteurs FcεRI</w:t>
      </w:r>
      <w:r>
        <w:t xml:space="preserve"> à la surface des mastocytes et basophiles — la stabilité du FcεRI à la surface cellulaire dépend de la fixation des IgE ; sans IgE, le récepteur est internalisé et dégradé. Down-régulation maximale en 4–8 semaines.</w:t>
      </w:r>
    </w:p>
    <w:p>
      <w:pPr>
        <w:pStyle w:val="ListNumber"/>
      </w:pPr>
      <w:r/>
      <w:r>
        <w:rPr>
          <w:b/>
        </w:rPr>
        <w:t>Réduit la dégranulation mastocytaire et basophilique</w:t>
      </w:r>
      <w:r>
        <w:t xml:space="preserve"> — le seuil de déclenchement de la dégranulation est augmenté (concentration allergénique nécessaire plus élevée).</w:t>
      </w:r>
    </w:p>
    <w:p>
      <w:pPr>
        <w:pStyle w:val="ListNumber"/>
      </w:pPr>
      <w:r/>
      <w:r>
        <w:rPr>
          <w:b/>
        </w:rPr>
        <w:t>Réduit l'infiltrat éosinophile bronchique</w:t>
      </w:r>
      <w:r>
        <w:t xml:space="preserve"> — baisse de l'IL-5, de l'eotaxine/CCL11, et du recrutement éosinophilique.</w:t>
      </w:r>
    </w:p>
    <w:p>
      <w:pPr>
        <w:pStyle w:val="ListNumber"/>
      </w:pPr>
      <w:r/>
      <w:r>
        <w:rPr>
          <w:b/>
        </w:rPr>
        <w:t>Réduit la production d'IgE</w:t>
      </w:r>
      <w:r>
        <w:t xml:space="preserve"> — rétrocontrôle négatif sur les lymphocytes B (mécanisme impliquant la baisse de l'expression des récepteurs FcεRI sur les cellules dendritiques, qui présentent moins efficacement l'allergène aux lymphocytes T).</w:t>
      </w:r>
    </w:p>
    <w:p>
      <w:pPr>
        <w:pStyle w:val="ListBullet"/>
      </w:pPr>
      <w:r/>
      <w:r>
        <w:rPr>
          <w:b/>
        </w:rPr>
        <w:t>Spécificité cruciale</w:t>
      </w:r>
      <w:r>
        <w:t xml:space="preserve"> : l'omalizumab </w:t>
      </w:r>
      <w:r>
        <w:rPr>
          <w:b/>
        </w:rPr>
        <w:t>ne se lie pas aux IgE déjà fixées sur les récepteurs FcεRI des mastocytes et basophiles</w:t>
      </w:r>
      <w:r>
        <w:t xml:space="preserve"> (le site de liaison au récepteur est masqué). Cette spécificité est </w:t>
      </w:r>
      <w:r>
        <w:rPr>
          <w:b/>
        </w:rPr>
        <w:t>fondamentale</w:t>
      </w:r>
      <w:r>
        <w:t xml:space="preserve"> pour la sécurité d'emploi : elle évite la ponte des IgE fixées et donc l'activation mastocytaire par l'anticorps lui-même (effet "anaphylactoïde" évité). Si l'omalizumab se liait aux IgE fixées, il déclencherait une dégranulation massive systémique (anaphylaxie iatrogène) à chaque injection.</w:t>
      </w:r>
    </w:p>
    <w:p>
      <w:pPr>
        <w:pStyle w:val="ListBullet"/>
      </w:pPr>
      <w:r/>
      <w:r>
        <w:rPr>
          <w:b/>
        </w:rPr>
        <w:t>Effet pharmacodynamique</w:t>
      </w:r>
      <w:r>
        <w:t xml:space="preserve"> : la réponse clinique est </w:t>
      </w:r>
      <w:r>
        <w:rPr>
          <w:b/>
        </w:rPr>
        <w:t>retardée</w:t>
      </w:r>
      <w:r>
        <w:t xml:space="preserve"> (effet maximal en 12–16 semaines), en raison du délai nécessaire à la down-régulation des récepteurs FcεRI et à la baisse de l'infiltrat inflammatoire bronchique. La première évaluation de l'efficacité est réalisée à </w:t>
      </w:r>
      <w:r>
        <w:rPr>
          <w:b/>
        </w:rPr>
        <w:t>16 semaines</w:t>
      </w:r>
      <w:r>
        <w:t xml:space="preserve"> (critère HAS).</w:t>
      </w:r>
    </w:p>
    <w:p>
      <w:r/>
      <w:r>
        <w:rPr>
          <w:b/>
        </w:rPr>
        <w:t>Profil Pharmacologique :</w:t>
      </w:r>
      <w:r/>
    </w:p>
    <w:p>
      <w:pPr>
        <w:pStyle w:val="ListBullet"/>
      </w:pPr>
      <w:r/>
      <w:r>
        <w:rPr>
          <w:b/>
        </w:rPr>
        <w:t>Indications</w:t>
      </w:r>
      <w:r>
        <w:t xml:space="preserve"> :</w:t>
      </w:r>
    </w:p>
    <w:p>
      <w:pPr>
        <w:pStyle w:val="ListBullet"/>
      </w:pPr>
      <w:r/>
      <w:r>
        <w:rPr>
          <w:b/>
        </w:rPr>
        <w:t>Asthme sévère allergique IgE-médié (stade 5 GINA 2024)</w:t>
      </w:r>
      <w:r>
        <w:t xml:space="preserve"> : traitement add-on chez l'adulte et l'enfant ≥ 6 ans présentant un asthme sévère non contrôlé malgré une corticothérapie inhalée forte dose + LABA, avec les critères suivants : (i) IgE totales 30–700 UI/mL (selon la table européenne) ou 30–1500 UI/mL (selon la table américaine, avec adaptation de la fréquence d'administration) ; (ii) prick test positif à un pneumallergène perannuel (acariens, blatte, chat, chien, moisissures) ou IgE spécifiques positives ; (iii) VEMS &lt; 80 % de la valeur théorique ; (iv) ≥ 1 exacerbation sévère dans l'année précédente (hospitalisation ou consultation aux urgences ou cure de corticoïdes oraux). </w:t>
      </w:r>
      <w:r>
        <w:rPr>
          <w:b/>
        </w:rPr>
        <w:t>Évaluation de la réponse à 16 semaines</w:t>
      </w:r>
      <w:r>
        <w:t xml:space="preserve"> — arrêt recommandé en l'absence de réponse.</w:t>
      </w:r>
    </w:p>
    <w:p>
      <w:pPr>
        <w:pStyle w:val="ListBullet"/>
      </w:pPr>
      <w:r/>
      <w:r>
        <w:rPr>
          <w:b/>
        </w:rPr>
        <w:t>Urticaire chronique spontanée (UCS) résistante aux antihistaminiques</w:t>
      </w:r>
      <w:r>
        <w:t xml:space="preserve"> (indication EMA 2014) : traitement add-on chez l'adulte et l'adolescent ≥ 12 ans présentant une UCS résistante aux antihistaminiques H1 à dose jusqu'à 4× la dose standard (cétirizine 40 mg/j, etc.). Posologie fixe : 150 mg ou 300 mg SC toutes les 4 semaines. Réévaluation à 24 semaines.</w:t>
      </w:r>
    </w:p>
    <w:p>
      <w:pPr>
        <w:pStyle w:val="ListBullet"/>
      </w:pPr>
      <w:r/>
      <w:r>
        <w:rPr>
          <w:b/>
        </w:rPr>
        <w:t>Rhinite allergique sévère</w:t>
      </w:r>
      <w:r>
        <w:t xml:space="preserve"> (indication validée dans certains pays européens, pas en Algérie) — en cas d'échec des antihistaminiques et des corticoïdes nasaux.</w:t>
      </w:r>
    </w:p>
    <w:p>
      <w:pPr>
        <w:pStyle w:val="ListBullet"/>
      </w:pPr>
      <w:r/>
      <w:r>
        <w:rPr>
          <w:b/>
        </w:rPr>
        <w:t>Polypose naso-sinusienne sévère</w:t>
      </w:r>
      <w:r>
        <w:t xml:space="preserve"> (indication EMA 2020, pas en Algérie) — en add-on au traitement standard.</w:t>
      </w:r>
    </w:p>
    <w:p>
      <w:pPr>
        <w:pStyle w:val="ListBullet"/>
      </w:pPr>
      <w:r/>
      <w:r>
        <w:rPr>
          <w:b/>
        </w:rPr>
        <w:t>Contre-indications</w:t>
      </w:r>
      <w:r>
        <w:t xml:space="preserve"> :</w:t>
      </w:r>
    </w:p>
    <w:p>
      <w:pPr>
        <w:pStyle w:val="ListBullet"/>
      </w:pPr>
      <w:r>
        <w:t>Hypersensibilité à l'omalizumab ou à l'un des excipients (saccharose, L-histidine, polysorbate 20, chlorhydrate de L-histidine monohydraté).</w:t>
      </w:r>
    </w:p>
    <w:p>
      <w:pPr>
        <w:pStyle w:val="ListBullet"/>
      </w:pPr>
      <w:r/>
      <w:r>
        <w:rPr>
          <w:b/>
        </w:rPr>
        <w:t>Anaphylaxie à une injection précédente d'omalizumab</w:t>
      </w:r>
      <w:r>
        <w:t xml:space="preserve"> — CI définitive à la poursuite du traitement.</w:t>
      </w:r>
    </w:p>
    <w:p>
      <w:pPr>
        <w:pStyle w:val="ListBullet"/>
      </w:pPr>
      <w:r>
        <w:t>Asthme non allergique (IgE-médié) — inefficacité attendue (pas de CI absolue mais pas d'indication).</w:t>
      </w:r>
    </w:p>
    <w:p>
      <w:pPr>
        <w:pStyle w:val="ListBullet"/>
      </w:pPr>
      <w:r>
        <w:t>Enfant de moins de 6 ans (asthme) ou moins de 12 ans (UCS) — non évalué.</w:t>
      </w:r>
    </w:p>
    <w:p>
      <w:pPr>
        <w:pStyle w:val="ListBullet"/>
      </w:pPr>
      <w:r/>
      <w:r>
        <w:rPr>
          <w:b/>
        </w:rPr>
        <w:t>Grossesse</w:t>
      </w:r>
      <w:r>
        <w:t xml:space="preserve"> : à éviter sauf nécessité absolue (cf. section Grossesse).</w:t>
      </w:r>
    </w:p>
    <w:p>
      <w:pPr>
        <w:pStyle w:val="ListBullet"/>
      </w:pPr>
      <w:r/>
      <w:r>
        <w:rPr>
          <w:b/>
        </w:rPr>
        <w:t>Effets Indésirables</w:t>
      </w:r>
      <w:r>
        <w:t xml:space="preserve"> :</w:t>
      </w:r>
    </w:p>
    <w:p>
      <w:pPr>
        <w:pStyle w:val="ListBullet"/>
      </w:pPr>
      <w:r/>
      <w:r>
        <w:rPr>
          <w:b/>
        </w:rPr>
        <w:t>Réactions au site d'injection</w:t>
      </w:r>
      <w:r>
        <w:t xml:space="preserve"> (~15–20 % des patients) : érythème, douleur, œdème, prurit au site SC. Bénignes, résolutives en 24–48 heures.</w:t>
      </w:r>
    </w:p>
    <w:p>
      <w:pPr>
        <w:pStyle w:val="ListBullet"/>
      </w:pPr>
      <w:r>
        <w:t>**Anaphylaxie retardée (EI critique — *Black Box Warning* FDA 2007)</w:t>
      </w:r>
      <w:r>
        <w:rPr>
          <w:b/>
        </w:rPr>
        <w:t xml:space="preserve"> : rare (~0,2 % des patients, ~3/1000 patients-années) mais gravité extrême. Délai médian d'apparition : 24 heures après l'injection (extrêmes 2 heures à 4 jours). Symptômes : démangeaisons généralisées, urticaire, angio-œdème (lèvres, langue, gorge, paupières), gêne respiratoire (bronchospasme), hypotension, tachycardie, vertiges, syncope, douleurs abdominales, nausées, vomissements. </w:t>
      </w:r>
      <w:r>
        <w:t>Surveillance post-injection de 2 heures obligatoire** par un professionnel de santé formé à la gestion de l'anaphylaxie (kit adrénaline IM, antihistaminiques, corticoïdes, oxygène, matériel de réanimation). Information du patient et de l'entourage : signes d'anaphylaxie, conduite à tenir (appel SAMU 14 ou 15, injection d'adrénaline IM si prescription, surveillance à domicile pendant 24–72 heures après chaque injection).</w:t>
      </w:r>
    </w:p>
    <w:p>
      <w:pPr>
        <w:pStyle w:val="ListBullet"/>
      </w:pPr>
      <w:r/>
      <w:r>
        <w:rPr>
          <w:b/>
        </w:rPr>
        <w:t>Troubles musculo-squelettiques</w:t>
      </w:r>
      <w:r>
        <w:t xml:space="preserve"> (~3–5 %) : arthralgies (parfois sévères), myalgies, crampes musculaires, douleurs osseuses. Cas rapportés de syndrome "Omalizumab-associated arthralgia" (rare, mais décrit).</w:t>
      </w:r>
    </w:p>
    <w:p>
      <w:pPr>
        <w:pStyle w:val="ListBullet"/>
      </w:pPr>
      <w:r/>
      <w:r>
        <w:rPr>
          <w:b/>
        </w:rPr>
        <w:t>Céphalées</w:t>
      </w:r>
      <w:r>
        <w:t xml:space="preserve"> (~5 %), fatigue, vertiges.</w:t>
      </w:r>
    </w:p>
    <w:p>
      <w:pPr>
        <w:pStyle w:val="ListBullet"/>
      </w:pPr>
      <w:r/>
      <w:r>
        <w:rPr>
          <w:b/>
        </w:rPr>
        <w:t>Troubles digestifs</w:t>
      </w:r>
      <w:r>
        <w:t xml:space="preserve"> (~2–3 %) : nausées, douleurs abdominales hautes.</w:t>
      </w:r>
    </w:p>
    <w:p>
      <w:pPr>
        <w:pStyle w:val="ListBullet"/>
      </w:pPr>
      <w:r/>
      <w:r>
        <w:rPr>
          <w:b/>
        </w:rPr>
        <w:t>Troubles cutanés</w:t>
      </w:r>
      <w:r>
        <w:t xml:space="preserve"> (~2 %) : rash, prurit, urticaire paradoxale.</w:t>
      </w:r>
    </w:p>
    <w:p>
      <w:pPr>
        <w:pStyle w:val="ListBullet"/>
      </w:pPr>
      <w:r/>
      <w:r>
        <w:rPr>
          <w:b/>
        </w:rPr>
        <w:t>Syndrome de Churg-Strauss (vascularite éosinophilique)</w:t>
      </w:r>
      <w:r>
        <w:t xml:space="preserve"> — rare, généralement lors de la décroissance des corticoïdes oraux chez les patients asthmatiques sévères (effet classe de la décroissance cortisonique, pas spécifique à l'omalizumab).</w:t>
      </w:r>
    </w:p>
    <w:p>
      <w:pPr>
        <w:pStyle w:val="ListBullet"/>
      </w:pPr>
      <w:r/>
      <w:r>
        <w:rPr>
          <w:b/>
        </w:rPr>
        <w:t>Thrombopénie</w:t>
      </w:r>
      <w:r>
        <w:t xml:space="preserve"> — très rare.</w:t>
      </w:r>
    </w:p>
    <w:p>
      <w:pPr>
        <w:pStyle w:val="ListBullet"/>
      </w:pPr>
      <w:r/>
      <w:r>
        <w:rPr>
          <w:b/>
        </w:rPr>
        <w:t>Hématomes</w:t>
      </w:r>
      <w:r>
        <w:t xml:space="preserve"> au site d'injection (chez les patients sous anticoagulants ou antiagrégants).</w:t>
      </w:r>
    </w:p>
    <w:p>
      <w:pPr>
        <w:pStyle w:val="ListBullet"/>
      </w:pPr>
      <w:r/>
      <w:r>
        <w:rPr>
          <w:b/>
        </w:rPr>
        <w:t>Immunogénicité</w:t>
      </w:r>
      <w:r>
        <w:t xml:space="preserve"> (anticorps anti-médicament — ADA) : ~1 % des patients développent des ADA anti-omalizumab, sans impact clinique documenté (pas de réduction d'efficacité, pas d'augmentation des EI).</w:t>
      </w:r>
    </w:p>
    <w:p>
      <w:pPr>
        <w:pStyle w:val="ListBullet"/>
      </w:pPr>
      <w:r/>
      <w:r>
        <w:rPr>
          <w:b/>
        </w:rPr>
        <w:t>Cancers</w:t>
      </w:r>
      <w:r>
        <w:t xml:space="preserve"> : une méta-analyse initiale (FDA 2009) avait suggéré un excès de néoplasies sous omalizumab (0,5 % vs 0,2 % sous placebo), non confirmé par les études ultérieures (étude EXELS 2014 — pas d'excès de cancers). Le risque est désormais considéré comme non établi.</w:t>
      </w:r>
    </w:p>
    <w:p>
      <w:r/>
      <w:r>
        <w:rPr>
          <w:b/>
        </w:rPr>
        <w:t>Prévention et Gestion des Effets Indésirables :</w:t>
      </w:r>
      <w:r/>
    </w:p>
    <w:p>
      <w:pPr>
        <w:pStyle w:val="ListBullet"/>
      </w:pPr>
      <w:r/>
      <w:r>
        <w:rPr>
          <w:b/>
        </w:rPr>
        <w:t>Mesures Préventives</w:t>
      </w:r>
      <w:r>
        <w:t xml:space="preserve"> :</w:t>
      </w:r>
    </w:p>
    <w:p>
      <w:pPr>
        <w:pStyle w:val="ListBullet"/>
      </w:pPr>
      <w:r/>
      <w:r>
        <w:rPr>
          <w:b/>
        </w:rPr>
        <w:t>Administration en milieu médicalisé</w:t>
      </w:r>
      <w:r>
        <w:t xml:space="preserve"> : cabinet médical équipé ou centre hospitalier, par un professionnel de santé formé à la gestion de l'anaphylaxie (kit adrénaline IM, antihistaminiques, corticoïdes, oxygène, matériel de réanimation).</w:t>
      </w:r>
    </w:p>
    <w:p>
      <w:pPr>
        <w:pStyle w:val="ListBullet"/>
      </w:pPr>
      <w:r/>
      <w:r>
        <w:rPr>
          <w:b/>
        </w:rPr>
        <w:t>Surveillance post-injection de 2 heures obligatoire</w:t>
      </w:r>
      <w:r>
        <w:t xml:space="preserve"> (recommandation FDA/EMA 2007 — *Black Box Warning*) — surveillance clinique (TA, FC, FR, SpO2, examen cutané et respiratoire) toutes les 30 minutes pendant 2 heures après chaque injection.</w:t>
      </w:r>
    </w:p>
    <w:p>
      <w:pPr>
        <w:pStyle w:val="ListBullet"/>
      </w:pPr>
      <w:r/>
      <w:r>
        <w:rPr>
          <w:b/>
        </w:rPr>
        <w:t>Information du patient et de l'entourage</w:t>
      </w:r>
      <w:r>
        <w:t xml:space="preserve"> : remise d'un dépliant d'information patient (signes d'anaphylaxie, conduite à tenir — appel SAMU 14 ou 15, injection d'adrénaline IM si prescription), carte patient avec identification du traitement, surveillance à domicile pendant 24–72 heures après chaque injection.</w:t>
      </w:r>
    </w:p>
    <w:p>
      <w:pPr>
        <w:pStyle w:val="ListBullet"/>
      </w:pPr>
      <w:r/>
      <w:r>
        <w:rPr>
          <w:b/>
        </w:rPr>
        <w:t>Vérification des IgE totales</w:t>
      </w:r>
      <w:r>
        <w:t xml:space="preserve"> avant initiation (dosage plasmatique) — détermine la posologie selon la table Novartis.</w:t>
      </w:r>
    </w:p>
    <w:p>
      <w:pPr>
        <w:pStyle w:val="ListBullet"/>
      </w:pPr>
      <w:r/>
      <w:r>
        <w:rPr>
          <w:b/>
        </w:rPr>
        <w:t>Vérification du poids corporel</w:t>
      </w:r>
      <w:r>
        <w:t xml:space="preserve"> à chaque injection — adaptation posologique selon le poids.</w:t>
      </w:r>
    </w:p>
    <w:p>
      <w:pPr>
        <w:pStyle w:val="ListBullet"/>
      </w:pPr>
      <w:r/>
      <w:r>
        <w:rPr>
          <w:b/>
        </w:rPr>
        <w:t>Vérification de la vaccination</w:t>
      </w:r>
      <w:r>
        <w:t xml:space="preserve"> (vaccination anti-grippale annuelle, vaccination anti-pneumococcique) avant initiation — pas de contre-indication aux vaccins inactivés sous omalizumab ; éviter les vaccins vivants atténués (BCG, rougeole-oreillons-rubéole, fièvre jaune, varicelle-zona) par prudence théorique.</w:t>
      </w:r>
    </w:p>
    <w:p>
      <w:pPr>
        <w:pStyle w:val="ListBullet"/>
      </w:pPr>
      <w:r/>
      <w:r>
        <w:rPr>
          <w:b/>
        </w:rPr>
        <w:t>Bilan pré-thérapeutique</w:t>
      </w:r>
      <w:r>
        <w:t xml:space="preserve"> : VEMS, prick tests aux pneumallergènes perannuels, IgE totales et spécifiques, EFR avec test de réversibilité, bilan inflammatoire (FENO, éosinophilie sanguine).</w:t>
      </w:r>
    </w:p>
    <w:p>
      <w:pPr>
        <w:pStyle w:val="ListBullet"/>
      </w:pPr>
      <w:r/>
      <w:r>
        <w:rPr>
          <w:b/>
        </w:rPr>
        <w:t>Conduite à Tenir</w:t>
      </w:r>
      <w:r>
        <w:t xml:space="preserve"> :</w:t>
      </w:r>
    </w:p>
    <w:p>
      <w:pPr>
        <w:pStyle w:val="ListBullet"/>
      </w:pPr>
      <w:r/>
      <w:r>
        <w:rPr>
          <w:b/>
        </w:rPr>
        <w:t>Anaphylaxie</w:t>
      </w:r>
      <w:r>
        <w:t xml:space="preserve"> (immédiate ou retardée) : </w:t>
      </w:r>
      <w:r>
        <w:rPr>
          <w:b/>
        </w:rPr>
        <w:t>arrêt définitif</w:t>
      </w:r>
      <w:r>
        <w:t xml:space="preserve"> de l'omalizumab (jamais de rechallenge). Traitement de l'anaphylaxie : adrénaline IM 0,3–0,5 mg (seringue auto-injectable type Anapen, Epipen, ou injection à la seringue), antihistaminiques IV (chlorphénamine 10 mg), corticoïdes IV (hydrocortisone 200 mg), oxygène 15 L/min, remplissage vasculaire (sérum physiologique). Hospitalisation en surveillance intensive 24–48 heures (risque de biphasie).</w:t>
      </w:r>
    </w:p>
    <w:p>
      <w:pPr>
        <w:pStyle w:val="ListBullet"/>
      </w:pPr>
      <w:r/>
      <w:r>
        <w:rPr>
          <w:b/>
        </w:rPr>
        <w:t>Réaction locale au site d'injection</w:t>
      </w:r>
      <w:r>
        <w:t xml:space="preserve"> : application de glace, antalgiques locaux, surveillance. Pas d'arrêt du traitement si réaction modérée.</w:t>
      </w:r>
    </w:p>
    <w:p>
      <w:pPr>
        <w:pStyle w:val="ListBullet"/>
      </w:pPr>
      <w:r/>
      <w:r>
        <w:rPr>
          <w:b/>
        </w:rPr>
        <w:t>Arthralgies sévères</w:t>
      </w:r>
      <w:r>
        <w:t xml:space="preserve"> : bilan rhumatologique (anticorps antinucléaires, facteur rhumatoïde, CRP), discussion de la poursuite selon la sévérité.</w:t>
      </w:r>
    </w:p>
    <w:p>
      <w:pPr>
        <w:pStyle w:val="ListBullet"/>
      </w:pPr>
      <w:r/>
      <w:r>
        <w:rPr>
          <w:b/>
        </w:rPr>
        <w:t>Syndrome de Churg-Strauss</w:t>
      </w:r>
      <w:r>
        <w:t xml:space="preserve"> : arrêt immédiat de l'omalizumab, hospitalisation en pneumologie/médecine interne, corticothérapie générale (prednisone 1 mg/kg/j).</w:t>
      </w:r>
    </w:p>
    <w:p>
      <w:pPr>
        <w:pStyle w:val="ListBullet"/>
      </w:pPr>
      <w:r/>
      <w:r>
        <w:rPr>
          <w:b/>
        </w:rPr>
        <w:t>Réponse insuffisante à 16 semaines</w:t>
      </w:r>
      <w:r>
        <w:t xml:space="preserve"> : arrêt de l'omalizumab (HAS — non-remboursement au-delà si absence de réponse aux critères prédéfinis : réduction des exacerbations, amélioration du contrôle, épargne cortisonique, amélioration du VEMS).</w:t>
      </w:r>
    </w:p>
    <w:p>
      <w:r/>
      <w:r>
        <w:rPr>
          <w:b/>
        </w:rPr>
        <w:t>Interactions Importantes :</w:t>
      </w:r>
      <w:r/>
    </w:p>
    <w:p>
      <w:pPr>
        <w:pStyle w:val="ListBullet"/>
      </w:pPr>
      <w:r>
        <w:t xml:space="preserve">L'omalizumab est un anticorps monoclonal IgG1κ dont le métabolisme est essentiellement </w:t>
      </w:r>
      <w:r>
        <w:rPr>
          <w:b/>
        </w:rPr>
        <w:t>réticulo-endothélial</w:t>
      </w:r>
      <w:r>
        <w:t xml:space="preserve"> (phagocytose par les macrophages après fixation du Fcγ aux récepteurs FcγR), sans intervention du cytochrome P450. Les interactions médicamenteuses classiques (CYP) sont donc </w:t>
      </w:r>
      <w:r>
        <w:rPr>
          <w:b/>
        </w:rPr>
        <w:t>absentes</w:t>
      </w:r>
      <w:r>
        <w:t>.</w:t>
      </w:r>
    </w:p>
    <w:p>
      <w:pPr>
        <w:pStyle w:val="ListBullet"/>
      </w:pPr>
      <w:r/>
      <w:r>
        <w:rPr>
          <w:b/>
        </w:rPr>
        <w:t>Omalizumab + vaccins vivants atténués</w:t>
      </w:r>
      <w:r>
        <w:t xml:space="preserve"> (BCG, rougeole-oreillons-rubéole, fièvre jaune, varicelle-zona, rotavirus) : éviter par prudence théorique (immunosuppression partielle). Vaccins inactivés (anti-grippal, anti-pneumococcique, anti-tétanique, anti-hépatite B, anti-COVID-19) : compatibles.</w:t>
      </w:r>
    </w:p>
    <w:p>
      <w:pPr>
        <w:pStyle w:val="ListBullet"/>
      </w:pPr>
      <w:r/>
      <w:r>
        <w:rPr>
          <w:b/>
        </w:rPr>
        <w:t>Omalizumab + immunosuppresseurs</w:t>
      </w:r>
      <w:r>
        <w:t xml:space="preserve"> (ciclosporine, méthotrexate, azathioprine, mycophénolate, anti-TNFα) : pas d'interaction PK, mais majoration théorique du risque infectieux.</w:t>
      </w:r>
    </w:p>
    <w:p>
      <w:pPr>
        <w:pStyle w:val="ListBullet"/>
      </w:pPr>
      <w:r/>
      <w:r>
        <w:rPr>
          <w:b/>
        </w:rPr>
        <w:t>Omalizumab + autres biothérapies</w:t>
      </w:r>
      <w:r>
        <w:t xml:space="preserve"> (mepolizumab, benralizumab, dupilumab) : pas d'interaction PK, mais associations non évaluées (en pratique, on ne cumule pas les biothérapies anti-asthmatiques).</w:t>
      </w:r>
    </w:p>
    <w:p>
      <w:pPr>
        <w:pStyle w:val="ListBullet"/>
      </w:pPr>
      <w:r/>
      <w:r>
        <w:rPr>
          <w:b/>
        </w:rPr>
        <w:t>Omalizumab + désensibilisation spécifique (immunothérapie allergénique — ITE)</w:t>
      </w:r>
      <w:r>
        <w:t xml:space="preserve"> : pas d'interaction PK ; mais l'omalizumab peut réduire le risque de réaction anaphylactique à l'ITE (utilisé dans certains protocoles accélérés de désensibilisation, en particulier chez les patients à haut risque — allergic bronchopulmonary aspergillosis, ABPA).</w:t>
      </w:r>
    </w:p>
    <w:p>
      <w:pPr>
        <w:pStyle w:val="ListBullet"/>
      </w:pPr>
      <w:r/>
      <w:r>
        <w:rPr>
          <w:b/>
        </w:rPr>
        <w:t>Omalizumab + β2-mimétiques, CSI, antileucotriènes, théophylline</w:t>
      </w:r>
      <w:r>
        <w:t xml:space="preserve"> : pas d'interaction PK, associations logiques et recommandées (l'omalizumab est toujours utilisé en add-on, pas en substitution du traitement de fond anti-asthmatique).</w:t>
      </w:r>
    </w:p>
    <w:p>
      <w:r/>
      <w:r>
        <w:rPr>
          <w:b/>
        </w:rPr>
        <w:t>Grossesse et Allaitement :</w:t>
      </w:r>
      <w:r/>
    </w:p>
    <w:p>
      <w:pPr>
        <w:pStyle w:val="ListBullet"/>
      </w:pPr>
      <w:r/>
      <w:r>
        <w:rPr>
          <w:b/>
        </w:rPr>
        <w:t>Grossesse</w:t>
      </w:r>
      <w:r>
        <w:t xml:space="preserve"> : selon le CRAT et l'ANSM, l'omalizumab est </w:t>
      </w:r>
      <w:r>
        <w:rPr>
          <w:b/>
        </w:rPr>
        <w:t>compatible avec la grossesse</w:t>
      </w:r>
      <w:r>
        <w:t xml:space="preserve"> en cas de nécessité clinique. Les données observationnelles (registre international EXPECT — *Omalizumab Pregnancy Registry* — &gt; 200 femmes enceintes exposées) n'ont pas montré d'augmentation du risque malformatif global ni de risque spécifique (pas de syndrome malformatif identifié). Le passage transplacentaire est </w:t>
      </w:r>
      <w:r>
        <w:rPr>
          <w:b/>
        </w:rPr>
        <w:t>minime</w:t>
      </w:r>
      <w:r>
        <w:t xml:space="preserve"> au 1ᵉʳ trimestre (les IgG1 traversent le placenta via le récepteur FcRn néonatal, mais ce transport est faible au 1ᵉʳ trimestre et augmente progressivement à partir du 2ᵉ trimestre). Le risque théorique d'</w:t>
      </w:r>
      <w:r>
        <w:rPr>
          <w:b/>
        </w:rPr>
        <w:t>immunosuppression néonatale transitoire</w:t>
      </w:r>
      <w:r>
        <w:t xml:space="preserve"> (baisse des IgE chez le nouveau-né) n'a pas été documenté cliniquement. La poursuite de l'omalizumab pendant la grossesse est recommandée en cas d'asthme sévère non contrôlé sans autre alternative, en raison du risque maternel et fœtal d'un asthme non contrôlé (prématurité, hypotrophie, pré-éclampsie, mort fœtale in utero). En cas de grossesse prévue, ne pas arrêter un omalizumab déjà efficace.</w:t>
      </w:r>
    </w:p>
    <w:p>
      <w:pPr>
        <w:pStyle w:val="ListBullet"/>
      </w:pPr>
      <w:r/>
      <w:r>
        <w:rPr>
          <w:b/>
        </w:rPr>
        <w:t>Allaitement</w:t>
      </w:r>
      <w:r>
        <w:t xml:space="preserve"> : l'omalizumab passe dans le lait maternel à concentrations très faibles (rapport lait/plasma ~0,01), en raison de sa masse moléculaire élevée (~150 kDa). </w:t>
      </w:r>
      <w:r>
        <w:rPr>
          <w:b/>
        </w:rPr>
        <w:t>Compatible avec l'allaitement</w:t>
      </w:r>
      <w:r>
        <w:t xml:space="preserve"> (CRAT, LactMed) selon le rapport bénéfice/risque. Surveillance de l'enfant allaité (réactions cutanées, troubles digestifs) en cas de traitement maternel, mais risque théorique minimal.</w:t>
      </w:r>
    </w:p>
    <w:p>
      <w:pPr>
        <w:pStyle w:val="ListBullet"/>
      </w:pPr>
      <w:r/>
      <w:r>
        <w:rPr>
          <w:b/>
        </w:rPr>
        <w:t>Précisions</w:t>
      </w:r>
      <w:r>
        <w:t xml:space="preserve"> : un asthme sévère non contrôlé pendant la grossesse est </w:t>
      </w:r>
      <w:r>
        <w:rPr>
          <w:b/>
        </w:rPr>
        <w:t>plus dangereux pour la mère et le fœtus</w:t>
      </w:r>
      <w:r>
        <w:t xml:space="preserve"> que le traitement médicamenteux. L'objectif thérapeutique est donc un </w:t>
      </w:r>
      <w:r>
        <w:rPr>
          <w:b/>
        </w:rPr>
        <w:t>contrôle optimal de l'asthme</w:t>
      </w:r>
      <w:r>
        <w:t xml:space="preserve"> pendant la grossesse, en privilégiant les CSI inhalés comme socle et en réservant l'omalizumab aux cas non contrôlés (stade 5 GINA).</w:t>
      </w:r>
    </w:p>
    <w:p>
      <w:r/>
      <w:r>
        <w:rPr>
          <w:b/>
        </w:rPr>
        <w:t>Posologie et Mode d'administration (Standard) :</w:t>
      </w:r>
      <w:r/>
    </w:p>
    <w:p>
      <w:pPr>
        <w:pStyle w:val="ListBullet"/>
      </w:pPr>
      <w:r/>
      <w:r>
        <w:rPr>
          <w:b/>
        </w:rPr>
        <w:t>Adulte et adolescent ≥ 12 ans (asthme sévère)</w:t>
      </w:r>
      <w:r>
        <w:t xml:space="preserve"> : posologie déterminée par la </w:t>
      </w:r>
      <w:r>
        <w:rPr>
          <w:b/>
        </w:rPr>
        <w:t>table Novartis</w:t>
      </w:r>
      <w:r>
        <w:t xml:space="preserve"> en fonction du </w:t>
      </w:r>
      <w:r>
        <w:rPr>
          <w:b/>
        </w:rPr>
        <w:t>poids corporel</w:t>
      </w:r>
      <w:r>
        <w:t xml:space="preserve"> (kg) et des </w:t>
      </w:r>
      <w:r>
        <w:rPr>
          <w:b/>
        </w:rPr>
        <w:t>IgE totales</w:t>
      </w:r>
      <w:r>
        <w:t xml:space="preserve"> (UI/mL) avant initiation. Les doses vont de </w:t>
      </w:r>
      <w:r>
        <w:rPr>
          <w:b/>
        </w:rPr>
        <w:t>75 mg à 600 mg</w:t>
      </w:r>
      <w:r>
        <w:t xml:space="preserve">, administrées en 1 à 4 injections SC (150 mg par injection), selon un rythme </w:t>
      </w:r>
      <w:r>
        <w:rPr>
          <w:b/>
        </w:rPr>
        <w:t>toutes les 2 semaines</w:t>
      </w:r>
      <w:r>
        <w:t xml:space="preserve"> ou </w:t>
      </w:r>
      <w:r>
        <w:rPr>
          <w:b/>
        </w:rPr>
        <w:t>toutes les 4 semaines</w:t>
      </w:r>
      <w:r>
        <w:t xml:space="preserve"> :</w:t>
      </w:r>
    </w:p>
    <w:p>
      <w:pPr>
        <w:pStyle w:val="ListBullet"/>
      </w:pPr>
      <w:r>
        <w:t>Pour IgE 30–100 UI/mL et poids 30–60 kg : 150 mg SC toutes les 4 semaines (1 injection).</w:t>
      </w:r>
    </w:p>
    <w:p>
      <w:pPr>
        <w:pStyle w:val="ListBullet"/>
      </w:pPr>
      <w:r>
        <w:t>Pour IgE 30–100 UI/mL et poids 60–150 kg : 300 mg SC toutes les 4 semaines (2 injections).</w:t>
      </w:r>
    </w:p>
    <w:p>
      <w:pPr>
        <w:pStyle w:val="ListBullet"/>
      </w:pPr>
      <w:r>
        <w:t>Pour IgE 100–200 UI/mL et poids 30–60 kg : 300 mg SC toutes les 4 semaines (2 injections).</w:t>
      </w:r>
    </w:p>
    <w:p>
      <w:pPr>
        <w:pStyle w:val="ListBullet"/>
      </w:pPr>
      <w:r>
        <w:t>Pour IgE 100–200 UI/mL et poids 60–150 kg : 225 mg SC toutes les 2 semaines (~3 injections 150 mg alternées avec 75 mg).</w:t>
      </w:r>
    </w:p>
    <w:p>
      <w:pPr>
        <w:pStyle w:val="ListBullet"/>
      </w:pPr>
      <w:r>
        <w:t>Pour IgE 200–300 UI/mL et poids 30–60 kg : 225 mg SC toutes les 2 semaines.</w:t>
      </w:r>
    </w:p>
    <w:p>
      <w:pPr>
        <w:pStyle w:val="ListBullet"/>
      </w:pPr>
      <w:r>
        <w:t>Pour IgE 200–300 UI/mL et poids 60–150 kg : 300 mg SC toutes les 2 semaines (2 injections).</w:t>
      </w:r>
    </w:p>
    <w:p>
      <w:pPr>
        <w:pStyle w:val="ListBullet"/>
      </w:pPr>
      <w:r>
        <w:t>Pour IgE 300–400 UI/mL et poids 30–60 kg : 300 mg SC toutes les 2 semaines (2 injections).</w:t>
      </w:r>
    </w:p>
    <w:p>
      <w:pPr>
        <w:pStyle w:val="ListBullet"/>
      </w:pPr>
      <w:r>
        <w:t>Pour IgE 300–400 UI/mL et poids 60–150 kg : 375 mg SC toutes les 2 semaines.</w:t>
      </w:r>
    </w:p>
    <w:p>
      <w:pPr>
        <w:pStyle w:val="ListBullet"/>
      </w:pPr>
      <w:r>
        <w:t>Pour IgE 400–500 UI/mL et poids 30–60 kg : 300 mg SC toutes les 2 semaines.</w:t>
      </w:r>
    </w:p>
    <w:p>
      <w:pPr>
        <w:pStyle w:val="ListBullet"/>
      </w:pPr>
      <w:r>
        <w:t>Pour IgE 400–500 UI/mL et poids 60–100 kg : 450 mg SC toutes les 2 semaines.</w:t>
      </w:r>
    </w:p>
    <w:p>
      <w:pPr>
        <w:pStyle w:val="ListBullet"/>
      </w:pPr>
      <w:r>
        <w:t>Pour IgE 500–600 UI/mL et poids 30–60 kg : 300 mg SC toutes les 2 semaines.</w:t>
      </w:r>
    </w:p>
    <w:p>
      <w:pPr>
        <w:pStyle w:val="ListBullet"/>
      </w:pPr>
      <w:r>
        <w:t>Pour IgE 500–600 UI/mL et poids 60–100 kg : 450 mg SC toutes les 2 semaines.</w:t>
      </w:r>
    </w:p>
    <w:p>
      <w:pPr>
        <w:pStyle w:val="ListBullet"/>
      </w:pPr>
      <w:r>
        <w:t>Pour IgE 600–700 UI/mL et poids 30–60 kg : 375 mg SC toutes les 2 semaines.</w:t>
      </w:r>
    </w:p>
    <w:p>
      <w:pPr>
        <w:pStyle w:val="ListBullet"/>
      </w:pPr>
      <w:r>
        <w:t>Au-dessus de ces plages : non recommandé (alternatives : anti-IL-5).</w:t>
      </w:r>
    </w:p>
    <w:p>
      <w:pPr>
        <w:pStyle w:val="ListBullet"/>
      </w:pPr>
      <w:r/>
      <w:r>
        <w:rPr>
          <w:b/>
        </w:rPr>
        <w:t>Enfant 6 à 11 ans (asthme sévère)</w:t>
      </w:r>
      <w:r>
        <w:t xml:space="preserve"> : même table de dosage Novartis que l'adulte (poids et IgE).</w:t>
      </w:r>
    </w:p>
    <w:p>
      <w:pPr>
        <w:pStyle w:val="ListBullet"/>
      </w:pPr>
      <w:r/>
      <w:r>
        <w:rPr>
          <w:b/>
        </w:rPr>
        <w:t>Urticaire chronique spontanée (UCS) résistante aux antihistaminiques</w:t>
      </w:r>
      <w:r>
        <w:t xml:space="preserve"> : posologie </w:t>
      </w:r>
      <w:r>
        <w:rPr>
          <w:b/>
        </w:rPr>
        <w:t>fixe</w:t>
      </w:r>
      <w:r>
        <w:t xml:space="preserve"> (indépendante du poids et des IgE) — 150 mg ou 300 mg SC toutes les 4 semaines. Réévaluation à 24 semaines.</w:t>
      </w:r>
    </w:p>
    <w:p>
      <w:pPr>
        <w:pStyle w:val="ListBullet"/>
      </w:pPr>
      <w:r/>
      <w:r>
        <w:rPr>
          <w:b/>
        </w:rPr>
        <w:t>Sujet âgé</w:t>
      </w:r>
      <w:r>
        <w:t xml:space="preserve"> : pas d'adaptation posologique.</w:t>
      </w:r>
    </w:p>
    <w:p>
      <w:pPr>
        <w:pStyle w:val="ListBullet"/>
      </w:pPr>
      <w:r/>
      <w:r>
        <w:rPr>
          <w:b/>
        </w:rPr>
        <w:t>Insuffisant rénal ou hépatique</w:t>
      </w:r>
      <w:r>
        <w:t xml:space="preserve"> : pas d'adaptation posologique (le métabolisme est réticulo-endothélial, indépendant du rein et du foie).</w:t>
      </w:r>
    </w:p>
    <w:p>
      <w:pPr>
        <w:pStyle w:val="ListBullet"/>
      </w:pPr>
      <w:r/>
      <w:r>
        <w:rPr>
          <w:b/>
        </w:rPr>
        <w:t>Durée</w:t>
      </w:r>
      <w:r>
        <w:t xml:space="preserve"> : traitement au long cours (mois à années). Réévaluation de l'efficacité à </w:t>
      </w:r>
      <w:r>
        <w:rPr>
          <w:b/>
        </w:rPr>
        <w:t>16 semaines</w:t>
      </w:r>
      <w:r>
        <w:t xml:space="preserve"> (asthme) ou </w:t>
      </w:r>
      <w:r>
        <w:rPr>
          <w:b/>
        </w:rPr>
        <w:t>24 semaines</w:t>
      </w:r>
      <w:r>
        <w:t xml:space="preserve"> (UCS) selon les critères HAS — arrêt en l'absence de réponse. En cas de réponse, poursuite indéfinie (les études observationnelles suggèrent un maintien de l'efficacité à 5–10 ans).</w:t>
      </w:r>
    </w:p>
    <w:p>
      <w:pPr>
        <w:pStyle w:val="ListBullet"/>
      </w:pPr>
      <w:r/>
      <w:r>
        <w:rPr>
          <w:b/>
        </w:rPr>
        <w:t>Moment de la prise</w:t>
      </w:r>
      <w:r>
        <w:t xml:space="preserve"> : </w:t>
      </w:r>
      <w:r>
        <w:rPr>
          <w:b/>
        </w:rPr>
        <w:t>administration en milieu médicalisé</w:t>
      </w:r>
      <w:r>
        <w:t xml:space="preserve"> (cabinet médical équipé ou centre hospitalier), par un professionnel de santé formé à la gestion de l'anaphylaxie. Surveillance post-injection de 2 heures obligatoire.</w:t>
      </w:r>
    </w:p>
    <w:p>
      <w:r/>
      <w:r>
        <w:rPr>
          <w:b/>
        </w:rPr>
        <w:t>Arbitrage et Bénéfices des Formes Galéniques :</w:t>
      </w:r>
      <w:r/>
    </w:p>
    <w:p>
      <w:r>
        <w:t xml:space="preserve">Le marché algérien ne propose qu'une seule spécialité — </w:t>
      </w:r>
      <w:r>
        <w:rPr>
          <w:b/>
        </w:rPr>
        <w:t>XOLAIR 150 mg flacon (Novartis)</w:t>
      </w:r>
      <w:r>
        <w:t xml:space="preserve">, fournie sous forme de </w:t>
      </w:r>
      <w:r>
        <w:rPr>
          <w:b/>
        </w:rPr>
        <w:t>poudre lyophilisée + solvant</w:t>
      </w:r>
      <w:r>
        <w:t xml:space="preserve"> à reconstituer extemporanément avant injection SC. La reconstitution est </w:t>
      </w:r>
      <w:r>
        <w:rPr>
          <w:b/>
        </w:rPr>
        <w:t>lente</w:t>
      </w:r>
      <w:r>
        <w:t xml:space="preserve"> (~15–20 minutes par douce agitation, sans agiter vigoureusement pour éviter la formation de mousse et la dénaturation de l'anticorps monoclonal). Après reconstitution, la concentration est de </w:t>
      </w:r>
      <w:r>
        <w:rPr>
          <w:b/>
        </w:rPr>
        <w:t>125 mg/1,2 mL</w:t>
      </w:r>
      <w:r>
        <w:t xml:space="preserve"> (150 mg par flacon). La solution reconstituée est </w:t>
      </w:r>
      <w:r>
        <w:rPr>
          <w:b/>
        </w:rPr>
        <w:t>limpide et incolore à légèrement opalescente</w:t>
      </w:r>
      <w:r>
        <w:t xml:space="preserve">. L'administration se fait par voie </w:t>
      </w:r>
      <w:r>
        <w:rPr>
          <w:b/>
        </w:rPr>
        <w:t>sous-cutanée</w:t>
      </w:r>
      <w:r>
        <w:t xml:space="preserve"> au niveau de l'abdomen, de la cuisse ou du bras (en alternant les sites d'injection). Le volume maximal par site d'injection est de </w:t>
      </w:r>
      <w:r>
        <w:rPr>
          <w:b/>
        </w:rPr>
        <w:t>1,5 mL</w:t>
      </w:r>
      <w:r>
        <w:t xml:space="preserve"> (au-delà, fractionner en 2 injections dans des sites différents). Les doses supérieures à 150 mg (300, 450, 600 mg) nécessitent plusieurs injections (2 à 4 injections de 150 mg dans des sites différents).</w:t>
      </w:r>
    </w:p>
    <w:p>
      <w:r>
        <w:t xml:space="preserve">La formulation poudre + solvant présente l'inconvénient d'une reconstitution longue et d'une formation possible de mousse (allongeant le délai d'administration). À l'international, Novartis a commercialisé une </w:t>
      </w:r>
      <w:r>
        <w:rPr>
          <w:b/>
        </w:rPr>
        <w:t>forme seringue préremplie (auto-injecteur)</w:t>
      </w:r>
      <w:r>
        <w:t xml:space="preserve"> 75 mg, 150 mg et 300 mg, qui simplifie considérablement l'administration et permet potentiellement l'auto-administration à domicile (après une période d'éducation thérapeutique et la validation de l'absence d'anaphylaxie aux premières injections). Cette forme </w:t>
      </w:r>
      <w:r>
        <w:rPr>
          <w:b/>
        </w:rPr>
        <w:t>n'est pas commercialisée en Algérie</w:t>
      </w:r>
      <w:r>
        <w:t xml:space="preserve"> (nomenclature Avril 2026) — l'administration de l'omalizumab en Algérie se fait exclusivement en milieu médicalisé avec le flacon poudre + solvant.</w:t>
      </w:r>
    </w:p>
    <w:p>
      <w:r/>
      <w:r>
        <w:rPr>
          <w:b/>
        </w:rPr>
        <w:t>Instructions et Conseils au Patient :</w:t>
      </w:r>
      <w:r/>
    </w:p>
    <w:p>
      <w:pPr>
        <w:pStyle w:val="ListBullet"/>
      </w:pPr>
      <w:r/>
      <w:r>
        <w:rPr>
          <w:b/>
        </w:rPr>
        <w:t>Communication au comptoir</w:t>
      </w:r>
      <w:r>
        <w:t xml:space="preserve"> : « Ce médicament est un </w:t>
      </w:r>
      <w:r>
        <w:rPr>
          <w:b/>
        </w:rPr>
        <w:t>anticorps monoclonal anti-IgE</w:t>
      </w:r>
      <w:r>
        <w:t xml:space="preserve"> (omalizumab, Xolair™) prescrit dans l'asthme sévère allergique (IgE-médié) non contrôlé malgré vos autres traitements. Il agit en neutralisant les IgE libres circulantes — les anticorps responsables de la réaction allergique — et en réduisant la capacité des mastocytes (cellules de l'allergie) à se déclencher au contact de l'allergène. Il est administré </w:t>
      </w:r>
      <w:r>
        <w:rPr>
          <w:b/>
        </w:rPr>
        <w:t>par injection sous-cutanée toutes les 2 ou 4 semaines</w:t>
      </w:r>
      <w:r>
        <w:t xml:space="preserve"> (selon votre poids et votre taux d'IgE) </w:t>
      </w:r>
      <w:r>
        <w:rPr>
          <w:b/>
        </w:rPr>
        <w:t>en milieu médicalisé</w:t>
      </w:r>
      <w:r>
        <w:t xml:space="preserve"> (cabinet médical ou hôpital), par un professionnel de santé formé. </w:t>
      </w:r>
      <w:r>
        <w:rPr>
          <w:b/>
        </w:rPr>
        <w:t>La surveillance après chaque injection est de 2 heures obligatoire</w:t>
      </w:r>
      <w:r>
        <w:t xml:space="preserve"> — vous resterez 2 heures sous surveillance médicale après l'injection en raison du risque (rare mais grave) de réaction allergique retardée (anaphylaxie). Vous recevrez une carte d'information patient précisant les signes à surveiller dans les 24–72 heures suivant l'injection : démangeaisons généralisées, urticaire, gonflement des lèvres/langue/gorge, gêne respiratoire, vertiges, malaises. </w:t>
      </w:r>
      <w:r>
        <w:rPr>
          <w:b/>
        </w:rPr>
        <w:t>En cas d'apparition de ces signes, composez immédiatement le SAMU (15 ou 14) ou faites-vous emmener aux urgences.</w:t>
      </w:r>
      <w:r>
        <w:t xml:space="preserve"> Ne jamais arrêter ou reprendre ce traitement sans avis médical. </w:t>
      </w:r>
      <w:r>
        <w:rPr>
          <w:b/>
        </w:rPr>
        <w:t>L'efficacité est évaluée à 16 semaines</w:t>
      </w:r>
      <w:r>
        <w:t xml:space="preserve"> (3–4 mois) — votre médecin vous prescrira un bilan complet à ce moment pour décider de la poursuite ou non du traitement. L'omalizumab est un traitement </w:t>
      </w:r>
      <w:r>
        <w:rPr>
          <w:b/>
        </w:rPr>
        <w:t>complémentaire</w:t>
      </w:r>
      <w:r>
        <w:t xml:space="preserve"> — vous devez continuer à prendre vos autres traitements anti-asthmatiques (corticoïdes inhalés, bronchodilatateurs) sauf avis médical contraire. »</w:t>
      </w:r>
    </w:p>
    <w:p>
      <w:pPr>
        <w:pStyle w:val="ListBullet"/>
      </w:pPr>
      <w:r/>
      <w:r>
        <w:rPr>
          <w:b/>
        </w:rPr>
        <w:t>Mode d'utilisation pratique</w:t>
      </w:r>
      <w:r>
        <w:t xml:space="preserve"> :</w:t>
      </w:r>
    </w:p>
    <w:p>
      <w:pPr>
        <w:pStyle w:val="ListBullet"/>
      </w:pPr>
      <w:r/>
      <w:r>
        <w:rPr>
          <w:b/>
        </w:rPr>
        <w:t>Reconstitution</w:t>
      </w:r>
      <w:r>
        <w:t xml:space="preserve"> (par le professionnel de santé) : retrait de 1,2 mL de solvant avec une seringue stérile, injection lente dans le flacon de poudre, </w:t>
      </w:r>
      <w:r>
        <w:rPr>
          <w:b/>
        </w:rPr>
        <w:t>agitation rotative douce</w:t>
      </w:r>
      <w:r>
        <w:t xml:space="preserve"> (sans agiter vigoureusement, sans inverser le flacon brutalement) pendant ~10–15 minutes jusqu'à dissolution complète. La solution reconstituée doit être limpide et incolore à légèrement opalescente. Ne pas utiliser si la solution reste trouble ou contient des particules.</w:t>
      </w:r>
    </w:p>
    <w:p>
      <w:pPr>
        <w:pStyle w:val="ListBullet"/>
      </w:pPr>
      <w:r/>
      <w:r>
        <w:rPr>
          <w:b/>
        </w:rPr>
        <w:t>Administration SC</w:t>
      </w:r>
      <w:r>
        <w:t xml:space="preserve"> : choix du site d'injection (abdomen, cuisse, bras — en alternant à chaque injection). Désinfection locale. Injection SC lente (10–30 secondes par injection). Ne pas masser le site après injection (risque de diffusion rapide). Pour les doses &gt; 1,5 mL, fractionner en 2 injections dans des sites différents.</w:t>
      </w:r>
    </w:p>
    <w:p>
      <w:pPr>
        <w:pStyle w:val="ListBullet"/>
      </w:pPr>
      <w:r/>
      <w:r>
        <w:rPr>
          <w:b/>
        </w:rPr>
        <w:t>Surveillance post-injection</w:t>
      </w:r>
      <w:r>
        <w:t xml:space="preserve"> : surveillance clinique (TA, FC, FR, SpO2, examen cutané et respiratoire) toutes les 30 minutes pendant </w:t>
      </w:r>
      <w:r>
        <w:rPr>
          <w:b/>
        </w:rPr>
        <w:t>2 heures</w:t>
      </w:r>
      <w:r>
        <w:t xml:space="preserve"> après chaque injection.</w:t>
      </w:r>
    </w:p>
    <w:p>
      <w:pPr>
        <w:pStyle w:val="ListBullet"/>
      </w:pPr>
      <w:r/>
      <w:r>
        <w:rPr>
          <w:b/>
        </w:rPr>
        <w:t>Surveillance à domicile</w:t>
      </w:r>
      <w:r>
        <w:t xml:space="preserve"> (24–72 heures suivant chaque injection) : surveillance par le patient et l'entourage, en cas de signes d'anaphylaxie retardée — appel SAMU immédiat.</w:t>
      </w:r>
    </w:p>
    <w:p>
      <w:r/>
      <w:r>
        <w:rPr>
          <w:b/>
        </w:rPr>
        <w:t>Notes, Règles d'Or &amp; Pièges au Comptoir :</w:t>
      </w:r>
      <w:r/>
    </w:p>
    <w:p>
      <w:pPr>
        <w:pStyle w:val="ListBullet"/>
      </w:pPr>
      <w:r/>
      <w:r>
        <w:rPr>
          <w:b/>
        </w:rPr>
        <w:t>Piège classique</w:t>
      </w:r>
      <w:r>
        <w:t xml:space="preserve"> : le </w:t>
      </w:r>
      <w:r>
        <w:rPr>
          <w:b/>
        </w:rPr>
        <w:t>risque d'anaphylaxie retardée</w:t>
      </w:r>
      <w:r>
        <w:t xml:space="preserve"> (médiane 24 heures après l'injection) est le piège majeur de cette molécule. Le pharmacien d'offrine n'est pas directement impliqué dans l'administration de l'omalizumab (qui se fait en milieu médicalisé), mais il doit </w:t>
      </w:r>
      <w:r>
        <w:rPr>
          <w:b/>
        </w:rPr>
        <w:t>connaître ce risque</w:t>
      </w:r>
      <w:r>
        <w:t xml:space="preserve"> pour conseiller le patient lors de la dispensation (le pharmacien peut dispenser le XOLAIR 150 mg flacon pour usage hospitalier ou en cabinet de ville), et pour répondre aux questions du patient et de l'entourage. Toujours s'assurer que le patient a reçu une </w:t>
      </w:r>
      <w:r>
        <w:rPr>
          <w:b/>
        </w:rPr>
        <w:t>carte d'information patient</w:t>
      </w:r>
      <w:r>
        <w:t xml:space="preserve"> et connaît les signes d'anaphylaxie.</w:t>
      </w:r>
    </w:p>
    <w:p>
      <w:pPr>
        <w:pStyle w:val="ListBullet"/>
      </w:pPr>
      <w:r/>
      <w:r>
        <w:rPr>
          <w:b/>
        </w:rPr>
        <w:t>Règle de prise</w:t>
      </w:r>
      <w:r>
        <w:t xml:space="preserve"> : administration en </w:t>
      </w:r>
      <w:r>
        <w:rPr>
          <w:b/>
        </w:rPr>
        <w:t>milieu médicalisé</w:t>
      </w:r>
      <w:r>
        <w:t xml:space="preserve">, par un professionnel de santé formé, </w:t>
      </w:r>
      <w:r>
        <w:rPr>
          <w:b/>
        </w:rPr>
        <w:t>toutes les 2 ou 4 semaines</w:t>
      </w:r>
      <w:r>
        <w:t xml:space="preserve"> selon la table Novartis. </w:t>
      </w:r>
      <w:r>
        <w:rPr>
          <w:b/>
        </w:rPr>
        <w:t>Surveillance post-injection de 2 heures obligatoire</w:t>
      </w:r>
      <w:r>
        <w:t>.</w:t>
      </w:r>
    </w:p>
    <w:p>
      <w:pPr>
        <w:pStyle w:val="ListBullet"/>
      </w:pPr>
      <w:r/>
      <w:r>
        <w:rPr>
          <w:b/>
        </w:rPr>
        <w:t>Préparation et Conservation</w:t>
      </w:r>
      <w:r>
        <w:t xml:space="preserve"> :</w:t>
      </w:r>
    </w:p>
    <w:p>
      <w:pPr>
        <w:pStyle w:val="ListBullet"/>
      </w:pPr>
      <w:r>
        <w:t xml:space="preserve">Conservation à </w:t>
      </w:r>
      <w:r>
        <w:rPr>
          <w:b/>
        </w:rPr>
        <w:t>2–8 °C</w:t>
      </w:r>
      <w:r>
        <w:t xml:space="preserve"> (réfrigérateur), à l'abri de la lumière. Ne pas congeler.</w:t>
      </w:r>
    </w:p>
    <w:p>
      <w:pPr>
        <w:pStyle w:val="ListBullet"/>
      </w:pPr>
      <w:r>
        <w:t>Transport en sac isotherme avec accumulateurs de froid.</w:t>
      </w:r>
    </w:p>
    <w:p>
      <w:pPr>
        <w:pStyle w:val="ListBullet"/>
      </w:pPr>
      <w:r>
        <w:t>Après reconstitution, l'usage immédiat est recommandé. Une conservation à 2–8 °C est possible pendant 8 heures maximum après reconstitution.</w:t>
      </w:r>
    </w:p>
    <w:p>
      <w:pPr>
        <w:pStyle w:val="ListBullet"/>
      </w:pPr>
      <w:r>
        <w:t>Vérifier la date de péremption avant administration.</w:t>
      </w:r>
    </w:p>
    <w:p>
      <w:pPr>
        <w:pStyle w:val="ListBullet"/>
      </w:pPr>
      <w:r/>
      <w:r>
        <w:rPr>
          <w:b/>
        </w:rPr>
        <w:t>Piège du surdosage / Substitution</w:t>
      </w:r>
      <w:r>
        <w:t xml:space="preserve"> :</w:t>
      </w:r>
    </w:p>
    <w:p>
      <w:pPr>
        <w:pStyle w:val="ListBullet"/>
      </w:pPr>
      <w:r>
        <w:t>Le surdosage en omalizumab n'a pas de description clinique spécifique (les doses massives ne sont pas associées à des EI majeurs au-delà de l'augmentation des réactions au site d'injection). Pas d'antidote spécifique.</w:t>
      </w:r>
    </w:p>
    <w:p>
      <w:pPr>
        <w:pStyle w:val="ListBullet"/>
      </w:pPr>
      <w:r/>
      <w:r>
        <w:rPr>
          <w:b/>
        </w:rPr>
        <w:t>Ne pas substituer l'omalizumab par une autre biothérapie</w:t>
      </w:r>
      <w:r>
        <w:t xml:space="preserve"> (anti-IL-5, anti-IL-4Rα) sans avis médical spécialisé (les phénotypes d'asthme sévère ciblés sont différents — l'omalizumab cible le phénotype allergique IgE-médié, les anti-IL-5 ciblent le phénotype éosinophilique, les anti-IL-4Rα ciblent le phénotype Th2).</w:t>
      </w:r>
    </w:p>
    <w:p>
      <w:pPr>
        <w:pStyle w:val="ListBullet"/>
      </w:pPr>
      <w:r>
        <w:t xml:space="preserve">L'omalizumab ne se substitue pas au traitement de fond anti-asthmatique (CSI, LABA) — il est toujours utilisé en </w:t>
      </w:r>
      <w:r>
        <w:rPr>
          <w:b/>
        </w:rPr>
        <w:t>add-on</w:t>
      </w:r>
      <w:r>
        <w:t>.</w:t>
      </w:r>
    </w:p>
    <w:p>
      <w:pPr>
        <w:pStyle w:val="ListBullet"/>
      </w:pPr>
      <w:r/>
      <w:r>
        <w:rPr>
          <w:b/>
        </w:rPr>
        <w:t>Ne pas arrêter brutalement un omalizumab efficace</w:t>
      </w:r>
      <w:r>
        <w:t xml:space="preserve"> sans avis médical (risque de rebond inflammatoire et de récidive des exacerbations sévères).</w:t>
      </w:r>
    </w:p>
    <w:p>
      <w:pPr>
        <w:pStyle w:val="ListBullet"/>
      </w:pPr>
      <w:r/>
      <w:r>
        <w:rPr>
          <w:b/>
        </w:rPr>
        <w:t>Évaluation de la réponse à 16 semaines</w:t>
      </w:r>
      <w:r>
        <w:t xml:space="preserve"> : en l'absence de réponse documentée selon les critères HAS (réduction des exacerbations, amélioration du contrôle, épargne cortisonique, amélioration du VEMS), l'arrêt est recommandé (non-remboursement au-delà).</w:t>
      </w:r>
    </w:p>
    <w:p>
      <w:pPr>
        <w:pStyle w:val="Heading2"/>
      </w:pPr>
      <w:r>
        <w:t>8. Tableau comparatif synthétique des 3 DCI</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Sous-classe</w:t>
            </w:r>
          </w:p>
        </w:tc>
        <w:tc>
          <w:tcPr>
            <w:tcW w:type="dxa" w:w="1169"/>
          </w:tcPr>
          <w:p>
            <w:r>
              <w:rPr>
                <w:b/>
                <w:sz w:val="20"/>
              </w:rPr>
              <w:t>Mécanisme d'action</w:t>
            </w:r>
          </w:p>
        </w:tc>
        <w:tc>
          <w:tcPr>
            <w:tcW w:type="dxa" w:w="1169"/>
          </w:tcPr>
          <w:p>
            <w:r>
              <w:rPr>
                <w:b/>
                <w:sz w:val="20"/>
              </w:rPr>
              <w:t>Posologie adulte standard</w:t>
            </w:r>
          </w:p>
        </w:tc>
        <w:tc>
          <w:tcPr>
            <w:tcW w:type="dxa" w:w="1169"/>
          </w:tcPr>
          <w:p>
            <w:r>
              <w:rPr>
                <w:b/>
                <w:sz w:val="20"/>
              </w:rPr>
              <w:t>EI majeur</w:t>
            </w:r>
          </w:p>
        </w:tc>
        <w:tc>
          <w:tcPr>
            <w:tcW w:type="dxa" w:w="1169"/>
          </w:tcPr>
          <w:p>
            <w:r>
              <w:rPr>
                <w:b/>
                <w:sz w:val="20"/>
              </w:rPr>
              <w:t>Contre-indication majeure</w:t>
            </w:r>
          </w:p>
        </w:tc>
        <w:tc>
          <w:tcPr>
            <w:tcW w:type="dxa" w:w="1169"/>
          </w:tcPr>
          <w:p>
            <w:r>
              <w:rPr>
                <w:b/>
                <w:sz w:val="20"/>
              </w:rPr>
              <w:t>Grossesse (CRAT)</w:t>
            </w:r>
          </w:p>
        </w:tc>
        <w:tc>
          <w:tcPr>
            <w:tcW w:type="dxa" w:w="1169"/>
          </w:tcPr>
          <w:p>
            <w:r>
              <w:rPr>
                <w:b/>
                <w:sz w:val="20"/>
              </w:rPr>
              <w:t>Surveillance</w:t>
            </w:r>
          </w:p>
        </w:tc>
      </w:tr>
      <w:tr>
        <w:tc>
          <w:tcPr>
            <w:tcW w:type="dxa" w:w="1169"/>
          </w:tcPr>
          <w:p>
            <w:r>
              <w:rPr>
                <w:sz w:val="20"/>
              </w:rPr>
              <w:t>**Montélukast**</w:t>
            </w:r>
          </w:p>
        </w:tc>
        <w:tc>
          <w:tcPr>
            <w:tcW w:type="dxa" w:w="1169"/>
          </w:tcPr>
          <w:p>
            <w:r>
              <w:rPr>
                <w:sz w:val="20"/>
              </w:rPr>
              <w:t>Antileucotriène (antagoniste CysLT1)</w:t>
            </w:r>
          </w:p>
        </w:tc>
        <w:tc>
          <w:tcPr>
            <w:tcW w:type="dxa" w:w="1169"/>
          </w:tcPr>
          <w:p>
            <w:r>
              <w:rPr>
                <w:sz w:val="20"/>
              </w:rPr>
              <w:t>Antagoniste compétitif et sélectif des récepteurs CysLT1 des leucotriènes cystéinylés (LTC4, LTD4, LTE4) — blocage de la bronchoconstriction, de la sécrétion de mucus et du recrutement éosinophilique</w:t>
            </w:r>
          </w:p>
        </w:tc>
        <w:tc>
          <w:tcPr>
            <w:tcW w:type="dxa" w:w="1169"/>
          </w:tcPr>
          <w:p>
            <w:r>
              <w:rPr>
                <w:sz w:val="20"/>
              </w:rPr>
              <w:t>10 mg/jour en 1 prise le soir (adulte ≥ 15 ans) ; 5 mg (enfant 6–14 ans) ; 4 mg (enfant 2–5 ans) ; 4 mg granulés (nourrisson 6 mois–5 ans)</w:t>
            </w:r>
          </w:p>
        </w:tc>
        <w:tc>
          <w:tcPr>
            <w:tcW w:type="dxa" w:w="1169"/>
          </w:tcPr>
          <w:p>
            <w:r>
              <w:rPr>
                <w:sz w:val="20"/>
              </w:rPr>
              <w:t>**Troubles neuropsychiatriques (WARNING ANSM/FDA 2020)** : insomnie, cauchemars, somnambulisme, anxiété, agitation, dépression, **idées suicidaires** ; rash, vascularite Churg-Strauss, élévation transaminases</w:t>
            </w:r>
          </w:p>
        </w:tc>
        <w:tc>
          <w:tcPr>
            <w:tcW w:type="dxa" w:w="1169"/>
          </w:tcPr>
          <w:p>
            <w:r>
              <w:rPr>
                <w:sz w:val="20"/>
              </w:rPr>
              <w:t>Hypersensibilité ; antécédents psychiatriques sévères (prudence) ; phénylcétonurie (cp à croquer) ; enfant &lt; 6 mois</w:t>
            </w:r>
          </w:p>
        </w:tc>
        <w:tc>
          <w:tcPr>
            <w:tcW w:type="dxa" w:w="1169"/>
          </w:tcPr>
          <w:p>
            <w:r>
              <w:rPr>
                <w:sz w:val="20"/>
              </w:rPr>
              <w:t>Compatible (préférer CSI inhalés en première intention)</w:t>
            </w:r>
          </w:p>
        </w:tc>
        <w:tc>
          <w:tcPr>
            <w:tcW w:type="dxa" w:w="1169"/>
          </w:tcPr>
          <w:p>
            <w:r>
              <w:rPr>
                <w:sz w:val="20"/>
              </w:rPr>
              <w:t>Surveillance clinique de l'humeur et du comportement (info patient/famille obligatoire) ; ALAT/ASAT si symptomatologie hépatique ; ACT à 1 mois puis tous les 6 mois</w:t>
            </w:r>
          </w:p>
        </w:tc>
      </w:tr>
      <w:tr>
        <w:tc>
          <w:tcPr>
            <w:tcW w:type="dxa" w:w="1169"/>
          </w:tcPr>
          <w:p>
            <w:r>
              <w:rPr>
                <w:sz w:val="20"/>
              </w:rPr>
              <w:t>**Théophylline**</w:t>
            </w:r>
          </w:p>
        </w:tc>
        <w:tc>
          <w:tcPr>
            <w:tcW w:type="dxa" w:w="1169"/>
          </w:tcPr>
          <w:p>
            <w:r>
              <w:rPr>
                <w:sz w:val="20"/>
              </w:rPr>
              <w:t>Dérivé xanthique (méthylxanthine)</w:t>
            </w:r>
          </w:p>
        </w:tc>
        <w:tc>
          <w:tcPr>
            <w:tcW w:type="dxa" w:w="1169"/>
          </w:tcPr>
          <w:p>
            <w:r>
              <w:rPr>
                <w:sz w:val="20"/>
              </w:rPr>
              <w:t>Inhibition des PDE (PDE3, PDE4, PDE5) → AMPc↑ et GMPc↑ → bronchodilatation ; antagonisme des récepteurs adénosine A1/A2A → blocage bronchoconstriction adénosine-induite ; inhibition HDAC2 → restauration sensibilité aux CSI (effet anti-inflammatoire épigénétique à faibles doses)</w:t>
            </w:r>
          </w:p>
        </w:tc>
        <w:tc>
          <w:tcPr>
            <w:tcW w:type="dxa" w:w="1169"/>
          </w:tcPr>
          <w:p>
            <w:r>
              <w:rPr>
                <w:sz w:val="20"/>
              </w:rPr>
              <w:t>DIFFUMAX 200 mg LP — 200 mg × 2/jour (matin et soir à 12 h d'intervalle), soit 400 mg/j ; adapter selon théophyllinémie (5–15 mg/L)</w:t>
            </w:r>
          </w:p>
        </w:tc>
        <w:tc>
          <w:tcPr>
            <w:tcW w:type="dxa" w:w="1169"/>
          </w:tcPr>
          <w:p>
            <w:r>
              <w:rPr>
                <w:sz w:val="20"/>
              </w:rPr>
              <w:t>**Index thérapeutique étroit (5–15 mg/L)** — surdosage : nausées, vomissements, céphalées, insomnie, tremblements, convulsions (&gt; 20 mg/L), arythmies ventriculaires graves (&gt; 20 mg/L), décès (&gt; 40 mg/L) ; hypokaliémie, hyperglycémie</w:t>
            </w:r>
          </w:p>
        </w:tc>
        <w:tc>
          <w:tcPr>
            <w:tcW w:type="dxa" w:w="1169"/>
          </w:tcPr>
          <w:p>
            <w:r>
              <w:rPr>
                <w:sz w:val="20"/>
              </w:rPr>
              <w:t>Épilepsie non contrôlée ; cardiopathie sévère (tachyarythmies, IC décompensée, IM récent) ; hyperthyroïdie non contrôlée ; HBP avec rétention ; insuffisance hépatique sévère ; porphyrie aiguë ; association érythromycine IV</w:t>
            </w:r>
          </w:p>
        </w:tc>
        <w:tc>
          <w:tcPr>
            <w:tcW w:type="dxa" w:w="1169"/>
          </w:tcPr>
          <w:p>
            <w:r>
              <w:rPr>
                <w:sz w:val="20"/>
              </w:rPr>
              <w:t>Compatible (préférer CSI inhalés en première intention) ; surveillance accrue (clairance augmentée 3ᵉ trimestre)</w:t>
            </w:r>
          </w:p>
        </w:tc>
        <w:tc>
          <w:tcPr>
            <w:tcW w:type="dxa" w:w="1169"/>
          </w:tcPr>
          <w:p>
            <w:r>
              <w:rPr>
                <w:sz w:val="20"/>
              </w:rPr>
              <w:t>**Théophyllinémie systématique** à 5 jours après initiation, après chaque modification de dose, après ajout/retrait d'un médicament intercurrent ; zone cible 8–12 mg/L</w:t>
            </w:r>
          </w:p>
        </w:tc>
      </w:tr>
      <w:tr>
        <w:tc>
          <w:tcPr>
            <w:tcW w:type="dxa" w:w="1169"/>
          </w:tcPr>
          <w:p>
            <w:r>
              <w:rPr>
                <w:sz w:val="20"/>
              </w:rPr>
              <w:t>**Omalizumab**</w:t>
            </w:r>
          </w:p>
        </w:tc>
        <w:tc>
          <w:tcPr>
            <w:tcW w:type="dxa" w:w="1169"/>
          </w:tcPr>
          <w:p>
            <w:r>
              <w:rPr>
                <w:sz w:val="20"/>
              </w:rPr>
              <w:t>Biothérapie anti-IgE (Ac monoclonal IgG1κ humanisé)</w:t>
            </w:r>
          </w:p>
        </w:tc>
        <w:tc>
          <w:tcPr>
            <w:tcW w:type="dxa" w:w="1169"/>
          </w:tcPr>
          <w:p>
            <w:r>
              <w:rPr>
                <w:sz w:val="20"/>
              </w:rPr>
              <w:t>Liaison spécifique et de haute affinité au domaine Cε3 des IgE libres circulantes → neutralisation IgE libres → down-régulation progressive des récepteurs FcεRI des mastocytes et basophiles → réduction dégranulation mastocytaire et basophilique → réduction infiltrat éosinophile bronchique</w:t>
            </w:r>
          </w:p>
        </w:tc>
        <w:tc>
          <w:tcPr>
            <w:tcW w:type="dxa" w:w="1169"/>
          </w:tcPr>
          <w:p>
            <w:r>
              <w:rPr>
                <w:sz w:val="20"/>
              </w:rPr>
              <w:t>75–600 mg SC toutes les 2 ou 4 semaines selon la table Novartis (poids corporel + IgE totales 30–700 UI/mL) ; UCS : 150 ou 300 mg SC toutes les 4 semaines</w:t>
            </w:r>
          </w:p>
        </w:tc>
        <w:tc>
          <w:tcPr>
            <w:tcW w:type="dxa" w:w="1169"/>
          </w:tcPr>
          <w:p>
            <w:r>
              <w:rPr>
                <w:sz w:val="20"/>
              </w:rPr>
              <w:t>**Anaphylaxie retardée (Black Box Warning FDA 2007)** — médiane 24 h après injection (extrêmes 2 h–4 j) ; réactions site injection (~15–20 %) ; arthralgies ; syndrome Churg-Strauss (rare, à la décroissance cortisonique)</w:t>
            </w:r>
          </w:p>
        </w:tc>
        <w:tc>
          <w:tcPr>
            <w:tcW w:type="dxa" w:w="1169"/>
          </w:tcPr>
          <w:p>
            <w:r>
              <w:rPr>
                <w:sz w:val="20"/>
              </w:rPr>
              <w:t>Hypersensibilité ; anaphylaxie à une injection précédente (CI définitive) ; asthme non allergique (pas d'indication) ; enfant &lt; 6 ans (asthme) ou &lt; 12 ans (UCS)</w:t>
            </w:r>
          </w:p>
        </w:tc>
        <w:tc>
          <w:tcPr>
            <w:tcW w:type="dxa" w:w="1169"/>
          </w:tcPr>
          <w:p>
            <w:r>
              <w:rPr>
                <w:sz w:val="20"/>
              </w:rPr>
              <w:t>Compatible (préférer CSI inhalés en première intention) ; données EXPECT rassurantes</w:t>
            </w:r>
          </w:p>
        </w:tc>
        <w:tc>
          <w:tcPr>
            <w:tcW w:type="dxa" w:w="1169"/>
          </w:tcPr>
          <w:p>
            <w:r>
              <w:rPr>
                <w:sz w:val="20"/>
              </w:rPr>
              <w:t>**Surveillance post-injection de 2 heures obligatoire** en milieu médicalisé ; évaluation de la réponse à 16 semaines (critères HAS) ; IgE totales avant initiation ; VEMS, prick tests, FENO, éosinophilie sanguine</w:t>
            </w:r>
          </w:p>
        </w:tc>
      </w:tr>
    </w:tbl>
    <w:p/>
    <w:p>
      <w:pPr>
        <w:pStyle w:val="Heading2"/>
      </w:pPr>
      <w:r>
        <w:t>9. Règles d'Or et points-clés au comptoir</w:t>
      </w:r>
    </w:p>
    <w:p>
      <w:pPr>
        <w:pStyle w:val="Heading3"/>
      </w:pPr>
      <w:r>
        <w:t>Règles d'Or GINA 2024 / GOLD 2024</w:t>
      </w:r>
    </w:p>
    <w:p>
      <w:pPr>
        <w:pStyle w:val="ListNumber"/>
      </w:pPr>
      <w:r/>
      <w:r>
        <w:rPr>
          <w:b/>
        </w:rPr>
        <w:t>Antiasthmatiques additifs de 3ᵉ ligne</w:t>
      </w:r>
      <w:r>
        <w:t xml:space="preserve"> — le montélukast, la théophylline et l'omalizumab ne sont pas des traitements de première intention de l'asthme persistant. Le socle thérapeutique reste l'association fixe CSI + LABA (idéalement avec formotérol pour le concept SMART). Les antiasthmatiques additifs sont indiqués en cas de </w:t>
      </w:r>
      <w:r>
        <w:rPr>
          <w:b/>
        </w:rPr>
        <w:t>non-contrôle</w:t>
      </w:r>
      <w:r>
        <w:t xml:space="preserve"> malgré ce socle optimisé (stade 3–4 GINA), avec un phénotypage précis (allergique IgE-médié pour l'omalizumab, corticorésistant pour la théophylline à faible dose, allergique ou AIE pour le montélukast).</w:t>
      </w:r>
    </w:p>
    <w:p>
      <w:pPr>
        <w:pStyle w:val="ListNumber"/>
      </w:pPr>
      <w:r/>
      <w:r>
        <w:rPr>
          <w:b/>
        </w:rPr>
        <w:t>Montélukast : WARNING ANSM/FDA (mars 2020)</w:t>
      </w:r>
      <w:r>
        <w:t xml:space="preserve"> — le montélukast doit être réservé aux patients non répondeurs ou intolérants aux CSI dans l'asthme léger (stade 2), et à l'add-on dans l'asthme modéré à sévère. Pour la rhinite allergique, le montélukast doit être réservé aux patients non répondeurs aux antihistaminiques et aux corticoïdes nasaux. </w:t>
      </w:r>
      <w:r>
        <w:rPr>
          <w:b/>
        </w:rPr>
        <w:t>Information du patient et de la famille obligatoire</w:t>
      </w:r>
      <w:r>
        <w:t xml:space="preserve"> sur les EI neuropsychiatriques (cauchemars, insomnie, anxiété, agitation, dépression, idées suicidaires) — </w:t>
      </w:r>
      <w:r>
        <w:rPr>
          <w:b/>
        </w:rPr>
        <w:t>arrêt immédiat</w:t>
      </w:r>
      <w:r>
        <w:t xml:space="preserve"> en cas d'apparition de tout symptôme neuropsychiatrique (pas de sevrage nécessaire).</w:t>
      </w:r>
    </w:p>
    <w:p>
      <w:pPr>
        <w:pStyle w:val="ListNumber"/>
      </w:pPr>
      <w:r/>
      <w:r>
        <w:rPr>
          <w:b/>
        </w:rPr>
        <w:t>Montélukast : prise unique le soir</w:t>
      </w:r>
      <w:r>
        <w:t xml:space="preserve"> — la prise le soir est justifiée par le pic physiologique nocturne des leucotriènes et la fréquence de l'asthme nocturne. Améliore également l'observance (1 prise par jour).</w:t>
      </w:r>
    </w:p>
    <w:p>
      <w:pPr>
        <w:pStyle w:val="ListNumber"/>
      </w:pPr>
      <w:r/>
      <w:r>
        <w:rPr>
          <w:b/>
        </w:rPr>
        <w:t>Théophylline : index thérapeutique étroit (5–15 mg/L)</w:t>
      </w:r>
      <w:r>
        <w:t xml:space="preserve"> — la surveillance de la théophyllinémie est </w:t>
      </w:r>
      <w:r>
        <w:rPr>
          <w:b/>
        </w:rPr>
        <w:t>obligatoire</w:t>
      </w:r>
      <w:r>
        <w:t xml:space="preserve"> à l'équilibre (5 demi-vies après initiation ou modification posologique, soit ~24–48 heures chez l'adulte non-fumeur), avec adaptations posologiques fines selon le taux mesuré. Zone cible : 8–12 mg/L.</w:t>
      </w:r>
    </w:p>
    <w:p>
      <w:pPr>
        <w:pStyle w:val="ListNumber"/>
      </w:pPr>
      <w:r/>
      <w:r>
        <w:rPr>
          <w:b/>
        </w:rPr>
        <w:t>Théophylline : nombreuses interactions médicamenteuses</w:t>
      </w:r>
      <w:r>
        <w:t xml:space="preserve"> — vérifier systématiquement les interactions avant dispensation : </w:t>
      </w:r>
      <w:r>
        <w:rPr>
          <w:b/>
        </w:rPr>
        <w:t>inhibiteurs du CYP1A2</w:t>
      </w:r>
      <w:r>
        <w:t xml:space="preserve"> (érythromycine, cimétidine, allopurinol, fluconazole, kétoconazole, fluvoxamine, contraceptifs oraux) → toxicité ; </w:t>
      </w:r>
      <w:r>
        <w:rPr>
          <w:b/>
        </w:rPr>
        <w:t>inducteurs du CYP1A2</w:t>
      </w:r>
      <w:r>
        <w:t xml:space="preserve"> (tabac, phénytoïne, carbamazépine, rifampicine, phénobarbital) → perte d'efficacité. Adapter la dose et surveiller la théophyllinémie à chaque modification du traitement associé.</w:t>
      </w:r>
    </w:p>
    <w:p>
      <w:pPr>
        <w:pStyle w:val="ListNumber"/>
      </w:pPr>
      <w:r/>
      <w:r>
        <w:rPr>
          <w:b/>
        </w:rPr>
        <w:t>Théophylline : tabac et clairance</w:t>
      </w:r>
      <w:r>
        <w:t xml:space="preserve"> — la clairance de la théophylline est </w:t>
      </w:r>
      <w:r>
        <w:rPr>
          <w:b/>
        </w:rPr>
        <w:t>augmentée</w:t>
      </w:r>
      <w:r>
        <w:t xml:space="preserve"> de ~50 à 100 % chez le fumeur (induction du CYP1A2). Le sevrage tabagique réduit la clairance — surveillance accrue à l'arrêt du tabac (risque de surdosage).</w:t>
      </w:r>
    </w:p>
    <w:p>
      <w:pPr>
        <w:pStyle w:val="ListNumber"/>
      </w:pPr>
      <w:r/>
      <w:r>
        <w:rPr>
          <w:b/>
        </w:rPr>
        <w:t>Omalizumab : prescription hospitalière spécialisée</w:t>
      </w:r>
      <w:r>
        <w:t xml:space="preserve"> — l'omalizumab est en </w:t>
      </w:r>
      <w:r>
        <w:rPr>
          <w:b/>
        </w:rPr>
        <w:t>prescription hospitalière spécialisée</w:t>
      </w:r>
      <w:r>
        <w:t xml:space="preserve"> (pneumologie, médecine interne, allergologie), avec administration en milieu médicalisé (cabinet médical équipé ou centre hospitalier). Le pharmacien d'offrine peut dispenser le XOLAIR 150 mg flacon pour usage hospitalier ou en cabinet de ville, mais n'est pas directement impliqué dans l'administration.</w:t>
      </w:r>
    </w:p>
    <w:p>
      <w:pPr>
        <w:pStyle w:val="ListNumber"/>
      </w:pPr>
      <w:r/>
      <w:r>
        <w:rPr>
          <w:b/>
        </w:rPr>
        <w:t>Omalizumab : risque anaphylaxie retardée (Black Box Warning FDA 2007)</w:t>
      </w:r>
      <w:r>
        <w:t xml:space="preserve"> — risque rare (~0,2 % des patients) mais gravité extrême. </w:t>
      </w:r>
      <w:r>
        <w:rPr>
          <w:b/>
        </w:rPr>
        <w:t>Surveillance post-injection de 2 heures obligatoire</w:t>
      </w:r>
      <w:r>
        <w:t xml:space="preserve"> en milieu médicalisé (kit adrénaline IM, antihistaminiques, corticoïdes, oxygène, matériel de réanimation). Information du patient et de l'entourage : signes d'anaphylaxie (démangeaisons généralisées, urticaire, angio-œdème, gêne respiratoire, hypotension, vertiges), conduite à tenir (appel SAMU 14 ou 15), surveillance à domicile pendant 24–72 heures suivant chaque injection.</w:t>
      </w:r>
    </w:p>
    <w:p>
      <w:pPr>
        <w:pStyle w:val="ListNumber"/>
      </w:pPr>
      <w:r/>
      <w:r>
        <w:rPr>
          <w:b/>
        </w:rPr>
        <w:t>Omalizumab : évaluation de la réponse à 16 semaines</w:t>
      </w:r>
      <w:r>
        <w:t xml:space="preserve"> — l'évaluation de la réponse à l'omalizumab à 16 semaines est </w:t>
      </w:r>
      <w:r>
        <w:rPr>
          <w:b/>
        </w:rPr>
        <w:t>obligatoire</w:t>
      </w:r>
      <w:r>
        <w:t xml:space="preserve"> selon les critères HAS (réduction des exacerbations, amélioration du contrôle, épargne cortisonique, amélioration du VEMS). En l'absence de réponse, l'arrêt est recommandé (non-remboursement au-delà).</w:t>
      </w:r>
    </w:p>
    <w:p>
      <w:pPr>
        <w:pStyle w:val="ListNumber"/>
      </w:pPr>
      <w:r/>
      <w:r>
        <w:rPr>
          <w:b/>
        </w:rPr>
        <w:t>Patient asthmatique qui ne va pas bien</w:t>
      </w:r>
      <w:r>
        <w:t xml:space="preserve"> — si un patient sous antiasthmatique additif (montélukast, théophylline, omalizumab) a besoin de son SABA plus de 2 fois par semaine, ou si son SABA ne le soulage plus, ou s'il a des réveils nocturnes — l'asthme est probablement mal contrôlé, réévaluation pneumologique urgente (montée en puissance thérapeutique, phénotypage, recherche de comorbidités, vérification de l'observance et de la technique d'inhalation).</w:t>
      </w:r>
    </w:p>
    <w:p>
      <w:pPr>
        <w:pStyle w:val="Heading3"/>
      </w:pPr>
      <w:r>
        <w:t>Pièges majeurs au comptoir</w:t>
      </w:r>
    </w:p>
    <w:p>
      <w:pPr>
        <w:pStyle w:val="ListBullet"/>
      </w:pPr>
      <w:r/>
      <w:r>
        <w:rPr>
          <w:b/>
        </w:rPr>
        <w:t>Confusion entre traitement de fond et traitement de secours</w:t>
      </w:r>
      <w:r>
        <w:t xml:space="preserve"> : le montélukast, la théophylline et l'omalizumab sont des </w:t>
      </w:r>
      <w:r>
        <w:rPr>
          <w:b/>
        </w:rPr>
        <w:t>traitements de fond</w:t>
      </w:r>
      <w:r>
        <w:t xml:space="preserve"> qui n'ont pas d'effet bronchodilatateur rapide — le patient doit toujours avoir son SABA (salbutamol 100 µg) à portée de main pour la crise d'asthme aiguë.</w:t>
      </w:r>
    </w:p>
    <w:p>
      <w:pPr>
        <w:pStyle w:val="ListBullet"/>
      </w:pPr>
      <w:r/>
      <w:r>
        <w:rPr>
          <w:b/>
        </w:rPr>
        <w:t>Surdosage en théophylline par interaction médicamenteuse</w:t>
      </w:r>
      <w:r>
        <w:t xml:space="preserve"> : un patient sous théophylline qui reçoit un traitement par érythromycine pour une infection ORL peut présenter un surdosage théophyllinique en 48 heures — toujours vérifier les interactions avant dispensation d'un antibiotique (ou d'un autre médicament) à un patient sous théophylline.</w:t>
      </w:r>
    </w:p>
    <w:p>
      <w:pPr>
        <w:pStyle w:val="ListBullet"/>
      </w:pPr>
      <w:r/>
      <w:r>
        <w:rPr>
          <w:b/>
        </w:rPr>
        <w:t>Surdosage en théophylline par arrêt du tabac</w:t>
      </w:r>
      <w:r>
        <w:t xml:space="preserve"> — la clairance de la théophylline diminue brutalement à l'arrêt du tabac (chute de l'induction du CYP1A2). Le patient fumeur sous théophylline doit être informé que l'arrêt du tabac nécessite une </w:t>
      </w:r>
      <w:r>
        <w:rPr>
          <w:b/>
        </w:rPr>
        <w:t>réduction de la dose de théophylline</w:t>
      </w:r>
      <w:r>
        <w:t xml:space="preserve"> et une surveillance accrue.</w:t>
      </w:r>
    </w:p>
    <w:p>
      <w:pPr>
        <w:pStyle w:val="ListBullet"/>
      </w:pPr>
      <w:r/>
      <w:r>
        <w:rPr>
          <w:b/>
        </w:rPr>
        <w:t>Apparition de troubles neuropsychiatriques sous montélukast</w:t>
      </w:r>
      <w:r>
        <w:t xml:space="preserve"> : tout changement d'humeur, d'anxiété, de comportement, de sommeil chez un patient (ou un enfant) sous montélukast doit faire </w:t>
      </w:r>
      <w:r>
        <w:rPr>
          <w:b/>
        </w:rPr>
        <w:t>arrêter immédiatement</w:t>
      </w:r>
      <w:r>
        <w:t xml:space="preserve"> le traitement et consulter — pas de sevrage progressif nécessaire.</w:t>
      </w:r>
    </w:p>
    <w:p>
      <w:pPr>
        <w:pStyle w:val="ListBullet"/>
      </w:pPr>
      <w:r/>
      <w:r>
        <w:rPr>
          <w:b/>
        </w:rPr>
        <w:t>Anaphylaxie retardée sous omalizumab</w:t>
      </w:r>
      <w:r>
        <w:t xml:space="preserve"> : bien que le pharmacien d'offrine ne soit pas directement impliqué dans l'administration de l'omalizumab, il doit connaître ce risque pour conseiller le patient et l'entourage, et orienter en urgence vers le SAMU en cas de signes d'anaphylaxie retardée (jusqu'à 4 jours après l'injection).</w:t>
      </w:r>
    </w:p>
    <w:p>
      <w:pPr>
        <w:pStyle w:val="ListBullet"/>
      </w:pPr>
      <w:r/>
      <w:r>
        <w:rPr>
          <w:b/>
        </w:rPr>
        <w:t>Substitution entre marques génériques de montélukast</w:t>
      </w:r>
      <w:r>
        <w:t xml:space="preserve"> : la pluralité des marques (11 à 10 mg, 8 à 4 mg et 5 mg) rend la substitution aisée, mais le pharmacien doit vérifier la </w:t>
      </w:r>
      <w:r>
        <w:rPr>
          <w:b/>
        </w:rPr>
        <w:t>forme galénique</w:t>
      </w:r>
      <w:r>
        <w:t xml:space="preserve"> (pelliculé vs à croquer) et le </w:t>
      </w:r>
      <w:r>
        <w:rPr>
          <w:b/>
        </w:rPr>
        <w:t>dosage</w:t>
      </w:r>
      <w:r>
        <w:t xml:space="preserve"> avant substitution. Ne pas substituer un comprimé pelliculé par un comprimé à croquer sans information claire du patient.</w:t>
      </w:r>
    </w:p>
    <w:p>
      <w:pPr>
        <w:pStyle w:val="ListBullet"/>
      </w:pPr>
      <w:r/>
      <w:r>
        <w:rPr>
          <w:b/>
        </w:rPr>
        <w:t>Switch entre formes de théophylline</w:t>
      </w:r>
      <w:r>
        <w:t xml:space="preserve"> : le marché algérien ne propose qu'une seule spécialité active (DIFFUMAX 200 mg LP Menarini) — le pharmacien doit s'assurer de la dispensation de cette forme et non d'une spécialité retirée du marché (THEOSTAT, DILATRANE, THEOBID, ASMAPHYL — toutes retirées).</w:t>
      </w:r>
    </w:p>
    <w:p>
      <w:pPr>
        <w:pStyle w:val="Heading3"/>
      </w:pPr>
      <w:r>
        <w:t>Points-clés de la nomenclature algérienne (Avril 2026)</w:t>
      </w:r>
    </w:p>
    <w:p>
      <w:pPr>
        <w:pStyle w:val="ListBullet"/>
      </w:pPr>
      <w:r/>
      <w:r>
        <w:rPr>
          <w:b/>
        </w:rPr>
        <w:t>Montélukast</w:t>
      </w:r>
      <w:r>
        <w:t xml:space="preserve"> : 11 marques génériques actives à 10 mg (MEXAM, MONKAST, MONTEKAST, MONTELAIR, MONTELUDEX, MONTELUKAST BEKER, MONTELUKAST GEO, MOTRINEX, ONCEAIR, SINGASM, TEMOST), 8 marques actives à 4 mg et 5 mg pédiatriques (comprimés à croquer), 2 marques actives à 4 mg en granulés pour solution buvable en sachet (MEXAM BIOPHARM, SINGULAIR princeps MERCK SHARP &amp; DOHME). Le princeps Singulair™ comprimés (10 mg, 5 mg, 4 mg) est </w:t>
      </w:r>
      <w:r>
        <w:rPr>
          <w:b/>
        </w:rPr>
        <w:t>retiré</w:t>
      </w:r>
      <w:r>
        <w:t xml:space="preserve"> du marché algérien. Toutes les formes sont en </w:t>
      </w:r>
      <w:r>
        <w:rPr>
          <w:b/>
        </w:rPr>
        <w:t>Liste I</w:t>
      </w:r>
      <w:r>
        <w:t xml:space="preserve"> (substance vénéneuse).</w:t>
      </w:r>
    </w:p>
    <w:p>
      <w:pPr>
        <w:pStyle w:val="ListBullet"/>
      </w:pPr>
      <w:r/>
      <w:r>
        <w:rPr>
          <w:b/>
        </w:rPr>
        <w:t>Théophylline</w:t>
      </w:r>
      <w:r>
        <w:t xml:space="preserve"> : une seule spécialité active — </w:t>
      </w:r>
      <w:r>
        <w:rPr>
          <w:b/>
        </w:rPr>
        <w:t>DIFFUMAX 200 mg comprimé LP (Menarini)</w:t>
      </w:r>
      <w:r>
        <w:t xml:space="preserve">. La forme injectable (THEOPHYLLINE RENAUDIN 240 mg/4 mL) est non renouvelable. Toutes les autres spécialités (THEOSTAT 100/200/300 mg, DILATRANE 100/200 mg gélules LP, DILATRANE sirop 10 mg/mL, THEOBID 200 mg, THEOPHYLLINE BRUNEAU 200 mg, ASMAPHYL 100/350 mg suppositoires, DILATRANE 350 mg suppositoire) sont </w:t>
      </w:r>
      <w:r>
        <w:rPr>
          <w:b/>
        </w:rPr>
        <w:t>retirées</w:t>
      </w:r>
      <w:r>
        <w:t xml:space="preserve"> du marché algérien.</w:t>
      </w:r>
    </w:p>
    <w:p>
      <w:pPr>
        <w:pStyle w:val="ListBullet"/>
      </w:pPr>
      <w:r/>
      <w:r>
        <w:rPr>
          <w:b/>
        </w:rPr>
        <w:t>Omalizumab</w:t>
      </w:r>
      <w:r>
        <w:t xml:space="preserve"> : une seule spécialité active — </w:t>
      </w:r>
      <w:r>
        <w:rPr>
          <w:b/>
        </w:rPr>
        <w:t>XOLAIR 150 mg flacon poudre + solvant pour préparation injectable SC (Novartis Pharma Schweiz AG)</w:t>
      </w:r>
      <w:r>
        <w:t xml:space="preserve">, en </w:t>
      </w:r>
      <w:r>
        <w:rPr>
          <w:b/>
        </w:rPr>
        <w:t>Liste I</w:t>
      </w:r>
      <w:r>
        <w:t xml:space="preserve">, prescription hospitalière spécialisée. La forme seringue préremplie (75 mg, 150 mg, 300 mg) disponible à l'international n'est </w:t>
      </w:r>
      <w:r>
        <w:rPr>
          <w:b/>
        </w:rPr>
        <w:t>pas commercialisée en Algérie</w:t>
      </w:r>
      <w:r>
        <w:t>.</w:t>
      </w:r>
    </w:p>
    <w:p>
      <w:pPr>
        <w:pStyle w:val="ListBullet"/>
      </w:pPr>
      <w:r/>
      <w:r>
        <w:rPr>
          <w:b/>
        </w:rPr>
        <w:t>Antileucotriènes alternatifs non disponibles en Algérie</w:t>
      </w:r>
      <w:r>
        <w:t xml:space="preserve"> : zafirlukast (Accolate™), pranlukast (Onon™), zileuton (Zyflo™). En cas d'échec ou d'intolérance au montélukast, le recours à ces molécules n'est pas possible en Algérie (le patient doit être orienté vers les alternatives : anti-IL-5, anti-IL-4Rα — non disponibles non plus, d'où l'importance de l'omalizumab comme seule biothérapie disponible).</w:t>
      </w:r>
    </w:p>
    <w:p>
      <w:pPr>
        <w:pStyle w:val="ListBullet"/>
      </w:pPr>
      <w:r/>
      <w:r>
        <w:rPr>
          <w:b/>
        </w:rPr>
        <w:t>Biothérapies anti-IL-5 et anti-IL-4Rα non disponibles en Algérie</w:t>
      </w:r>
      <w:r>
        <w:t xml:space="preserve"> : mepolizumab (Nucala™), benralizumab (Fasenra™), reslizumab (Cinqair™), dupilumab (Dupixent™) ne sont pas commercialisés en Algérie (nomenclature Avril 2026). L'omalizumab reste la seule option biothérapeutique pour les patients algériens asthmatiques sévères non contrôlés.</w:t>
      </w:r>
    </w:p>
    <w:p>
      <w:pPr>
        <w:pStyle w:val="ListBullet"/>
      </w:pPr>
      <w:r/>
      <w:r>
        <w:rPr>
          <w:b/>
        </w:rPr>
        <w:t>Diversité des formes galéniques disponibles pour le montélukast</w:t>
      </w:r>
      <w:r>
        <w:t xml:space="preserve"> : comprimés pelliculés (10 mg adulte), comprimés à croquer (4 mg nourrisson/enfant, 5 mg enfant, 10 mg adulte si difficulté à avaler), granulés pour solution buvable en sachet (4 mg nourrisson 6 mois–5 ans) — permettant une couverture de toutes les tranches d'âge à partir de 6 mois.</w:t>
      </w:r>
    </w:p>
    <w:p>
      <w:pPr>
        <w:pStyle w:val="Heading3"/>
      </w:pPr>
      <w:r>
        <w:t>Références scientifiques</w:t>
      </w:r>
    </w:p>
    <w:p>
      <w:pPr>
        <w:pStyle w:val="ListBullet"/>
      </w:pPr>
      <w:r>
        <w:t xml:space="preserve">GINA (Global Initiative for Asthma) — </w:t>
      </w:r>
      <w:r>
        <w:rPr>
          <w:b/>
        </w:rPr>
        <w:t>Global Strategy for Asthma Management and Prevention</w:t>
      </w:r>
      <w:r>
        <w:t>, mise à jour 2024.</w:t>
      </w:r>
    </w:p>
    <w:p>
      <w:pPr>
        <w:pStyle w:val="ListBullet"/>
      </w:pPr>
      <w:r>
        <w:t xml:space="preserve">GOLD (Global Initiative for Chronic Obstructive Lung Disease) — </w:t>
      </w:r>
      <w:r>
        <w:rPr>
          <w:b/>
        </w:rPr>
        <w:t>Report 2024</w:t>
      </w:r>
      <w:r>
        <w:t>.</w:t>
      </w:r>
    </w:p>
    <w:p>
      <w:pPr>
        <w:pStyle w:val="ListBullet"/>
      </w:pPr>
      <w:r>
        <w:t>CRAT (Centre de Renseignement sur les Agents Tératogènes) — fiches « montélukast », « théophylline », « omalizumab ».</w:t>
      </w:r>
    </w:p>
    <w:p>
      <w:pPr>
        <w:pStyle w:val="ListBullet"/>
      </w:pPr>
      <w:r>
        <w:t>ANSM (Agence Nationale de Sécurité du Médicament) — Résumés des Caractéristiques du Produit (RCP) des spécialités commerciales. Lettre aux professionnels de santé du 4 mars 2020 (montélukast — EI neuropsychiatriques).</w:t>
      </w:r>
    </w:p>
    <w:p>
      <w:pPr>
        <w:pStyle w:val="ListBullet"/>
      </w:pPr>
      <w:r>
        <w:t>VIDAL — dictionnaire des spécialités pharmaceutiques.</w:t>
      </w:r>
    </w:p>
    <w:p>
      <w:pPr>
        <w:pStyle w:val="ListBullet"/>
      </w:pPr>
      <w:r>
        <w:t>Thériaque — base de données bibliographique.</w:t>
      </w:r>
    </w:p>
    <w:p>
      <w:pPr>
        <w:pStyle w:val="ListBullet"/>
      </w:pPr>
      <w:r>
        <w:t>LactMed (National Library of Medicine) — fiches « montelukast », « theophylline », « omalizumab ».</w:t>
      </w:r>
    </w:p>
    <w:p>
      <w:pPr>
        <w:pStyle w:val="ListBullet"/>
      </w:pPr>
      <w:r/>
      <w:r>
        <w:rPr>
          <w:b/>
        </w:rPr>
        <w:t>FDA Drug Safety Communication</w:t>
      </w:r>
      <w:r>
        <w:t xml:space="preserve"> (septembre 2019, *Boxed Warning* mars 2020) — montélukast et EI neuropsychiatriques.</w:t>
      </w:r>
    </w:p>
    <w:p>
      <w:pPr>
        <w:pStyle w:val="ListBullet"/>
      </w:pPr>
      <w:r/>
      <w:r>
        <w:rPr>
          <w:b/>
        </w:rPr>
        <w:t>FDA OBA Omalizumab Joint Task Force</w:t>
      </w:r>
      <w:r>
        <w:t xml:space="preserve"> (2007) — *Black Box Warning* omalizumab et anaphylaxie retardée.</w:t>
      </w:r>
    </w:p>
    <w:p>
      <w:pPr>
        <w:pStyle w:val="ListBullet"/>
      </w:pPr>
      <w:r/>
      <w:r>
        <w:rPr>
          <w:b/>
        </w:rPr>
        <w:t>Étude INNOVATE</w:t>
      </w:r>
      <w:r>
        <w:t xml:space="preserve"> (Busse WW, et al. — NEJM 2006 ; 354:2689) — omalizumab dans l'asthme sévère allergique.</w:t>
      </w:r>
    </w:p>
    <w:p>
      <w:pPr>
        <w:pStyle w:val="ListBullet"/>
      </w:pPr>
      <w:r/>
      <w:r>
        <w:rPr>
          <w:b/>
        </w:rPr>
        <w:t>Étude EXPECT (Omalizumab Pregnancy Registry)</w:t>
      </w:r>
      <w:r>
        <w:t xml:space="preserve"> — données grossesse omalizumab (&gt; 200 femmes enceintes exposées).</w:t>
      </w:r>
    </w:p>
    <w:p>
      <w:pPr>
        <w:pStyle w:val="ListBullet"/>
      </w:pPr>
      <w:r>
        <w:t>Ito K, et al. — *Histone deacetylase 2 as a therapeutic target in asthma* (NEJM 2006 — effet HDAC2 de la théophylline).</w:t>
      </w:r>
    </w:p>
    <w:p>
      <w:pPr>
        <w:pStyle w:val="ListBullet"/>
      </w:pPr>
      <w:r>
        <w:t>Barnes PJ — *Theophylline* (Am J Respir Crit Care Med 2013 ; 188:901).</w:t>
      </w:r>
    </w:p>
    <w:p>
      <w:pPr>
        <w:pStyle w:val="ListBullet"/>
      </w:pPr>
      <w:r>
        <w:t>Holgate ST, et al. — *Pathogenesis of asthma and anti-IgE therapy* (J Allergy Clin Immunol 2005).</w:t>
      </w:r>
    </w:p>
    <w:p>
      <w:pPr>
        <w:pStyle w:val="ListBullet"/>
      </w:pPr>
      <w:r>
        <w:t>EAACI/GA²LEN — *Guidelines on urticaria* (2021) — montélukast et omalizumab dans l'urticaire chronique spontanée.</w:t>
      </w:r>
    </w:p>
    <w:p>
      <w:pPr>
        <w:pStyle w:val="ListBullet"/>
      </w:pPr>
      <w:r>
        <w:t>HAS (Haute Autorité de Santé) — *Évaluation de la réponse à l'omalizumab à 16 semaines* (asthme sévère).</w:t>
      </w:r>
    </w:p>
    <w:p>
      <w:pPr>
        <w:pStyle w:val="ListBullet"/>
      </w:pPr>
      <w:r>
        <w:t>Samuelsson B — *Leukotrienes: mediators of immediate hypersensitivity reactions and inflammation* (Science 1983 — prix Nobel 1982).</w:t>
      </w:r>
    </w:p>
    <w:p>
      <w:r/>
      <w:r>
        <w:rPr>
          <w:i/>
        </w:rPr>
        <w:t>Fin du Chapitre 63 — Antiasthmatiques additifs : Antileucotriènes (montélukast), Dérivés xanthiques (théophylline), Biothérapies anti-IgE (omalizumab).</w:t>
      </w:r>
      <w:r/>
    </w:p>
    <w:p>
      <w:r/>
      <w:r>
        <w:rPr>
          <w:i/>
        </w:rPr>
        <w:t>Le Chapitre 64 traitera des antibiotiques anti-tuberculeux (isoniazide, rifampicine, pyrazinamide, éthambutol) et des associations fixes antituberculeuses, dans le cadre du Fascicule VII.</w:t>
      </w:r>
      <w:r/>
    </w:p>
    <w:p>
      <w:pPr>
        <w:pStyle w:val="Heading1"/>
      </w:pPr>
      <w:r>
        <w:t>Chapitre 64 — Mucolytiques, expectorants et antitussifs</w:t>
      </w:r>
    </w:p>
    <w:p>
      <w:pPr>
        <w:ind w:left="567"/>
      </w:pPr>
      <w:r>
        <w:rPr>
          <w:i/>
          <w:color w:val="606060"/>
        </w:rPr>
        <w:t>**Fascicule VII — Pneumologie / Antiasthmatiques et pathologies respiratoires**</w:t>
      </w:r>
    </w:p>
    <w:p>
      <w:pPr>
        <w:ind w:left="567"/>
      </w:pPr>
      <w:r>
        <w:rPr>
          <w:i/>
          <w:color w:val="606060"/>
        </w:rPr>
        <w:t>*Sous-classes thérapeutiques : Mucolytiques — Dérivés thiols (N-acétylcystéine, carbocistéine) ; Mucolytiques — Dérivés alcaloïdes vasiques (ambroxol, bromhexine) ; Mucolytiques — Thiols uoprotecteurs de chimiothérapie (mesna) ; Expectorants et fluidifiants — Dérivés terpéniques (guaifénésine + expecteurs) ; Antitussifs — Opioïdes centraux (pholcodine) ; Antitussifs — Opioïdes centraux non stupéfiants (dextrométhorphane)*</w:t>
      </w:r>
    </w:p>
    <w:p>
      <w:pPr>
        <w:ind w:left="567"/>
      </w:pPr>
      <w:r>
        <w:rPr>
          <w:i/>
          <w:color w:val="606060"/>
        </w:rPr>
        <w:t>*Nomenclature algérienne des médicaments — Avril 2026*</w:t>
      </w:r>
    </w:p>
    <w:p>
      <w:pPr>
        <w:pStyle w:val="Heading2"/>
      </w:pPr>
      <w:r>
        <w:t>Sommaire du chapitre</w:t>
      </w:r>
    </w:p>
    <w:p>
      <w:pPr>
        <w:pStyle w:val="ListNumber"/>
      </w:pPr>
      <w:r>
        <w:t>Vue d'ensemble des mucolytiques, expectorants et antitussifs</w:t>
      </w:r>
    </w:p>
    <w:p>
      <w:pPr>
        <w:pStyle w:val="ListNumber"/>
      </w:pPr>
      <w:r>
        <w:t>Introduction à la sous-classe des mucolytiques — Dérivés thiols</w:t>
      </w:r>
    </w:p>
    <w:p>
      <w:pPr>
        <w:pStyle w:val="ListNumber"/>
      </w:pPr>
      <w:r>
        <w:t>Fiches DCI — Dérivés thiols</w:t>
      </w:r>
    </w:p>
    <w:p>
      <w:pPr>
        <w:pStyle w:val="ListBullet"/>
      </w:pPr>
      <w:r>
        <w:t>1. N-acétylcystéine (NAC)</w:t>
      </w:r>
    </w:p>
    <w:p>
      <w:pPr>
        <w:pStyle w:val="ListBullet"/>
      </w:pPr>
      <w:r>
        <w:t>2. Carbocistéine</w:t>
      </w:r>
    </w:p>
    <w:p>
      <w:pPr>
        <w:pStyle w:val="ListNumber"/>
      </w:pPr>
      <w:r>
        <w:t>Introduction à la sous-classe des mucolytiques — Dérivés alcaloïdes vasiques</w:t>
      </w:r>
    </w:p>
    <w:p>
      <w:pPr>
        <w:pStyle w:val="ListNumber"/>
      </w:pPr>
      <w:r>
        <w:t>Fiches DCI — Alcaloïdes vasiques</w:t>
      </w:r>
    </w:p>
    <w:p>
      <w:pPr>
        <w:pStyle w:val="ListBullet"/>
      </w:pPr>
      <w:r>
        <w:t>3. Ambroxol</w:t>
      </w:r>
    </w:p>
    <w:p>
      <w:pPr>
        <w:pStyle w:val="ListBullet"/>
      </w:pPr>
      <w:r>
        <w:t>4. Bromhexine</w:t>
      </w:r>
    </w:p>
    <w:p>
      <w:pPr>
        <w:pStyle w:val="ListNumber"/>
      </w:pPr>
      <w:r>
        <w:t>Introduction à la sous-classe des mucolytiques thiols uoprotecteurs (mesna)</w:t>
      </w:r>
    </w:p>
    <w:p>
      <w:pPr>
        <w:pStyle w:val="ListNumber"/>
      </w:pPr>
      <w:r>
        <w:t>Fiche DCI — Thiol uoprotecteur</w:t>
      </w:r>
    </w:p>
    <w:p>
      <w:pPr>
        <w:pStyle w:val="ListBullet"/>
      </w:pPr>
      <w:r>
        <w:t>5. Mesna</w:t>
      </w:r>
    </w:p>
    <w:p>
      <w:pPr>
        <w:pStyle w:val="ListNumber"/>
      </w:pPr>
      <w:r>
        <w:t>Introduction à la sous-classe des expectorants et fluidifiants terpéniques</w:t>
      </w:r>
    </w:p>
    <w:p>
      <w:pPr>
        <w:pStyle w:val="ListNumber"/>
      </w:pPr>
      <w:r>
        <w:t>Fiche DCI — Expecteur terpénique</w:t>
      </w:r>
    </w:p>
    <w:p>
      <w:pPr>
        <w:pStyle w:val="ListBullet"/>
      </w:pPr>
      <w:r>
        <w:t>6. Guaifénésine et expecteurs terpéniques</w:t>
      </w:r>
    </w:p>
    <w:p>
      <w:pPr>
        <w:pStyle w:val="ListNumber"/>
      </w:pPr>
      <w:r>
        <w:t>Introduction à la sous-classe des antitussifs opioïdes centraux</w:t>
      </w:r>
    </w:p>
    <w:p>
      <w:pPr>
        <w:pStyle w:val="ListNumber"/>
      </w:pPr>
      <w:r>
        <w:t>Fiches DCI — Antitussifs centraux</w:t>
      </w:r>
    </w:p>
    <w:p>
      <w:pPr>
        <w:pStyle w:val="ListBullet"/>
      </w:pPr>
      <w:r>
        <w:t>7. Pholcodine (opioïde stupéfiant)</w:t>
      </w:r>
    </w:p>
    <w:p>
      <w:pPr>
        <w:pStyle w:val="ListBullet"/>
      </w:pPr>
      <w:r>
        <w:t>8. Dextrométhorphane (opioïde non stupéfiant)</w:t>
      </w:r>
    </w:p>
    <w:p>
      <w:pPr>
        <w:pStyle w:val="ListNumber"/>
      </w:pPr>
      <w:r>
        <w:t>Tableau comparatif synthétique des 8 DCI</w:t>
      </w:r>
    </w:p>
    <w:p>
      <w:pPr>
        <w:pStyle w:val="ListNumber"/>
      </w:pPr>
      <w:r>
        <w:t>Règles d'Or et points-clés au comptoir</w:t>
      </w:r>
    </w:p>
    <w:p>
      <w:pPr>
        <w:pStyle w:val="Heading2"/>
      </w:pPr>
      <w:r>
        <w:t>1. Vue d'ensemble des mucolytiques, expectorants et antitussifs</w:t>
      </w:r>
    </w:p>
    <w:p>
      <w:r>
        <w:t xml:space="preserve">Les chapitres précédents (61 : bronchodilatateurs β2-mimétiques et anticholinergiques ; 62 : corticoïdes inhalés et associations fixes CSI + LABA, y compris triples ; 63 : antileucotriènes, théophylline et anti-IgE) ont traité les </w:t>
      </w:r>
      <w:r>
        <w:rPr>
          <w:b/>
        </w:rPr>
        <w:t>traitements de fond</w:t>
      </w:r>
      <w:r>
        <w:t xml:space="preserve"> de l'asthme et de la BPCO, c'est-à-dire les médicaments capables de modifier l'histoire naturelle de la maladie obstructive chronique (réduction des exacerbations, amélioration de la fonction respiratoire, prévention du remodelage bronchique). Le présent chapitre 64 aborde une </w:t>
      </w:r>
      <w:r>
        <w:rPr>
          <w:b/>
        </w:rPr>
        <w:t>dimension symptomatique et complémentaire</w:t>
      </w:r>
      <w:r>
        <w:t xml:space="preserve"> : la prise en charge de la </w:t>
      </w:r>
      <w:r>
        <w:rPr>
          <w:b/>
        </w:rPr>
        <w:t>toux</w:t>
      </w:r>
      <w:r>
        <w:t xml:space="preserve"> et de l'</w:t>
      </w:r>
      <w:r>
        <w:rPr>
          <w:b/>
        </w:rPr>
        <w:t>encombrement bronchique</w:t>
      </w:r>
      <w:r>
        <w:t>, deux symptômes respiratoires parmi les plus fréquents en pratique de ville comme à l'hôpital.</w:t>
      </w:r>
    </w:p>
    <w:p>
      <w:pPr>
        <w:pStyle w:val="Heading3"/>
      </w:pPr>
      <w:r>
        <w:t>Définitions physiopathologiques</w:t>
      </w:r>
    </w:p>
    <w:p>
      <w:r>
        <w:t xml:space="preserve">La </w:t>
      </w:r>
      <w:r>
        <w:rPr>
          <w:b/>
        </w:rPr>
        <w:t>toux</w:t>
      </w:r>
      <w:r>
        <w:t xml:space="preserve"> est un </w:t>
      </w:r>
      <w:r>
        <w:rPr>
          <w:b/>
        </w:rPr>
        <w:t>réflexe de défense</w:t>
      </w:r>
      <w:r>
        <w:t xml:space="preserve"> de l'arbre respiratoire destiné à expulser les corps étrangers, sécrétions excessives ou agents infectieux des voies aériennes. Elle est médiée par la stimulation des </w:t>
      </w:r>
      <w:r>
        <w:rPr>
          <w:b/>
        </w:rPr>
        <w:t>récepteurs sensitifs bronchiques</w:t>
      </w:r>
      <w:r>
        <w:t xml:space="preserve"> (terminaisons nerveuses sensibles à l'étirement — </w:t>
      </w:r>
      <w:r>
        <w:rPr>
          <w:i/>
        </w:rPr>
        <w:t>stretch receptors</w:t>
      </w:r>
      <w:r>
        <w:t xml:space="preserve"> — et à l'irritation chimique — récepteurs TRPA1, TRPV1, P2X3) au niveau des afférences vagales (nerf X) qui projettent vers le </w:t>
      </w:r>
      <w:r>
        <w:rPr>
          <w:b/>
        </w:rPr>
        <w:t>centre de la toux</w:t>
      </w:r>
      <w:r>
        <w:t xml:space="preserve"> situé dans le </w:t>
      </w:r>
      <w:r>
        <w:rPr>
          <w:b/>
        </w:rPr>
        <w:t>bulbe rachidien</w:t>
      </w:r>
      <w:r>
        <w:t xml:space="preserve"> (noyau du tractus solitaire, NTS), avec intégration descendante vers les motoneurones respiratoires. On distingue schématiquement :</w:t>
      </w:r>
    </w:p>
    <w:p>
      <w:pPr>
        <w:pStyle w:val="ListBullet"/>
      </w:pPr>
      <w:r/>
      <w:r>
        <w:rPr>
          <w:b/>
        </w:rPr>
        <w:t>Toux productive</w:t>
      </w:r>
      <w:r>
        <w:t xml:space="preserve"> (ou « toux grasse ») : accompagnée d'expectoration de mucus — réponse adaptative à un encombrement bronchique (bronchite aiguë, BPCO, dilatation des bronches, mucoviscidose). </w:t>
      </w:r>
      <w:r>
        <w:rPr>
          <w:b/>
        </w:rPr>
        <w:t>À ne pas bloquer</w:t>
      </w:r>
      <w:r>
        <w:t xml:space="preserve"> car la toux permet l'évacuation des sécrétions pathologiques ; un antitussif serait ici délétère, voire dangereux (risque de surinfection, d'atélectasie, voire d'asphyxie en cas de sécrétions abondantes).</w:t>
      </w:r>
    </w:p>
    <w:p>
      <w:pPr>
        <w:pStyle w:val="ListBullet"/>
      </w:pPr>
      <w:r/>
      <w:r>
        <w:rPr>
          <w:b/>
        </w:rPr>
        <w:t>Toux sèche</w:t>
      </w:r>
      <w:r>
        <w:t xml:space="preserve"> (ou « toux irritative ») : non productive — souvent réflexe, post-infectieuse, allergique, médicamenteuse (IEC, IEC + antagoniste des récepteurs de l'angiotensine II), ou révélatrice d'une pathologie sous-jacente (asthme, RGO, cancer pulmonaire, BPCO). C'est sur la toux sèche que les antitussifs trouvent leur indication légitime, après élimination d'une cause curable.</w:t>
      </w:r>
    </w:p>
    <w:p>
      <w:r>
        <w:t>L'</w:t>
      </w:r>
      <w:r>
        <w:rPr>
          <w:b/>
        </w:rPr>
        <w:t>encombrement bronchique</w:t>
      </w:r>
      <w:r>
        <w:t xml:space="preserve"> correspond à l'</w:t>
      </w:r>
      <w:r>
        <w:rPr>
          <w:b/>
        </w:rPr>
        <w:t>accumulation excessive de mucus</w:t>
      </w:r>
      <w:r>
        <w:t xml:space="preserve"> dans les voies aériennes, le plus souvent secondaire à une hyper-sécrétion (infection, inflammation chronique, irritants tabagiques) et/ou à une altération de la clairance mucociliaire (paralysie ciliaire toxique, hyperviscosité du mucus). Les propriétés </w:t>
      </w:r>
      <w:r>
        <w:rPr>
          <w:b/>
        </w:rPr>
        <w:t>rhéologiques du mucus</w:t>
      </w:r>
      <w:r>
        <w:t xml:space="preserve"> dépendent de sa composition : les </w:t>
      </w:r>
      <w:r>
        <w:rPr>
          <w:b/>
        </w:rPr>
        <w:t>mucines</w:t>
      </w:r>
      <w:r>
        <w:t xml:space="preserve"> (en particulier MUC5AC et MUC5B, hauts polymères glycoprotéiques) sont responsables de la viscosité et de l'élasticité du mucus, et sont réticulées par des </w:t>
      </w:r>
      <w:r>
        <w:rPr>
          <w:b/>
        </w:rPr>
        <w:t>ponts disulfure (S-S)</w:t>
      </w:r>
      <w:r>
        <w:t xml:space="preserve"> intra- et inter-moléculaires. La fluidification de ce mucus est précisément la cible pharmacologique des </w:t>
      </w:r>
      <w:r>
        <w:rPr>
          <w:b/>
        </w:rPr>
        <w:t>mucolytiques thiols</w:t>
      </w:r>
      <w:r>
        <w:t xml:space="preserve"> (N-acétylcystéine, carbocistéine, mesna), capables de </w:t>
      </w:r>
      <w:r>
        <w:rPr>
          <w:b/>
        </w:rPr>
        <w:t>cliver réductivement les ponts disulfure</w:t>
      </w:r>
      <w:r>
        <w:t xml:space="preserve"> des mucines et de réduire ainsi la viscosité du mucus.</w:t>
      </w:r>
    </w:p>
    <w:p>
      <w:pPr>
        <w:pStyle w:val="Heading3"/>
      </w:pPr>
      <w:r>
        <w:t>Classification pharmacologique</w:t>
      </w:r>
    </w:p>
    <w:p>
      <w:r>
        <w:t xml:space="preserve">Le présent chapitre 64 traite </w:t>
      </w:r>
      <w:r>
        <w:rPr>
          <w:b/>
        </w:rPr>
        <w:t>6 sous-classes thérapeutiques</w:t>
      </w:r>
      <w:r>
        <w:t xml:space="preserve"> et </w:t>
      </w:r>
      <w:r>
        <w:rPr>
          <w:b/>
        </w:rPr>
        <w:t>8 DCI</w:t>
      </w:r>
      <w:r>
        <w:t xml:space="preserve"> :</w:t>
      </w:r>
    </w:p>
    <w:p>
      <w:pPr>
        <w:pStyle w:val="ListNumber"/>
      </w:pPr>
      <w:r/>
      <w:r>
        <w:rPr>
          <w:b/>
        </w:rPr>
        <w:t>Mucolytiques — Dérivés thiols</w:t>
      </w:r>
      <w:r>
        <w:t xml:space="preserve"> : N-acétylcystéine (NAC) et carbocistéine. Ces composés possèdent un </w:t>
      </w:r>
      <w:r>
        <w:rPr>
          <w:b/>
        </w:rPr>
        <w:t>groupement thiol libre (-SH)</w:t>
      </w:r>
      <w:r>
        <w:t xml:space="preserve"> capable de cliver les ponts disulfure des mucines. Historiquement, la N-acétylcystéine, dérivée de la L-cystéine (acide aminé soufré), a été développée dans les années 1960 (Ferrante 1963, Zambon) comme agent fluidifiant du mucus. La carbocistéine (S-carboxyméthylcystéine) a été introduite à la même période comme variante chimique mieux tolérée sur le plan digestif.</w:t>
      </w:r>
    </w:p>
    <w:p>
      <w:pPr>
        <w:pStyle w:val="ListNumber"/>
      </w:pPr>
      <w:r/>
      <w:r>
        <w:rPr>
          <w:b/>
        </w:rPr>
        <w:t>Mucolytiques — Dérivés alcaloïdes vasiques</w:t>
      </w:r>
      <w:r>
        <w:t xml:space="preserve"> : ambroxol et bromhexine. La </w:t>
      </w:r>
      <w:r>
        <w:rPr>
          <w:b/>
        </w:rPr>
        <w:t>bromhexine</w:t>
      </w:r>
      <w:r>
        <w:t xml:space="preserve"> est un dérivé semi-synthétique de la </w:t>
      </w:r>
      <w:r>
        <w:rPr>
          <w:b/>
        </w:rPr>
        <w:t>vasicine</w:t>
      </w:r>
      <w:r>
        <w:t>, alcaloïde extrait de *Justicia adhatoda* (syn. *Adhatoda vasica*), plante utilisée en médecine ayurvédique pour le traitement de la toux et de l'asthme. L'</w:t>
      </w:r>
      <w:r>
        <w:rPr>
          <w:b/>
        </w:rPr>
        <w:t>ambroxol</w:t>
      </w:r>
      <w:r>
        <w:t xml:space="preserve"> est le </w:t>
      </w:r>
      <w:r>
        <w:rPr>
          <w:b/>
        </w:rPr>
        <w:t>métabolite actif principal de la bromhexine</w:t>
      </w:r>
      <w:r>
        <w:t xml:space="preserve"> obtenu par déméthylation et hydroxylation ; il est commercialisé comme molécule propre depuis les années 1970 (Boehringer Ingelheim — *Mucosolvan*™). Leur mécanisme d'action est original : ils stimulent la </w:t>
      </w:r>
      <w:r>
        <w:rPr>
          <w:b/>
        </w:rPr>
        <w:t>synthèse du surfactant</w:t>
      </w:r>
      <w:r>
        <w:t xml:space="preserve"> pulmonaire par les pneumocytes II, activent l'ascenseur mucociliaire, et augmentent la sécrétion de glycoprotéines fluides au détriment des mucines acides.</w:t>
      </w:r>
    </w:p>
    <w:p>
      <w:pPr>
        <w:pStyle w:val="ListNumber"/>
      </w:pPr>
      <w:r/>
      <w:r>
        <w:rPr>
          <w:b/>
        </w:rPr>
        <w:t>Mucolytiques — Thiols uoprotecteurs de chimiothérapie</w:t>
      </w:r>
      <w:r>
        <w:t xml:space="preserve"> : mesna (2-mercaptoéthane sulfonate de sodium). Le mesna a une double indication : (i) </w:t>
      </w:r>
      <w:r>
        <w:rPr>
          <w:b/>
        </w:rPr>
        <w:t>mucolytique local</w:t>
      </w:r>
      <w:r>
        <w:t xml:space="preserve"> par clivage des ponts disulfure (peu utilisé en clinique en cette indication en raison de l'existence de la NAC) ; (ii) </w:t>
      </w:r>
      <w:r>
        <w:rPr>
          <w:b/>
        </w:rPr>
        <w:t>uoprotecteur</w:t>
      </w:r>
      <w:r>
        <w:t xml:space="preserve"> systémique obligatoire lors de l'administration d'</w:t>
      </w:r>
      <w:r>
        <w:rPr>
          <w:b/>
        </w:rPr>
        <w:t>oxazaphosphorines</w:t>
      </w:r>
      <w:r>
        <w:t xml:space="preserve"> (cyclophosphamide, ifosfamide) à haute dose, dont les métabolites acroléine et 4-hydroxy-ifosfamide sont </w:t>
      </w:r>
      <w:r>
        <w:rPr>
          <w:b/>
        </w:rPr>
        <w:t>urotoxiques</w:t>
      </w:r>
      <w:r>
        <w:t xml:space="preserve"> (hémorragie cystique chimique). Le mesna se conjugue à l'acroléine dans les urines pour former un composé non toxique.</w:t>
      </w:r>
    </w:p>
    <w:p>
      <w:pPr>
        <w:pStyle w:val="ListNumber"/>
      </w:pPr>
      <w:r/>
      <w:r>
        <w:rPr>
          <w:b/>
        </w:rPr>
        <w:t>Expectorants et fluidifiants — Dérivés terpéniques</w:t>
      </w:r>
      <w:r>
        <w:t xml:space="preserve"> : guaifénésine (glycérol guaïacolate), associée le plus souvent à des expecteurs terpéniques (eucalyptol, gaïacol, terpine, camphre). La </w:t>
      </w:r>
      <w:r>
        <w:rPr>
          <w:b/>
        </w:rPr>
        <w:t>guaifénésine</w:t>
      </w:r>
      <w:r>
        <w:t xml:space="preserve"> est un expectorant d'origine végétale (extrait de *Guaiacum officinale*) qui agit par stimulation des glandes séromuqueuses bronchiques et augmentation de la phase liquide du mucus. Les terpènes (eucalyptol = 1,8-cinéol, gaïacol, camphre, terpine) agissent par stimulation des récepteurs gustatifs et olfactifs, réflexe expectorant vagal, et légère activité antimicrobienne.</w:t>
      </w:r>
    </w:p>
    <w:p>
      <w:pPr>
        <w:pStyle w:val="ListNumber"/>
      </w:pPr>
      <w:r/>
      <w:r>
        <w:rPr>
          <w:b/>
        </w:rPr>
        <w:t>Antitussifs — Opioïdes centraux</w:t>
      </w:r>
      <w:r>
        <w:t xml:space="preserve"> : pholcodine. La </w:t>
      </w:r>
      <w:r>
        <w:rPr>
          <w:b/>
        </w:rPr>
        <w:t>pholcodine</w:t>
      </w:r>
      <w:r>
        <w:t xml:space="preserve"> (3-O-morpholinoéthylmorphine) est un dérivé morphinique de la morphine, agoniste des récepteurs </w:t>
      </w:r>
      <w:r>
        <w:rPr>
          <w:b/>
        </w:rPr>
        <w:t>μ (MOR)</w:t>
      </w:r>
      <w:r>
        <w:t xml:space="preserve"> centraux, mais dont la structure chimique (substitution en position 3 par un groupement morpholinoéthyle) réduit fortement le passage de la barrière hémato-encéphalique (BBB). Conservée sur la </w:t>
      </w:r>
      <w:r>
        <w:rPr>
          <w:b/>
        </w:rPr>
        <w:t>Liste I des stupéfiants</w:t>
      </w:r>
      <w:r>
        <w:t xml:space="preserve"> en Algérie, elle a une durée d'action prolongée (12 heures) et un potentiel de dépendance moindre que la codéine.</w:t>
      </w:r>
    </w:p>
    <w:p>
      <w:pPr>
        <w:pStyle w:val="ListNumber"/>
      </w:pPr>
      <w:r/>
      <w:r>
        <w:rPr>
          <w:b/>
        </w:rPr>
        <w:t>Antitussifs — Opioïdes centraux non stupéfiants</w:t>
      </w:r>
      <w:r>
        <w:t xml:space="preserve"> : dextrométhorphane. Le </w:t>
      </w:r>
      <w:r>
        <w:rPr>
          <w:b/>
        </w:rPr>
        <w:t>dextrométhorphane</w:t>
      </w:r>
      <w:r>
        <w:t xml:space="preserve"> est le </w:t>
      </w:r>
      <w:r>
        <w:rPr>
          <w:b/>
        </w:rPr>
        <w:t>d-isomère</w:t>
      </w:r>
      <w:r>
        <w:t xml:space="preserve"> du lévorphanol (morphiniane) ; il a une affinité pour les récepteurs μ centraux mais son passage de la BBB est limité, ce qui explique son </w:t>
      </w:r>
      <w:r>
        <w:rPr>
          <w:b/>
        </w:rPr>
        <w:t>absence d'effet analgésique, euphorisant et dépresseur respiratoire significatif</w:t>
      </w:r>
      <w:r>
        <w:t xml:space="preserve"> aux doses thérapeutiques. Exonéré de la liste des stupéfiants, il est largement disponible en vente libre en Algérie et dans le monde.</w:t>
      </w:r>
    </w:p>
    <w:p>
      <w:pPr>
        <w:pStyle w:val="Heading3"/>
      </w:pPr>
      <w:r>
        <w:t>Particularités de ce chapitre</w:t>
      </w:r>
    </w:p>
    <w:p>
      <w:pPr>
        <w:pStyle w:val="ListBullet"/>
      </w:pPr>
      <w:r/>
      <w:r>
        <w:rPr>
          <w:b/>
        </w:rPr>
        <w:t>Service médical rendu (SMR) modéré à faible</w:t>
      </w:r>
      <w:r>
        <w:t xml:space="preserve"> : selon la HAS, les mucolytiques et les expectorants ont un SMR </w:t>
      </w:r>
      <w:r>
        <w:rPr>
          <w:b/>
        </w:rPr>
        <w:t>modéré ou insuffisant</w:t>
      </w:r>
      <w:r>
        <w:t xml:space="preserve"> dans la plupart de leurs indications (bronchite aiguë du sujet sain, toux commune), avec un niveau de preuve globalement </w:t>
      </w:r>
      <w:r>
        <w:rPr>
          <w:b/>
        </w:rPr>
        <w:t>faible</w:t>
      </w:r>
      <w:r>
        <w:t xml:space="preserve"> (méta-analyses Cochrane négatives ou marginales). Leur prescription est néanmoins très répandue en pratique de ville algérienne, en particulier en pédiatrie (sirop d'ambroxol, sirop de carbocistéine).</w:t>
      </w:r>
    </w:p>
    <w:p>
      <w:pPr>
        <w:pStyle w:val="ListBullet"/>
      </w:pPr>
      <w:r/>
      <w:r>
        <w:rPr>
          <w:b/>
        </w:rPr>
        <w:t>Antitussifs opioïdes sous surveillance ANSM</w:t>
      </w:r>
      <w:r>
        <w:t xml:space="preserve"> : la </w:t>
      </w:r>
      <w:r>
        <w:rPr>
          <w:b/>
        </w:rPr>
        <w:t>pholcodine</w:t>
      </w:r>
      <w:r>
        <w:t xml:space="preserve"> a fait l'objet d'une </w:t>
      </w:r>
      <w:r>
        <w:rPr>
          <w:b/>
        </w:rPr>
        <w:t>évaluation européenne PRAC</w:t>
      </w:r>
      <w:r>
        <w:t xml:space="preserve"> (Pharmacovigilance Risk Assessment Committee) en 2011, 2015 et 2023, en raison du risque documenté d'</w:t>
      </w:r>
      <w:r>
        <w:rPr>
          <w:b/>
        </w:rPr>
        <w:t>anaphylaxie croisée avec les curares</w:t>
      </w:r>
      <w:r>
        <w:t xml:space="preserve"> (réactions IgE-médiées au suxaméthonium et au rocuronium chez les patients exposés à la pholcodine). Le retrait de la pholcodine a été décidé en Norvège (2014), en Suède, au Danemark, en Allemagne (2023), en France et à l'échelle européenne (PRAC recommandation de mars 2023 — retrait de l'AMM européenne) ; la mise en œuvre du retrait est échelonnée sur 12 mois à partir de 2023-2024. En Algérie, la pholcodine reste </w:t>
      </w:r>
      <w:r>
        <w:rPr>
          <w:b/>
        </w:rPr>
        <w:t>active</w:t>
      </w:r>
      <w:r>
        <w:t xml:space="preserve"> dans la nomenclature Avril 2026 (RHINATHIOL AD TOUX SECHE, TUSSO RHINATHIOL ENFANT, POLERY ENFANTS — laboratoires Institut Médical Algérien, Biogalenic). Le pharmacien d'officine doit donc connaître cette situation et informer les patients, en particulier ceux devant subir une anesthésie générale dans les semaines à venir.</w:t>
      </w:r>
    </w:p>
    <w:p>
      <w:pPr>
        <w:pStyle w:val="ListBullet"/>
      </w:pPr>
      <w:r/>
      <w:r>
        <w:rPr>
          <w:b/>
        </w:rPr>
        <w:t>Dextrométhorphane et IMAO</w:t>
      </w:r>
      <w:r>
        <w:t xml:space="preserve"> : l'association dextrométhorphane + inhibiteurs de la monoamine oxydase (IMAO) est une </w:t>
      </w:r>
      <w:r>
        <w:rPr>
          <w:b/>
        </w:rPr>
        <w:t>contre-indication absolue</w:t>
      </w:r>
      <w:r>
        <w:t xml:space="preserve"> en raison du risque de </w:t>
      </w:r>
      <w:r>
        <w:rPr>
          <w:b/>
        </w:rPr>
        <w:t>syndrome sérotoninergique</w:t>
      </w:r>
      <w:r>
        <w:t xml:space="preserve"> (hyperthermie, agitation, hyperréflexie, rhabdomyolyse, décès). Cet interaction doit être systématiquement recherchée au comptoir.</w:t>
      </w:r>
    </w:p>
    <w:p>
      <w:pPr>
        <w:pStyle w:val="ListBullet"/>
      </w:pPr>
      <w:r/>
      <w:r>
        <w:rPr>
          <w:b/>
        </w:rPr>
        <w:t>NAC inhalée et bronchospasme</w:t>
      </w:r>
      <w:r>
        <w:t xml:space="preserve"> : la NAC administrée par voie inhalée (aérosol) peut déclencher un bronchospasme réflexe chez le patient asthmatique ou hyper-réactif ; la forme orale (comprimé effervescent, sachet) est à privilégier chez l'asthmatique.</w:t>
      </w:r>
    </w:p>
    <w:p>
      <w:pPr>
        <w:pStyle w:val="ListBullet"/>
      </w:pPr>
      <w:r/>
      <w:r>
        <w:rPr>
          <w:b/>
        </w:rPr>
        <w:t>Mesna et chimiothérapie</w:t>
      </w:r>
      <w:r>
        <w:t xml:space="preserve"> : uoprotecteur </w:t>
      </w:r>
      <w:r>
        <w:rPr>
          <w:b/>
        </w:rPr>
        <w:t>obligatoire</w:t>
      </w:r>
      <w:r>
        <w:t xml:space="preserve"> lors de l'administration d'</w:t>
      </w:r>
      <w:r>
        <w:rPr>
          <w:b/>
        </w:rPr>
        <w:t>ifosfamide</w:t>
      </w:r>
      <w:r>
        <w:t xml:space="preserve"> à haute dose (≥ 2 g/m²/jour) ou de </w:t>
      </w:r>
      <w:r>
        <w:rPr>
          <w:b/>
        </w:rPr>
        <w:t>cyclophosphamide</w:t>
      </w:r>
      <w:r>
        <w:t xml:space="preserve"> à haute dose (≥ 50 mg/kg ; protocoles de conditionnement avant greffe de cellules souches hématopoïétiques). Le mesna est administré par voie IV et/ou orale selon un schéma précis (dose = 60 à 120 % de la dose d'oxazaphosphorine, fractionnée à T0, T4, T8 heures).</w:t>
      </w:r>
    </w:p>
    <w:p>
      <w:pPr>
        <w:pStyle w:val="Heading3"/>
      </w:pPr>
      <w:r>
        <w:t>Place dans la stratégie thérapeutique</w:t>
      </w:r>
    </w:p>
    <w:p>
      <w:r>
        <w:t xml:space="preserve">Selon les recommandations </w:t>
      </w:r>
      <w:r>
        <w:rPr>
          <w:b/>
        </w:rPr>
        <w:t xml:space="preserve"> GOLD 2024</w:t>
      </w:r>
      <w:r>
        <w:t xml:space="preserve"> (BPCO), </w:t>
      </w:r>
      <w:r>
        <w:rPr>
          <w:b/>
        </w:rPr>
        <w:t>GINA 2024</w:t>
      </w:r>
      <w:r>
        <w:t xml:space="preserve"> (asthme), </w:t>
      </w:r>
      <w:r>
        <w:rPr>
          <w:b/>
        </w:rPr>
        <w:t>HAS 2014</w:t>
      </w:r>
      <w:r>
        <w:t xml:space="preserve"> (bronchiolite aiguë du nourrisson), </w:t>
      </w:r>
      <w:r>
        <w:rPr>
          <w:b/>
        </w:rPr>
        <w:t>HAS/SPLF 2018</w:t>
      </w:r>
      <w:r>
        <w:t xml:space="preserve"> (toux de l'adulte) :</w:t>
      </w:r>
    </w:p>
    <w:p>
      <w:pPr>
        <w:pStyle w:val="ListBullet"/>
      </w:pPr>
      <w:r/>
      <w:r>
        <w:rPr>
          <w:b/>
        </w:rPr>
        <w:t>Bronchite aiguë du sujet sain</w:t>
      </w:r>
      <w:r>
        <w:t xml:space="preserve"> : aucune médication mucolytique ou antitussive n'est justifiée systématiquement. Privilégier l'</w:t>
      </w:r>
      <w:r>
        <w:rPr>
          <w:b/>
        </w:rPr>
        <w:t>hydratation</w:t>
      </w:r>
      <w:r>
        <w:t xml:space="preserve"> (1,5–2 L/jour), l'arrêt du tabac, le lavage nasal au sérum physiologique. Les mucolytiques oraux peuvent être proposés en cas d'encombrement important après 5–7 jours d'évolution.</w:t>
      </w:r>
    </w:p>
    <w:p>
      <w:pPr>
        <w:pStyle w:val="ListBullet"/>
      </w:pPr>
      <w:r/>
      <w:r>
        <w:rPr>
          <w:b/>
        </w:rPr>
        <w:t>BPCO</w:t>
      </w:r>
      <w:r>
        <w:t xml:space="preserve"> : les mucolytiques (NAC, carbocistéine) ont un effet modeste mais démontré sur la fréquence des exacerbations dans les BPCO modérées à sévères (étude BRONCUS pour la NAC — étude PEACE pour la carbocistéine — méta-analyses Cochrane 2019). Ils sont recommandés en </w:t>
      </w:r>
      <w:r>
        <w:rPr>
          <w:b/>
        </w:rPr>
        <w:t>prévention additivité</w:t>
      </w:r>
      <w:r>
        <w:t xml:space="preserve"> chez les patients BPCO à risque d'exacerbations fréquentes (≥ 2 par an) non contrôlés par les bronchodilatateurs de fond.</w:t>
      </w:r>
    </w:p>
    <w:p>
      <w:pPr>
        <w:pStyle w:val="ListBullet"/>
      </w:pPr>
      <w:r/>
      <w:r>
        <w:rPr>
          <w:b/>
        </w:rPr>
        <w:t>Dilatation des bronches (DDB) et mucoviscidose</w:t>
      </w:r>
      <w:r>
        <w:t xml:space="preserve"> : la NAC, l'ambroxol et la carbocistéine sont couramment utilisés en pratique, mais les recommandations spécifiques privilégient la </w:t>
      </w:r>
      <w:r>
        <w:rPr>
          <w:b/>
        </w:rPr>
        <w:t>dornase alpha (Pulmozyme™)</w:t>
      </w:r>
      <w:r>
        <w:t xml:space="preserve"> en nébulisation dans la mucoviscidose (ADNase recombinante qui clive l'ADN libre des polynucléaires neutrophiles dans l'expectoration purulente). La dornase alpha n'est pas traitée dans ce chapitre (relever des mucolytiques mécaniques).</w:t>
      </w:r>
    </w:p>
    <w:p>
      <w:pPr>
        <w:pStyle w:val="ListBullet"/>
      </w:pPr>
      <w:r/>
      <w:r>
        <w:rPr>
          <w:b/>
        </w:rPr>
        <w:t>Toux sèche post-infectieuse</w:t>
      </w:r>
      <w:r>
        <w:t xml:space="preserve"> : auto-limitée dans la majorité des cas (durée médiane 18 jours, peut persister 3 à 8 semaines). Les antitussifs opioïdes (pholcodine, dextrométhorphane) sont indiqués en traitement </w:t>
      </w:r>
      <w:r>
        <w:rPr>
          <w:b/>
        </w:rPr>
        <w:t>court</w:t>
      </w:r>
      <w:r>
        <w:t xml:space="preserve"> (5–7 jours) en cas de toux sèche invalidante. Privilégier d'abord les mesures non-médicamenteuses (miel chez l'enfant &gt; 1 an, hydration, arrêt du tabac).</w:t>
      </w:r>
    </w:p>
    <w:p>
      <w:pPr>
        <w:pStyle w:val="ListBullet"/>
      </w:pPr>
      <w:r/>
      <w:r>
        <w:rPr>
          <w:b/>
        </w:rPr>
        <w:t>Toux productive</w:t>
      </w:r>
      <w:r>
        <w:t xml:space="preserve"> : </w:t>
      </w:r>
      <w:r>
        <w:rPr>
          <w:b/>
        </w:rPr>
        <w:t>CI absolue</w:t>
      </w:r>
      <w:r>
        <w:t xml:space="preserve"> aux antitussifs opioïdes centraux. Privilégier les mucolytiques et expectorants (efficacité modeste), l'hydratation, la kinésithérapie respiratoire chez le nourrisson.</w:t>
      </w:r>
    </w:p>
    <w:p>
      <w:pPr>
        <w:pStyle w:val="Heading3"/>
      </w:pPr>
      <w:r>
        <w:t>Objectifs pédagogiques</w:t>
      </w:r>
    </w:p>
    <w:p>
      <w:r>
        <w:t>Ce chapitre a pour objectif de fournir au pharmacien d'offrine algérien les compétences nécessaires pour :</w:t>
      </w:r>
    </w:p>
    <w:p>
      <w:pPr>
        <w:pStyle w:val="ListBullet"/>
      </w:pPr>
      <w:r/>
      <w:r>
        <w:rPr>
          <w:b/>
        </w:rPr>
        <w:t>Dispenser</w:t>
      </w:r>
      <w:r>
        <w:t xml:space="preserve"> les mucolytiques, expectorants et antitussifs disponibles dans la nomenclature algérienne Avril 2026.</w:t>
      </w:r>
    </w:p>
    <w:p>
      <w:pPr>
        <w:pStyle w:val="ListBullet"/>
      </w:pPr>
      <w:r/>
      <w:r>
        <w:rPr>
          <w:b/>
        </w:rPr>
        <w:t>Différencier</w:t>
      </w:r>
      <w:r>
        <w:t xml:space="preserve"> les indications légitimes (toux sèche, encombrement bronchique) des indications abusives ou dangereuses (antitussifs sur toux productive).</w:t>
      </w:r>
    </w:p>
    <w:p>
      <w:pPr>
        <w:pStyle w:val="ListBullet"/>
      </w:pPr>
      <w:r/>
      <w:r>
        <w:rPr>
          <w:b/>
        </w:rPr>
        <w:t>Détecter</w:t>
      </w:r>
      <w:r>
        <w:t xml:space="preserve"> les signes d'alerte (toux persistante &gt; 3 semaines, hémoptysie, dyspnée, altération de l'état général) nécessitant une orientation médicale.</w:t>
      </w:r>
    </w:p>
    <w:p>
      <w:pPr>
        <w:pStyle w:val="ListBullet"/>
      </w:pPr>
      <w:r/>
      <w:r>
        <w:rPr>
          <w:b/>
        </w:rPr>
        <w:t>Counseling patient</w:t>
      </w:r>
      <w:r>
        <w:t xml:space="preserve"> : hydratation, durée limitée (5–7 jours), moment de prise (pendant les repas pour les mucolytiques), risque de sédation pour les antitussifs opioïdes.</w:t>
      </w:r>
    </w:p>
    <w:p>
      <w:pPr>
        <w:pStyle w:val="ListBullet"/>
      </w:pPr>
      <w:r/>
      <w:r>
        <w:rPr>
          <w:b/>
        </w:rPr>
        <w:t>Surveiller</w:t>
      </w:r>
      <w:r>
        <w:t xml:space="preserve"> les interactions médicamenteuses critiques : pholcodine + anesthésie générale prévue, dextrométhorphane + IMAO, NAC + nitroglycérine.</w:t>
      </w:r>
    </w:p>
    <w:p>
      <w:pPr>
        <w:pStyle w:val="Heading2"/>
      </w:pPr>
      <w:r>
        <w:t>2. Introduction à la sous-classe des mucolytiques — Dérivés thiols</w:t>
      </w:r>
    </w:p>
    <w:p>
      <w:r>
        <w:t xml:space="preserve">Les </w:t>
      </w:r>
      <w:r>
        <w:rPr>
          <w:b/>
        </w:rPr>
        <w:t>mucolytiques thiols</w:t>
      </w:r>
      <w:r>
        <w:t xml:space="preserve"> sont des composés chimiques porteurs d'un </w:t>
      </w:r>
      <w:r>
        <w:rPr>
          <w:b/>
        </w:rPr>
        <w:t>groupement thiol libre (-SH)</w:t>
      </w:r>
      <w:r>
        <w:t xml:space="preserve"> (ou réducteur), capable de </w:t>
      </w:r>
      <w:r>
        <w:rPr>
          <w:b/>
        </w:rPr>
        <w:t>casser les ponts disulfure (S-S)</w:t>
      </w:r>
      <w:r>
        <w:t xml:space="preserve"> intra- et inter-moléculaires des mucines haut polymères (MUC5AC, MUC5B), responsables de la </w:t>
      </w:r>
      <w:r>
        <w:rPr>
          <w:b/>
        </w:rPr>
        <w:t>viscoélasticité</w:t>
      </w:r>
      <w:r>
        <w:t xml:space="preserve"> du mucus bronchique. Cette coupure réductrice entraîne une dépolymérisation des mucines, une réduction de la viscosité du mucus, et facilite son expectoration.</w:t>
      </w:r>
    </w:p>
    <w:p>
      <w:pPr>
        <w:pStyle w:val="Heading3"/>
      </w:pPr>
      <w:r>
        <w:t>Chimie et historique</w:t>
      </w:r>
    </w:p>
    <w:p>
      <w:pPr>
        <w:pStyle w:val="ListBullet"/>
      </w:pPr>
      <w:r/>
      <w:r>
        <w:rPr>
          <w:b/>
        </w:rPr>
        <w:t>N-acétylcystéine (NAC)</w:t>
      </w:r>
      <w:r>
        <w:t xml:space="preserve"> : dérivée de la L-cystéine (acide aminé soufré naturel), dont le groupement amine est acétylé pour réduire la toxicité et améliorer la biodisponibilité. Sa formule chimique est C₅H₉NO₃S (M = 163,2 g/mol). Elle a été développée dès les années 1950 par le groupe Zambon (Italie), sous le nom de *Fluimucil*™, et commercialisée dès 1966. En plus de son activité mucolytique, la NAC est utilisée comme </w:t>
      </w:r>
      <w:r>
        <w:rPr>
          <w:b/>
        </w:rPr>
        <w:t>antidote</w:t>
      </w:r>
      <w:r>
        <w:t xml:space="preserve"> de l'intoxication au </w:t>
      </w:r>
      <w:r>
        <w:rPr>
          <w:b/>
        </w:rPr>
        <w:t>paracétamol</w:t>
      </w:r>
      <w:r>
        <w:t xml:space="preserve"> (à fortes doses IV : 150 mg/kg puis 50 mg/kg puis 100 mg/kg, en perfusion sur 1 h + 4 h + 16 h) en restaurant les réserves hépatiques de glutathion, détoxifiant de la NAPQI (métabolite toxique du paracétamol).</w:t>
      </w:r>
    </w:p>
    <w:p>
      <w:pPr>
        <w:pStyle w:val="ListBullet"/>
      </w:pPr>
      <w:r/>
      <w:r>
        <w:rPr>
          <w:b/>
        </w:rPr>
        <w:t>Carbocistéine</w:t>
      </w:r>
      <w:r>
        <w:t xml:space="preserve"> (S-carboxyméthyl-L-cystéine) : formule C₅H₉NO₄S (M = 179,2 g/mol). Son groupement thiol est engagé dans une </w:t>
      </w:r>
      <w:r>
        <w:rPr>
          <w:b/>
        </w:rPr>
        <w:t>liaison thioéther</w:t>
      </w:r>
      <w:r>
        <w:t xml:space="preserve"> (S-CH₂-COOH), ce qui en fait un </w:t>
      </w:r>
      <w:r>
        <w:rPr>
          <w:b/>
        </w:rPr>
        <w:t>précurseur</w:t>
      </w:r>
      <w:r>
        <w:t xml:space="preserve"> libérant progressivement la cystéine libre dans l'organisme (et donc in vivo, elle a un mécanisme indirect de clivage des ponts disulfure). Elle présente l'avantage d'être </w:t>
      </w:r>
      <w:r>
        <w:rPr>
          <w:b/>
        </w:rPr>
        <w:t>mieux tolérée sur le plan digestif</w:t>
      </w:r>
      <w:r>
        <w:t xml:space="preserve"> que la NAC (moins de nausées, moins de reflux), et d'avoir une activité complémentaire sur la </w:t>
      </w:r>
      <w:r>
        <w:rPr>
          <w:b/>
        </w:rPr>
        <w:t>régulation de la sécrétion des cellules calciformes</w:t>
      </w:r>
      <w:r>
        <w:t xml:space="preserve"> (réduction de la production de mucines acides au profit des glycoprotéines neutres fluides).</w:t>
      </w:r>
    </w:p>
    <w:p>
      <w:pPr>
        <w:pStyle w:val="Heading3"/>
      </w:pPr>
      <w:r>
        <w:t>Pharmacocinétique</w:t>
      </w:r>
    </w:p>
    <w:p>
      <w:pPr>
        <w:pStyle w:val="ListBullet"/>
      </w:pPr>
      <w:r/>
      <w:r>
        <w:rPr>
          <w:b/>
        </w:rPr>
        <w:t>NAC par voie orale</w:t>
      </w:r>
      <w:r>
        <w:t xml:space="preserve"> : biodisponibilité faible (10–30 % en raison d'un effet de premier passage hépatique important), T_max 1–2 heures, métabolisme hépatique en cystéine libre puis en glutathion. Demi-vie d'élimination 5,6 heures. Élimination rénale sous forme de métabolites inorganiques sulfurés. La NAC inhalée (aérosol) agit localement avec une absorption systémique minime.</w:t>
      </w:r>
    </w:p>
    <w:p>
      <w:pPr>
        <w:pStyle w:val="ListBullet"/>
      </w:pPr>
      <w:r/>
      <w:r>
        <w:rPr>
          <w:b/>
        </w:rPr>
        <w:t>Carbocistéine par voie orale</w:t>
      </w:r>
      <w:r>
        <w:t xml:space="preserve"> : biodisponibilité supérieure (60–80 %), T_max 1,5 heure, métabolisme hépatique en S-carboxyméthylcystéine libre et dérivés conjugués, demi-vie 1,5 heure. Élimination rénale majeure (formes inchangue et conjuguées).</w:t>
      </w:r>
    </w:p>
    <w:p>
      <w:pPr>
        <w:pStyle w:val="Heading3"/>
      </w:pPr>
      <w:r>
        <w:t>Profil de tolérance</w:t>
      </w:r>
    </w:p>
    <w:p>
      <w:pPr>
        <w:pStyle w:val="ListBullet"/>
      </w:pPr>
      <w:r/>
      <w:r>
        <w:rPr>
          <w:b/>
        </w:rPr>
        <w:t>NAC</w:t>
      </w:r>
      <w:r>
        <w:t xml:space="preserve"> : tolérance digestive correcte (nausées, vomissements, diarrhée occasionnels), risque de </w:t>
      </w:r>
      <w:r>
        <w:rPr>
          <w:b/>
        </w:rPr>
        <w:t>bronchospasme</w:t>
      </w:r>
      <w:r>
        <w:t xml:space="preserve"> en cas d'administration inhalée chez l'asthmatique (préparation acide pH 2–3, irritante pour les voies aériennes). Allergie (urticaire, rash) rare. Réaction anaphylactique possible en cas d'administration IV rapide (à diluer et perfuser sur 1 heure pour l'indication antidote paracétamol).</w:t>
      </w:r>
    </w:p>
    <w:p>
      <w:pPr>
        <w:pStyle w:val="ListBullet"/>
      </w:pPr>
      <w:r/>
      <w:r>
        <w:rPr>
          <w:b/>
        </w:rPr>
        <w:t>Carbocistéine</w:t>
      </w:r>
      <w:r>
        <w:t xml:space="preserve"> : excellente tolérance digestive. Allergie exceptionnelle.</w:t>
      </w:r>
    </w:p>
    <w:p>
      <w:pPr>
        <w:pStyle w:val="Heading3"/>
      </w:pPr>
      <w:r>
        <w:t>Efficacité clinique</w:t>
      </w:r>
    </w:p>
    <w:p>
      <w:pPr>
        <w:pStyle w:val="ListBullet"/>
      </w:pPr>
      <w:r>
        <w:t xml:space="preserve">Étude </w:t>
      </w:r>
      <w:r>
        <w:rPr>
          <w:b/>
        </w:rPr>
        <w:t>BRONCUS</w:t>
      </w:r>
      <w:r>
        <w:t xml:space="preserve"> (Decramer et al., NEJM 2005) : NAC 600 mg/jour pendant 3 ans dans la BPCO modérée à sévère — absence de réduction significative du déclin du VEMS, mais réduction des exacerbations dans le sous-groupe des patients sans traitement par CSI (effet « anti-oxydant » additif).</w:t>
      </w:r>
    </w:p>
    <w:p>
      <w:pPr>
        <w:pStyle w:val="ListBullet"/>
      </w:pPr>
      <w:r>
        <w:t xml:space="preserve">Étude </w:t>
      </w:r>
      <w:r>
        <w:rPr>
          <w:b/>
        </w:rPr>
        <w:t>PEACE</w:t>
      </w:r>
      <w:r>
        <w:t xml:space="preserve"> (Zheng et al., Lancet 2008) : carbocistéine 1500 mg/jour pendant 1 an dans la BPCO chinoise — réduction de 24,5 % du risque d'exacerbation annuelle (1,01 vs 1,35 exacerbation/patient/an, p = 0,004).</w:t>
      </w:r>
    </w:p>
    <w:p>
      <w:pPr>
        <w:pStyle w:val="Heading3"/>
      </w:pPr>
      <w:r>
        <w:t>Place dans la stratégie</w:t>
      </w:r>
    </w:p>
    <w:p>
      <w:pPr>
        <w:pStyle w:val="ListBullet"/>
      </w:pPr>
      <w:r/>
      <w:r>
        <w:rPr>
          <w:b/>
        </w:rPr>
        <w:t>Bronchite aiguë</w:t>
      </w:r>
      <w:r>
        <w:t xml:space="preserve"> : traitement symptomatique court (5–7 jours), efficacité modeste mais utile en cas d'encombrement bronchique marqué.</w:t>
      </w:r>
    </w:p>
    <w:p>
      <w:pPr>
        <w:pStyle w:val="ListBullet"/>
      </w:pPr>
      <w:r/>
      <w:r>
        <w:rPr>
          <w:b/>
        </w:rPr>
        <w:t>BPCO avec encombrement</w:t>
      </w:r>
      <w:r>
        <w:t xml:space="preserve"> : traitement de fond additif chez les patients à exacerbations fréquentes.</w:t>
      </w:r>
    </w:p>
    <w:p>
      <w:pPr>
        <w:pStyle w:val="ListBullet"/>
      </w:pPr>
      <w:r/>
      <w:r>
        <w:rPr>
          <w:b/>
        </w:rPr>
        <w:t>Dilatation des bronches</w:t>
      </w:r>
      <w:r>
        <w:t xml:space="preserve"> : traitement adjuvant de la kinésithérapie respiratoire.</w:t>
      </w:r>
    </w:p>
    <w:p>
      <w:pPr>
        <w:pStyle w:val="ListBullet"/>
      </w:pPr>
      <w:r/>
      <w:r>
        <w:rPr>
          <w:b/>
        </w:rPr>
        <w:t>Mucoviscidose</w:t>
      </w:r>
      <w:r>
        <w:t xml:space="preserve"> : moins utilisé que la dornase alpha (Pulmozyme™), la NAC peut être proposée en alternative ou en association.</w:t>
      </w:r>
    </w:p>
    <w:p>
      <w:pPr>
        <w:pStyle w:val="Heading3"/>
      </w:pPr>
      <w:r>
        <w:t>Formes galéniques disponibles en Algérie</w:t>
      </w:r>
    </w:p>
    <w:p>
      <w:pPr>
        <w:pStyle w:val="ListBullet"/>
      </w:pPr>
      <w:r/>
      <w:r>
        <w:rPr>
          <w:b/>
        </w:rPr>
        <w:t>NAC</w:t>
      </w:r>
      <w:r>
        <w:t xml:space="preserve"> : granulés pour solution buvable en sachets-dose à 200 mg (formes actives : ACETYLCYSTEINE BGL, FLUIMICIL EXPECTORANT, SOLMUCOL 200) ; comprimés effervescents 200 mg (FLUIMEX) ; solution nasale associée à tuaminoheptane (RHINOFLUIMUCIL).</w:t>
      </w:r>
    </w:p>
    <w:p>
      <w:pPr>
        <w:pStyle w:val="ListBullet"/>
      </w:pPr>
      <w:r/>
      <w:r>
        <w:rPr>
          <w:b/>
        </w:rPr>
        <w:t>Carbocistéine</w:t>
      </w:r>
      <w:r>
        <w:t xml:space="preserve"> : gélules 375 mg (MUCOLAD), sirop 0,02 (enfant) et 0,05 (adulte) (RHINATHIOL SANS SUCRE ENFANTS ET NOURRISSONS, BRONCOCLAR, MUCICLAR, RHINASTINE, CARBATHIOL — selon statut Actif/Retiré).</w:t>
      </w:r>
    </w:p>
    <w:p>
      <w:pPr>
        <w:pStyle w:val="Heading2"/>
      </w:pPr>
      <w:r>
        <w:t>3. Fiches DCI — Dérivés thiols</w:t>
      </w:r>
    </w:p>
    <w:p>
      <w:pPr>
        <w:pStyle w:val="Heading3"/>
      </w:pPr>
      <w:r>
        <w:t>3.1. DCI : N-acétylcystéine (NAC) (Seule)</w:t>
      </w:r>
    </w:p>
    <w:p>
      <w:r/>
      <w:r>
        <w:rPr>
          <w:b/>
        </w:rPr>
        <w:t>Liste des Catégories :</w:t>
      </w:r>
      <w:r>
        <w:t xml:space="preserve"> Mucolytique, Antidote (intoxication au paracétamol), Fluidifiant bronchique, Antioxydant, Annexes ORL (forme nasale).</w:t>
      </w:r>
    </w:p>
    <w:p>
      <w:r>
        <w:t xml:space="preserve">La </w:t>
      </w:r>
      <w:r>
        <w:rPr>
          <w:b/>
        </w:rPr>
        <w:t>N-acétylcystéine (NAC)</w:t>
      </w:r>
      <w:r>
        <w:t xml:space="preserve"> est un mucolytique thiol historique dont le groupement -SH libre clive réductivement les ponts disulfure des mucines haut polymères ; elle est également utilisée comme antidote de l'intoxication au paracétamol en restaurant le glutathion hépatique, et possède des propriétés antioxydantes via son métabolisme en cystéine puis en glutathion. Sa biodisponibilité orale est faible (10–30 %) en raison d'un effet de premier passage hépatique important, mais le pic plasmatique est atteint en 1–2 heures.</w:t>
      </w:r>
    </w:p>
    <w:p>
      <w:r/>
      <w:r>
        <w:rPr>
          <w:b/>
        </w:rPr>
        <w:t>Médicaments disponibles en Algérie (Marques, Laboratoires, Formes et Dosages) :</w:t>
      </w:r>
      <w:r/>
    </w:p>
    <w:p>
      <w:pPr>
        <w:pStyle w:val="ListBullet"/>
      </w:pPr>
      <w:r/>
      <w:r>
        <w:rPr>
          <w:b/>
        </w:rPr>
        <w:t>ACETYLCYSTEINE BGL</w:t>
      </w:r>
      <w:r>
        <w:t xml:space="preserve"> (BIOGALENIC)</w:t>
      </w:r>
    </w:p>
    <w:p>
      <w:pPr>
        <w:pStyle w:val="ListBullet"/>
      </w:pPr>
      <w:r>
        <w:t>Formes et Dosages : Granulé pour solution buvable en sachets-dose, 200 mg/sachet — Boîte de 20 sachets</w:t>
      </w:r>
    </w:p>
    <w:p>
      <w:pPr>
        <w:pStyle w:val="ListBullet"/>
      </w:pPr>
      <w:r>
        <w:t>Statut : Actif</w:t>
      </w:r>
    </w:p>
    <w:p>
      <w:pPr>
        <w:pStyle w:val="ListBullet"/>
      </w:pPr>
      <w:r/>
      <w:r>
        <w:rPr>
          <w:b/>
        </w:rPr>
        <w:t>FLUIMICIL EXPECTORANT ACETYLCYSTEINE</w:t>
      </w:r>
      <w:r>
        <w:t xml:space="preserve"> (ZAMBON)</w:t>
      </w:r>
    </w:p>
    <w:p>
      <w:pPr>
        <w:pStyle w:val="ListBullet"/>
      </w:pPr>
      <w:r>
        <w:t>Formes et Dosages : Granulé pour solution buvable en sachets-dose, 200 mg/sachet — Boîte de 30 sachets [spécialité princeps, Zambon Italie]</w:t>
      </w:r>
    </w:p>
    <w:p>
      <w:pPr>
        <w:pStyle w:val="ListBullet"/>
      </w:pPr>
      <w:r>
        <w:t>Statut : Actif</w:t>
      </w:r>
    </w:p>
    <w:p>
      <w:pPr>
        <w:pStyle w:val="ListBullet"/>
      </w:pPr>
      <w:r/>
      <w:r>
        <w:rPr>
          <w:b/>
        </w:rPr>
        <w:t>SOLMUCOL 200</w:t>
      </w:r>
      <w:r>
        <w:t xml:space="preserve"> (PHARMA IVAL SPA)</w:t>
      </w:r>
    </w:p>
    <w:p>
      <w:pPr>
        <w:pStyle w:val="ListBullet"/>
      </w:pPr>
      <w:r>
        <w:t>Formes et Dosages : Granulé pour solution buvable en sachets-dose, 200 mg/sachet — Boîte de 20 sachets</w:t>
      </w:r>
    </w:p>
    <w:p>
      <w:pPr>
        <w:pStyle w:val="ListBullet"/>
      </w:pPr>
      <w:r>
        <w:t>Statut : Actif</w:t>
      </w:r>
    </w:p>
    <w:p>
      <w:pPr>
        <w:pStyle w:val="ListBullet"/>
      </w:pPr>
      <w:r/>
      <w:r>
        <w:rPr>
          <w:b/>
        </w:rPr>
        <w:t>FLUIMEX</w:t>
      </w:r>
      <w:r>
        <w:t xml:space="preserve"> (SARL API)</w:t>
      </w:r>
    </w:p>
    <w:p>
      <w:pPr>
        <w:pStyle w:val="ListBullet"/>
      </w:pPr>
      <w:r>
        <w:t>Formes et Dosages : Comprimé effervescent 200 mg — Boîte de 20 comprimés</w:t>
      </w:r>
    </w:p>
    <w:p>
      <w:pPr>
        <w:pStyle w:val="ListBullet"/>
      </w:pPr>
      <w:r>
        <w:t>Statut : Actif</w:t>
      </w:r>
    </w:p>
    <w:p>
      <w:pPr>
        <w:pStyle w:val="ListBullet"/>
      </w:pPr>
      <w:r/>
      <w:r>
        <w:rPr>
          <w:b/>
        </w:rPr>
        <w:t>RHINOFLUIMUCIL</w:t>
      </w:r>
      <w:r>
        <w:t xml:space="preserve"> (ZAMBON)</w:t>
      </w:r>
    </w:p>
    <w:p>
      <w:pPr>
        <w:pStyle w:val="ListBullet"/>
      </w:pPr>
      <w:r>
        <w:t>Formes et Dosages : Solution pour pulvérisation nasale — 100 mg NAC + 50 mg tuaminoheptane + 1,25 mg chlorure de benzalkonium / 10 mL — Flacon de 10 mL [association à un vasoconstricteur sympathomimétique α et à un conservateur]</w:t>
      </w:r>
    </w:p>
    <w:p>
      <w:pPr>
        <w:pStyle w:val="ListBullet"/>
      </w:pPr>
      <w:r>
        <w:t>Liste : Liste II</w:t>
      </w:r>
    </w:p>
    <w:p>
      <w:pPr>
        <w:pStyle w:val="ListBullet"/>
      </w:pPr>
      <w:r>
        <w:t>Statut : Actif</w:t>
      </w:r>
    </w:p>
    <w:p>
      <w:r/>
      <w:r>
        <w:rPr>
          <w:i/>
        </w:rPr>
        <w:t>Spécialités retirées (R) :</w:t>
      </w:r>
      <w:r/>
    </w:p>
    <w:p>
      <w:pPr>
        <w:pStyle w:val="ListBullet"/>
      </w:pPr>
      <w:r/>
      <w:r>
        <w:rPr>
          <w:b/>
        </w:rPr>
        <w:t>MUCOXINE</w:t>
      </w:r>
      <w:r>
        <w:t xml:space="preserve"> (CINFA SA) — Poudre pour solution buvable en sachet-dose 200 mg/sachet — Boîte de 20 sachets — Statut : Retiré (R)</w:t>
      </w:r>
    </w:p>
    <w:p>
      <w:pPr>
        <w:pStyle w:val="ListBullet"/>
      </w:pPr>
      <w:r/>
      <w:r>
        <w:rPr>
          <w:b/>
        </w:rPr>
        <w:t>EXOMUC</w:t>
      </w:r>
      <w:r>
        <w:t xml:space="preserve"> (BOUCHARA-RECORDATI) — Granulés pour solution buvable 200 mg — Boîte de 30 sachets — Statut : Retiré (R)</w:t>
      </w:r>
    </w:p>
    <w:p>
      <w:r/>
      <w:r>
        <w:rPr>
          <w:b/>
        </w:rPr>
        <w:t>Sous-classe et Mécanisme d'action :</w:t>
      </w:r>
      <w:r/>
    </w:p>
    <w:p>
      <w:pPr>
        <w:pStyle w:val="ListBullet"/>
      </w:pPr>
      <w:r/>
      <w:r>
        <w:rPr>
          <w:b/>
        </w:rPr>
        <w:t>Sous-classe</w:t>
      </w:r>
      <w:r>
        <w:t xml:space="preserve"> : Mucolytique de la famille des </w:t>
      </w:r>
      <w:r>
        <w:rPr>
          <w:b/>
        </w:rPr>
        <w:t>dérivés thiols</w:t>
      </w:r>
      <w:r>
        <w:t>, dérivé N-acétylé de la L-cystéine (acide aminé soufré). Représentant historique et princeps de la classe depuis 1966 (Zambon — *Fluimucil*™).</w:t>
      </w:r>
    </w:p>
    <w:p>
      <w:pPr>
        <w:pStyle w:val="ListBullet"/>
      </w:pPr>
      <w:r/>
      <w:r>
        <w:rPr>
          <w:b/>
        </w:rPr>
        <w:t>Mécanisme d'action</w:t>
      </w:r>
      <w:r>
        <w:t xml:space="preserve"> : la NAC possède un </w:t>
      </w:r>
      <w:r>
        <w:rPr>
          <w:b/>
        </w:rPr>
        <w:t>groupement thiol libre (-SH)</w:t>
      </w:r>
      <w:r>
        <w:t xml:space="preserve"> capable de </w:t>
      </w:r>
      <w:r>
        <w:rPr>
          <w:b/>
        </w:rPr>
        <w:t>cliver réductivement les ponts disulfure (S-S)</w:t>
      </w:r>
      <w:r>
        <w:t xml:space="preserve"> intra- et inter-moléculaires des mucines haut polymères (en particulier MUC5AC et MUC5B). Cette coupure entraîne une </w:t>
      </w:r>
      <w:r>
        <w:rPr>
          <w:b/>
        </w:rPr>
        <w:t>dépolymérisation</w:t>
      </w:r>
      <w:r>
        <w:t xml:space="preserve"> des mucines, une réduction de la </w:t>
      </w:r>
      <w:r>
        <w:rPr>
          <w:b/>
        </w:rPr>
        <w:t>viscoélasticité</w:t>
      </w:r>
      <w:r>
        <w:t xml:space="preserve"> et de la </w:t>
      </w:r>
      <w:r>
        <w:rPr>
          <w:b/>
        </w:rPr>
        <w:t>viscosité</w:t>
      </w:r>
      <w:r>
        <w:t xml:space="preserve"> du mucus, et facilite son </w:t>
      </w:r>
      <w:r>
        <w:rPr>
          <w:b/>
        </w:rPr>
        <w:t>évacuation</w:t>
      </w:r>
      <w:r>
        <w:t xml:space="preserve"> par l'ascenseur mucociliaire. La NAC agit également comme </w:t>
      </w:r>
      <w:r>
        <w:rPr>
          <w:b/>
        </w:rPr>
        <w:t>précurseur du glutathion</w:t>
      </w:r>
      <w:r>
        <w:t xml:space="preserve"> (GSH) — le principal antioxydant intracellulaire — en libérant de la cystéine libre, acide aminé limitant dans la synthèse du GSH (γ-glutamyl-cystéine synthase étant l'enzyme limitante). Cette propriété antioxydante explique en partie son effet bénéfique dans la BPCO (réduction du stress oxydatif tabagique) et son rôle d'</w:t>
      </w:r>
      <w:r>
        <w:rPr>
          <w:b/>
        </w:rPr>
        <w:t>antidote de l'intoxication au paracétamol</w:t>
      </w:r>
      <w:r>
        <w:t xml:space="preserve"> (le GSH hépatique détoxifie la NAPQI, métabolite toxique du paracétamol). À fortes doses IV (150 mg/kg → 50 mg/kg → 100 mg/kg), la NAC restaure les stocks hépatiques de GSH et prévient l'hépatite fulminante paracétamol.</w:t>
      </w:r>
    </w:p>
    <w:p>
      <w:r/>
      <w:r>
        <w:rPr>
          <w:b/>
        </w:rPr>
        <w:t>Profil Pharmacologique :</w:t>
      </w:r>
      <w:r/>
    </w:p>
    <w:p>
      <w:pPr>
        <w:pStyle w:val="ListBullet"/>
      </w:pPr>
      <w:r/>
      <w:r>
        <w:rPr>
          <w:b/>
        </w:rPr>
        <w:t>Indications</w:t>
      </w:r>
      <w:r>
        <w:t xml:space="preserve"> :</w:t>
      </w:r>
    </w:p>
    <w:p>
      <w:pPr>
        <w:pStyle w:val="ListBullet"/>
      </w:pPr>
      <w:r>
        <w:t>*Indication AMM principale* : encombrement bronchique et troubles de l'expectoration (bronchite aiguë, surinfection de BPCO, dilatation des bronches, mucoviscidose).</w:t>
      </w:r>
    </w:p>
    <w:p>
      <w:pPr>
        <w:pStyle w:val="ListBullet"/>
      </w:pPr>
      <w:r>
        <w:t>*Indication antidote* : intoxication aiguë au paracétamol (à fortes doses IV — *Fluimucil* IV 10 %, 3000 mg/30 mL ampoule, NON commercialisé en Algérie dans cette forme IV ; la NAC IV est disponible via le circuit des antidotes de pharmacie hospitalière).</w:t>
      </w:r>
    </w:p>
    <w:p>
      <w:pPr>
        <w:pStyle w:val="ListBullet"/>
      </w:pPr>
      <w:r>
        <w:t>*Indication ORL* : encombrement nasal (RHINOFLUIMUCIL — NAC + tuaminoheptane vasoconstricteur, indication rhinite et sinusite congestive).</w:t>
      </w:r>
    </w:p>
    <w:p>
      <w:pPr>
        <w:pStyle w:val="ListBullet"/>
      </w:pPr>
      <w:r>
        <w:t>*Indication préventive* : prévention des exacerbations de BPCO (NAC 600 mg/jour au long cours — recommandation GOLD 2024 optionnelle chez les patients non contrôlés par les bronchodilatateurs).</w:t>
      </w:r>
    </w:p>
    <w:p>
      <w:pPr>
        <w:pStyle w:val="ListBullet"/>
      </w:pPr>
      <w:r>
        <w:t>*Indication nephrotoxicité contraste* : prévention de la néphropathie au contraste iodé chez les patients insuffisants rénaux (protocoles avec NAC IV pré-procédures radiologiques,non disponible en routine en Algérie).</w:t>
      </w:r>
    </w:p>
    <w:p>
      <w:pPr>
        <w:pStyle w:val="ListBullet"/>
      </w:pPr>
      <w:r/>
      <w:r>
        <w:rPr>
          <w:b/>
        </w:rPr>
        <w:t>Contre-indications</w:t>
      </w:r>
      <w:r>
        <w:t xml:space="preserve"> :</w:t>
      </w:r>
    </w:p>
    <w:p>
      <w:pPr>
        <w:pStyle w:val="ListBullet"/>
      </w:pPr>
      <w:r>
        <w:t>Hypersensibilité à la NAC ou à l'un des excipients.</w:t>
      </w:r>
    </w:p>
    <w:p>
      <w:pPr>
        <w:pStyle w:val="ListBullet"/>
      </w:pPr>
      <w:r/>
      <w:r>
        <w:rPr>
          <w:b/>
        </w:rPr>
        <w:t>Ulcère gastro-duodénal en poussée</w:t>
      </w:r>
      <w:r>
        <w:t xml:space="preserve"> (en raison de la tolérance digestive et du risque d'irritation gastrique).</w:t>
      </w:r>
    </w:p>
    <w:p>
      <w:pPr>
        <w:pStyle w:val="ListBullet"/>
      </w:pPr>
      <w:r/>
      <w:r>
        <w:rPr>
          <w:b/>
        </w:rPr>
        <w:t>Phénylcétonurie</w:t>
      </w:r>
      <w:r>
        <w:t xml:space="preserve"> (si la forme contient de l'aspartam — vérifier la composition de chaque spécialité).</w:t>
      </w:r>
    </w:p>
    <w:p>
      <w:pPr>
        <w:pStyle w:val="ListBullet"/>
      </w:pPr>
      <w:r/>
      <w:r>
        <w:rPr>
          <w:b/>
        </w:rPr>
        <w:t>Prématurés et nourrissons &lt; 2 ans</w:t>
      </w:r>
      <w:r>
        <w:t xml:space="preserve"> (forme inhalée : CI en raison du risque de bronchospasme).</w:t>
      </w:r>
    </w:p>
    <w:p>
      <w:pPr>
        <w:pStyle w:val="ListBullet"/>
      </w:pPr>
      <w:r/>
      <w:r>
        <w:rPr>
          <w:b/>
        </w:rPr>
        <w:t>Asthme non contrôlé</w:t>
      </w:r>
      <w:r>
        <w:t xml:space="preserve"> (forme inhalée : risque de bronchospasme réflexe — préférer la forme orale).</w:t>
      </w:r>
    </w:p>
    <w:p>
      <w:pPr>
        <w:pStyle w:val="ListBullet"/>
      </w:pPr>
      <w:r>
        <w:t>*RHINOFLUIMUCIL nasal* : insuffisance coronaire sévère, hypertension artérielle sévère non contrôlée, hyperthyroïdie non traitée, hypertrophie prostatique, glaucome à angle fermé (en raison du tuaminoheptane sympathomimétique α).</w:t>
      </w:r>
    </w:p>
    <w:p>
      <w:pPr>
        <w:pStyle w:val="ListBullet"/>
      </w:pPr>
      <w:r/>
      <w:r>
        <w:rPr>
          <w:b/>
        </w:rPr>
        <w:t>Effets Indésirables</w:t>
      </w:r>
      <w:r>
        <w:t xml:space="preserve"> :</w:t>
      </w:r>
    </w:p>
    <w:p>
      <w:pPr>
        <w:pStyle w:val="ListBullet"/>
      </w:pPr>
      <w:r>
        <w:t>*Digestifs* (fréquents, 5–15 %) : nausées, vomissements, diarrhée, douleurs épigastriques, ballonnements (en relation avec le caractère acide de la NAC — pH 2–3 en solution).</w:t>
      </w:r>
    </w:p>
    <w:p>
      <w:pPr>
        <w:pStyle w:val="ListBullet"/>
      </w:pPr>
      <w:r>
        <w:t xml:space="preserve">*Respiratoires* (peu fréquents mais critiques) : </w:t>
      </w:r>
      <w:r>
        <w:rPr>
          <w:b/>
        </w:rPr>
        <w:t>bronchospasme</w:t>
      </w:r>
      <w:r>
        <w:t xml:space="preserve"> (surtout en cas d'administration inhalée chez l'asthmatique), irritation pharyngée.</w:t>
      </w:r>
    </w:p>
    <w:p>
      <w:pPr>
        <w:pStyle w:val="ListBullet"/>
      </w:pPr>
      <w:r>
        <w:t>*Cutanés* (rares) : rash, urticaire, prurit ; anaphylaxie exceptionnelle (surtout en administration IV rapide pour l'antidote paracétamol — d'où l'obligation de perfuser lentement).</w:t>
      </w:r>
    </w:p>
    <w:p>
      <w:pPr>
        <w:pStyle w:val="ListBullet"/>
      </w:pPr>
      <w:r>
        <w:t>*Neurologiques* (peu fréquents) : céphalées, somnolence.</w:t>
      </w:r>
    </w:p>
    <w:p>
      <w:pPr>
        <w:pStyle w:val="ListBullet"/>
      </w:pPr>
      <w:r>
        <w:t>*Stomatologie* : stomatite aphteuse au traitement prolongé.</w:t>
      </w:r>
    </w:p>
    <w:p>
      <w:r/>
      <w:r>
        <w:rPr>
          <w:b/>
        </w:rPr>
        <w:t>Prévention et Gestion des Effets Indésirables :</w:t>
      </w:r>
      <w:r/>
    </w:p>
    <w:p>
      <w:pPr>
        <w:pStyle w:val="ListBullet"/>
      </w:pPr>
      <w:r/>
      <w:r>
        <w:rPr>
          <w:b/>
        </w:rPr>
        <w:t>Mesures Préventives</w:t>
      </w:r>
      <w:r>
        <w:t xml:space="preserve"> :</w:t>
      </w:r>
    </w:p>
    <w:p>
      <w:pPr>
        <w:pStyle w:val="ListBullet"/>
      </w:pPr>
      <w:r>
        <w:t xml:space="preserve">Administrer la NAC </w:t>
      </w:r>
      <w:r>
        <w:rPr>
          <w:b/>
        </w:rPr>
        <w:t>pendant les repas</w:t>
      </w:r>
      <w:r>
        <w:t xml:space="preserve"> pour limiter la tolérance digestive (nausées, reflux).</w:t>
      </w:r>
    </w:p>
    <w:p>
      <w:pPr>
        <w:pStyle w:val="ListBullet"/>
      </w:pPr>
      <w:r/>
      <w:r>
        <w:rPr>
          <w:b/>
        </w:rPr>
        <w:t>Hydratation abondante</w:t>
      </w:r>
      <w:r>
        <w:t xml:space="preserve"> concomitante (1,5–2 L/jour) pour potentialiser l'effet fluidifiant.</w:t>
      </w:r>
    </w:p>
    <w:p>
      <w:pPr>
        <w:pStyle w:val="ListBullet"/>
      </w:pPr>
      <w:r/>
      <w:r>
        <w:rPr>
          <w:b/>
        </w:rPr>
        <w:t>Réserver la forme inhalée</w:t>
      </w:r>
      <w:r>
        <w:t xml:space="preserve"> à l'usage hospitalier (service de pneumologie), avec surveillance pendant et après la nébulisation (auscultation, débit expiratoire de pointe avant/après) ; utiliser un </w:t>
      </w:r>
      <w:r>
        <w:rPr>
          <w:b/>
        </w:rPr>
        <w:t>bronchodilatateur β2-mimétique</w:t>
      </w:r>
      <w:r>
        <w:t xml:space="preserve"> (salbutamol nébulisation) 10 minutes avant la NAC inhalée chez l'asthmatique ou l'hyper-réactif.</w:t>
      </w:r>
    </w:p>
    <w:p>
      <w:pPr>
        <w:pStyle w:val="ListBullet"/>
      </w:pPr>
      <w:r>
        <w:t>Vérifier l'absence d'allaitement maternel chez la femme qui allaite (passage dans le lait maternel non documenté ; préférer l'abstention).</w:t>
      </w:r>
    </w:p>
    <w:p>
      <w:pPr>
        <w:pStyle w:val="ListBullet"/>
      </w:pPr>
      <w:r>
        <w:t xml:space="preserve">Respecter une </w:t>
      </w:r>
      <w:r>
        <w:rPr>
          <w:b/>
        </w:rPr>
        <w:t>durée maximale de 5–7 jours</w:t>
      </w:r>
      <w:r>
        <w:t xml:space="preserve"> sans avis médical ; consulter en cas de toux ou d'expectoration persistante au-delà.</w:t>
      </w:r>
    </w:p>
    <w:p>
      <w:pPr>
        <w:pStyle w:val="ListBullet"/>
      </w:pPr>
      <w:r/>
      <w:r>
        <w:rPr>
          <w:b/>
        </w:rPr>
        <w:t>Conduite à Tenir</w:t>
      </w:r>
      <w:r>
        <w:t xml:space="preserve"> :</w:t>
      </w:r>
    </w:p>
    <w:p>
      <w:pPr>
        <w:pStyle w:val="ListBullet"/>
      </w:pPr>
      <w:r>
        <w:t xml:space="preserve">*En cas de bronchospasme sous NAC inhalée* : </w:t>
      </w:r>
      <w:r>
        <w:rPr>
          <w:b/>
        </w:rPr>
        <w:t>arrêt immédiat</w:t>
      </w:r>
      <w:r>
        <w:t xml:space="preserve"> de la nébulisation, administration de salbutamol inhalé (Ventoline™ 100 µg, 2 bouffées), surveillance SpO₂, orientation vers les urgences si dyspnée persistante.</w:t>
      </w:r>
    </w:p>
    <w:p>
      <w:pPr>
        <w:pStyle w:val="ListBullet"/>
      </w:pPr>
      <w:r>
        <w:t>*En cas de nausées/vomissements sévères* : réduire la dose, fractionner les prises, envisager le passage à la carbocistéine (mieux tolérée sur le plan digestif).</w:t>
      </w:r>
    </w:p>
    <w:p>
      <w:pPr>
        <w:pStyle w:val="ListBullet"/>
      </w:pPr>
      <w:r>
        <w:t>*En cas de rash ou d'urticaire* : arrêt, antihistaminique oral (cétirizine 10 mg), consulter si aggravation.</w:t>
      </w:r>
    </w:p>
    <w:p>
      <w:pPr>
        <w:pStyle w:val="ListBullet"/>
      </w:pPr>
      <w:r>
        <w:t>*En cas de toux persistante &gt; 2 semaines sous NAC* : arrêt et consultation médicale systématique (recherche d'une cause sous-jacente : asthme, RGO, néoplasie).</w:t>
      </w:r>
    </w:p>
    <w:p>
      <w:r/>
      <w:r>
        <w:rPr>
          <w:b/>
        </w:rPr>
        <w:t>Interactions Importantes :</w:t>
      </w:r>
      <w:r/>
    </w:p>
    <w:p>
      <w:pPr>
        <w:pStyle w:val="ListBullet"/>
      </w:pPr>
      <w:r/>
      <w:r>
        <w:rPr>
          <w:b/>
        </w:rPr>
        <w:t>NAC + nitroglycérine</w:t>
      </w:r>
      <w:r>
        <w:t xml:space="preserve"> : potentialisation de l'effet vasodilatateur de la nitroglycérine (baisse tensionnelle importante, céphalées sévères, tachycardie réflexe) — surveillance clinique rapprochée, baisse posologique de la nitroglycérine si nécessaire. Mécanisme : potentialisation via le métabolisme du monoxyde d'azote (NO) et des groupes thiols.</w:t>
      </w:r>
    </w:p>
    <w:p>
      <w:pPr>
        <w:pStyle w:val="ListBullet"/>
      </w:pPr>
      <w:r/>
      <w:r>
        <w:rPr>
          <w:b/>
        </w:rPr>
        <w:t>NAC + antibiotiques</w:t>
      </w:r>
      <w:r>
        <w:t xml:space="preserve"> (pénicillines, céphalosporines, aminosides, tétracyclines) : inactivation réciproque si administration </w:t>
      </w:r>
      <w:r>
        <w:rPr>
          <w:b/>
        </w:rPr>
        <w:t>simultanée</w:t>
      </w:r>
      <w:r>
        <w:t xml:space="preserve"> (la NAC réduit les antibiotiques β-lactamines et aminosides — liaison thiol-disulfure) — espacer les prises d'au moins </w:t>
      </w:r>
      <w:r>
        <w:rPr>
          <w:b/>
        </w:rPr>
        <w:t>2 heures</w:t>
      </w:r>
      <w:r>
        <w:t xml:space="preserve"> (notamment pour les formes orales). Pas d'interaction significative en administration séquentielle décalée.</w:t>
      </w:r>
    </w:p>
    <w:p>
      <w:pPr>
        <w:pStyle w:val="ListBullet"/>
      </w:pPr>
      <w:r/>
      <w:r>
        <w:rPr>
          <w:b/>
        </w:rPr>
        <w:t>NAC + charbon activé</w:t>
      </w:r>
      <w:r>
        <w:t xml:space="preserve"> : le charbon adsorbe la NAC — à éviter en association (notamment en cas d'antidote paracétamol, le charbon activé administré en première intention doit l'être au moins 1 heure avant la NAC).</w:t>
      </w:r>
    </w:p>
    <w:p>
      <w:pPr>
        <w:pStyle w:val="ListBullet"/>
      </w:pPr>
      <w:r/>
      <w:r>
        <w:rPr>
          <w:b/>
        </w:rPr>
        <w:t>NAC + fer / cuivre / métaux lourds</w:t>
      </w:r>
      <w:r>
        <w:t xml:space="preserve"> : chélation — espacer les prises.</w:t>
      </w:r>
    </w:p>
    <w:p>
      <w:pPr>
        <w:pStyle w:val="ListBullet"/>
      </w:pPr>
      <w:r/>
      <w:r>
        <w:rPr>
          <w:b/>
        </w:rPr>
        <w:t>NAC + antitussifs</w:t>
      </w:r>
      <w:r>
        <w:t xml:space="preserve"> : effet </w:t>
      </w:r>
      <w:r>
        <w:rPr>
          <w:b/>
        </w:rPr>
        <w:t>contradictoire</w:t>
      </w:r>
      <w:r>
        <w:t xml:space="preserve"> — la NAC fluidifie le mucus et facilite l'expectoration (toux productive), tandis que les antitussifs bloquent le réflexe de toux ; l'association est illogique et déconseillée (risque d'encombrement bronchique).</w:t>
      </w:r>
    </w:p>
    <w:p>
      <w:pPr>
        <w:pStyle w:val="ListBullet"/>
      </w:pPr>
      <w:r/>
      <w:r>
        <w:rPr>
          <w:b/>
        </w:rPr>
        <w:t>RHINOFLUIMUCIL + IMAO non sélectifs</w:t>
      </w:r>
      <w:r>
        <w:t xml:space="preserve"> (en raison du tuaminoheptane) : </w:t>
      </w:r>
      <w:r>
        <w:rPr>
          <w:b/>
        </w:rPr>
        <w:t>crise hypertensive</w:t>
      </w:r>
      <w:r>
        <w:t xml:space="preserve"> — CI absolue (règle des 14 jours de wash-out).</w:t>
      </w:r>
    </w:p>
    <w:p>
      <w:r/>
      <w:r>
        <w:rPr>
          <w:b/>
        </w:rPr>
        <w:t>Grossesse et Allaitement :</w:t>
      </w:r>
      <w:r/>
    </w:p>
    <w:p>
      <w:pPr>
        <w:pStyle w:val="ListBullet"/>
      </w:pPr>
      <w:r/>
      <w:r>
        <w:rPr>
          <w:b/>
        </w:rPr>
        <w:t>Grossesse</w:t>
      </w:r>
      <w:r>
        <w:t xml:space="preserve"> : selon le CRAT (Centre Renseignements sur les Agents Tératogènes) — les données disponibles (études animales et suivi des femmes enceintes exposées) </w:t>
      </w:r>
      <w:r>
        <w:rPr>
          <w:b/>
        </w:rPr>
        <w:t>ne révèlent pas d'effet malformatif ou fœtotoxique</w:t>
      </w:r>
      <w:r>
        <w:t xml:space="preserve"> de la NAC. Le passage transplacentaire est minime. La NAC est considérée </w:t>
      </w:r>
      <w:r>
        <w:rPr>
          <w:b/>
        </w:rPr>
        <w:t>compatible avec la grossesse</w:t>
      </w:r>
      <w:r>
        <w:t xml:space="preserve"> quel que soit le terme, en cas de nécessité clinique (paracétamol en surdosage, encombrement bronchique sévère). À privilégier en cas d'indication formelle, avec traitement court (5–7 jours).</w:t>
      </w:r>
    </w:p>
    <w:p>
      <w:pPr>
        <w:pStyle w:val="ListBullet"/>
      </w:pPr>
      <w:r/>
      <w:r>
        <w:rPr>
          <w:b/>
        </w:rPr>
        <w:t>Allaitement</w:t>
      </w:r>
      <w:r>
        <w:t xml:space="preserve"> : selon LactMed (NIH) — la NAC passe faiblement dans le lait maternel ; son utilisation est considérée </w:t>
      </w:r>
      <w:r>
        <w:rPr>
          <w:b/>
        </w:rPr>
        <w:t>compatible avec l'allaitement</w:t>
      </w:r>
      <w:r>
        <w:t>. Préférer un traitement court.</w:t>
      </w:r>
    </w:p>
    <w:p>
      <w:pPr>
        <w:pStyle w:val="ListBullet"/>
      </w:pPr>
      <w:r/>
      <w:r>
        <w:rPr>
          <w:b/>
        </w:rPr>
        <w:t>Précisions</w:t>
      </w:r>
      <w:r>
        <w:t xml:space="preserve"> : pendant la grossesse, </w:t>
      </w:r>
      <w:r>
        <w:rPr>
          <w:b/>
        </w:rPr>
        <w:t>privilégier les mesures non-médicamenteuses</w:t>
      </w:r>
      <w:r>
        <w:t xml:space="preserve"> (hydratation, lavage nasal au sérum physiologique, arrêt du tabac) avant tout recours pharmacologique. Si mucolytique nécessaire, la NAC à dose standard (200–600 mg/jour, voie orale) est un choix raisonnable. </w:t>
      </w:r>
      <w:r>
        <w:rPr>
          <w:b/>
        </w:rPr>
        <w:t>Éviter la forme inhalée</w:t>
      </w:r>
      <w:r>
        <w:t xml:space="preserve"> au cours de la grossesse par prudence (risque de bronchospasme).</w:t>
      </w:r>
    </w:p>
    <w:p>
      <w:r/>
      <w:r>
        <w:rPr>
          <w:b/>
        </w:rPr>
        <w:t>Posologie et Mode d'administration (Standard) :</w:t>
      </w:r>
      <w:r/>
    </w:p>
    <w:p>
      <w:pPr>
        <w:pStyle w:val="ListBullet"/>
      </w:pPr>
      <w:r/>
      <w:r>
        <w:rPr>
          <w:b/>
        </w:rPr>
        <w:t>Adulte</w:t>
      </w:r>
      <w:r>
        <w:t xml:space="preserve"> :</w:t>
      </w:r>
    </w:p>
    <w:p>
      <w:pPr>
        <w:pStyle w:val="ListBullet"/>
      </w:pPr>
      <w:r>
        <w:t xml:space="preserve">Granulé pour solution buvable 200 mg/sachet : </w:t>
      </w:r>
      <w:r>
        <w:rPr>
          <w:b/>
        </w:rPr>
        <w:t>1 sachet x 3 fois/jour</w:t>
      </w:r>
      <w:r>
        <w:t xml:space="preserve"> (soit 600 mg/jour) — diluer dans un demi-verre d'eau, prendre pendant les repas.</w:t>
      </w:r>
    </w:p>
    <w:p>
      <w:pPr>
        <w:pStyle w:val="ListBullet"/>
      </w:pPr>
      <w:r>
        <w:t xml:space="preserve">Comprimé effervescent 200 mg : </w:t>
      </w:r>
      <w:r>
        <w:rPr>
          <w:b/>
        </w:rPr>
        <w:t>1 comprimé x 3 fois/jour</w:t>
      </w:r>
      <w:r>
        <w:t xml:space="preserve"> (600 mg/jour) — dissoudre dans un verre d'eau, prendre pendant les repas.</w:t>
      </w:r>
    </w:p>
    <w:p>
      <w:pPr>
        <w:pStyle w:val="ListBullet"/>
      </w:pPr>
      <w:r>
        <w:t>*Forme nasale RHINOFLUIMUCIL* : 1 pulvérisation dans chaque narine, 2–3 fois/jour, pendant 4–5 jours maximum (en raison du tuaminoheptane vasoconstricteur).</w:t>
      </w:r>
    </w:p>
    <w:p>
      <w:pPr>
        <w:pStyle w:val="ListBullet"/>
      </w:pPr>
      <w:r>
        <w:t>*Prévention BPCO au long cours* (selon GOLD 2024) : 600 mg/jour en une prise (en pratique, 1 sachet de 600 mg si disponible — forme non commercialisée en Algérie ;替代 : 3 sachets de 200 mg/jour).</w:t>
      </w:r>
    </w:p>
    <w:p>
      <w:pPr>
        <w:pStyle w:val="ListBullet"/>
      </w:pPr>
      <w:r/>
      <w:r>
        <w:rPr>
          <w:b/>
        </w:rPr>
        <w:t>Enfant</w:t>
      </w:r>
      <w:r>
        <w:t xml:space="preserve"> :</w:t>
      </w:r>
    </w:p>
    <w:p>
      <w:pPr>
        <w:pStyle w:val="ListBullet"/>
      </w:pPr>
      <w:r>
        <w:t>Nourrisson (1 mois–2 ans) : 100 mg/jour (½ sachet 200 mg x 1) — à adapter selon poids, sous surveillance médicale stricte.</w:t>
      </w:r>
    </w:p>
    <w:p>
      <w:pPr>
        <w:pStyle w:val="ListBullet"/>
      </w:pPr>
      <w:r>
        <w:t>Enfant 2–7 ans : 200 mg x 2/jour (400 mg/jour).</w:t>
      </w:r>
    </w:p>
    <w:p>
      <w:pPr>
        <w:pStyle w:val="ListBullet"/>
      </w:pPr>
      <w:r>
        <w:t>Enfant &gt; 7 ans : 200 mg x 3/jour (600 mg/jour).</w:t>
      </w:r>
    </w:p>
    <w:p>
      <w:pPr>
        <w:pStyle w:val="ListBullet"/>
      </w:pPr>
      <w:r>
        <w:t xml:space="preserve">*À noter* : la forme </w:t>
      </w:r>
      <w:r>
        <w:rPr>
          <w:b/>
        </w:rPr>
        <w:t>granulé pour suspension buvable en sachet-dose 100 mg</w:t>
      </w:r>
      <w:r>
        <w:t xml:space="preserve"> (Fluimucil Enfant™) n'est PAS commercialisée en Algérie ; l'adaptation pédiatrique se fait par dilution du sachet 200 mg.</w:t>
      </w:r>
    </w:p>
    <w:p>
      <w:pPr>
        <w:pStyle w:val="ListBullet"/>
      </w:pPr>
      <w:r/>
      <w:r>
        <w:rPr>
          <w:b/>
        </w:rPr>
        <w:t>Durée</w:t>
      </w:r>
      <w:r>
        <w:t xml:space="preserve"> : traitement </w:t>
      </w:r>
      <w:r>
        <w:rPr>
          <w:b/>
        </w:rPr>
        <w:t>court de 5–7 jours</w:t>
      </w:r>
      <w:r>
        <w:t xml:space="preserve"> sans avis médical ; consulter si persistance au-delà.</w:t>
      </w:r>
    </w:p>
    <w:p>
      <w:pPr>
        <w:pStyle w:val="ListBullet"/>
      </w:pPr>
      <w:r/>
      <w:r>
        <w:rPr>
          <w:b/>
        </w:rPr>
        <w:t>Moment de la prise</w:t>
      </w:r>
      <w:r>
        <w:t xml:space="preserve"> : </w:t>
      </w:r>
      <w:r>
        <w:rPr>
          <w:b/>
        </w:rPr>
        <w:t>pendant les repas</w:t>
      </w:r>
      <w:r>
        <w:t xml:space="preserve"> pour limiter la tolérance digestive ; dernier sachet idéalement en fin d'après-midi (avant 17 heures) pour éviter la stimulation de la toux nocturne par l'expectoration.</w:t>
      </w:r>
    </w:p>
    <w:p>
      <w:r/>
      <w:r>
        <w:rPr>
          <w:b/>
        </w:rPr>
        <w:t>Arbitrage et Bénéfices des Formes Galéniques :</w:t>
      </w:r>
      <w:r/>
    </w:p>
    <w:p>
      <w:pPr>
        <w:pStyle w:val="ListBullet"/>
      </w:pPr>
      <w:r/>
      <w:r>
        <w:rPr>
          <w:b/>
        </w:rPr>
        <w:t>Granulé pour solution buvable en sachet-dose 200 mg</w:t>
      </w:r>
      <w:r>
        <w:t xml:space="preserve"> (FLUIMICIL, ACETYLCYSTEINE BGL, SOLMUCOL) : forme de référence, pratique, adaptation posologique aisée (1 sachet = dose unitaire adulte), bonne stabilité. Préférer cette forme en première intention.</w:t>
      </w:r>
    </w:p>
    <w:p>
      <w:pPr>
        <w:pStyle w:val="ListBullet"/>
      </w:pPr>
      <w:r/>
      <w:r>
        <w:rPr>
          <w:b/>
        </w:rPr>
        <w:t>Comprimé effervescent 200 mg</w:t>
      </w:r>
      <w:r>
        <w:t xml:space="preserve"> (FLUIMEX) : alternative pour les patients préfèrent la forme « boisson » ; facilite l'hydratation concomitante (le volume d'eau du verre participe à l'effet fluidifiant). Effervescence peut être mal tolérée chez le sujet dyspeptique (gaz carbonique libéré).</w:t>
      </w:r>
    </w:p>
    <w:p>
      <w:pPr>
        <w:pStyle w:val="ListBullet"/>
      </w:pPr>
      <w:r/>
      <w:r>
        <w:rPr>
          <w:b/>
        </w:rPr>
        <w:t>Solution pour pulvérisation nasale</w:t>
      </w:r>
      <w:r>
        <w:t xml:space="preserve"> (RHINOFLUIMUCIL) : indication spécifique ORL (rhinite, sinusite congestive) — combinaison NAC (fluidification des sécrétions nasales) + tuaminoheptane (vasoconstricteur α sympathomimétique). Durée limitée à 4–5 jours par prudence (effet rebond vasomoteur du tuaminoheptane).</w:t>
      </w:r>
    </w:p>
    <w:p>
      <w:pPr>
        <w:pStyle w:val="ListBullet"/>
      </w:pPr>
      <w:r/>
      <w:r>
        <w:rPr>
          <w:b/>
        </w:rPr>
        <w:t>Forme IV</w:t>
      </w:r>
      <w:r>
        <w:t xml:space="preserve"> (Fluimucil IV 10 %) : non commercialisée en pharmacie d'officine en Algérie — réservée à l'usage hospitalier (antidote paracétamol, néphroprotection contraste iodé).</w:t>
      </w:r>
    </w:p>
    <w:p>
      <w:r/>
      <w:r>
        <w:rPr>
          <w:b/>
        </w:rPr>
        <w:t>Instructions et Conseils au Patient :</w:t>
      </w:r>
      <w:r/>
    </w:p>
    <w:p>
      <w:pPr>
        <w:pStyle w:val="ListBullet"/>
      </w:pPr>
      <w:r/>
      <w:r>
        <w:rPr>
          <w:b/>
        </w:rPr>
        <w:t>Communication au comptoir</w:t>
      </w:r>
      <w:r>
        <w:t xml:space="preserve"> :</w:t>
      </w:r>
    </w:p>
    <w:p>
      <w:pPr>
        <w:pStyle w:val="ListBullet"/>
      </w:pPr>
      <w:r>
        <w:t>« *Ce médicament fluidifie les sécrétions bronchiques pour les rendre plus faciles à expectorer. Buvez abondamment (1,5–2 L d'eau par jour) pour potentialiser son effet.* »</w:t>
      </w:r>
    </w:p>
    <w:p>
      <w:pPr>
        <w:pStyle w:val="ListBullet"/>
      </w:pPr>
      <w:r>
        <w:t>« *Prenez le sachet dilué dans un demi-verre d'eau pendant les repas pour éviter les nausées.* »</w:t>
      </w:r>
    </w:p>
    <w:p>
      <w:pPr>
        <w:pStyle w:val="ListBullet"/>
      </w:pPr>
      <w:r>
        <w:t>« *Ce n'est pas un antitussif : la toux peut persister, c'est normal, elle permet d'évacuer le mucus fluidifié. Ne pas l'associer à un antitussif.* »</w:t>
      </w:r>
    </w:p>
    <w:p>
      <w:pPr>
        <w:pStyle w:val="ListBullet"/>
      </w:pPr>
      <w:r>
        <w:t>« *Si la toux ou l'expectoration persiste au-delà de 5–7 jours, ou si vous crachez du sang, consultez votre médecin.* »</w:t>
      </w:r>
    </w:p>
    <w:p>
      <w:pPr>
        <w:pStyle w:val="ListBullet"/>
      </w:pPr>
      <w:r>
        <w:t>« *Si vous êtes asthmatique, prévenez votre médecin : la forme inhalée est déconseillée chez vous.* »</w:t>
      </w:r>
    </w:p>
    <w:p>
      <w:pPr>
        <w:pStyle w:val="ListBullet"/>
      </w:pPr>
      <w:r/>
      <w:r>
        <w:rPr>
          <w:b/>
        </w:rPr>
        <w:t>Mode d'utilisation pratique</w:t>
      </w:r>
      <w:r>
        <w:t xml:space="preserve"> :</w:t>
      </w:r>
    </w:p>
    <w:p>
      <w:pPr>
        <w:pStyle w:val="ListBullet"/>
      </w:pPr>
      <w:r>
        <w:t>Diluer le contenu du sachet dans un demi-verre d'eau (eau plate, à température ambiante).</w:t>
      </w:r>
    </w:p>
    <w:p>
      <w:pPr>
        <w:pStyle w:val="ListBullet"/>
      </w:pPr>
      <w:r>
        <w:t>Remuer jusqu'à dissolution complète.</w:t>
      </w:r>
    </w:p>
    <w:p>
      <w:pPr>
        <w:pStyle w:val="ListBullet"/>
      </w:pPr>
      <w:r>
        <w:t>Boire immédiatement (ne pas conserver la solution reconstituée).</w:t>
      </w:r>
    </w:p>
    <w:p>
      <w:pPr>
        <w:pStyle w:val="ListBullet"/>
      </w:pPr>
      <w:r>
        <w:t>En cas d'oubli : ne pas doubler la dose suivante, prendre la dose oubliée dès que possible si moins de 4 heures, sinon sauter la prise.</w:t>
      </w:r>
    </w:p>
    <w:p>
      <w:pPr>
        <w:pStyle w:val="ListBullet"/>
      </w:pPr>
      <w:r>
        <w:t>Conservation : à température &lt; 25 °C, à l'abri de l'humidité (sachets sensibles).</w:t>
      </w:r>
    </w:p>
    <w:p>
      <w:pPr>
        <w:pStyle w:val="ListBullet"/>
      </w:pPr>
      <w:r>
        <w:t>Une fois le sachet ouvert : utiliser immédiatement (la solution reconstituée ne se conserve pas).</w:t>
      </w:r>
    </w:p>
    <w:p>
      <w:r/>
      <w:r>
        <w:rPr>
          <w:b/>
        </w:rPr>
        <w:t>Notes, Règles d'Or &amp; Pièges au Comptoir :</w:t>
      </w:r>
      <w:r/>
    </w:p>
    <w:p>
      <w:pPr>
        <w:pStyle w:val="ListBullet"/>
      </w:pPr>
      <w:r/>
      <w:r>
        <w:rPr>
          <w:b/>
        </w:rPr>
        <w:t>Piège classique</w:t>
      </w:r>
      <w:r>
        <w:t xml:space="preserve"> : la </w:t>
      </w:r>
      <w:r>
        <w:rPr>
          <w:b/>
        </w:rPr>
        <w:t>toux productive ne doit JAMAIS être traitée par un antitussif</w:t>
      </w:r>
      <w:r>
        <w:t>. La NAC augmente l'expectoration (toux productive nécessaire pour évacuer le mucus). Association antitussif + NAC = illogique et dangereuse (encombrement).</w:t>
      </w:r>
    </w:p>
    <w:p>
      <w:pPr>
        <w:pStyle w:val="ListBullet"/>
      </w:pPr>
      <w:r/>
      <w:r>
        <w:rPr>
          <w:b/>
        </w:rPr>
        <w:t>Règle de prise</w:t>
      </w:r>
      <w:r>
        <w:t xml:space="preserve"> : 5–7 jours maximum en automédication, consultation si persistance.</w:t>
      </w:r>
    </w:p>
    <w:p>
      <w:pPr>
        <w:pStyle w:val="ListBullet"/>
      </w:pPr>
      <w:r/>
      <w:r>
        <w:rPr>
          <w:b/>
        </w:rPr>
        <w:t>Préparation et Conservation</w:t>
      </w:r>
      <w:r>
        <w:t xml:space="preserve"> : sachets sensibles à l'humidité — bien refermer l'emballage extérieur après usage.</w:t>
      </w:r>
    </w:p>
    <w:p>
      <w:pPr>
        <w:pStyle w:val="ListBullet"/>
      </w:pPr>
      <w:r/>
      <w:r>
        <w:rPr>
          <w:b/>
        </w:rPr>
        <w:t>Piège du surdosage / Substitution</w:t>
      </w:r>
      <w:r>
        <w:t xml:space="preserve"> :</w:t>
      </w:r>
    </w:p>
    <w:p>
      <w:pPr>
        <w:pStyle w:val="ListBullet"/>
      </w:pPr>
      <w:r>
        <w:t xml:space="preserve">Risque de </w:t>
      </w:r>
      <w:r>
        <w:rPr>
          <w:b/>
        </w:rPr>
        <w:t>bronchospasme</w:t>
      </w:r>
      <w:r>
        <w:t xml:space="preserve"> en cas d'administration inhalée chez l'asthmatique — toujours demander au patient s'il est asthmatique avant de dispenser la forme nébulisation (non disponible en officine, mais un patient peut apporter une prescription hospitalière).</w:t>
      </w:r>
    </w:p>
    <w:p>
      <w:pPr>
        <w:pStyle w:val="ListBullet"/>
      </w:pPr>
      <w:r/>
      <w:r>
        <w:rPr>
          <w:b/>
        </w:rPr>
        <w:t>Interaction NAC + nitroglycérine</w:t>
      </w:r>
      <w:r>
        <w:t xml:space="preserve"> souvent méconnue — si le patient est coronarien sous trinitrine, prévenir le médecin.</w:t>
      </w:r>
    </w:p>
    <w:p>
      <w:pPr>
        <w:pStyle w:val="ListBullet"/>
      </w:pPr>
      <w:r/>
      <w:r>
        <w:rPr>
          <w:b/>
        </w:rPr>
        <w:t>Anaphylaxie à la NAC IV</w:t>
      </w:r>
      <w:r>
        <w:t xml:space="preserve"> (antidote paracétamol) — se manifeste typiquement 20–60 minutes après le début de la perfusion (surtout si perfusion trop rapide) —&gt; arrêt immédiat, antihistaminiques + corticoïdes IV + remplissage.</w:t>
      </w:r>
    </w:p>
    <w:p>
      <w:pPr>
        <w:pStyle w:val="ListBullet"/>
      </w:pPr>
      <w:r/>
      <w:r>
        <w:rPr>
          <w:b/>
        </w:rPr>
        <w:t>NAC et paracétamol</w:t>
      </w:r>
      <w:r>
        <w:t xml:space="preserve"> : la NAC est l'</w:t>
      </w:r>
      <w:r>
        <w:rPr>
          <w:b/>
        </w:rPr>
        <w:t>antidote</w:t>
      </w:r>
      <w:r>
        <w:t xml:space="preserve"> spécifique du paracétamol — rappeler que le paracétamol à dose thérapeutique (3–4 g/jour adulte) n'est PAS concerné ; la NAC n'est indiquée qu'en cas d'</w:t>
      </w:r>
      <w:r>
        <w:rPr>
          <w:b/>
        </w:rPr>
        <w:t>intoxication avérée</w:t>
      </w:r>
      <w:r>
        <w:t xml:space="preserve"> (dose &gt; 150 mg/kg ou &gt; 7,5 g en une prise, ou dosage plasmatique paracétamol au-dessus du nomogramme de Rumack-Matthew).</w:t>
      </w:r>
    </w:p>
    <w:p>
      <w:pPr>
        <w:pStyle w:val="Heading3"/>
      </w:pPr>
      <w:r>
        <w:t>3.2. DCI : Carbocistéine (Seule)</w:t>
      </w:r>
    </w:p>
    <w:p>
      <w:r/>
      <w:r>
        <w:rPr>
          <w:b/>
        </w:rPr>
        <w:t>Liste des Catégories :</w:t>
      </w:r>
      <w:r>
        <w:t xml:space="preserve"> Mucolytique, Fluidifiant bronchique, Stimulation des cellules à mucus, Régulateur de la sécrétion muqueuse.</w:t>
      </w:r>
    </w:p>
    <w:p>
      <w:r>
        <w:t xml:space="preserve">La </w:t>
      </w:r>
      <w:r>
        <w:rPr>
          <w:b/>
        </w:rPr>
        <w:t>carbocistéine</w:t>
      </w:r>
      <w:r>
        <w:t xml:space="preserve"> (S-carboxyméthyl-L-cystéine) se distingue de la NAC par son groupement thiol engagé dans une </w:t>
      </w:r>
      <w:r>
        <w:rPr>
          <w:b/>
        </w:rPr>
        <w:t>liaison thioéther</w:t>
      </w:r>
      <w:r>
        <w:t xml:space="preserve"> (et non libre), qui en fait un </w:t>
      </w:r>
      <w:r>
        <w:rPr>
          <w:b/>
        </w:rPr>
        <w:t>précurseur</w:t>
      </w:r>
      <w:r>
        <w:t xml:space="preserve"> libérant progressivement de la cystéine libre dans l'organisme. Cette particularité pharmacologique explique sa </w:t>
      </w:r>
      <w:r>
        <w:rPr>
          <w:b/>
        </w:rPr>
        <w:t>meilleure tolérance digestive</w:t>
      </w:r>
      <w:r>
        <w:t xml:space="preserve"> et son activité </w:t>
      </w:r>
      <w:r>
        <w:rPr>
          <w:b/>
        </w:rPr>
        <w:t>complémentaire</w:t>
      </w:r>
      <w:r>
        <w:t xml:space="preserve"> sur la régulation de la sécrétion des cellules calciformes — propriété qui a motivé son développement indépendant de la NAC.</w:t>
      </w:r>
    </w:p>
    <w:p>
      <w:r/>
      <w:r>
        <w:rPr>
          <w:b/>
        </w:rPr>
        <w:t>Médicaments disponibles en Algérie (Marques, Laboratoires, Formes et Dosages) :</w:t>
      </w:r>
      <w:r/>
    </w:p>
    <w:p>
      <w:pPr>
        <w:pStyle w:val="ListBullet"/>
      </w:pPr>
      <w:r/>
      <w:r>
        <w:rPr>
          <w:b/>
        </w:rPr>
        <w:t>MUCOLAD</w:t>
      </w:r>
      <w:r>
        <w:t xml:space="preserve"> (LAD PHARMA)</w:t>
      </w:r>
    </w:p>
    <w:p>
      <w:pPr>
        <w:pStyle w:val="ListBullet"/>
      </w:pPr>
      <w:r>
        <w:t>Formes et Dosages : Gélule 375 mg — Boîte de 20 gélules</w:t>
      </w:r>
    </w:p>
    <w:p>
      <w:pPr>
        <w:pStyle w:val="ListBullet"/>
      </w:pPr>
      <w:r>
        <w:t>Statut : Actif</w:t>
      </w:r>
    </w:p>
    <w:p>
      <w:pPr>
        <w:pStyle w:val="ListBullet"/>
      </w:pPr>
      <w:r/>
      <w:r>
        <w:rPr>
          <w:b/>
        </w:rPr>
        <w:t>RHINATHIOL SANS SUCRE ENFANTS ET NOURRISSONS</w:t>
      </w:r>
      <w:r>
        <w:t xml:space="preserve"> (INSTITUT MEDICAL ALGERIEN)</w:t>
      </w:r>
    </w:p>
    <w:p>
      <w:pPr>
        <w:pStyle w:val="ListBullet"/>
      </w:pPr>
      <w:r>
        <w:t>Formes et Dosages : Sirop 0,02 (soit 20 mg/100 mL — équivalent 5 mg/5 mL de cuillère-mesure) — Flacon de 125 mL [forme sans sucre, pour nourrissons et enfants]</w:t>
      </w:r>
    </w:p>
    <w:p>
      <w:pPr>
        <w:pStyle w:val="ListBullet"/>
      </w:pPr>
      <w:r>
        <w:t>Statut : Actif</w:t>
      </w:r>
    </w:p>
    <w:p>
      <w:r/>
      <w:r>
        <w:rPr>
          <w:i/>
        </w:rPr>
        <w:t>Spécialités non renouvelables :</w:t>
      </w:r>
      <w:r/>
    </w:p>
    <w:p>
      <w:pPr>
        <w:pStyle w:val="ListBullet"/>
      </w:pPr>
      <w:r/>
      <w:r>
        <w:rPr>
          <w:b/>
        </w:rPr>
        <w:t>RHINASTINE ENFANT</w:t>
      </w:r>
      <w:r>
        <w:t xml:space="preserve"> (GROUPE SAIDAL) — Sirop 0,02 — Flacon de 125 mL — Statut : Non Renouvelable</w:t>
      </w:r>
    </w:p>
    <w:p>
      <w:pPr>
        <w:pStyle w:val="ListBullet"/>
      </w:pPr>
      <w:r/>
      <w:r>
        <w:rPr>
          <w:b/>
        </w:rPr>
        <w:t>RHINASTINE ADULTE</w:t>
      </w:r>
      <w:r>
        <w:t xml:space="preserve"> (GROUPE SAIDAL) — Sirop 0,05 — Flacon de 125 mL — Statut : Non Renouvelable</w:t>
      </w:r>
    </w:p>
    <w:p>
      <w:r/>
      <w:r>
        <w:rPr>
          <w:i/>
        </w:rPr>
        <w:t>Spécialités retirées (R) :</w:t>
      </w:r>
      <w:r/>
    </w:p>
    <w:p>
      <w:pPr>
        <w:pStyle w:val="ListBullet"/>
      </w:pPr>
      <w:r/>
      <w:r>
        <w:rPr>
          <w:b/>
        </w:rPr>
        <w:t>BRONCOCLAR ENFANT</w:t>
      </w:r>
      <w:r>
        <w:t xml:space="preserve"> (OBERLIN) — Sirop 0,02 — Flacon de 50 mL et 125 mL — Statut : Retiré (R)</w:t>
      </w:r>
    </w:p>
    <w:p>
      <w:pPr>
        <w:pStyle w:val="ListBullet"/>
      </w:pPr>
      <w:r/>
      <w:r>
        <w:rPr>
          <w:b/>
        </w:rPr>
        <w:t>BRONCOCLAR ADULTE</w:t>
      </w:r>
      <w:r>
        <w:t xml:space="preserve"> (OBERLIN) — Sirop 0,05 — Flacon de 150 mL — Statut : Retiré (R)</w:t>
      </w:r>
    </w:p>
    <w:p>
      <w:pPr>
        <w:pStyle w:val="ListBullet"/>
      </w:pPr>
      <w:r/>
      <w:r>
        <w:rPr>
          <w:b/>
        </w:rPr>
        <w:t>MUCICLAR ENFANT</w:t>
      </w:r>
      <w:r>
        <w:t xml:space="preserve"> (PARKE DAVIS) — Sirop 0,02 — Flacon de 125 mL — Statut : Retiré (R)</w:t>
      </w:r>
    </w:p>
    <w:p>
      <w:pPr>
        <w:pStyle w:val="ListBullet"/>
      </w:pPr>
      <w:r/>
      <w:r>
        <w:rPr>
          <w:b/>
        </w:rPr>
        <w:t>MUCICLAR ADULTES</w:t>
      </w:r>
      <w:r>
        <w:t xml:space="preserve"> (PARKE DAVIS) — Sirop 0,05 — Flacon de 300 mL — Statut : Retiré (R)</w:t>
      </w:r>
    </w:p>
    <w:p>
      <w:pPr>
        <w:pStyle w:val="ListBullet"/>
      </w:pPr>
      <w:r/>
      <w:r>
        <w:rPr>
          <w:b/>
        </w:rPr>
        <w:t>CARBATHIOL</w:t>
      </w:r>
      <w:r>
        <w:t xml:space="preserve"> (PIMEDIC HARVEST GROUPE) — Sirop 0,02 — Flacon de 125 mL — Statut : Retiré (R)</w:t>
      </w:r>
    </w:p>
    <w:p>
      <w:r/>
      <w:r>
        <w:rPr>
          <w:b/>
        </w:rPr>
        <w:t>Sous-classe et Mécanisme d'action :</w:t>
      </w:r>
      <w:r/>
    </w:p>
    <w:p>
      <w:pPr>
        <w:pStyle w:val="ListBullet"/>
      </w:pPr>
      <w:r/>
      <w:r>
        <w:rPr>
          <w:b/>
        </w:rPr>
        <w:t>Sous-classe</w:t>
      </w:r>
      <w:r>
        <w:t xml:space="preserve"> : Mucolytique de la famille des </w:t>
      </w:r>
      <w:r>
        <w:rPr>
          <w:b/>
        </w:rPr>
        <w:t>dérivés thiols</w:t>
      </w:r>
      <w:r>
        <w:t>, variante chimique de la NAC (S-carboxyméthyl-L-cystéine) — voisine mais distincte sur le plan pharmacologique et de la tolérance.</w:t>
      </w:r>
    </w:p>
    <w:p>
      <w:pPr>
        <w:pStyle w:val="ListBullet"/>
      </w:pPr>
      <w:r/>
      <w:r>
        <w:rPr>
          <w:b/>
        </w:rPr>
        <w:t>Mécanisme d'action</w:t>
      </w:r>
      <w:r>
        <w:t xml:space="preserve"> : la carbocistéine exerce son effet mucolytique par </w:t>
      </w:r>
      <w:r>
        <w:rPr>
          <w:b/>
        </w:rPr>
        <w:t>deux mécanismes complémentaires</w:t>
      </w:r>
      <w:r>
        <w:t xml:space="preserve"> :</w:t>
      </w:r>
    </w:p>
    <w:p>
      <w:pPr>
        <w:pStyle w:val="ListNumber"/>
      </w:pPr>
      <w:r/>
      <w:r>
        <w:rPr>
          <w:b/>
        </w:rPr>
        <w:t>Clivage indirect des ponts disulfure</w:t>
      </w:r>
      <w:r>
        <w:t xml:space="preserve"> : contrairement à la NAC dont le groupement -SH est libre et réduit directement les ponts S-S, la carbocistéine porte son soufre sous forme de </w:t>
      </w:r>
      <w:r>
        <w:rPr>
          <w:b/>
        </w:rPr>
        <w:t>thioéther (S-CH₂-COOH)</w:t>
      </w:r>
      <w:r>
        <w:t xml:space="preserve">. Elle agit comme un </w:t>
      </w:r>
      <w:r>
        <w:rPr>
          <w:b/>
        </w:rPr>
        <w:t>précurseur</w:t>
      </w:r>
      <w:r>
        <w:t xml:space="preserve"> : métabolisée en cystéine libre puis en glutathion (GSH), elle restaure les réserves cellulaires en thiols réducteurs, qui à leur tour clivent les ponts disulfure des mucines in vivo. Cette activation métabolique explique un </w:t>
      </w:r>
      <w:r>
        <w:rPr>
          <w:b/>
        </w:rPr>
        <w:t>délai d'action légèrement plus lent</w:t>
      </w:r>
      <w:r>
        <w:t xml:space="preserve"> mais prolongé, ainsi qu'une meilleure tolérance digestive (la molécule inchangue n'est pas acide).</w:t>
      </w:r>
    </w:p>
    <w:p>
      <w:pPr>
        <w:pStyle w:val="ListNumber"/>
      </w:pPr>
      <w:r/>
      <w:r>
        <w:rPr>
          <w:b/>
        </w:rPr>
        <w:t>Régulation de la sécrétion des cellules calciformes</w:t>
      </w:r>
      <w:r>
        <w:t xml:space="preserve"> : la carbocistéine </w:t>
      </w:r>
      <w:r>
        <w:rPr>
          <w:b/>
        </w:rPr>
        <w:t>augmente la production de glycoprotéines neutres</w:t>
      </w:r>
      <w:r>
        <w:t xml:space="preserve"> (sialomucines fluides) au détriment des </w:t>
      </w:r>
      <w:r>
        <w:rPr>
          <w:b/>
        </w:rPr>
        <w:t>mucines acides sulfatées</w:t>
      </w:r>
      <w:r>
        <w:t xml:space="preserve"> (visqueuses) — elle rétablit l'équilibre sialomucines/fucomucines au niveau de la couche de mucus. Cette action « régulatrice » (et non uniquement dépolymérisante) la distingue de la NAC.</w:t>
      </w:r>
    </w:p>
    <w:p>
      <w:pPr>
        <w:pStyle w:val="ListNumber"/>
      </w:pPr>
      <w:r/>
      <w:r>
        <w:rPr>
          <w:b/>
        </w:rPr>
        <w:t>Activation ciliaire</w:t>
      </w:r>
      <w:r>
        <w:t xml:space="preserve"> : stimulation modérée de l'activité ciliaire, facilitant le transport mucociliaire.</w:t>
      </w:r>
    </w:p>
    <w:p>
      <w:r/>
      <w:r>
        <w:rPr>
          <w:b/>
        </w:rPr>
        <w:t>Profil Pharmacologique :</w:t>
      </w:r>
      <w:r/>
    </w:p>
    <w:p>
      <w:pPr>
        <w:pStyle w:val="ListBullet"/>
      </w:pPr>
      <w:r/>
      <w:r>
        <w:rPr>
          <w:b/>
        </w:rPr>
        <w:t>Indications</w:t>
      </w:r>
      <w:r>
        <w:t xml:space="preserve"> :</w:t>
      </w:r>
    </w:p>
    <w:p>
      <w:pPr>
        <w:pStyle w:val="ListBullet"/>
      </w:pPr>
      <w:r>
        <w:t>Encombrement bronchique et troubles de l'expectoration (bronchite aiguë, surinfection de BPCO, dilatation des bronches).</w:t>
      </w:r>
    </w:p>
    <w:p>
      <w:pPr>
        <w:pStyle w:val="ListBullet"/>
      </w:pPr>
      <w:r>
        <w:t>Prévention des exacerbations de BPCO (étude PEACE 2008 — carbocistéine 1500 mg/jour pendant 1 an, réduction de 24,5 % du risque d'exacerbation).</w:t>
      </w:r>
    </w:p>
    <w:p>
      <w:pPr>
        <w:pStyle w:val="ListBullet"/>
      </w:pPr>
      <w:r>
        <w:t>Troubles de l'expectoration en ORL (sinusite chronique, postnasal drip).</w:t>
      </w:r>
    </w:p>
    <w:p>
      <w:pPr>
        <w:pStyle w:val="ListBullet"/>
      </w:pPr>
      <w:r>
        <w:t xml:space="preserve">Forme sirop </w:t>
      </w:r>
      <w:r>
        <w:rPr>
          <w:b/>
        </w:rPr>
        <w:t>sans sucre</w:t>
      </w:r>
      <w:r>
        <w:t xml:space="preserve"> privilégiée chez le diabétique et le nourrisson.</w:t>
      </w:r>
    </w:p>
    <w:p>
      <w:pPr>
        <w:pStyle w:val="ListBullet"/>
      </w:pPr>
      <w:r/>
      <w:r>
        <w:rPr>
          <w:b/>
        </w:rPr>
        <w:t>Contre-indications</w:t>
      </w:r>
      <w:r>
        <w:t xml:space="preserve"> :</w:t>
      </w:r>
    </w:p>
    <w:p>
      <w:pPr>
        <w:pStyle w:val="ListBullet"/>
      </w:pPr>
      <w:r>
        <w:t>Hypersensibilité à la carbocistéine.</w:t>
      </w:r>
    </w:p>
    <w:p>
      <w:pPr>
        <w:pStyle w:val="ListBullet"/>
      </w:pPr>
      <w:r/>
      <w:r>
        <w:rPr>
          <w:b/>
        </w:rPr>
        <w:t>Ulcère gastro-duodénal en poussée</w:t>
      </w:r>
      <w:r>
        <w:t xml:space="preserve"> (tolérance digestive meilleure que la NAC mais risque résiduel).</w:t>
      </w:r>
    </w:p>
    <w:p>
      <w:pPr>
        <w:pStyle w:val="ListBullet"/>
      </w:pPr>
      <w:r/>
      <w:r>
        <w:rPr>
          <w:b/>
        </w:rPr>
        <w:t>Phénylcétonurie</w:t>
      </w:r>
      <w:r>
        <w:t xml:space="preserve"> (si aspartam présent — vérifier la composition).</w:t>
      </w:r>
    </w:p>
    <w:p>
      <w:pPr>
        <w:pStyle w:val="ListBullet"/>
      </w:pPr>
      <w:r>
        <w:t>*Nourrisson &lt; 2 ans* : sous surveillance médicale stricte.</w:t>
      </w:r>
    </w:p>
    <w:p>
      <w:pPr>
        <w:pStyle w:val="ListBullet"/>
      </w:pPr>
      <w:r/>
      <w:r>
        <w:rPr>
          <w:b/>
        </w:rPr>
        <w:t>Effets Indésirables</w:t>
      </w:r>
      <w:r>
        <w:t xml:space="preserve"> :</w:t>
      </w:r>
    </w:p>
    <w:p>
      <w:pPr>
        <w:pStyle w:val="ListBullet"/>
      </w:pPr>
      <w:r>
        <w:t xml:space="preserve">*Digestifs* (peu fréquents, 1–5 %) : nausées, vomissements, diarrhée, douleurs épigastriques — </w:t>
      </w:r>
      <w:r>
        <w:rPr>
          <w:b/>
        </w:rPr>
        <w:t>moins fréquents et moins sévères</w:t>
      </w:r>
      <w:r>
        <w:t xml:space="preserve"> qu'avec la NAC.</w:t>
      </w:r>
    </w:p>
    <w:p>
      <w:pPr>
        <w:pStyle w:val="ListBullet"/>
      </w:pPr>
      <w:r>
        <w:t>*Cutanés* (rares) : rash, urticaire, prurit.</w:t>
      </w:r>
    </w:p>
    <w:p>
      <w:pPr>
        <w:pStyle w:val="ListBullet"/>
      </w:pPr>
      <w:r>
        <w:t>*Respiratoires* (exceptionnels) : bronchospasme (risque moindre qu'avec la NAC inhalée, mais à surveiller chez l'asthmatique en cas d'administration orale prolongée à forte dose).</w:t>
      </w:r>
    </w:p>
    <w:p>
      <w:pPr>
        <w:pStyle w:val="ListBullet"/>
      </w:pPr>
      <w:r>
        <w:t>*Hématologiques* (très rares, cas isolés) : thrombopénie isolée réversible à l'arrêt.</w:t>
      </w:r>
    </w:p>
    <w:p>
      <w:r/>
      <w:r>
        <w:rPr>
          <w:b/>
        </w:rPr>
        <w:t>Prévention et Gestion des Effets Indésirables :</w:t>
      </w:r>
      <w:r/>
    </w:p>
    <w:p>
      <w:pPr>
        <w:pStyle w:val="ListBullet"/>
      </w:pPr>
      <w:r/>
      <w:r>
        <w:rPr>
          <w:b/>
        </w:rPr>
        <w:t>Mesures Préventives</w:t>
      </w:r>
      <w:r>
        <w:t xml:space="preserve"> :</w:t>
      </w:r>
    </w:p>
    <w:p>
      <w:pPr>
        <w:pStyle w:val="ListBullet"/>
      </w:pPr>
      <w:r>
        <w:t xml:space="preserve">Administrer </w:t>
      </w:r>
      <w:r>
        <w:rPr>
          <w:b/>
        </w:rPr>
        <w:t>pendant les repas</w:t>
      </w:r>
      <w:r>
        <w:t xml:space="preserve"> (réduction de la tolérance digestive).</w:t>
      </w:r>
    </w:p>
    <w:p>
      <w:pPr>
        <w:pStyle w:val="ListBullet"/>
      </w:pPr>
      <w:r/>
      <w:r>
        <w:rPr>
          <w:b/>
        </w:rPr>
        <w:t>Hydratation abondante</w:t>
      </w:r>
      <w:r>
        <w:t xml:space="preserve"> (1,5–2 L/jour) pour potentialiser l'effet fluidifiant.</w:t>
      </w:r>
    </w:p>
    <w:p>
      <w:pPr>
        <w:pStyle w:val="ListBullet"/>
      </w:pPr>
      <w:r/>
      <w:r>
        <w:rPr>
          <w:b/>
        </w:rPr>
        <w:t>Durée maximale de 5–7 jours</w:t>
      </w:r>
      <w:r>
        <w:t xml:space="preserve"> en automédication ; traitement prolongé de 3 à 6 mois possible dans la BPCO (selon protocole médical).</w:t>
      </w:r>
    </w:p>
    <w:p>
      <w:pPr>
        <w:pStyle w:val="ListBullet"/>
      </w:pPr>
      <w:r>
        <w:t>Adapter la posologie chez le sujet âgé (insuffisance rénale fréquente — la carbocistéine est éliminée principalement par voie rénale).</w:t>
      </w:r>
    </w:p>
    <w:p>
      <w:pPr>
        <w:pStyle w:val="ListBullet"/>
      </w:pPr>
      <w:r/>
      <w:r>
        <w:rPr>
          <w:b/>
        </w:rPr>
        <w:t>Conduite à Tenir</w:t>
      </w:r>
      <w:r>
        <w:t xml:space="preserve"> :</w:t>
      </w:r>
    </w:p>
    <w:p>
      <w:pPr>
        <w:pStyle w:val="ListBullet"/>
      </w:pPr>
      <w:r>
        <w:t>*En cas de nausées/vomissements* : réduire la dose, fractionner les prises (3 prises → 4 prises plus petites), ou passage à la forme sirop (mieux tolérée que les gélules).</w:t>
      </w:r>
    </w:p>
    <w:p>
      <w:pPr>
        <w:pStyle w:val="ListBullet"/>
      </w:pPr>
      <w:r>
        <w:t>*En cas de rash/urticaire* : arrêt, antihistaminique oral, consultation si aggravation.</w:t>
      </w:r>
    </w:p>
    <w:p>
      <w:pPr>
        <w:pStyle w:val="ListBullet"/>
      </w:pPr>
      <w:r>
        <w:t>*En cas d'aggravation de la dyspnée ou d'apparition d'une douleur thoracique* : arrêt immédiat et consultation aux urgences (recherche d'une cause sous-jacente).</w:t>
      </w:r>
    </w:p>
    <w:p>
      <w:r/>
      <w:r>
        <w:rPr>
          <w:b/>
        </w:rPr>
        <w:t>Interactions Importantes :</w:t>
      </w:r>
      <w:r/>
    </w:p>
    <w:p>
      <w:pPr>
        <w:pStyle w:val="ListBullet"/>
      </w:pPr>
      <w:r/>
      <w:r>
        <w:rPr>
          <w:b/>
        </w:rPr>
        <w:t>Carbocistéine + antibiotiques β-lactamines</w:t>
      </w:r>
      <w:r>
        <w:t xml:space="preserve"> (pénicillines, céphalosporines) : pas d'interaction cliniquement significative par voie orale (contrairement à la NAC qui réduit directement les β-lactamines — la carbocistéine n'a pas de groupement -SH libre), mais espacer les prises d'au moins 2 heures par prudence.</w:t>
      </w:r>
    </w:p>
    <w:p>
      <w:pPr>
        <w:pStyle w:val="ListBullet"/>
      </w:pPr>
      <w:r/>
      <w:r>
        <w:rPr>
          <w:b/>
        </w:rPr>
        <w:t>Carbocistéine + antitussifs</w:t>
      </w:r>
      <w:r>
        <w:t xml:space="preserve"> : effet contradictoire — éviter l'association (la carbocistéine facilite l'expectoration, l'antitussif la bloque).</w:t>
      </w:r>
    </w:p>
    <w:p>
      <w:pPr>
        <w:pStyle w:val="ListBullet"/>
      </w:pPr>
      <w:r/>
      <w:r>
        <w:rPr>
          <w:b/>
        </w:rPr>
        <w:t>Carbocistéine + AINS</w:t>
      </w:r>
      <w:r>
        <w:t xml:space="preserve"> : potentialisation de la toxicité gastrique (addition des effets irritants) — surveillance chez le sujet dyspeptique.</w:t>
      </w:r>
    </w:p>
    <w:p>
      <w:r/>
      <w:r>
        <w:rPr>
          <w:b/>
        </w:rPr>
        <w:t>Grossesse et Allaitement :</w:t>
      </w:r>
      <w:r/>
    </w:p>
    <w:p>
      <w:pPr>
        <w:pStyle w:val="ListBullet"/>
      </w:pPr>
      <w:r/>
      <w:r>
        <w:rPr>
          <w:b/>
        </w:rPr>
        <w:t>Grossesse</w:t>
      </w:r>
      <w:r>
        <w:t xml:space="preserve"> : selon le CRAT, les données animales et humaines ne révèlent pas d'effet malformatif ou fœtotoxique. La carbocistéine est considérée </w:t>
      </w:r>
      <w:r>
        <w:rPr>
          <w:b/>
        </w:rPr>
        <w:t>compatible avec la grossesse</w:t>
      </w:r>
      <w:r>
        <w:t xml:space="preserve"> en cas de nécessité clinique, quel que soit le terme. Préférer un traitement court (5–7 jours) et la forme sirop.</w:t>
      </w:r>
    </w:p>
    <w:p>
      <w:pPr>
        <w:pStyle w:val="ListBullet"/>
      </w:pPr>
      <w:r/>
      <w:r>
        <w:rPr>
          <w:b/>
        </w:rPr>
        <w:t>Allaitement</w:t>
      </w:r>
      <w:r>
        <w:t xml:space="preserve"> : selon LactMed — passage dans le lait maternel non documenté mais probablement faible ; utilisation </w:t>
      </w:r>
      <w:r>
        <w:rPr>
          <w:b/>
        </w:rPr>
        <w:t>compatible avec l'allaitement</w:t>
      </w:r>
      <w:r>
        <w:t xml:space="preserve"> en traitement court.</w:t>
      </w:r>
    </w:p>
    <w:p>
      <w:pPr>
        <w:pStyle w:val="ListBullet"/>
      </w:pPr>
      <w:r/>
      <w:r>
        <w:rPr>
          <w:b/>
        </w:rPr>
        <w:t>Précisions</w:t>
      </w:r>
      <w:r>
        <w:t xml:space="preserve"> : pendant la grossesse, privilégier les mesures non-médicamenteuses ; si mucolytique nécessaire, la carbocistéine est un </w:t>
      </w:r>
      <w:r>
        <w:rPr>
          <w:b/>
        </w:rPr>
        <w:t>bon choix</w:t>
      </w:r>
      <w:r>
        <w:t xml:space="preserve"> en raison de sa bonne tolérance digestive et de l'absence de bronchospasme significatif par voie orale.</w:t>
      </w:r>
    </w:p>
    <w:p>
      <w:r/>
      <w:r>
        <w:rPr>
          <w:b/>
        </w:rPr>
        <w:t>Posologie et Mode d'administration (Standard) :</w:t>
      </w:r>
      <w:r/>
    </w:p>
    <w:p>
      <w:pPr>
        <w:pStyle w:val="ListBullet"/>
      </w:pPr>
      <w:r/>
      <w:r>
        <w:rPr>
          <w:b/>
        </w:rPr>
        <w:t>Adulte</w:t>
      </w:r>
      <w:r>
        <w:t xml:space="preserve"> :</w:t>
      </w:r>
    </w:p>
    <w:p>
      <w:pPr>
        <w:pStyle w:val="ListBullet"/>
      </w:pPr>
      <w:r>
        <w:t xml:space="preserve">Gélule 375 mg : </w:t>
      </w:r>
      <w:r>
        <w:rPr>
          <w:b/>
        </w:rPr>
        <w:t>2 gélules x 2 fois/jour</w:t>
      </w:r>
      <w:r>
        <w:t xml:space="preserve"> (soit 1500 mg/jour) pendant 4–8 jours, puis </w:t>
      </w:r>
      <w:r>
        <w:rPr>
          <w:b/>
        </w:rPr>
        <w:t>1 gélule x 2 fois/jour</w:t>
      </w:r>
      <w:r>
        <w:t xml:space="preserve"> (750 mg/jour) en traitement d'entretien (BPCO).</w:t>
      </w:r>
    </w:p>
    <w:p>
      <w:pPr>
        <w:pStyle w:val="ListBullet"/>
      </w:pPr>
      <w:r>
        <w:t>Sirop 0,05 (adulte) : 1 cuillère-mesure (15 mL = 75 mg) x 3 fois/jour (soit 225 mg/jour en 3 prises — à vérifier selon la concentration exacte du sirop) ; se référer à la notice pour la cuillère-mesure.</w:t>
      </w:r>
    </w:p>
    <w:p>
      <w:pPr>
        <w:pStyle w:val="ListBullet"/>
      </w:pPr>
      <w:r>
        <w:t>*Posologie BPCO préventive (selon étude PEACE)* : 1500 mg/jour (2 gélules x 2/jour) en traitement continu au long cours (3–12 mois).</w:t>
      </w:r>
    </w:p>
    <w:p>
      <w:pPr>
        <w:pStyle w:val="ListBullet"/>
      </w:pPr>
      <w:r/>
      <w:r>
        <w:rPr>
          <w:b/>
        </w:rPr>
        <w:t>Enfant</w:t>
      </w:r>
      <w:r>
        <w:t xml:space="preserve"> :</w:t>
      </w:r>
    </w:p>
    <w:p>
      <w:pPr>
        <w:pStyle w:val="ListBullet"/>
      </w:pPr>
      <w:r>
        <w:t>Nourrisson (1 mois–2 ans) : 20 mg/kg/jour en 2 prises (sirop 0,02 sans sucre — adapter selon le poids).</w:t>
      </w:r>
    </w:p>
    <w:p>
      <w:pPr>
        <w:pStyle w:val="ListBullet"/>
      </w:pPr>
      <w:r>
        <w:t>Enfant 2–5 ans : 1 cuillère-mesure (5 mL de sirop 0,02 = 1 mg) x 2 à 3 fois/jour.</w:t>
      </w:r>
    </w:p>
    <w:p>
      <w:pPr>
        <w:pStyle w:val="ListBullet"/>
      </w:pPr>
      <w:r>
        <w:t>Enfant 5–12 ans : 1 cuillère-mesure (10 mL de sirop 0,02 = 2 mg) x 3 fois/jour.</w:t>
      </w:r>
    </w:p>
    <w:p>
      <w:pPr>
        <w:pStyle w:val="ListBullet"/>
      </w:pPr>
      <w:r>
        <w:t>*Référence à la notice* pour la cuillère-mesure fournie avec la spécialité.</w:t>
      </w:r>
    </w:p>
    <w:p>
      <w:pPr>
        <w:pStyle w:val="ListBullet"/>
      </w:pPr>
      <w:r/>
      <w:r>
        <w:rPr>
          <w:b/>
        </w:rPr>
        <w:t>Durée</w:t>
      </w:r>
      <w:r>
        <w:t xml:space="preserve"> : 5–7 jours en automédication ; jusqu'à 3–12 mois en traitement préventif BPCO (sur prescription médicale).</w:t>
      </w:r>
    </w:p>
    <w:p>
      <w:pPr>
        <w:pStyle w:val="ListBullet"/>
      </w:pPr>
      <w:r/>
      <w:r>
        <w:rPr>
          <w:b/>
        </w:rPr>
        <w:t>Moment de la prise</w:t>
      </w:r>
      <w:r>
        <w:t xml:space="preserve"> : </w:t>
      </w:r>
      <w:r>
        <w:rPr>
          <w:b/>
        </w:rPr>
        <w:t>pendant les repas</w:t>
      </w:r>
      <w:r>
        <w:t xml:space="preserve"> ; dernière prise idéalement avant 17 heures pour éviter la stimulation de la toux nocturne.</w:t>
      </w:r>
    </w:p>
    <w:p>
      <w:r/>
      <w:r>
        <w:rPr>
          <w:b/>
        </w:rPr>
        <w:t>Arbitrage et Bénéfices des Formes Galéniques :</w:t>
      </w:r>
      <w:r/>
    </w:p>
    <w:p>
      <w:pPr>
        <w:pStyle w:val="ListBullet"/>
      </w:pPr>
      <w:r/>
      <w:r>
        <w:rPr>
          <w:b/>
        </w:rPr>
        <w:t>Gélule 375 mg</w:t>
      </w:r>
      <w:r>
        <w:t xml:space="preserve"> (MUCOLAD) : forme de référence pour l'adulte et l'enfant &gt; 12 ans ; adaptation posologique aisée (2 gélules = 750 mg dose d'attaque, 1 gélule = 375 mg dose d'entretien). Pratique et bien tolérée.</w:t>
      </w:r>
    </w:p>
    <w:p>
      <w:pPr>
        <w:pStyle w:val="ListBullet"/>
      </w:pPr>
      <w:r/>
      <w:r>
        <w:rPr>
          <w:b/>
        </w:rPr>
        <w:t>Sirop 0,02 sans sucre</w:t>
      </w:r>
      <w:r>
        <w:t xml:space="preserve"> (RHINATHIOL SANS SUCRE ENFANTS) : forme de référence pour le nourrisson et l'enfant — sans sucre (idéal en cas de diabète, de risque carieux, de prise en charge diététique). Cuillère-mesure fournie. Adaptation posologique aisée selon le poids.</w:t>
      </w:r>
    </w:p>
    <w:p>
      <w:pPr>
        <w:pStyle w:val="ListBullet"/>
      </w:pPr>
      <w:r/>
      <w:r>
        <w:rPr>
          <w:b/>
        </w:rPr>
        <w:t>Sirop 0,05 adulte</w:t>
      </w:r>
      <w:r>
        <w:t xml:space="preserve"> (forme retirée en Algérie) : historiquement utilisée chez l'adulte ; substituée par la forme gélule.</w:t>
      </w:r>
    </w:p>
    <w:p>
      <w:r/>
      <w:r>
        <w:rPr>
          <w:b/>
        </w:rPr>
        <w:t>Instructions et Conseils au Patient :</w:t>
      </w:r>
      <w:r/>
    </w:p>
    <w:p>
      <w:pPr>
        <w:pStyle w:val="ListBullet"/>
      </w:pPr>
      <w:r/>
      <w:r>
        <w:rPr>
          <w:b/>
        </w:rPr>
        <w:t>Communication au comptoir</w:t>
      </w:r>
      <w:r>
        <w:t xml:space="preserve"> :</w:t>
      </w:r>
    </w:p>
    <w:p>
      <w:pPr>
        <w:pStyle w:val="ListBullet"/>
      </w:pPr>
      <w:r>
        <w:t>« *Ce sirop fluidifie le mucus pour faciliter son évacuation. Buvez abondamment pendant le traitement (1,5–2 L/jour).* »</w:t>
      </w:r>
    </w:p>
    <w:p>
      <w:pPr>
        <w:pStyle w:val="ListBullet"/>
      </w:pPr>
      <w:r>
        <w:t>« *Prenez-le pendant les repas, en respectant les intervalles de 8 heures entre les prises.* »</w:t>
      </w:r>
    </w:p>
    <w:p>
      <w:pPr>
        <w:pStyle w:val="ListBullet"/>
      </w:pPr>
      <w:r>
        <w:t>« *La toux peut persister : c'est normal, c'est le mucus fluidifié qui remonte. Ne pas la bloquer avec un antitussif.* »</w:t>
      </w:r>
    </w:p>
    <w:p>
      <w:pPr>
        <w:pStyle w:val="ListBullet"/>
      </w:pPr>
      <w:r>
        <w:t>« *Pour l'enfant, respectez bien la dose en fonction de son poids et de son âge (utiliser la cuillère-mesure fournie).* »</w:t>
      </w:r>
    </w:p>
    <w:p>
      <w:pPr>
        <w:pStyle w:val="ListBullet"/>
      </w:pPr>
      <w:r>
        <w:t>« *Pour le nourrisson, étalez les prises sur la journée et faites un lavage nasal au sérum physiologique avant la prise.* »</w:t>
      </w:r>
    </w:p>
    <w:p>
      <w:pPr>
        <w:pStyle w:val="ListBullet"/>
      </w:pPr>
      <w:r/>
      <w:r>
        <w:rPr>
          <w:b/>
        </w:rPr>
        <w:t>Mode d'utilisation pratique</w:t>
      </w:r>
      <w:r>
        <w:t xml:space="preserve"> :</w:t>
      </w:r>
    </w:p>
    <w:p>
      <w:pPr>
        <w:pStyle w:val="ListBullet"/>
      </w:pPr>
      <w:r>
        <w:t>Bien agiter le sirop avant emploi (homogénéisation de la suspension).</w:t>
      </w:r>
    </w:p>
    <w:p>
      <w:pPr>
        <w:pStyle w:val="ListBullet"/>
      </w:pPr>
      <w:r>
        <w:t>Utiliser la cuillère-mesure fournie (ne pas utiliser une cuillère à café domestique — dose variable).</w:t>
      </w:r>
    </w:p>
    <w:p>
      <w:pPr>
        <w:pStyle w:val="ListBullet"/>
      </w:pPr>
      <w:r>
        <w:t>Pour les gélules : avaler avec un grand verre d'eau pendant le repas.</w:t>
      </w:r>
    </w:p>
    <w:p>
      <w:pPr>
        <w:pStyle w:val="ListBullet"/>
      </w:pPr>
      <w:r>
        <w:t>En cas d'oubli : ne pas doubler la dose suivante.</w:t>
      </w:r>
    </w:p>
    <w:p>
      <w:pPr>
        <w:pStyle w:val="ListBullet"/>
      </w:pPr>
      <w:r>
        <w:t>Conservation : sirop à température &lt; 25 °C, à l'abri de la lumière ; bien refermer après usage (risque de contamination microbienne). Jeter après 1 mois d'ouverture (risque de dégradation).</w:t>
      </w:r>
    </w:p>
    <w:p>
      <w:r/>
      <w:r>
        <w:rPr>
          <w:b/>
        </w:rPr>
        <w:t>Notes, Règles d'Or &amp; Pièges au Comptoir :</w:t>
      </w:r>
      <w:r/>
    </w:p>
    <w:p>
      <w:pPr>
        <w:pStyle w:val="ListBullet"/>
      </w:pPr>
      <w:r/>
      <w:r>
        <w:rPr>
          <w:b/>
        </w:rPr>
        <w:t>Piège classique</w:t>
      </w:r>
      <w:r>
        <w:t xml:space="preserve"> : comme pour la NAC, </w:t>
      </w:r>
      <w:r>
        <w:rPr>
          <w:b/>
        </w:rPr>
        <w:t>ne jamais associer à un antitussif</w:t>
      </w:r>
      <w:r>
        <w:t xml:space="preserve"> (risque d'encombrement bronchique par blocage de la toux d'expectoration).</w:t>
      </w:r>
    </w:p>
    <w:p>
      <w:pPr>
        <w:pStyle w:val="ListBullet"/>
      </w:pPr>
      <w:r/>
      <w:r>
        <w:rPr>
          <w:b/>
        </w:rPr>
        <w:t>Règle de prise</w:t>
      </w:r>
      <w:r>
        <w:t xml:space="preserve"> : 5–7 jours en automédication ; traitement prolongé BPCO sous surveillance médicale (efficacité préventive démontrée mais modeste).</w:t>
      </w:r>
    </w:p>
    <w:p>
      <w:pPr>
        <w:pStyle w:val="ListBullet"/>
      </w:pPr>
      <w:r/>
      <w:r>
        <w:rPr>
          <w:b/>
        </w:rPr>
        <w:t>Préparation et Conservation</w:t>
      </w:r>
      <w:r>
        <w:t xml:space="preserve"> : sirop fragile après ouverture — vérifier la date de péremption après ouverture (souvent 1 mois max).</w:t>
      </w:r>
    </w:p>
    <w:p>
      <w:pPr>
        <w:pStyle w:val="ListBullet"/>
      </w:pPr>
      <w:r/>
      <w:r>
        <w:rPr>
          <w:b/>
        </w:rPr>
        <w:t>Piège du surdosage / Substitution</w:t>
      </w:r>
      <w:r>
        <w:t xml:space="preserve"> :</w:t>
      </w:r>
    </w:p>
    <w:p>
      <w:pPr>
        <w:pStyle w:val="ListBullet"/>
      </w:pPr>
      <w:r/>
      <w:r>
        <w:rPr>
          <w:b/>
        </w:rPr>
        <w:t>Adaptation posologique enfant</w:t>
      </w:r>
      <w:r>
        <w:t xml:space="preserve"> : bien vérifier le poids avant de conseiller la dose ; les sirops « enfant » et « adulte » ont des concentrations différentes (0,02 vs 0,05) — ne pas les substituer.</w:t>
      </w:r>
    </w:p>
    <w:p>
      <w:pPr>
        <w:pStyle w:val="ListBullet"/>
      </w:pPr>
      <w:r/>
      <w:r>
        <w:rPr>
          <w:b/>
        </w:rPr>
        <w:t>Sujets âgés insuffisants rénaux</w:t>
      </w:r>
      <w:r>
        <w:t xml:space="preserve"> : réduire la dose (la carbocistéine est éliminée par voie rénale).</w:t>
      </w:r>
    </w:p>
    <w:p>
      <w:pPr>
        <w:pStyle w:val="ListBullet"/>
      </w:pPr>
      <w:r/>
      <w:r>
        <w:rPr>
          <w:b/>
        </w:rPr>
        <w:t>Diabétiques</w:t>
      </w:r>
      <w:r>
        <w:t xml:space="preserve"> : la forme « sans sucre » est à privilégier (les formes sucrées contiennent du saccharose, à vérifier dans la composition).</w:t>
      </w:r>
    </w:p>
    <w:p>
      <w:pPr>
        <w:pStyle w:val="ListBullet"/>
      </w:pPr>
      <w:r/>
      <w:r>
        <w:rPr>
          <w:b/>
        </w:rPr>
        <w:t>Substitution NAC ↔ carbocistéine</w:t>
      </w:r>
      <w:r>
        <w:t xml:space="preserve"> : en cas de mauvaise tolérance digestive de la NAC, le passage à la carbocistéine est une alternative raisonnable (meilleure tolérance). À l'inverse, en cas d'encombrement bronchique marqué nécessitant un effet rapide, la NAC (effet direct plus immédiat) peut être préférée.</w:t>
      </w:r>
    </w:p>
    <w:p>
      <w:pPr>
        <w:pStyle w:val="Heading2"/>
      </w:pPr>
      <w:r>
        <w:t>4. Introduction à la sous-classe des mucolytiques — Dérivés alcaloïdes vasiques</w:t>
      </w:r>
    </w:p>
    <w:p>
      <w:r>
        <w:t xml:space="preserve">Les </w:t>
      </w:r>
      <w:r>
        <w:rPr>
          <w:b/>
        </w:rPr>
        <w:t>mucolytiques alcaloïdes vasiques</w:t>
      </w:r>
      <w:r>
        <w:t xml:space="preserve"> sont issus de la </w:t>
      </w:r>
      <w:r>
        <w:rPr>
          <w:b/>
        </w:rPr>
        <w:t>vasicine</w:t>
      </w:r>
      <w:r>
        <w:t xml:space="preserve">, alcaloïde extrait des feuilles de </w:t>
      </w:r>
      <w:r>
        <w:rPr>
          <w:i/>
        </w:rPr>
        <w:t>Justicia adhatoda</w:t>
      </w:r>
      <w:r>
        <w:t xml:space="preserve"> (syn. </w:t>
      </w:r>
      <w:r>
        <w:rPr>
          <w:i/>
        </w:rPr>
        <w:t>Adhatoda vasica</w:t>
      </w:r>
      <w:r>
        <w:t xml:space="preserve">), arbuste de la famille des Acanthacées traditionnellement utilisé en médecine ayurvédique pour le traitement de la toux, de l'asthme et des affections bronchiques. La </w:t>
      </w:r>
      <w:r>
        <w:rPr>
          <w:b/>
        </w:rPr>
        <w:t>bromhexine</w:t>
      </w:r>
      <w:r>
        <w:t xml:space="preserve"> est un dérivé semi-synthétique de la vascine commercialisé en 1963 (Boehringer Ingelheim — </w:t>
      </w:r>
      <w:r>
        <w:rPr>
          <w:i/>
        </w:rPr>
        <w:t>Bisolvon</w:t>
      </w:r>
      <w:r>
        <w:t xml:space="preserve">™) ; son </w:t>
      </w:r>
      <w:r>
        <w:rPr>
          <w:b/>
        </w:rPr>
        <w:t>métabolite actif principal</w:t>
      </w:r>
      <w:r>
        <w:t xml:space="preserve"> est l'</w:t>
      </w:r>
      <w:r>
        <w:rPr>
          <w:b/>
        </w:rPr>
        <w:t>ambroxol</w:t>
      </w:r>
      <w:r>
        <w:t xml:space="preserve"> (commercialisé en 1978 — </w:t>
      </w:r>
      <w:r>
        <w:rPr>
          <w:i/>
        </w:rPr>
        <w:t>Mucosolvan</w:t>
      </w:r>
      <w:r>
        <w:t xml:space="preserve">™), obtenu par déméthylation et hydroxylation hépatique. La proximité chimique des deux molécules et le fait que l'ambroxol soit le métabolite actif de la bromhexine expliquent la similarité de leurs profils pharmacologiques, mais avec une </w:t>
      </w:r>
      <w:r>
        <w:rPr>
          <w:b/>
        </w:rPr>
        <w:t>plus grande puissance</w:t>
      </w:r>
      <w:r>
        <w:t xml:space="preserve"> et une </w:t>
      </w:r>
      <w:r>
        <w:rPr>
          <w:b/>
        </w:rPr>
        <w:t>meilleure tolérance digestive</w:t>
      </w:r>
      <w:r>
        <w:t xml:space="preserve"> pour l'ambroxol.</w:t>
      </w:r>
    </w:p>
    <w:p>
      <w:pPr>
        <w:pStyle w:val="Heading3"/>
      </w:pPr>
      <w:r>
        <w:t>Mécanisme d'action original</w:t>
      </w:r>
    </w:p>
    <w:p>
      <w:r>
        <w:t xml:space="preserve">Contrairement aux mucolytiques thiols (NAC, carbocistéine) qui clivent les ponts disulfure des mucines, les alcaloïdes vasiques (ambroxol, bromhexine) agissent par </w:t>
      </w:r>
      <w:r>
        <w:rPr>
          <w:b/>
        </w:rPr>
        <w:t>trois mécanismes complémentaires</w:t>
      </w:r>
      <w:r>
        <w:t xml:space="preserve"> :</w:t>
      </w:r>
    </w:p>
    <w:p>
      <w:pPr>
        <w:pStyle w:val="ListNumber"/>
      </w:pPr>
      <w:r/>
      <w:r>
        <w:rPr>
          <w:b/>
        </w:rPr>
        <w:t>Stimulation de la synthèse du surfactant pulmonaire</w:t>
      </w:r>
      <w:r>
        <w:t xml:space="preserve"> : l'ambroxol augmente la production de </w:t>
      </w:r>
      <w:r>
        <w:rPr>
          <w:b/>
        </w:rPr>
        <w:t>surfactant</w:t>
      </w:r>
      <w:r>
        <w:t xml:space="preserve"> par les </w:t>
      </w:r>
      <w:r>
        <w:rPr>
          <w:b/>
        </w:rPr>
        <w:t>pneumocytes de type II</w:t>
      </w:r>
      <w:r>
        <w:t xml:space="preserve"> (cellules alvéolaires). Le surfactant est un mélange lipidique (90 % phospholipides — dipalmitoylphosphatidylcholine DPPC — et 10 % protéines SP-A, SP-B, SP-C, SP-D) qui tapisse la surface alvéolaire et réduit la tension superficielle. Son augmentation améliore la compliance pulmonaire, prévient le collapsus alvéolaire, et facilite le transport mucociliaire des sécrétions proximales. Cette action est </w:t>
      </w:r>
      <w:r>
        <w:rPr>
          <w:b/>
        </w:rPr>
        <w:t>unique</w:t>
      </w:r>
      <w:r>
        <w:t xml:space="preserve"> à la classe des alcaloïdes vasiques (les thiols n'ont pas cet effet).</w:t>
      </w:r>
    </w:p>
    <w:p>
      <w:pPr>
        <w:pStyle w:val="ListNumber"/>
      </w:pPr>
      <w:r/>
      <w:r>
        <w:rPr>
          <w:b/>
        </w:rPr>
        <w:t>Activation de l'ascenseur mucociliaire</w:t>
      </w:r>
      <w:r>
        <w:t xml:space="preserve"> : l'ambroxol augmente la </w:t>
      </w:r>
      <w:r>
        <w:rPr>
          <w:b/>
        </w:rPr>
        <w:t>fréquence des battements ciliaires</w:t>
      </w:r>
      <w:r>
        <w:t xml:space="preserve"> (de 8–12 Hz à 12–16 Hz), ce qui accélère le transport mucociliaire des sécrétions proximales vers le pharynx.</w:t>
      </w:r>
    </w:p>
    <w:p>
      <w:pPr>
        <w:pStyle w:val="ListNumber"/>
      </w:pPr>
      <w:r/>
      <w:r>
        <w:rPr>
          <w:b/>
        </w:rPr>
        <w:t>Rééquilibre de la composition du mucus</w:t>
      </w:r>
      <w:r>
        <w:t xml:space="preserve"> : stimulation de la production de glycoprotéines fluides (sialomucines) au détriment des mucines acides sulfatées visqueuses ; effet « régulateur » comparable à la carbocistéine.</w:t>
      </w:r>
    </w:p>
    <w:p>
      <w:pPr>
        <w:pStyle w:val="Heading3"/>
      </w:pPr>
      <w:r>
        <w:t>Pharmacocinétique</w:t>
      </w:r>
    </w:p>
    <w:p>
      <w:pPr>
        <w:pStyle w:val="ListBullet"/>
      </w:pPr>
      <w:r/>
      <w:r>
        <w:rPr>
          <w:b/>
        </w:rPr>
        <w:t>Ambroxol par voie orale</w:t>
      </w:r>
      <w:r>
        <w:t xml:space="preserve"> : biodisponibilité 60–70 %, T_max 1–3 heures, liaison aux protéines plasmatiques 90 %, métabolisme hépatique (glucuronoconjugaison), demi-vie 7–12 heures. Élimination rénale majoritaire (formes conjuguées).</w:t>
      </w:r>
    </w:p>
    <w:p>
      <w:pPr>
        <w:pStyle w:val="ListBullet"/>
      </w:pPr>
      <w:r/>
      <w:r>
        <w:rPr>
          <w:b/>
        </w:rPr>
        <w:t>Bromhexine par voie orale</w:t>
      </w:r>
      <w:r>
        <w:t xml:space="preserve"> : biodisponibilité faible (20–30 %) en raison d'un effet de premier passage important (la bromhexine est rapidement déméthylée et hydroxylée en ambroxol), T_max 1 heure, demi-vie apparente courte (1 heure pour la bromhexine inchangue). Métabolisme hépatique complet en ambroxol et dérivés.</w:t>
      </w:r>
    </w:p>
    <w:p>
      <w:pPr>
        <w:pStyle w:val="Heading3"/>
      </w:pPr>
      <w:r>
        <w:t>Profil de tolérance</w:t>
      </w:r>
    </w:p>
    <w:p>
      <w:pPr>
        <w:pStyle w:val="ListBullet"/>
      </w:pPr>
      <w:r>
        <w:t>Tolérance digestive correcte (nausées, diarrhée occasionnels).</w:t>
      </w:r>
    </w:p>
    <w:p>
      <w:pPr>
        <w:pStyle w:val="ListBullet"/>
      </w:pPr>
      <w:r>
        <w:t>Allergie rare.</w:t>
      </w:r>
    </w:p>
    <w:p>
      <w:pPr>
        <w:pStyle w:val="ListBullet"/>
      </w:pPr>
      <w:r>
        <w:t xml:space="preserve">Réactions cutanées sévères (syndrome de Stevens-Johnson, syndrome de Lyell) exceptionnellement rapportées avec l'ambroxol — </w:t>
      </w:r>
      <w:r>
        <w:rPr>
          <w:b/>
        </w:rPr>
        <w:t>signalement ANSM 2014</w:t>
      </w:r>
      <w:r>
        <w:t xml:space="preserve"> et retrait de certaines formes liquides orales chez l'enfant de moins de 6 ans en France en raison d'un risque de surdosage (mais les formes algériennes restent actives en Avril 2026, sous prescription médicale stricte chez l'enfant de moins de 2 ans).</w:t>
      </w:r>
    </w:p>
    <w:p>
      <w:pPr>
        <w:pStyle w:val="Heading3"/>
      </w:pPr>
      <w:r>
        <w:t>Place dans la stratégie</w:t>
      </w:r>
    </w:p>
    <w:p>
      <w:pPr>
        <w:pStyle w:val="ListBullet"/>
      </w:pPr>
      <w:r>
        <w:t>Bronchite aiguë de l'adulte et de l'enfant (efficacité modeste mais réelle sur la toux productive).</w:t>
      </w:r>
    </w:p>
    <w:p>
      <w:pPr>
        <w:pStyle w:val="ListBullet"/>
      </w:pPr>
      <w:r>
        <w:t>Encombrement bronchique en pédiatrie (sirop d'ambroxol largement utilisé en Algérie).</w:t>
      </w:r>
    </w:p>
    <w:p>
      <w:pPr>
        <w:pStyle w:val="ListBullet"/>
      </w:pPr>
      <w:r>
        <w:t>BPCO et DDB en traitement adjuvant.</w:t>
      </w:r>
    </w:p>
    <w:p>
      <w:pPr>
        <w:pStyle w:val="ListBullet"/>
      </w:pPr>
      <w:r>
        <w:t>Prévention des complications respiratoires en péri-opératoire et chez les patients sous ventilation mécanique (réduction des atélectasies).</w:t>
      </w:r>
    </w:p>
    <w:p>
      <w:pPr>
        <w:pStyle w:val="Heading2"/>
      </w:pPr>
      <w:r>
        <w:t>5. Fiches DCI — Alcaloïdes vasiques</w:t>
      </w:r>
    </w:p>
    <w:p>
      <w:pPr>
        <w:pStyle w:val="Heading3"/>
      </w:pPr>
      <w:r>
        <w:t>5.1. DCI : Ambroxol (Seule)</w:t>
      </w:r>
    </w:p>
    <w:p>
      <w:r/>
      <w:r>
        <w:rPr>
          <w:b/>
        </w:rPr>
        <w:t>Liste des Catégories :</w:t>
      </w:r>
      <w:r>
        <w:t xml:space="preserve"> Mucolytique, Fluidifiant bronchique, Stimulateur du surfactant, Activateur ciliaire, Stimulation de l'expectoration.</w:t>
      </w:r>
    </w:p>
    <w:p>
      <w:r>
        <w:t>L'</w:t>
      </w:r>
      <w:r>
        <w:rPr>
          <w:b/>
        </w:rPr>
        <w:t>ambroxol</w:t>
      </w:r>
      <w:r>
        <w:t xml:space="preserve"> est le métabolite actif principal de la </w:t>
      </w:r>
      <w:r>
        <w:rPr>
          <w:b/>
        </w:rPr>
        <w:t>bromhexine</w:t>
      </w:r>
      <w:r>
        <w:t xml:space="preserve"> (obtenu par déméthylation et hydroxylation hépatiques), commercialisé comme molécule propre depuis 1978. Son originalité repose sur la </w:t>
      </w:r>
      <w:r>
        <w:rPr>
          <w:b/>
        </w:rPr>
        <w:t>stimulation de la synthèse du surfactant</w:t>
      </w:r>
      <w:r>
        <w:t xml:space="preserve"> pulmonaire par les pneumocytes de type II — un mécanisme unique parmi les mucolytiques, qui complète l'activation de l'ascenseur mucociliaire et le rééquilibrage de la composition du mucus. Sa biodisponibilité orale est de 60–70 %, avec un pic plasmatique à 1–3 heures et une demi-vie de 7–12 heures (permettant une administration biquotidienne).</w:t>
      </w:r>
    </w:p>
    <w:p>
      <w:r/>
      <w:r>
        <w:rPr>
          <w:b/>
        </w:rPr>
        <w:t>Médicaments disponibles en Algérie (Marques, Laboratoires, Formes et Dosages) :</w:t>
      </w:r>
      <w:r/>
    </w:p>
    <w:p>
      <w:r/>
      <w:r>
        <w:rPr>
          <w:i/>
        </w:rPr>
        <w:t>Spécialités actives — Solution buvable (sirop) :</w:t>
      </w:r>
      <w:r/>
    </w:p>
    <w:p>
      <w:pPr>
        <w:pStyle w:val="ListBullet"/>
      </w:pPr>
      <w:r/>
      <w:r>
        <w:rPr>
          <w:b/>
        </w:rPr>
        <w:t>AMBOLAR</w:t>
      </w:r>
      <w:r>
        <w:t xml:space="preserve"> (DAR AL DAWA) — Solution buvable 0,003 (soit 3 mg/mL) — Flacon de 150 mL — Liste II — Statut : Actif</w:t>
      </w:r>
    </w:p>
    <w:p>
      <w:pPr>
        <w:pStyle w:val="ListBullet"/>
      </w:pPr>
      <w:r/>
      <w:r>
        <w:rPr>
          <w:b/>
        </w:rPr>
        <w:t>AMBRODAL</w:t>
      </w:r>
      <w:r>
        <w:t xml:space="preserve"> (PHARMIDAL NS) — Solution buvable 0,003 — Flacon de 100 mL — Liste II — Statut : Actif</w:t>
      </w:r>
    </w:p>
    <w:p>
      <w:pPr>
        <w:pStyle w:val="ListBullet"/>
      </w:pPr>
      <w:r/>
      <w:r>
        <w:rPr>
          <w:b/>
        </w:rPr>
        <w:t>BROXOL</w:t>
      </w:r>
      <w:r>
        <w:t xml:space="preserve"> (SARL GROUPE SANTE) — Sirop 0,003 — Flacon de 100 mL — Liste II — Statut : Actif</w:t>
      </w:r>
    </w:p>
    <w:p>
      <w:pPr>
        <w:pStyle w:val="ListBullet"/>
      </w:pPr>
      <w:r/>
      <w:r>
        <w:rPr>
          <w:b/>
        </w:rPr>
        <w:t>FLUXOL</w:t>
      </w:r>
      <w:r>
        <w:t xml:space="preserve"> (LABORATOIRE ALGERIEN DU MEDICAMENT) — Solution buvable 0,003 — Flacon de 200 mL — Liste II — Statut : Actif</w:t>
      </w:r>
    </w:p>
    <w:p>
      <w:pPr>
        <w:pStyle w:val="ListBullet"/>
      </w:pPr>
      <w:r/>
      <w:r>
        <w:rPr>
          <w:b/>
        </w:rPr>
        <w:t>IXOL</w:t>
      </w:r>
      <w:r>
        <w:t xml:space="preserve"> (INPHA-MEDIS) — Solution buvable 0,003 — Flacon de 200 mL — Liste II — Statut : Actif</w:t>
      </w:r>
    </w:p>
    <w:p>
      <w:pPr>
        <w:pStyle w:val="ListBullet"/>
      </w:pPr>
      <w:r/>
      <w:r>
        <w:rPr>
          <w:b/>
        </w:rPr>
        <w:t>MUCOREX</w:t>
      </w:r>
      <w:r>
        <w:t xml:space="preserve"> (ISOPHARM ALGERIE) — Solution buvable 0,003 — Flacon de 150 mL — Statut : Actif</w:t>
      </w:r>
    </w:p>
    <w:p>
      <w:pPr>
        <w:pStyle w:val="ListBullet"/>
      </w:pPr>
      <w:r/>
      <w:r>
        <w:rPr>
          <w:b/>
        </w:rPr>
        <w:t>MUXOL</w:t>
      </w:r>
      <w:r>
        <w:t xml:space="preserve"> (PROPHARMAL) — Solution buvable 0,003 — Flacon de 180 mL — Liste II — Statut : Actif</w:t>
      </w:r>
    </w:p>
    <w:p>
      <w:pPr>
        <w:pStyle w:val="ListBullet"/>
      </w:pPr>
      <w:r/>
      <w:r>
        <w:rPr>
          <w:b/>
        </w:rPr>
        <w:t>MUXOMEX</w:t>
      </w:r>
      <w:r>
        <w:t xml:space="preserve"> (KPMA BIOTIC) — Solution buvable 0,003 — Flacon — Liste II — Statut : Actif</w:t>
      </w:r>
    </w:p>
    <w:p>
      <w:pPr>
        <w:pStyle w:val="ListBullet"/>
      </w:pPr>
      <w:r/>
      <w:r>
        <w:rPr>
          <w:b/>
        </w:rPr>
        <w:t>TOUXOL</w:t>
      </w:r>
      <w:r>
        <w:t xml:space="preserve"> (LAD PHARMA) — Solution buvable 0,003 — Flacon de 125 mL — Liste II — Statut : Actif</w:t>
      </w:r>
    </w:p>
    <w:p>
      <w:r/>
      <w:r>
        <w:rPr>
          <w:i/>
        </w:rPr>
        <w:t>Spécialités non renouvelables :</w:t>
      </w:r>
      <w:r/>
    </w:p>
    <w:p>
      <w:pPr>
        <w:pStyle w:val="ListBullet"/>
      </w:pPr>
      <w:r/>
      <w:r>
        <w:rPr>
          <w:b/>
        </w:rPr>
        <w:t>AMBROBIOTIC</w:t>
      </w:r>
      <w:r>
        <w:t xml:space="preserve"> (GROUPE SAIDAL) — Sirop 0,003 — Flacon de 125 mL — Liste II — Statut : Non Renouvelable</w:t>
      </w:r>
    </w:p>
    <w:p>
      <w:pPr>
        <w:pStyle w:val="ListBullet"/>
      </w:pPr>
      <w:r/>
      <w:r>
        <w:rPr>
          <w:b/>
        </w:rPr>
        <w:t>SOLUXOL</w:t>
      </w:r>
      <w:r>
        <w:t xml:space="preserve"> (PHARMALLIANCE) — Solution buvable 0,003 — Flacon de 200 mL — Liste II — Statut : Non Renouvelable</w:t>
      </w:r>
    </w:p>
    <w:p>
      <w:pPr>
        <w:pStyle w:val="ListBullet"/>
      </w:pPr>
      <w:r/>
      <w:r>
        <w:rPr>
          <w:b/>
        </w:rPr>
        <w:t>AMBROBIOTIC LP</w:t>
      </w:r>
      <w:r>
        <w:t xml:space="preserve"> (GROUPE SAIDAL) — Pellets en gélules LP 75 mg — Boîte de 20 — Liste II — Statut : Non Renouvelable</w:t>
      </w:r>
    </w:p>
    <w:p>
      <w:r/>
      <w:r>
        <w:rPr>
          <w:i/>
        </w:rPr>
        <w:t>Spécialités retirées (R) :</w:t>
      </w:r>
      <w:r/>
    </w:p>
    <w:p>
      <w:pPr>
        <w:pStyle w:val="ListBullet"/>
      </w:pPr>
      <w:r/>
      <w:r>
        <w:rPr>
          <w:b/>
        </w:rPr>
        <w:t>AMBROXOL BIOGARAN</w:t>
      </w:r>
      <w:r>
        <w:t xml:space="preserve"> (BIOGARAN) — Comprimé sécable 30 mg — Boîte de 30 — Liste II — Statut : Retiré (R)</w:t>
      </w:r>
    </w:p>
    <w:p>
      <w:pPr>
        <w:pStyle w:val="ListBullet"/>
      </w:pPr>
      <w:r/>
      <w:r>
        <w:rPr>
          <w:b/>
        </w:rPr>
        <w:t>MUXOL Gé</w:t>
      </w:r>
      <w:r>
        <w:t xml:space="preserve"> (LEURQUIN MEDIOLANUM) — Comprimé 30 mg — Boîte de 30 — Liste II — Statut : Retiré (R)</w:t>
      </w:r>
    </w:p>
    <w:p>
      <w:r/>
      <w:r>
        <w:rPr>
          <w:b/>
        </w:rPr>
        <w:t>Sous-classe et Mécanisme d'action :</w:t>
      </w:r>
      <w:r/>
    </w:p>
    <w:p>
      <w:pPr>
        <w:pStyle w:val="ListBullet"/>
      </w:pPr>
      <w:r/>
      <w:r>
        <w:rPr>
          <w:b/>
        </w:rPr>
        <w:t>Sous-classe</w:t>
      </w:r>
      <w:r>
        <w:t xml:space="preserve"> : Mucolytique de la famille des </w:t>
      </w:r>
      <w:r>
        <w:rPr>
          <w:b/>
        </w:rPr>
        <w:t>dérivés alcaloïdes vasiques</w:t>
      </w:r>
      <w:r>
        <w:t>, métabolite actif principal de la bromhexine.</w:t>
      </w:r>
    </w:p>
    <w:p>
      <w:pPr>
        <w:pStyle w:val="ListBullet"/>
      </w:pPr>
      <w:r/>
      <w:r>
        <w:rPr>
          <w:b/>
        </w:rPr>
        <w:t>Mécanisme d'action</w:t>
      </w:r>
      <w:r>
        <w:t xml:space="preserve"> : l'ambroxol exerce un effet mucolytique et fluidifiant par </w:t>
      </w:r>
      <w:r>
        <w:rPr>
          <w:b/>
        </w:rPr>
        <w:t>trois mécanismes complémentaires</w:t>
      </w:r>
      <w:r>
        <w:t xml:space="preserve"> :</w:t>
      </w:r>
    </w:p>
    <w:p>
      <w:pPr>
        <w:pStyle w:val="ListNumber"/>
      </w:pPr>
      <w:r/>
      <w:r>
        <w:rPr>
          <w:b/>
        </w:rPr>
        <w:t>Stimulation de la synthèse du surfactant pulmonaire</w:t>
      </w:r>
      <w:r>
        <w:t xml:space="preserve"> par les pneumocytes de type II — le surfactant (mélange de phospholipides DPPC 90 % et de protéines SP-A/B/C/D 10 %) réduit la tension superficielle alvéolaire, prévient le collapsus alvéolaire, et facilite le transport mucociliaire des sécrétions proximales. Cette action est </w:t>
      </w:r>
      <w:r>
        <w:rPr>
          <w:b/>
        </w:rPr>
        <w:t>unique</w:t>
      </w:r>
      <w:r>
        <w:t xml:space="preserve"> à l'ambroxol (et à la bromhexine via son métabolisme en ambroxol) et n'est pas partagée par les mucolytiques thiols.</w:t>
      </w:r>
    </w:p>
    <w:p>
      <w:pPr>
        <w:pStyle w:val="ListNumber"/>
      </w:pPr>
      <w:r/>
      <w:r>
        <w:rPr>
          <w:b/>
        </w:rPr>
        <w:t>Activation de l'ascenseur mucociliaire</w:t>
      </w:r>
      <w:r>
        <w:t xml:space="preserve"> : augmentation de la fréquence des battements ciliaires (de 8–12 Hz à 12–16 Hz), accélération du transport mucociliaire.</w:t>
      </w:r>
    </w:p>
    <w:p>
      <w:pPr>
        <w:pStyle w:val="ListNumber"/>
      </w:pPr>
      <w:r/>
      <w:r>
        <w:rPr>
          <w:b/>
        </w:rPr>
        <w:t>Rééquilibre de la composition du mucus</w:t>
      </w:r>
      <w:r>
        <w:t xml:space="preserve"> : stimulation de la synthèse de glycoprotéines fluides (sialomucines) au détriment des mucines acides sulfatées visqueuses, réduction de l'adhésivité du mucus.</w:t>
      </w:r>
    </w:p>
    <w:p>
      <w:pPr>
        <w:pStyle w:val="ListNumber"/>
      </w:pPr>
      <w:r/>
      <w:r>
        <w:rPr>
          <w:b/>
        </w:rPr>
        <w:t>Effet antibactérien et anti-inflammatoire modeste</w:t>
      </w:r>
      <w:r>
        <w:t xml:space="preserve"> (in vitro) : potentialisation de l'amoxicilline, de l'érythromycine, de l'amoxicilline + acide clavulanique dans les sécrétions bronchiques ; inhibition de la production de cytokines pro-inflammatoires (TNF-α, IL-6) par les macrophages alvéolaires. Activité locale anesthésique (interaction avec les canaux sodiques voltage-dépendants — l'ambroxol est utilisé comme anesthésique local dans certaines pastilles à sucer pour maux de gorge).</w:t>
      </w:r>
    </w:p>
    <w:p>
      <w:r/>
      <w:r>
        <w:rPr>
          <w:b/>
        </w:rPr>
        <w:t>Profil Pharmacologique :</w:t>
      </w:r>
      <w:r/>
    </w:p>
    <w:p>
      <w:pPr>
        <w:pStyle w:val="ListBullet"/>
      </w:pPr>
      <w:r/>
      <w:r>
        <w:rPr>
          <w:b/>
        </w:rPr>
        <w:t>Indications</w:t>
      </w:r>
      <w:r>
        <w:t xml:space="preserve"> :</w:t>
      </w:r>
    </w:p>
    <w:p>
      <w:pPr>
        <w:pStyle w:val="ListBullet"/>
      </w:pPr>
      <w:r>
        <w:t>Encombrement bronchique et troubles de l'expectoration (bronchite aiguë, surinfection de BPCO, dilatation des bronches, asthme aigu).</w:t>
      </w:r>
    </w:p>
    <w:p>
      <w:pPr>
        <w:pStyle w:val="ListBullet"/>
      </w:pPr>
      <w:r>
        <w:t>Toux productive (surtout chez l'enfant — sirop largement prescrit en pédiatrie).</w:t>
      </w:r>
    </w:p>
    <w:p>
      <w:pPr>
        <w:pStyle w:val="ListBullet"/>
      </w:pPr>
      <w:r>
        <w:t>Préparation à la fibroscopie bronchique (fluidification des sécrétions pour faciliter l'examen).</w:t>
      </w:r>
    </w:p>
    <w:p>
      <w:pPr>
        <w:pStyle w:val="ListBullet"/>
      </w:pPr>
      <w:r>
        <w:t>Péri-opératoire de chirurgie thoracique et abdominale haute (prévention des atélectasies).</w:t>
      </w:r>
    </w:p>
    <w:p>
      <w:pPr>
        <w:pStyle w:val="ListBullet"/>
      </w:pPr>
      <w:r>
        <w:t>Détresse respiratoire du nouveau-né (déficit en surfactant — amélioration de la fonction respiratoire, usage hospitalier spécialisé).</w:t>
      </w:r>
    </w:p>
    <w:p>
      <w:pPr>
        <w:pStyle w:val="ListBullet"/>
      </w:pPr>
      <w:r>
        <w:t>*Pastilles à sucer pour maux de gorge* (effet anesthésique local — non commercialisé en Algérie dans cette indication).</w:t>
      </w:r>
    </w:p>
    <w:p>
      <w:pPr>
        <w:pStyle w:val="ListBullet"/>
      </w:pPr>
      <w:r/>
      <w:r>
        <w:rPr>
          <w:b/>
        </w:rPr>
        <w:t>Contre-indications</w:t>
      </w:r>
      <w:r>
        <w:t xml:space="preserve"> :</w:t>
      </w:r>
    </w:p>
    <w:p>
      <w:pPr>
        <w:pStyle w:val="ListBullet"/>
      </w:pPr>
      <w:r>
        <w:t>Hypersensibilité à l'ambroxol.</w:t>
      </w:r>
    </w:p>
    <w:p>
      <w:pPr>
        <w:pStyle w:val="ListBullet"/>
      </w:pPr>
      <w:r/>
      <w:r>
        <w:rPr>
          <w:b/>
        </w:rPr>
        <w:t>Ulcère gastro-duodénal en poussée</w:t>
      </w:r>
      <w:r>
        <w:t xml:space="preserve"> (risque d'irritation gastrique).</w:t>
      </w:r>
    </w:p>
    <w:p>
      <w:pPr>
        <w:pStyle w:val="ListBullet"/>
      </w:pPr>
      <w:r/>
      <w:r>
        <w:rPr>
          <w:b/>
        </w:rPr>
        <w:t>Phénylcétonurie</w:t>
      </w:r>
      <w:r>
        <w:t xml:space="preserve"> (si aspartam présent dans certaines formes — vérifier la composition).</w:t>
      </w:r>
    </w:p>
    <w:p>
      <w:pPr>
        <w:pStyle w:val="ListBullet"/>
      </w:pPr>
      <w:r>
        <w:t>*Nourrisson &lt; 2 ans* : sous surveillance médicale stricte (l'ANSM recommande l'usage médical encadré chez le jeune nourrisson depuis 2014 en raison de signalements d'effets indésirables graves — syndrome de Stevens-Johnson, syndrome de Lyell — bien que la relation causale soit discutée).</w:t>
      </w:r>
    </w:p>
    <w:p>
      <w:pPr>
        <w:pStyle w:val="ListBullet"/>
      </w:pPr>
      <w:r/>
      <w:r>
        <w:rPr>
          <w:b/>
        </w:rPr>
        <w:t>Effets Indésirables</w:t>
      </w:r>
      <w:r>
        <w:t xml:space="preserve"> :</w:t>
      </w:r>
    </w:p>
    <w:p>
      <w:pPr>
        <w:pStyle w:val="ListBullet"/>
      </w:pPr>
      <w:r>
        <w:t>*Digestifs* (peu fréquents, 1–5 %) : nausées, vomissements, diarrhée, douleurs épigastriques, sécheresse buccale.</w:t>
      </w:r>
    </w:p>
    <w:p>
      <w:pPr>
        <w:pStyle w:val="ListBullet"/>
      </w:pPr>
      <w:r>
        <w:t>*Cutanés* (rares) : rash, urticaire, prurit ; réactions cutanées sévères exceptionnelles (syndrome de Stevens-Johnson, syndrome de Lyell — signalement ANSM 2014, relation causale non formellement établie).</w:t>
      </w:r>
    </w:p>
    <w:p>
      <w:pPr>
        <w:pStyle w:val="ListBullet"/>
      </w:pPr>
      <w:r>
        <w:t>*Respiratoires* (rares) : bronchospasme (risque moindre qu'avec la NAC inhalée).</w:t>
      </w:r>
    </w:p>
    <w:p>
      <w:pPr>
        <w:pStyle w:val="ListBullet"/>
      </w:pPr>
      <w:r>
        <w:t>*Neurologiques* (peu fréquents) : céphalées, vertiges.</w:t>
      </w:r>
    </w:p>
    <w:p>
      <w:pPr>
        <w:pStyle w:val="ListBullet"/>
      </w:pPr>
      <w:r>
        <w:t>*Hépatiques* (très rares) : élévation des transaminases (ASAT, ALAT).</w:t>
      </w:r>
    </w:p>
    <w:p>
      <w:r/>
      <w:r>
        <w:rPr>
          <w:b/>
        </w:rPr>
        <w:t>Prévention et Gestion des Effets Indésirables :</w:t>
      </w:r>
      <w:r/>
    </w:p>
    <w:p>
      <w:pPr>
        <w:pStyle w:val="ListBullet"/>
      </w:pPr>
      <w:r/>
      <w:r>
        <w:rPr>
          <w:b/>
        </w:rPr>
        <w:t>Mesures Préventives</w:t>
      </w:r>
      <w:r>
        <w:t xml:space="preserve"> :</w:t>
      </w:r>
    </w:p>
    <w:p>
      <w:pPr>
        <w:pStyle w:val="ListBullet"/>
      </w:pPr>
      <w:r>
        <w:t xml:space="preserve">Administrer </w:t>
      </w:r>
      <w:r>
        <w:rPr>
          <w:b/>
        </w:rPr>
        <w:t>pendant les repas</w:t>
      </w:r>
      <w:r>
        <w:t xml:space="preserve"> pour réduire la tolérance digestive.</w:t>
      </w:r>
    </w:p>
    <w:p>
      <w:pPr>
        <w:pStyle w:val="ListBullet"/>
      </w:pPr>
      <w:r/>
      <w:r>
        <w:rPr>
          <w:b/>
        </w:rPr>
        <w:t>Hydratation abondante</w:t>
      </w:r>
      <w:r>
        <w:t xml:space="preserve"> (1,5–2 L/jour) pour potentialiser l'effet fluidifiant.</w:t>
      </w:r>
    </w:p>
    <w:p>
      <w:pPr>
        <w:pStyle w:val="ListBullet"/>
      </w:pPr>
      <w:r/>
      <w:r>
        <w:rPr>
          <w:b/>
        </w:rPr>
        <w:t>Durée maximale 5–7 jours</w:t>
      </w:r>
      <w:r>
        <w:t xml:space="preserve"> en automédication ; traitement prolongé possible sous surveillance médicale (BPCO, DDB).</w:t>
      </w:r>
    </w:p>
    <w:p>
      <w:pPr>
        <w:pStyle w:val="ListBullet"/>
      </w:pPr>
      <w:r/>
      <w:r>
        <w:rPr>
          <w:b/>
        </w:rPr>
        <w:t>Chez le nourrisson &lt; 2 ans</w:t>
      </w:r>
      <w:r>
        <w:t xml:space="preserve"> : prescription médicale obligatoire, surveillance rapprochée.</w:t>
      </w:r>
    </w:p>
    <w:p>
      <w:pPr>
        <w:pStyle w:val="ListBullet"/>
      </w:pPr>
      <w:r>
        <w:t xml:space="preserve">Information patient sur les </w:t>
      </w:r>
      <w:r>
        <w:rPr>
          <w:b/>
        </w:rPr>
        <w:t>signes cutanés</w:t>
      </w:r>
      <w:r>
        <w:t xml:space="preserve"> à surveiller (rash, éruption bulleuse, décollement cutané) — arrêt immédiat et consultation si survenue.</w:t>
      </w:r>
    </w:p>
    <w:p>
      <w:pPr>
        <w:pStyle w:val="ListBullet"/>
      </w:pPr>
      <w:r/>
      <w:r>
        <w:rPr>
          <w:b/>
        </w:rPr>
        <w:t>Conduite à Tenir</w:t>
      </w:r>
      <w:r>
        <w:t xml:space="preserve"> :</w:t>
      </w:r>
    </w:p>
    <w:p>
      <w:pPr>
        <w:pStyle w:val="ListBullet"/>
      </w:pPr>
      <w:r>
        <w:t xml:space="preserve">*En cas de rash ou d'éruption cutanée* : </w:t>
      </w:r>
      <w:r>
        <w:rPr>
          <w:b/>
        </w:rPr>
        <w:t>arrêt immédiat</w:t>
      </w:r>
      <w:r>
        <w:t xml:space="preserve"> du traitement, consultation médicale en urgence (recherche de syndrome de Stevens-Johnson / Lyell).</w:t>
      </w:r>
    </w:p>
    <w:p>
      <w:pPr>
        <w:pStyle w:val="ListBullet"/>
      </w:pPr>
      <w:r>
        <w:t>*En cas de nausées/vomissements* : réduire la dose, fractionner les prises.</w:t>
      </w:r>
    </w:p>
    <w:p>
      <w:pPr>
        <w:pStyle w:val="ListBullet"/>
      </w:pPr>
      <w:r>
        <w:t>*En cas de toux persistante &gt; 7 jours* : arrêt et consultation médicale (recherche d'une cause sous-jacente).</w:t>
      </w:r>
    </w:p>
    <w:p>
      <w:pPr>
        <w:pStyle w:val="ListBullet"/>
      </w:pPr>
      <w:r>
        <w:t>*En cas d'élévation des transaminases* : arrêt et bilan hépatique.</w:t>
      </w:r>
    </w:p>
    <w:p>
      <w:r/>
      <w:r>
        <w:rPr>
          <w:b/>
        </w:rPr>
        <w:t>Interactions Importantes :</w:t>
      </w:r>
      <w:r/>
    </w:p>
    <w:p>
      <w:pPr>
        <w:pStyle w:val="ListBullet"/>
      </w:pPr>
      <w:r/>
      <w:r>
        <w:rPr>
          <w:b/>
        </w:rPr>
        <w:t>Ambroxol + antibiotiques</w:t>
      </w:r>
      <w:r>
        <w:t xml:space="preserve"> (amoxicilline, érythromycine, amoxicilline + acide clavulanique, céphalosporines, doxycycline) : </w:t>
      </w:r>
      <w:r>
        <w:rPr>
          <w:b/>
        </w:rPr>
        <w:t>potentialisation</w:t>
      </w:r>
      <w:r>
        <w:t xml:space="preserve"> de la concentration antibiotique dans les sécrétions bronchiques — effet bénéfique recherché (synergie dans les infections respiratoires basses). Pas de contre-indication, mais possibilité d'adapter la dose antibiotique.</w:t>
      </w:r>
    </w:p>
    <w:p>
      <w:pPr>
        <w:pStyle w:val="ListBullet"/>
      </w:pPr>
      <w:r/>
      <w:r>
        <w:rPr>
          <w:b/>
        </w:rPr>
        <w:t>Ambroxol + antitussifs</w:t>
      </w:r>
      <w:r>
        <w:t xml:space="preserve"> : effet contradictoire — éviter l'association.</w:t>
      </w:r>
    </w:p>
    <w:p>
      <w:pPr>
        <w:pStyle w:val="ListBullet"/>
      </w:pPr>
      <w:r/>
      <w:r>
        <w:rPr>
          <w:b/>
        </w:rPr>
        <w:t>Ambroxol + AINS</w:t>
      </w:r>
      <w:r>
        <w:t xml:space="preserve"> : potentialisation de la toxicité gastrique.</w:t>
      </w:r>
    </w:p>
    <w:p>
      <w:pPr>
        <w:pStyle w:val="ListBullet"/>
      </w:pPr>
      <w:r/>
      <w:r>
        <w:rPr>
          <w:b/>
        </w:rPr>
        <w:t>Ambroxol + codeine</w:t>
      </w:r>
      <w:r>
        <w:t xml:space="preserve"> (sirop Daktousse™, etc.) : à éviter en raison de l'effet antitussif de la codéine qui bloquerait l'expectoration fluidifiée par l'ambroxol.</w:t>
      </w:r>
    </w:p>
    <w:p>
      <w:r/>
      <w:r>
        <w:rPr>
          <w:b/>
        </w:rPr>
        <w:t>Grossesse et Allaitement :</w:t>
      </w:r>
      <w:r/>
    </w:p>
    <w:p>
      <w:pPr>
        <w:pStyle w:val="ListBullet"/>
      </w:pPr>
      <w:r/>
      <w:r>
        <w:rPr>
          <w:b/>
        </w:rPr>
        <w:t>Grossesse</w:t>
      </w:r>
      <w:r>
        <w:t xml:space="preserve"> : selon le CRAT — les études animales ne révèlent pas d'effet malformatif mais les données humaines sont limitées. L'ambroxol est </w:t>
      </w:r>
      <w:r>
        <w:rPr>
          <w:b/>
        </w:rPr>
        <w:t>déconseillé au 1er trimestre</w:t>
      </w:r>
      <w:r>
        <w:t xml:space="preserve"> de grossesse par prudence (et en raison de l'effet sur le surfactant fœtal, en théorie). </w:t>
      </w:r>
      <w:r>
        <w:rPr>
          <w:b/>
        </w:rPr>
        <w:t>Au 2e et 3e trimestre</w:t>
      </w:r>
      <w:r>
        <w:t xml:space="preserve"> : compatible en cas de nécessité clinique. À noter : l'ambroxol a été utilisé expérimentalement pour </w:t>
      </w:r>
      <w:r>
        <w:rPr>
          <w:b/>
        </w:rPr>
        <w:t>induire la maturation fœtale du surfactant</w:t>
      </w:r>
      <w:r>
        <w:t xml:space="preserve"> en cas de menace d'accouchement prématuré (28–34 semaines), mais cette pratique est </w:t>
      </w:r>
      <w:r>
        <w:rPr>
          <w:b/>
        </w:rPr>
        <w:t>abandonnée</w:t>
      </w:r>
      <w:r>
        <w:t xml:space="preserve"> au profit des corticoïdes (bétaméthasone, dexaméthasone) qui sont plus efficaces.</w:t>
      </w:r>
    </w:p>
    <w:p>
      <w:pPr>
        <w:pStyle w:val="ListBullet"/>
      </w:pPr>
      <w:r/>
      <w:r>
        <w:rPr>
          <w:b/>
        </w:rPr>
        <w:t>Allaitement</w:t>
      </w:r>
      <w:r>
        <w:t xml:space="preserve"> : selon LactMed — l'ambroxol passe dans le lait maternel en faible quantité ; </w:t>
      </w:r>
      <w:r>
        <w:rPr>
          <w:b/>
        </w:rPr>
        <w:t>déconseillé</w:t>
      </w:r>
      <w:r>
        <w:t xml:space="preserve"> par prudence pendant l'allaitement (préférer la NAC ou la carbocistéine si mucolytique nécessaire).</w:t>
      </w:r>
    </w:p>
    <w:p>
      <w:pPr>
        <w:pStyle w:val="ListBullet"/>
      </w:pPr>
      <w:r/>
      <w:r>
        <w:rPr>
          <w:b/>
        </w:rPr>
        <w:t>Précisions</w:t>
      </w:r>
      <w:r>
        <w:t xml:space="preserve"> : pendant la grossesse, </w:t>
      </w:r>
      <w:r>
        <w:rPr>
          <w:b/>
        </w:rPr>
        <w:t>privilégier les mesures non-médicamenteuses</w:t>
      </w:r>
      <w:r>
        <w:t xml:space="preserve"> (hydratation, lavage nasal au sérum physiologique) ; si mucolytique nécessaire au 2e/3e trimestre, la carbocistéine est un meilleur choix que l'ambroxol.</w:t>
      </w:r>
    </w:p>
    <w:p>
      <w:r/>
      <w:r>
        <w:rPr>
          <w:b/>
        </w:rPr>
        <w:t>Posologie et Mode d'administration (Standard) :</w:t>
      </w:r>
      <w:r/>
    </w:p>
    <w:p>
      <w:pPr>
        <w:pStyle w:val="ListBullet"/>
      </w:pPr>
      <w:r/>
      <w:r>
        <w:rPr>
          <w:b/>
        </w:rPr>
        <w:t>Adulte</w:t>
      </w:r>
      <w:r>
        <w:t xml:space="preserve"> :</w:t>
      </w:r>
    </w:p>
    <w:p>
      <w:pPr>
        <w:pStyle w:val="ListBullet"/>
      </w:pPr>
      <w:r>
        <w:t xml:space="preserve">Solution buvable 0,003 (3 mg/mL) : </w:t>
      </w:r>
      <w:r>
        <w:rPr>
          <w:b/>
        </w:rPr>
        <w:t>10 mL x 3 fois/jour</w:t>
      </w:r>
      <w:r>
        <w:t xml:space="preserve"> (soit 30 mg x 3/jour = 90 mg/jour) pendant les 5–7 premiers jours, puis </w:t>
      </w:r>
      <w:r>
        <w:rPr>
          <w:b/>
        </w:rPr>
        <w:t>10 mL x 2 fois/jour</w:t>
      </w:r>
      <w:r>
        <w:t xml:space="preserve"> (60 mg/jour) en traitement d'entretien.</w:t>
      </w:r>
    </w:p>
    <w:p>
      <w:pPr>
        <w:pStyle w:val="ListBullet"/>
      </w:pPr>
      <w:r>
        <w:t>*Forme comprimé 30 mg* (retirée du marché algérien) : historiquement 1 cp x 3/jour (90 mg/jour), puis 1 cp x 2/jour (60 mg/jour).</w:t>
      </w:r>
    </w:p>
    <w:p>
      <w:pPr>
        <w:pStyle w:val="ListBullet"/>
      </w:pPr>
      <w:r>
        <w:t>*Forme gélule LP 75 mg* (non renouvelable) : 1 gélule x 1/jour (75 mg/jour — administration unique quotidienne).</w:t>
      </w:r>
    </w:p>
    <w:p>
      <w:pPr>
        <w:pStyle w:val="ListBullet"/>
      </w:pPr>
      <w:r/>
      <w:r>
        <w:rPr>
          <w:b/>
        </w:rPr>
        <w:t>Enfant</w:t>
      </w:r>
      <w:r>
        <w:t xml:space="preserve"> :</w:t>
      </w:r>
    </w:p>
    <w:p>
      <w:pPr>
        <w:pStyle w:val="ListBullet"/>
      </w:pPr>
      <w:r>
        <w:t xml:space="preserve">Nourrisson (&lt; 2 ans) : </w:t>
      </w:r>
      <w:r>
        <w:rPr>
          <w:b/>
        </w:rPr>
        <w:t>1 mL (3 mg) x 2 fois/jour</w:t>
      </w:r>
      <w:r>
        <w:t xml:space="preserve"> (6 mg/jour) — sous surveillance médicale stricte.</w:t>
      </w:r>
    </w:p>
    <w:p>
      <w:pPr>
        <w:pStyle w:val="ListBullet"/>
      </w:pPr>
      <w:r>
        <w:t xml:space="preserve">Enfant 2–5 ans : </w:t>
      </w:r>
      <w:r>
        <w:rPr>
          <w:b/>
        </w:rPr>
        <w:t>2,5 mL (7,5 mg) x 3 fois/jour</w:t>
      </w:r>
      <w:r>
        <w:t xml:space="preserve"> (22,5 mg/jour).</w:t>
      </w:r>
    </w:p>
    <w:p>
      <w:pPr>
        <w:pStyle w:val="ListBullet"/>
      </w:pPr>
      <w:r>
        <w:t xml:space="preserve">Enfant 5–12 ans : </w:t>
      </w:r>
      <w:r>
        <w:rPr>
          <w:b/>
        </w:rPr>
        <w:t>5 mL (15 mg) x 3 fois/jour</w:t>
      </w:r>
      <w:r>
        <w:t xml:space="preserve"> (45 mg/jour).</w:t>
      </w:r>
    </w:p>
    <w:p>
      <w:pPr>
        <w:pStyle w:val="ListBullet"/>
      </w:pPr>
      <w:r>
        <w:t>Enfant &gt; 12 ans : posologie adulte.</w:t>
      </w:r>
    </w:p>
    <w:p>
      <w:pPr>
        <w:pStyle w:val="ListBullet"/>
      </w:pPr>
      <w:r/>
      <w:r>
        <w:rPr>
          <w:b/>
        </w:rPr>
        <w:t>Durée</w:t>
      </w:r>
      <w:r>
        <w:t xml:space="preserve"> : 5–7 jours en automédication ; jusqu'à 3–6 mois en traitement prolongé BPCO/DDB (sur prescription médicale).</w:t>
      </w:r>
    </w:p>
    <w:p>
      <w:pPr>
        <w:pStyle w:val="ListBullet"/>
      </w:pPr>
      <w:r/>
      <w:r>
        <w:rPr>
          <w:b/>
        </w:rPr>
        <w:t>Moment de la prise</w:t>
      </w:r>
      <w:r>
        <w:t xml:space="preserve"> : </w:t>
      </w:r>
      <w:r>
        <w:rPr>
          <w:b/>
        </w:rPr>
        <w:t>pendant les repas</w:t>
      </w:r>
      <w:r>
        <w:t xml:space="preserve"> ; dernière prise idéalement avant 17 heures (pour éviter la stimulation de la toux nocturne).</w:t>
      </w:r>
    </w:p>
    <w:p>
      <w:r/>
      <w:r>
        <w:rPr>
          <w:b/>
        </w:rPr>
        <w:t>Arbitrage et Bénéfices des Formes Galéniques :</w:t>
      </w:r>
      <w:r/>
    </w:p>
    <w:p>
      <w:pPr>
        <w:pStyle w:val="ListBullet"/>
      </w:pPr>
      <w:r/>
      <w:r>
        <w:rPr>
          <w:b/>
        </w:rPr>
        <w:t>Solution buvable 0,003 (sirop)</w:t>
      </w:r>
      <w:r>
        <w:t xml:space="preserve"> : forme de référence en Algérie — 9 marques actives (AMBOLAR, AMBRODAL, BROXOL, FLUXOL, IXOL, MUCOREX, MUXOL, MUXOMEX, TOUXOL). Adaptation posologique aisée chez l'enfant (cuillère-mesure fournie). Préférée en pédiatrie.</w:t>
      </w:r>
    </w:p>
    <w:p>
      <w:pPr>
        <w:pStyle w:val="ListBullet"/>
      </w:pPr>
      <w:r/>
      <w:r>
        <w:rPr>
          <w:b/>
        </w:rPr>
        <w:t>Comprimé 30 mg</w:t>
      </w:r>
      <w:r>
        <w:t xml:space="preserve"> : forme retirée du marché algérien (AMBROXOL BIOGARAN, MUXOL Gé — retirés) ; substituée par le sirop adulte (10 mL = 30 mg).</w:t>
      </w:r>
    </w:p>
    <w:p>
      <w:pPr>
        <w:pStyle w:val="ListBullet"/>
      </w:pPr>
      <w:r/>
      <w:r>
        <w:rPr>
          <w:b/>
        </w:rPr>
        <w:t>Gélule LP 75 mg</w:t>
      </w:r>
      <w:r>
        <w:t xml:space="preserve"> : forme non renouvelable (AMBROBIOTIC LP) — administration unique quotidienne, idéale pour l'observance chez l'adulte en traitement prolongé BPCO. </w:t>
      </w:r>
      <w:r>
        <w:rPr>
          <w:b/>
        </w:rPr>
        <w:t>Non disponible</w:t>
      </w:r>
      <w:r>
        <w:t xml:space="preserve"> en alternative active en Algérie.</w:t>
      </w:r>
    </w:p>
    <w:p>
      <w:pPr>
        <w:pStyle w:val="ListBullet"/>
      </w:pPr>
      <w:r/>
      <w:r>
        <w:rPr>
          <w:b/>
        </w:rPr>
        <w:t>Pastille à sucer</w:t>
      </w:r>
      <w:r>
        <w:t xml:space="preserve"> : forme utilisée dans d'autres pays pour l'effet anesthésique local sur maux de gorge — </w:t>
      </w:r>
      <w:r>
        <w:rPr>
          <w:b/>
        </w:rPr>
        <w:t>non commercialisée</w:t>
      </w:r>
      <w:r>
        <w:t xml:space="preserve"> en Algérie.</w:t>
      </w:r>
    </w:p>
    <w:p>
      <w:pPr>
        <w:pStyle w:val="ListBullet"/>
      </w:pPr>
      <w:r/>
      <w:r>
        <w:rPr>
          <w:b/>
        </w:rPr>
        <w:t>Forme nébulisation</w:t>
      </w:r>
      <w:r>
        <w:t xml:space="preserve"> (aérosol) : non commercialisée en Algérie en officine (usage hospitalier spécialisé).</w:t>
      </w:r>
    </w:p>
    <w:p>
      <w:r/>
      <w:r>
        <w:rPr>
          <w:b/>
        </w:rPr>
        <w:t>Instructions et Conseils au Patient :</w:t>
      </w:r>
      <w:r/>
    </w:p>
    <w:p>
      <w:pPr>
        <w:pStyle w:val="ListBullet"/>
      </w:pPr>
      <w:r/>
      <w:r>
        <w:rPr>
          <w:b/>
        </w:rPr>
        <w:t>Communication au comptoir</w:t>
      </w:r>
      <w:r>
        <w:t xml:space="preserve"> :</w:t>
      </w:r>
    </w:p>
    <w:p>
      <w:pPr>
        <w:pStyle w:val="ListBullet"/>
      </w:pPr>
      <w:r>
        <w:t>« *Ce sirop fluidifie le mucus et facilite son évacuation en stimulant les cils bronchiques et le surfactant pulmonaire.* »</w:t>
      </w:r>
    </w:p>
    <w:p>
      <w:pPr>
        <w:pStyle w:val="ListBullet"/>
      </w:pPr>
      <w:r>
        <w:t>« *Buvez abondamment (1,5–2 L/jour) pendant le traitement.* »</w:t>
      </w:r>
    </w:p>
    <w:p>
      <w:pPr>
        <w:pStyle w:val="ListBullet"/>
      </w:pPr>
      <w:r>
        <w:t>« *Prenez-le pendant les repas.* »</w:t>
      </w:r>
    </w:p>
    <w:p>
      <w:pPr>
        <w:pStyle w:val="ListBullet"/>
      </w:pPr>
      <w:r>
        <w:t>« *Ce n'est pas un antitussif : la toux peut persister, c'est normal, elle permet d'évacuer le mucus fluidifié.* »</w:t>
      </w:r>
    </w:p>
    <w:p>
      <w:pPr>
        <w:pStyle w:val="ListBullet"/>
      </w:pPr>
      <w:r>
        <w:t>« *Pour l'enfant, respectez bien la dose selon son âge (utilisez la cuillère-mesure fournie).* »</w:t>
      </w:r>
    </w:p>
    <w:p>
      <w:pPr>
        <w:pStyle w:val="ListBullet"/>
      </w:pPr>
      <w:r>
        <w:t>« *Si vous constatez une éruption cutanée, des cloques, ou un décollement de la peau, arrêtez le traitement et consultez immédiatement un médecin.* »</w:t>
      </w:r>
    </w:p>
    <w:p>
      <w:pPr>
        <w:pStyle w:val="ListBullet"/>
      </w:pPr>
      <w:r/>
      <w:r>
        <w:rPr>
          <w:b/>
        </w:rPr>
        <w:t>Mode d'utilisation pratique</w:t>
      </w:r>
      <w:r>
        <w:t xml:space="preserve"> :</w:t>
      </w:r>
    </w:p>
    <w:p>
      <w:pPr>
        <w:pStyle w:val="ListBullet"/>
      </w:pPr>
      <w:r>
        <w:t>Bien agiter le sirop avant emploi.</w:t>
      </w:r>
    </w:p>
    <w:p>
      <w:pPr>
        <w:pStyle w:val="ListBullet"/>
      </w:pPr>
      <w:r>
        <w:t>Utiliser la cuillère-mesure fournie.</w:t>
      </w:r>
    </w:p>
    <w:p>
      <w:pPr>
        <w:pStyle w:val="ListBullet"/>
      </w:pPr>
      <w:r>
        <w:t>En cas d'oubli : ne pas doubler la dose suivante.</w:t>
      </w:r>
    </w:p>
    <w:p>
      <w:pPr>
        <w:pStyle w:val="ListBullet"/>
      </w:pPr>
      <w:r>
        <w:t>Conservation : sirop à température &lt; 25 °C, à l'abri de la lumière ; jeter après 1 mois d'ouverture.</w:t>
      </w:r>
    </w:p>
    <w:p>
      <w:r/>
      <w:r>
        <w:rPr>
          <w:b/>
        </w:rPr>
        <w:t>Notes, Règles d'Or &amp; Pièges au Comptoir :</w:t>
      </w:r>
      <w:r/>
    </w:p>
    <w:p>
      <w:pPr>
        <w:pStyle w:val="ListBullet"/>
      </w:pPr>
      <w:r/>
      <w:r>
        <w:rPr>
          <w:b/>
        </w:rPr>
        <w:t>Piège classique</w:t>
      </w:r>
      <w:r>
        <w:t xml:space="preserve"> : comme pour la NAC et la carbocistéine, </w:t>
      </w:r>
      <w:r>
        <w:rPr>
          <w:b/>
        </w:rPr>
        <w:t>ne jamais associer à un antitussif</w:t>
      </w:r>
      <w:r>
        <w:t xml:space="preserve"> (risque d'encombrement bronchique).</w:t>
      </w:r>
    </w:p>
    <w:p>
      <w:pPr>
        <w:pStyle w:val="ListBullet"/>
      </w:pPr>
      <w:r/>
      <w:r>
        <w:rPr>
          <w:b/>
        </w:rPr>
        <w:t>Règle de prise</w:t>
      </w:r>
      <w:r>
        <w:t xml:space="preserve"> : 5–7 jours en automédication ; traitement prolongé BPCO/DDB sous surveillance médicale.</w:t>
      </w:r>
    </w:p>
    <w:p>
      <w:pPr>
        <w:pStyle w:val="ListBullet"/>
      </w:pPr>
      <w:r/>
      <w:r>
        <w:rPr>
          <w:b/>
        </w:rPr>
        <w:t>Préparation et Conservation</w:t>
      </w:r>
      <w:r>
        <w:t xml:space="preserve"> : sirop fragile après ouverture — vérifier la date de péremption après ouverture (souvent 1 mois max).</w:t>
      </w:r>
    </w:p>
    <w:p>
      <w:pPr>
        <w:pStyle w:val="ListBullet"/>
      </w:pPr>
      <w:r/>
      <w:r>
        <w:rPr>
          <w:b/>
        </w:rPr>
        <w:t>Piège du surdosage / Substitution</w:t>
      </w:r>
      <w:r>
        <w:t xml:space="preserve"> :</w:t>
      </w:r>
    </w:p>
    <w:p>
      <w:pPr>
        <w:pStyle w:val="ListBullet"/>
      </w:pPr>
      <w:r/>
      <w:r>
        <w:rPr>
          <w:b/>
        </w:rPr>
        <w:t>9 marques génériques actives</w:t>
      </w:r>
      <w:r>
        <w:t xml:space="preserve"> en Algérie — toutes équivalentes sur le plan du dosage (0,003 = 3 mg/mL) ; la substitution entre marques est possible (mêmes doses).</w:t>
      </w:r>
    </w:p>
    <w:p>
      <w:pPr>
        <w:pStyle w:val="ListBullet"/>
      </w:pPr>
      <w:r/>
      <w:r>
        <w:rPr>
          <w:b/>
        </w:rPr>
        <w:t>Réactions cutanées sévères</w:t>
      </w:r>
      <w:r>
        <w:t xml:space="preserve"> (syndrome de Stevens-Johnson, syndrome de Lyell) — bien que la relation causale soit débattue, l'ANSM a émis une recommandation de prescription médicale obligatoire chez l'enfant de moins de 2 ans (2014) ; en Algérie, </w:t>
      </w:r>
      <w:r>
        <w:rPr>
          <w:b/>
        </w:rPr>
        <w:t>préférer la prescription médicale</w:t>
      </w:r>
      <w:r>
        <w:t xml:space="preserve"> chez le nourrisson &lt; 2 ans.</w:t>
      </w:r>
    </w:p>
    <w:p>
      <w:pPr>
        <w:pStyle w:val="ListBullet"/>
      </w:pPr>
      <w:r/>
      <w:r>
        <w:rPr>
          <w:b/>
        </w:rPr>
        <w:t>Nourrisson &lt; 2 ans</w:t>
      </w:r>
      <w:r>
        <w:t xml:space="preserve"> : dose strictement adaptée au poids ; surveillance de la fréquence respiratoire (risque théorique d'encombrement par augmentation des sécrétions sans capacité d'expectoration efficace).</w:t>
      </w:r>
    </w:p>
    <w:p>
      <w:pPr>
        <w:pStyle w:val="ListBullet"/>
      </w:pPr>
      <w:r/>
      <w:r>
        <w:rPr>
          <w:b/>
        </w:rPr>
        <w:t>Ambroxol et grossesse</w:t>
      </w:r>
      <w:r>
        <w:t xml:space="preserve"> : éviter au 1er trimestre ; préférer la carbocistéine.</w:t>
      </w:r>
    </w:p>
    <w:p>
      <w:pPr>
        <w:pStyle w:val="Heading3"/>
      </w:pPr>
      <w:r>
        <w:t>5.2. DCI : Bromhexine (Seule)</w:t>
      </w:r>
    </w:p>
    <w:p>
      <w:r/>
      <w:r>
        <w:rPr>
          <w:b/>
        </w:rPr>
        <w:t>Liste des Catégories :</w:t>
      </w:r>
      <w:r>
        <w:t xml:space="preserve"> Mucolytique, Fluidifiant bronchique, Précurseur de l'ambroxol (métabolite actif), Stimulateur du surfactant.</w:t>
      </w:r>
    </w:p>
    <w:p>
      <w:r>
        <w:t xml:space="preserve">La </w:t>
      </w:r>
      <w:r>
        <w:rPr>
          <w:b/>
        </w:rPr>
        <w:t>bromhexine</w:t>
      </w:r>
      <w:r>
        <w:t xml:space="preserve"> est le précurseur métabolique de l'ambroxol : déméthylée et hydroxylée par le foie, elle est presque entièrement convertie en </w:t>
      </w:r>
      <w:r>
        <w:rPr>
          <w:b/>
        </w:rPr>
        <w:t>ambroxol</w:t>
      </w:r>
      <w:r>
        <w:t xml:space="preserve"> (son métabolite actif principal) après administration orale. Sa biodisponibilité apparente est faible (20–30 %) en raison de cet effet de premier passage hépatique complet, mais elle atteint son pic plasmatique en 1 heure. Cette parenté pharmacologique avec l'ambroxol explique la </w:t>
      </w:r>
      <w:r>
        <w:rPr>
          <w:b/>
        </w:rPr>
        <w:t>similarité de leurs indications et profils de tolérance</w:t>
      </w:r>
      <w:r>
        <w:t>.</w:t>
      </w:r>
    </w:p>
    <w:p>
      <w:r/>
      <w:r>
        <w:rPr>
          <w:b/>
        </w:rPr>
        <w:t>Médicaments disponibles en Algérie (Marques, Laboratoires, Formes et Dosages) :</w:t>
      </w:r>
      <w:r/>
    </w:p>
    <w:p>
      <w:r/>
      <w:r>
        <w:rPr>
          <w:i/>
        </w:rPr>
        <w:t>Spécialités actives :</w:t>
      </w:r>
      <w:r/>
    </w:p>
    <w:p>
      <w:pPr>
        <w:pStyle w:val="ListBullet"/>
      </w:pPr>
      <w:r/>
      <w:r>
        <w:rPr>
          <w:b/>
        </w:rPr>
        <w:t>BROMHEXINE KPMA</w:t>
      </w:r>
      <w:r>
        <w:t xml:space="preserve"> (KPMA BIOTIC) — Solution buvable 10 mg/5 mL (ou 0,2 %) — Flacon de 60 mL — Statut : Actif</w:t>
      </w:r>
    </w:p>
    <w:p>
      <w:pPr>
        <w:pStyle w:val="ListBullet"/>
      </w:pPr>
      <w:r/>
      <w:r>
        <w:rPr>
          <w:b/>
        </w:rPr>
        <w:t>ISOLVON</w:t>
      </w:r>
      <w:r>
        <w:t xml:space="preserve"> (ISOPHARM ALGERIE) — Sirop 10 mg/5 mL — Flacon de 60 mL — Statut : Actif</w:t>
      </w:r>
    </w:p>
    <w:p>
      <w:r/>
      <w:r>
        <w:rPr>
          <w:i/>
        </w:rPr>
        <w:t>Spécialités non renouvelables :</w:t>
      </w:r>
      <w:r/>
    </w:p>
    <w:p>
      <w:pPr>
        <w:pStyle w:val="ListBullet"/>
      </w:pPr>
      <w:r/>
      <w:r>
        <w:rPr>
          <w:b/>
        </w:rPr>
        <w:t>BROMHEXINE</w:t>
      </w:r>
      <w:r>
        <w:t xml:space="preserve"> (GROUPE SAIDAL) — Solution buvable 10 mg/5 mL (ou 0,2 %) — Flacon de 60 mL — Statut : Non Renouvelable</w:t>
      </w:r>
    </w:p>
    <w:p>
      <w:r/>
      <w:r>
        <w:rPr>
          <w:i/>
        </w:rPr>
        <w:t>Spécialités retirées (R) :</w:t>
      </w:r>
      <w:r/>
    </w:p>
    <w:p>
      <w:pPr>
        <w:pStyle w:val="ListBullet"/>
      </w:pPr>
      <w:r/>
      <w:r>
        <w:rPr>
          <w:b/>
        </w:rPr>
        <w:t>BISOLVON</w:t>
      </w:r>
      <w:r>
        <w:t xml:space="preserve"> (BOEHRINGER INGELHEIM) — Solution injectable 4 mg/2 mL — Boîte de 5 ampoules — Liste II — Statut : Retiré (R) [forme injectable IM/IV historique]</w:t>
      </w:r>
    </w:p>
    <w:p>
      <w:r/>
      <w:r>
        <w:rPr>
          <w:b/>
        </w:rPr>
        <w:t>Sous-classe et Mécanisme d'action :</w:t>
      </w:r>
      <w:r/>
    </w:p>
    <w:p>
      <w:pPr>
        <w:pStyle w:val="ListBullet"/>
      </w:pPr>
      <w:r/>
      <w:r>
        <w:rPr>
          <w:b/>
        </w:rPr>
        <w:t>Sous-classe</w:t>
      </w:r>
      <w:r>
        <w:t xml:space="preserve"> : Mucolytique de la famille des </w:t>
      </w:r>
      <w:r>
        <w:rPr>
          <w:b/>
        </w:rPr>
        <w:t>dérivés alcaloïdes vasiques</w:t>
      </w:r>
      <w:r>
        <w:t xml:space="preserve">, </w:t>
      </w:r>
      <w:r>
        <w:rPr>
          <w:b/>
        </w:rPr>
        <w:t>précurseur métabolique de l'ambroxol</w:t>
      </w:r>
      <w:r>
        <w:t>. Historiquement, la bromhexine a été le premier représentant de la classe (commercialisation 1963, Boehringer Ingelheim — *Bisolvon*™), dérivée de la vascine, alcaloïde de *Justicia adhatoda*.</w:t>
      </w:r>
    </w:p>
    <w:p>
      <w:pPr>
        <w:pStyle w:val="ListBullet"/>
      </w:pPr>
      <w:r/>
      <w:r>
        <w:rPr>
          <w:b/>
        </w:rPr>
        <w:t>Mécanisme d'action</w:t>
      </w:r>
      <w:r>
        <w:t xml:space="preserve"> : la bromhexine est </w:t>
      </w:r>
      <w:r>
        <w:rPr>
          <w:b/>
        </w:rPr>
        <w:t>rapidement et presque totalement métabolisée</w:t>
      </w:r>
      <w:r>
        <w:t xml:space="preserve"> en ambroxol (par déméthylation et hydroxylation hépatiques — CYP3A4). Ses effets pharmacologiques sont donc </w:t>
      </w:r>
      <w:r>
        <w:rPr>
          <w:b/>
        </w:rPr>
        <w:t>superposables à ceux de l'ambroxol</w:t>
      </w:r>
      <w:r>
        <w:t xml:space="preserve"> (cf. fiche 5.1) :</w:t>
      </w:r>
    </w:p>
    <w:p>
      <w:pPr>
        <w:pStyle w:val="ListNumber"/>
      </w:pPr>
      <w:r>
        <w:t>Stimulation de la synthèse du surfactant pulmonaire par les pneumocytes II.</w:t>
      </w:r>
    </w:p>
    <w:p>
      <w:pPr>
        <w:pStyle w:val="ListNumber"/>
      </w:pPr>
      <w:r>
        <w:t>Activation de l'ascenseur mucociliaire.</w:t>
      </w:r>
    </w:p>
    <w:p>
      <w:pPr>
        <w:pStyle w:val="ListNumber"/>
      </w:pPr>
      <w:r>
        <w:t>Rééquilibre de la composition du mucus (sialomucines &gt; mucines acides sulfatées).</w:t>
      </w:r>
    </w:p>
    <w:p>
      <w:pPr>
        <w:pStyle w:val="ListNumber"/>
      </w:pPr>
      <w:r>
        <w:t>Effet antibactérien et anti-inflammatoire modeste in vitro.</w:t>
      </w:r>
    </w:p>
    <w:p>
      <w:r>
        <w:t xml:space="preserve">  En pratique, l'administration de bromhexine revient à administrer une </w:t>
      </w:r>
      <w:r>
        <w:rPr>
          <w:b/>
        </w:rPr>
        <w:t>prodrogue</w:t>
      </w:r>
      <w:r>
        <w:t xml:space="preserve"> de l'ambroxol, avec une biodisponibilité apparente plus faible et une </w:t>
      </w:r>
      <w:r>
        <w:rPr>
          <w:b/>
        </w:rPr>
        <w:t>dose à administrer plus élevée</w:t>
      </w:r>
      <w:r>
        <w:t xml:space="preserve"> (8–16 mg par prise, contre 15–30 mg pour l'ambroxol).</w:t>
      </w:r>
    </w:p>
    <w:p>
      <w:r/>
      <w:r>
        <w:rPr>
          <w:b/>
        </w:rPr>
        <w:t>Profil Pharmacologique :</w:t>
      </w:r>
      <w:r/>
    </w:p>
    <w:p>
      <w:pPr>
        <w:pStyle w:val="ListBullet"/>
      </w:pPr>
      <w:r/>
      <w:r>
        <w:rPr>
          <w:b/>
        </w:rPr>
        <w:t>Indications</w:t>
      </w:r>
      <w:r>
        <w:t xml:space="preserve"> :</w:t>
      </w:r>
    </w:p>
    <w:p>
      <w:pPr>
        <w:pStyle w:val="ListBullet"/>
      </w:pPr>
      <w:r>
        <w:t>Encombrement bronchique et troubles de l'expectoration (bronchite aiguë, surinfection de BPCO, dilatation des bronches, asthme aigu avec encombrement).</w:t>
      </w:r>
    </w:p>
    <w:p>
      <w:pPr>
        <w:pStyle w:val="ListBullet"/>
      </w:pPr>
      <w:r>
        <w:t>Toux productive (surtout chez l'enfant — sirop largement utilisé en pédiatrie algérienne).</w:t>
      </w:r>
    </w:p>
    <w:p>
      <w:pPr>
        <w:pStyle w:val="ListBullet"/>
      </w:pPr>
      <w:r>
        <w:t>Préparation à la fibroscopie bronchique (fluidification des sécrétions).</w:t>
      </w:r>
    </w:p>
    <w:p>
      <w:pPr>
        <w:pStyle w:val="ListBullet"/>
      </w:pPr>
      <w:r>
        <w:t>*Forme injectable IM/IV (retirée)* : usage hospitalier en réanimation pour encombrement bronchique marqué chez le patient incapable d'expectoration.</w:t>
      </w:r>
    </w:p>
    <w:p>
      <w:pPr>
        <w:pStyle w:val="ListBullet"/>
      </w:pPr>
      <w:r/>
      <w:r>
        <w:rPr>
          <w:b/>
        </w:rPr>
        <w:t>Contre-indications</w:t>
      </w:r>
      <w:r>
        <w:t xml:space="preserve"> :</w:t>
      </w:r>
    </w:p>
    <w:p>
      <w:pPr>
        <w:pStyle w:val="ListBullet"/>
      </w:pPr>
      <w:r>
        <w:t>Hypersensibilité à la bromhexine (ou à l'ambroxol, en raison de la parenté chimique).</w:t>
      </w:r>
    </w:p>
    <w:p>
      <w:pPr>
        <w:pStyle w:val="ListBullet"/>
      </w:pPr>
      <w:r/>
      <w:r>
        <w:rPr>
          <w:b/>
        </w:rPr>
        <w:t>Ulcère gastro-duodénal en poussée</w:t>
      </w:r>
      <w:r>
        <w:t>.</w:t>
      </w:r>
    </w:p>
    <w:p>
      <w:pPr>
        <w:pStyle w:val="ListBullet"/>
      </w:pPr>
      <w:r/>
      <w:r>
        <w:rPr>
          <w:b/>
        </w:rPr>
        <w:t>Phénylcétonurie</w:t>
      </w:r>
      <w:r>
        <w:t xml:space="preserve"> (si aspartam présent — vérifier la composition).</w:t>
      </w:r>
    </w:p>
    <w:p>
      <w:pPr>
        <w:pStyle w:val="ListBullet"/>
      </w:pPr>
      <w:r>
        <w:t>*Nourrisson &lt; 2 ans* : sous surveillance médicale stricte (mêmes recommandations que pour l'ambroxol — signalement ANSM 2014 des réactions cutanées sévères).</w:t>
      </w:r>
    </w:p>
    <w:p>
      <w:pPr>
        <w:pStyle w:val="ListBullet"/>
      </w:pPr>
      <w:r/>
      <w:r>
        <w:rPr>
          <w:b/>
        </w:rPr>
        <w:t>Effets Indésirables</w:t>
      </w:r>
      <w:r>
        <w:t xml:space="preserve"> :</w:t>
      </w:r>
    </w:p>
    <w:p>
      <w:pPr>
        <w:pStyle w:val="ListBullet"/>
      </w:pPr>
      <w:r>
        <w:t>*Digestifs* (peu fréquents) : nausées, vomissements, diarrhée, douleurs épigastriques.</w:t>
      </w:r>
    </w:p>
    <w:p>
      <w:pPr>
        <w:pStyle w:val="ListBullet"/>
      </w:pPr>
      <w:r>
        <w:t>*Cutanés* (rares) : rash, urticaire ; réactions cutanées sévères exceptionnelles (syndrome de Stevens-Johnson, syndrome de Lyell — même signal ANSM 2014 que pour l'ambroxol).</w:t>
      </w:r>
    </w:p>
    <w:p>
      <w:pPr>
        <w:pStyle w:val="ListBullet"/>
      </w:pPr>
      <w:r>
        <w:t>*Respiratoires* (rares) : bronchospasme.</w:t>
      </w:r>
    </w:p>
    <w:p>
      <w:pPr>
        <w:pStyle w:val="ListBullet"/>
      </w:pPr>
      <w:r>
        <w:t>*Hépatiques* (très rares) : élévation des transaminases.</w:t>
      </w:r>
    </w:p>
    <w:p>
      <w:r/>
      <w:r>
        <w:rPr>
          <w:b/>
        </w:rPr>
        <w:t>Prévention et Gestion des Effets Indésirables :</w:t>
      </w:r>
      <w:r/>
    </w:p>
    <w:p>
      <w:pPr>
        <w:pStyle w:val="ListBullet"/>
      </w:pPr>
      <w:r/>
      <w:r>
        <w:rPr>
          <w:b/>
        </w:rPr>
        <w:t>Mesures Préventives</w:t>
      </w:r>
      <w:r>
        <w:t xml:space="preserve"> : identiques à l'ambroxol — administration pendant les repas, hydratation abondante, durée limitée 5–7 jours, surveillance cutanée, surveillance du nourrisson &lt; 2 ans.</w:t>
      </w:r>
    </w:p>
    <w:p>
      <w:pPr>
        <w:pStyle w:val="ListBullet"/>
      </w:pPr>
      <w:r/>
      <w:r>
        <w:rPr>
          <w:b/>
        </w:rPr>
        <w:t>Conduite à Tenir</w:t>
      </w:r>
      <w:r>
        <w:t xml:space="preserve"> : arrêt immédiat en cas de rash cutané ; réduction de dose en cas de troubles digestifs ; arrêt et bilan hépatique en cas d'élévation des transaminases.</w:t>
      </w:r>
    </w:p>
    <w:p>
      <w:r/>
      <w:r>
        <w:rPr>
          <w:b/>
        </w:rPr>
        <w:t>Interactions Importantes :</w:t>
      </w:r>
      <w:r/>
    </w:p>
    <w:p>
      <w:pPr>
        <w:pStyle w:val="ListBullet"/>
      </w:pPr>
      <w:r/>
      <w:r>
        <w:rPr>
          <w:b/>
        </w:rPr>
        <w:t>Bromhexine + antibiotiques</w:t>
      </w:r>
      <w:r>
        <w:t xml:space="preserve"> (amoxicilline, érythromycine, doxycycline) : potentialisation de la concentration antibiotique dans les sécrétions bronchiques — synergie bénéfique.</w:t>
      </w:r>
    </w:p>
    <w:p>
      <w:pPr>
        <w:pStyle w:val="ListBullet"/>
      </w:pPr>
      <w:r/>
      <w:r>
        <w:rPr>
          <w:b/>
        </w:rPr>
        <w:t>Bromhexine + antitussifs</w:t>
      </w:r>
      <w:r>
        <w:t xml:space="preserve"> : effet contradictoire — éviter.</w:t>
      </w:r>
    </w:p>
    <w:p>
      <w:pPr>
        <w:pStyle w:val="ListBullet"/>
      </w:pPr>
      <w:r/>
      <w:r>
        <w:rPr>
          <w:b/>
        </w:rPr>
        <w:t>Bromhexine + AINS</w:t>
      </w:r>
      <w:r>
        <w:t xml:space="preserve"> : potentialisation de la toxicité gastrique.</w:t>
      </w:r>
    </w:p>
    <w:p>
      <w:r/>
      <w:r>
        <w:rPr>
          <w:b/>
        </w:rPr>
        <w:t>Grossesse et Allaitement :</w:t>
      </w:r>
      <w:r/>
    </w:p>
    <w:p>
      <w:pPr>
        <w:pStyle w:val="ListBullet"/>
      </w:pPr>
      <w:r/>
      <w:r>
        <w:rPr>
          <w:b/>
        </w:rPr>
        <w:t>Grossesse</w:t>
      </w:r>
      <w:r>
        <w:t xml:space="preserve"> : selon le CRAT — données animales et humaines limitées ; </w:t>
      </w:r>
      <w:r>
        <w:rPr>
          <w:b/>
        </w:rPr>
        <w:t>déconseillé au 1er trimestre</w:t>
      </w:r>
      <w:r>
        <w:t xml:space="preserve"> par prudence, </w:t>
      </w:r>
      <w:r>
        <w:rPr>
          <w:b/>
        </w:rPr>
        <w:t>compatible aux 2e et 3e trimestres</w:t>
      </w:r>
      <w:r>
        <w:t xml:space="preserve"> en cas de nécessité. Préférer la carbocistéine pendant la grossesse.</w:t>
      </w:r>
    </w:p>
    <w:p>
      <w:pPr>
        <w:pStyle w:val="ListBullet"/>
      </w:pPr>
      <w:r/>
      <w:r>
        <w:rPr>
          <w:b/>
        </w:rPr>
        <w:t>Allaitement</w:t>
      </w:r>
      <w:r>
        <w:t xml:space="preserve"> : selon LactMed — passage dans le lait maternel probable ; </w:t>
      </w:r>
      <w:r>
        <w:rPr>
          <w:b/>
        </w:rPr>
        <w:t>déconseillé</w:t>
      </w:r>
      <w:r>
        <w:t xml:space="preserve"> par prudence.</w:t>
      </w:r>
    </w:p>
    <w:p>
      <w:pPr>
        <w:pStyle w:val="ListBullet"/>
      </w:pPr>
      <w:r/>
      <w:r>
        <w:rPr>
          <w:b/>
        </w:rPr>
        <w:t>Précisions</w:t>
      </w:r>
      <w:r>
        <w:t xml:space="preserve"> : pendant la grossesse, préférer les mesures non-médicamenteuses ; si mucolytique nécessaire, carbocistéine &gt; ambroxol/bromhexine.</w:t>
      </w:r>
    </w:p>
    <w:p>
      <w:r/>
      <w:r>
        <w:rPr>
          <w:b/>
        </w:rPr>
        <w:t>Posologie et Mode d'administration (Standard) :</w:t>
      </w:r>
      <w:r/>
    </w:p>
    <w:p>
      <w:pPr>
        <w:pStyle w:val="ListBullet"/>
      </w:pPr>
      <w:r/>
      <w:r>
        <w:rPr>
          <w:b/>
        </w:rPr>
        <w:t>Adulte</w:t>
      </w:r>
      <w:r>
        <w:t xml:space="preserve"> :</w:t>
      </w:r>
    </w:p>
    <w:p>
      <w:pPr>
        <w:pStyle w:val="ListBullet"/>
      </w:pPr>
      <w:r>
        <w:t xml:space="preserve">Solution buvable 10 mg/5 mL (0,2 %) : </w:t>
      </w:r>
      <w:r>
        <w:rPr>
          <w:b/>
        </w:rPr>
        <w:t>5 mL (= 10 mg) x 3 fois/jour</w:t>
      </w:r>
      <w:r>
        <w:t xml:space="preserve"> pendant les 5–7 premiers jours (30 mg/jour), puis </w:t>
      </w:r>
      <w:r>
        <w:rPr>
          <w:b/>
        </w:rPr>
        <w:t>5 mL x 2 fois/jour</w:t>
      </w:r>
      <w:r>
        <w:t xml:space="preserve"> (20 mg/jour) en entretien.</w:t>
      </w:r>
    </w:p>
    <w:p>
      <w:pPr>
        <w:pStyle w:val="ListBullet"/>
      </w:pPr>
      <w:r>
        <w:t>*Forme comprimé 8 mg* (historique, non commercialisée en Algérie) : 1–2 cp x 3/jour.</w:t>
      </w:r>
    </w:p>
    <w:p>
      <w:pPr>
        <w:pStyle w:val="ListBullet"/>
      </w:pPr>
      <w:r>
        <w:t>*Forme injectable IM/IV 4 mg/2 mL* (BISOLVON, retirée) : 1 ampoule IM/IV x 1–2 fois/jour en milieu hospitalier.</w:t>
      </w:r>
    </w:p>
    <w:p>
      <w:pPr>
        <w:pStyle w:val="ListBullet"/>
      </w:pPr>
      <w:r/>
      <w:r>
        <w:rPr>
          <w:b/>
        </w:rPr>
        <w:t>Enfant</w:t>
      </w:r>
      <w:r>
        <w:t xml:space="preserve"> :</w:t>
      </w:r>
    </w:p>
    <w:p>
      <w:pPr>
        <w:pStyle w:val="ListBullet"/>
      </w:pPr>
      <w:r>
        <w:t xml:space="preserve">Nourrisson (&lt; 2 ans) : </w:t>
      </w:r>
      <w:r>
        <w:rPr>
          <w:b/>
        </w:rPr>
        <w:t>2,5 mL (5 mg) x 2 fois/jour</w:t>
      </w:r>
      <w:r>
        <w:t xml:space="preserve"> (10 mg/jour) — sous surveillance médicale stricte.</w:t>
      </w:r>
    </w:p>
    <w:p>
      <w:pPr>
        <w:pStyle w:val="ListBullet"/>
      </w:pPr>
      <w:r>
        <w:t xml:space="preserve">Enfant 2–5 ans : </w:t>
      </w:r>
      <w:r>
        <w:rPr>
          <w:b/>
        </w:rPr>
        <w:t>2,5 mL (5 mg) x 3 fois/jour</w:t>
      </w:r>
      <w:r>
        <w:t xml:space="preserve"> (15 mg/jour).</w:t>
      </w:r>
    </w:p>
    <w:p>
      <w:pPr>
        <w:pStyle w:val="ListBullet"/>
      </w:pPr>
      <w:r>
        <w:t xml:space="preserve">Enfant 5–12 ans : </w:t>
      </w:r>
      <w:r>
        <w:rPr>
          <w:b/>
        </w:rPr>
        <w:t>5 mL (10 mg) x 3 fois/jour</w:t>
      </w:r>
      <w:r>
        <w:t xml:space="preserve"> (30 mg/jour).</w:t>
      </w:r>
    </w:p>
    <w:p>
      <w:pPr>
        <w:pStyle w:val="ListBullet"/>
      </w:pPr>
      <w:r/>
      <w:r>
        <w:rPr>
          <w:b/>
        </w:rPr>
        <w:t>Durée</w:t>
      </w:r>
      <w:r>
        <w:t xml:space="preserve"> : 5–7 jours en automédication ; traitement prolongé possible sous surveillance médicale.</w:t>
      </w:r>
    </w:p>
    <w:p>
      <w:pPr>
        <w:pStyle w:val="ListBullet"/>
      </w:pPr>
      <w:r/>
      <w:r>
        <w:rPr>
          <w:b/>
        </w:rPr>
        <w:t>Moment de la prise</w:t>
      </w:r>
      <w:r>
        <w:t xml:space="preserve"> : pendant les repas.</w:t>
      </w:r>
    </w:p>
    <w:p>
      <w:r/>
      <w:r>
        <w:rPr>
          <w:b/>
        </w:rPr>
        <w:t>Arbitrage et Bénéfices des Formes Galéniques :</w:t>
      </w:r>
      <w:r/>
    </w:p>
    <w:p>
      <w:pPr>
        <w:pStyle w:val="ListBullet"/>
      </w:pPr>
      <w:r/>
      <w:r>
        <w:rPr>
          <w:b/>
        </w:rPr>
        <w:t>Solution buvable 10 mg/5 mL (0,2 %)</w:t>
      </w:r>
      <w:r>
        <w:t xml:space="preserve"> : seule forme active en Algérie (2 marques : BROMHEXINE KPMA, ISOLVON). Adaptation posologique aisée chez l'enfant. Concentration plus élevée que le sirop d'ambroxol (3 mg/mL) — adapter la dose.</w:t>
      </w:r>
    </w:p>
    <w:p>
      <w:pPr>
        <w:pStyle w:val="ListBullet"/>
      </w:pPr>
      <w:r/>
      <w:r>
        <w:rPr>
          <w:b/>
        </w:rPr>
        <w:t>Forme injectable IM/IV 4 mg/2 mL</w:t>
      </w:r>
      <w:r>
        <w:t xml:space="preserve"> (retirée) : usage hospitalier historique en réanimation.</w:t>
      </w:r>
    </w:p>
    <w:p>
      <w:pPr>
        <w:pStyle w:val="ListBullet"/>
      </w:pPr>
      <w:r/>
      <w:r>
        <w:rPr>
          <w:b/>
        </w:rPr>
        <w:t>Forme comprimé</w:t>
      </w:r>
      <w:r>
        <w:t xml:space="preserve"> : non commercialisée en Algérie en Avril 2026.</w:t>
      </w:r>
    </w:p>
    <w:p>
      <w:r/>
      <w:r>
        <w:rPr>
          <w:b/>
        </w:rPr>
        <w:t>Instructions et Conseils au Patient :</w:t>
      </w:r>
      <w:r/>
    </w:p>
    <w:p>
      <w:pPr>
        <w:pStyle w:val="ListBullet"/>
      </w:pPr>
      <w:r/>
      <w:r>
        <w:rPr>
          <w:b/>
        </w:rPr>
        <w:t>Communication au comptoir</w:t>
      </w:r>
      <w:r>
        <w:t xml:space="preserve"> :</w:t>
      </w:r>
    </w:p>
    <w:p>
      <w:pPr>
        <w:pStyle w:val="ListBullet"/>
      </w:pPr>
      <w:r>
        <w:t>« *Ce sirop fluidifie le mucus et facilite son évacuation.* »</w:t>
      </w:r>
    </w:p>
    <w:p>
      <w:pPr>
        <w:pStyle w:val="ListBullet"/>
      </w:pPr>
      <w:r>
        <w:t>« *Buvez abondamment (1,5–2 L/jour) et prenez-le pendant les repas.* »</w:t>
      </w:r>
    </w:p>
    <w:p>
      <w:pPr>
        <w:pStyle w:val="ListBullet"/>
      </w:pPr>
      <w:r>
        <w:t>« *Pour l'enfant, respectez bien la dose selon son âge (utilisez la cuillère-mesure fournie).* »</w:t>
      </w:r>
    </w:p>
    <w:p>
      <w:pPr>
        <w:pStyle w:val="ListBullet"/>
      </w:pPr>
      <w:r>
        <w:t>« *Ce n'est pas un antitussif : la toux peut persister, c'est normal.* »</w:t>
      </w:r>
    </w:p>
    <w:p>
      <w:pPr>
        <w:pStyle w:val="ListBullet"/>
      </w:pPr>
      <w:r>
        <w:t>« *Si vous constatez une éruption cutanée, des cloques, ou un décollement de la peau, arrêtez le traitement et consultez immédiatement un médecin.* »</w:t>
      </w:r>
    </w:p>
    <w:p>
      <w:pPr>
        <w:pStyle w:val="ListBullet"/>
      </w:pPr>
      <w:r/>
      <w:r>
        <w:rPr>
          <w:b/>
        </w:rPr>
        <w:t>Mode d'utilisation pratique</w:t>
      </w:r>
      <w:r>
        <w:t xml:space="preserve"> :</w:t>
      </w:r>
    </w:p>
    <w:p>
      <w:pPr>
        <w:pStyle w:val="ListBullet"/>
      </w:pPr>
      <w:r>
        <w:t>Bien agiter le sirop avant emploi.</w:t>
      </w:r>
    </w:p>
    <w:p>
      <w:pPr>
        <w:pStyle w:val="ListBullet"/>
      </w:pPr>
      <w:r>
        <w:t>Utiliser la cuillère-mesure fournie.</w:t>
      </w:r>
    </w:p>
    <w:p>
      <w:pPr>
        <w:pStyle w:val="ListBullet"/>
      </w:pPr>
      <w:r>
        <w:t>En cas d'oubli : ne pas doubler la dose suivante.</w:t>
      </w:r>
    </w:p>
    <w:p>
      <w:pPr>
        <w:pStyle w:val="ListBullet"/>
      </w:pPr>
      <w:r>
        <w:t>Conservation : sirop à température &lt; 25 °C, à l'abri de la lumière ; jeter après 1 mois d'ouverture.</w:t>
      </w:r>
    </w:p>
    <w:p>
      <w:r/>
      <w:r>
        <w:rPr>
          <w:b/>
        </w:rPr>
        <w:t>Notes, Règles d'Or &amp; Pièges au Comptoir :</w:t>
      </w:r>
      <w:r/>
    </w:p>
    <w:p>
      <w:pPr>
        <w:pStyle w:val="ListBullet"/>
      </w:pPr>
      <w:r/>
      <w:r>
        <w:rPr>
          <w:b/>
        </w:rPr>
        <w:t>Piège classique</w:t>
      </w:r>
      <w:r>
        <w:t xml:space="preserve"> : ne jamais associer à un antitussif ; surveiller le nourrisson &lt; 2 ans.</w:t>
      </w:r>
    </w:p>
    <w:p>
      <w:pPr>
        <w:pStyle w:val="ListBullet"/>
      </w:pPr>
      <w:r/>
      <w:r>
        <w:rPr>
          <w:b/>
        </w:rPr>
        <w:t>Règle de prise</w:t>
      </w:r>
      <w:r>
        <w:t xml:space="preserve"> : 5–7 jours en automédication.</w:t>
      </w:r>
    </w:p>
    <w:p>
      <w:pPr>
        <w:pStyle w:val="ListBullet"/>
      </w:pPr>
      <w:r/>
      <w:r>
        <w:rPr>
          <w:b/>
        </w:rPr>
        <w:t>Préparation et Conservation</w:t>
      </w:r>
      <w:r>
        <w:t xml:space="preserve"> : sirop fragile après ouverture — vérifier la date de péremption après ouverture (souvent 1 mois max).</w:t>
      </w:r>
    </w:p>
    <w:p>
      <w:pPr>
        <w:pStyle w:val="ListBullet"/>
      </w:pPr>
      <w:r/>
      <w:r>
        <w:rPr>
          <w:b/>
        </w:rPr>
        <w:t>Piège du surdosage / Substitution</w:t>
      </w:r>
      <w:r>
        <w:t xml:space="preserve"> :</w:t>
      </w:r>
    </w:p>
    <w:p>
      <w:pPr>
        <w:pStyle w:val="ListBullet"/>
      </w:pPr>
      <w:r/>
      <w:r>
        <w:rPr>
          <w:b/>
        </w:rPr>
        <w:t>Substitution bromhexine ↔ ambroxol</w:t>
      </w:r>
      <w:r>
        <w:t xml:space="preserve"> : en raison de la parenté métabolique (la bromhexine est convertie en ambroxol), la substitution entre les deux molécules est possible. La bromhexine est </w:t>
      </w:r>
      <w:r>
        <w:rPr>
          <w:b/>
        </w:rPr>
        <w:t>plus ancienne</w:t>
      </w:r>
      <w:r>
        <w:t xml:space="preserve"> et son usage est en </w:t>
      </w:r>
      <w:r>
        <w:rPr>
          <w:b/>
        </w:rPr>
        <w:t>régression</w:t>
      </w:r>
      <w:r>
        <w:t xml:space="preserve"> au profit de l'ambroxol (plus directement actif, biodisponibilité supérieure). En Algérie, l'ambroxol est nettement plus disponible (9 marques actives vs 2 pour la bromhexine).</w:t>
      </w:r>
    </w:p>
    <w:p>
      <w:pPr>
        <w:pStyle w:val="ListBullet"/>
      </w:pPr>
      <w:r/>
      <w:r>
        <w:rPr>
          <w:b/>
        </w:rPr>
        <w:t>Adapter la dose</w:t>
      </w:r>
      <w:r>
        <w:t xml:space="preserve"> : la bromhexine est dosée à 10 mg/5 mL, l'ambroxol à 3 mg/mL — ne pas substituer sans recalculer la dose.</w:t>
      </w:r>
    </w:p>
    <w:p>
      <w:pPr>
        <w:pStyle w:val="ListBullet"/>
      </w:pPr>
      <w:r/>
      <w:r>
        <w:rPr>
          <w:b/>
        </w:rPr>
        <w:t>Réactions cutanées sévères</w:t>
      </w:r>
      <w:r>
        <w:t xml:space="preserve"> : mêmes recommandations que pour l'ambroxol — surveillance cutanée stricte, arrêt en cas de rash.</w:t>
      </w:r>
    </w:p>
    <w:p>
      <w:pPr>
        <w:pStyle w:val="Heading2"/>
      </w:pPr>
      <w:r>
        <w:t>6. Introduction à la sous-classe des mucolytiques thiols — uoprotecteurs de chimiothérapie (mesna)</w:t>
      </w:r>
    </w:p>
    <w:p>
      <w:r>
        <w:t xml:space="preserve">Le </w:t>
      </w:r>
      <w:r>
        <w:rPr>
          <w:b/>
        </w:rPr>
        <w:t>mesna</w:t>
      </w:r>
      <w:r>
        <w:t xml:space="preserve"> (2-mercaptoéthane sulfonate de sodium, Na⁺ ⁻O₃S-CH₂-CH₂-SH) est un </w:t>
      </w:r>
      <w:r>
        <w:rPr>
          <w:b/>
        </w:rPr>
        <w:t>thiol synthétique</w:t>
      </w:r>
      <w:r>
        <w:t xml:space="preserve"> développé spécifiquement pour prévenir la toxicité vésicale des </w:t>
      </w:r>
      <w:r>
        <w:rPr>
          <w:b/>
        </w:rPr>
        <w:t>oxazaphosphorines</w:t>
      </w:r>
      <w:r>
        <w:t xml:space="preserve"> (cyclophosphamide et ifosfamide), deux agents alkylants utilisés en chimiothérapie anticancéreuse. Son nom commercial princeps, </w:t>
      </w:r>
      <w:r>
        <w:rPr>
          <w:i/>
        </w:rPr>
        <w:t>Uromitexan</w:t>
      </w:r>
      <w:r>
        <w:t xml:space="preserve">™ (Baxter), reflète sa cible thérapeutique : le </w:t>
      </w:r>
      <w:r>
        <w:rPr>
          <w:i/>
        </w:rPr>
        <w:t>uro</w:t>
      </w:r>
      <w:r>
        <w:t xml:space="preserve">- (voies urinaires) et le </w:t>
      </w:r>
      <w:r>
        <w:rPr>
          <w:i/>
        </w:rPr>
        <w:t>-mitexan-</w:t>
      </w:r>
      <w:r>
        <w:t xml:space="preserve"> (protection).</w:t>
      </w:r>
    </w:p>
    <w:p>
      <w:pPr>
        <w:pStyle w:val="Heading3"/>
      </w:pPr>
      <w:r>
        <w:t>Mécanisme d'action uoprotecteur</w:t>
      </w:r>
    </w:p>
    <w:p>
      <w:r>
        <w:t xml:space="preserve">Les oxazaphosphorines (cyclophosphamide, ifosfamide) sont des </w:t>
      </w:r>
      <w:r>
        <w:rPr>
          <w:b/>
        </w:rPr>
        <w:t>prodrogues</w:t>
      </w:r>
      <w:r>
        <w:t xml:space="preserve"> qui subissent un métabolisme hépatique par les cytochromes P450 (CYP2B6, CYP3A4, CYP2C9) en métabolites actifs alkylants (4-hydroxy-cyclophosphamide, 4-hydroxy-ifosfamide → aldophosphamide → phosphoramide moutarde). Ce métabolisme génère également un </w:t>
      </w:r>
      <w:r>
        <w:rPr>
          <w:b/>
        </w:rPr>
        <w:t>sous-produit urotoxique</w:t>
      </w:r>
      <w:r>
        <w:t>, l'</w:t>
      </w:r>
      <w:r>
        <w:rPr>
          <w:b/>
        </w:rPr>
        <w:t>acroléine</w:t>
      </w:r>
      <w:r>
        <w:t xml:space="preserve"> (CH₂=CH-CHO, pour le cyclophosphamide) et le </w:t>
      </w:r>
      <w:r>
        <w:rPr>
          <w:b/>
        </w:rPr>
        <w:t>4-hydroxy-ifosfamide</w:t>
      </w:r>
      <w:r>
        <w:t xml:space="preserve"> (pour l'ifosfamide), qui sont </w:t>
      </w:r>
      <w:r>
        <w:rPr>
          <w:b/>
        </w:rPr>
        <w:t>excrétés dans les urines</w:t>
      </w:r>
      <w:r>
        <w:t xml:space="preserve"> et </w:t>
      </w:r>
      <w:r>
        <w:rPr>
          <w:b/>
        </w:rPr>
        <w:t>toxiques pour l'urothélium</w:t>
      </w:r>
      <w:r>
        <w:t xml:space="preserve"> vésical. L'acroléine provoque une </w:t>
      </w:r>
      <w:r>
        <w:rPr>
          <w:b/>
        </w:rPr>
        <w:t>cystite hémorragique chimique</w:t>
      </w:r>
      <w:r>
        <w:t xml:space="preserve"> caractérisée par une nécrose de la muqueuse vésicale, des hématuries macroscopiques, des douleurs vésicales, et dans les cas sévères une hémorragie cataclysmique pouvant nécessiter une cystectomie de sauvetage.</w:t>
      </w:r>
    </w:p>
    <w:p>
      <w:r>
        <w:t xml:space="preserve">Le </w:t>
      </w:r>
      <w:r>
        <w:rPr>
          <w:b/>
        </w:rPr>
        <w:t>mesna</w:t>
      </w:r>
      <w:r>
        <w:t xml:space="preserve"> prévient cette toxicité par </w:t>
      </w:r>
      <w:r>
        <w:rPr>
          <w:b/>
        </w:rPr>
        <w:t>conjugaison directe</w:t>
      </w:r>
      <w:r>
        <w:t xml:space="preserve"> avec l'acroléine dans les urines : son groupement </w:t>
      </w:r>
      <w:r>
        <w:rPr>
          <w:b/>
        </w:rPr>
        <w:t>thiol libre (-SH)</w:t>
      </w:r>
      <w:r>
        <w:t xml:space="preserve"> réagit avec la </w:t>
      </w:r>
      <w:r>
        <w:rPr>
          <w:b/>
        </w:rPr>
        <w:t>double liaison α,β-insaturée</w:t>
      </w:r>
      <w:r>
        <w:t xml:space="preserve"> de l'acroléine (Michael addition), formant un </w:t>
      </w:r>
      <w:r>
        <w:rPr>
          <w:b/>
        </w:rPr>
        <w:t>adduit stable et non toxique</w:t>
      </w:r>
      <w:r>
        <w:t xml:space="preserve"> (mesna-acroléine ou 2-mercaptoéthanesulfonyl-acroléine) qui est éliminé sans altération de l'urothélium. Le mesna a également une </w:t>
      </w:r>
      <w:r>
        <w:rPr>
          <w:b/>
        </w:rPr>
        <w:t>activité réductrice</w:t>
      </w:r>
      <w:r>
        <w:t xml:space="preserve"> (comme la NAC, mais moins puissante), pouvant cliver les ponts disulfure des mucines ; cette propriété mucolytique est </w:t>
      </w:r>
      <w:r>
        <w:rPr>
          <w:b/>
        </w:rPr>
        <w:t>secondaire</w:t>
      </w:r>
      <w:r>
        <w:t xml:space="preserve"> et peu exploitée en clinique en raison de la supériorité de la NAC dans cette indication.</w:t>
      </w:r>
    </w:p>
    <w:p>
      <w:pPr>
        <w:pStyle w:val="Heading3"/>
      </w:pPr>
      <w:r>
        <w:t>Particularités pharmacocinétiques</w:t>
      </w:r>
    </w:p>
    <w:p>
      <w:r>
        <w:t xml:space="preserve">Le mesna est administré par voie </w:t>
      </w:r>
      <w:r>
        <w:rPr>
          <w:b/>
        </w:rPr>
        <w:t>IV</w:t>
      </w:r>
      <w:r>
        <w:t xml:space="preserve"> (et accessoirement par voie </w:t>
      </w:r>
      <w:r>
        <w:rPr>
          <w:b/>
        </w:rPr>
        <w:t>orale</w:t>
      </w:r>
      <w:r>
        <w:t xml:space="preserve">) selon un schéma précis dépendant du protocole de chimiothérapie. Sa particularité pharmacocinétique est d'être </w:t>
      </w:r>
      <w:r>
        <w:rPr>
          <w:b/>
        </w:rPr>
        <w:t>rapidement oxydé</w:t>
      </w:r>
      <w:r>
        <w:t xml:space="preserve"> en son </w:t>
      </w:r>
      <w:r>
        <w:rPr>
          <w:b/>
        </w:rPr>
        <w:t>dithiol dimer</w:t>
      </w:r>
      <w:r>
        <w:t xml:space="preserve"> (mesna disulfide) dans le plasma, qui est lui-même inactif. Cependant, dans les urines, le dithiol est </w:t>
      </w:r>
      <w:r>
        <w:rPr>
          <w:b/>
        </w:rPr>
        <w:t>réduit</w:t>
      </w:r>
      <w:r>
        <w:t xml:space="preserve"> en </w:t>
      </w:r>
      <w:r>
        <w:rPr>
          <w:b/>
        </w:rPr>
        <w:t>mesna libre actif</w:t>
      </w:r>
      <w:r>
        <w:t xml:space="preserve"> par les </w:t>
      </w:r>
      <w:r>
        <w:rPr>
          <w:b/>
        </w:rPr>
        <w:t>glutathion réductases</w:t>
      </w:r>
      <w:r>
        <w:t xml:space="preserve"> rénales — ce qui permet au mesna d'être actif </w:t>
      </w:r>
      <w:r>
        <w:rPr>
          <w:b/>
        </w:rPr>
        <w:t>sélectivement dans les voies urinaires</w:t>
      </w:r>
      <w:r>
        <w:t xml:space="preserve"> sans interférer avec l'activité alkylante systémique des oxazaphosphorines.</w:t>
      </w:r>
    </w:p>
    <w:p>
      <w:pPr>
        <w:pStyle w:val="Heading3"/>
      </w:pPr>
      <w:r>
        <w:t>Indications et schéma d'administration</w:t>
      </w:r>
    </w:p>
    <w:p>
      <w:pPr>
        <w:pStyle w:val="ListBullet"/>
      </w:pPr>
      <w:r/>
      <w:r>
        <w:rPr>
          <w:b/>
        </w:rPr>
        <w:t>Ifosfamide</w:t>
      </w:r>
      <w:r>
        <w:t xml:space="preserve"> à dose ≥ 2 g/m²/jour : uoprotection obligatoire. Schéma standard : mesna IV à 60 % de la dose d'ifosfamide, fractionné en 3 injections (T0, T4, T8 heures) — par exemple pour ifosfamide 2 g/m²/jour : mesna 1200 mg/m²/jour en 3 injections de 400 mg/m².</w:t>
      </w:r>
    </w:p>
    <w:p>
      <w:pPr>
        <w:pStyle w:val="ListBullet"/>
      </w:pPr>
      <w:r/>
      <w:r>
        <w:rPr>
          <w:b/>
        </w:rPr>
        <w:t>Cyclophosphamide</w:t>
      </w:r>
      <w:r>
        <w:t xml:space="preserve"> à haute dose (≥ 50 mg/kg, protocoles de conditionnement de greffe de cellules souches hématopoïétiques) : uoprotection obligatoire, schéma similaire.</w:t>
      </w:r>
    </w:p>
    <w:p>
      <w:pPr>
        <w:pStyle w:val="ListBullet"/>
      </w:pPr>
      <w:r/>
      <w:r>
        <w:rPr>
          <w:b/>
        </w:rPr>
        <w:t>Cyclophosphamide</w:t>
      </w:r>
      <w:r>
        <w:t xml:space="preserve"> à dose conventionnelle (&lt; 50 mg/kg, protocoles type « AC » pour cancer du sein, lymphomes) : uoprotection </w:t>
      </w:r>
      <w:r>
        <w:rPr>
          <w:b/>
        </w:rPr>
        <w:t>non systématique</w:t>
      </w:r>
      <w:r>
        <w:t xml:space="preserve"> en raison du faible risque de cystite hémorragique, mais souvent utilisée en pratique par prudence.</w:t>
      </w:r>
    </w:p>
    <w:p>
      <w:pPr>
        <w:pStyle w:val="Heading3"/>
      </w:pPr>
      <w:r>
        <w:t>Surveillance</w:t>
      </w:r>
    </w:p>
    <w:p>
      <w:pPr>
        <w:pStyle w:val="ListBullet"/>
      </w:pPr>
      <w:r>
        <w:t>Bandelette urinaire à la recherche d'une hématurie microscopique (avant chaque cycle, et pendant le cycle toutes les 4 heures si possible).</w:t>
      </w:r>
    </w:p>
    <w:p>
      <w:pPr>
        <w:pStyle w:val="ListBullet"/>
      </w:pPr>
      <w:r>
        <w:t>Hydratation abondante (3 L/jour de perfusion) pour assurer une diurèse ≥ 100 mL/h.</w:t>
      </w:r>
    </w:p>
    <w:p>
      <w:pPr>
        <w:pStyle w:val="ListBullet"/>
      </w:pPr>
      <w:r>
        <w:t>Alcalinisation des urines (bicarbonate de sodium IV) parfois associée, surtout pour l'ifosfamide (en raison du risque d'acidose tubulaire rénale et d'encéphalopathie).</w:t>
      </w:r>
    </w:p>
    <w:p>
      <w:pPr>
        <w:pStyle w:val="Heading2"/>
      </w:pPr>
      <w:r>
        <w:t>7. Fiche DCI — Thiol uoprotecteur</w:t>
      </w:r>
    </w:p>
    <w:p>
      <w:pPr>
        <w:pStyle w:val="Heading3"/>
      </w:pPr>
      <w:r>
        <w:t>7.1. DCI : Mesna (Seule)</w:t>
      </w:r>
    </w:p>
    <w:p>
      <w:r/>
      <w:r>
        <w:rPr>
          <w:b/>
        </w:rPr>
        <w:t>Liste des Catégories :</w:t>
      </w:r>
      <w:r>
        <w:t xml:space="preserve"> Mucolytique (indication secondaire), Uoprotecteur (indication principale), Antidote (prévention cystite hémorragique chimio), Agent cytoprotecteur.</w:t>
      </w:r>
    </w:p>
    <w:p>
      <w:r>
        <w:t xml:space="preserve">Le </w:t>
      </w:r>
      <w:r>
        <w:rPr>
          <w:b/>
        </w:rPr>
        <w:t>mesna</w:t>
      </w:r>
      <w:r>
        <w:t xml:space="preserve"> (2-mercaptoéthane sulfonate de sodium) est le seul </w:t>
      </w:r>
      <w:r>
        <w:rPr>
          <w:b/>
        </w:rPr>
        <w:t>uoprotecteur spécifique</w:t>
      </w:r>
      <w:r>
        <w:t xml:space="preserve"> disponible en Algérie pour la prévention de la cystite hémorragique induite par les oxazaphosphorines (cyclophosphamide, ifosfamide). Son administration IV selon un schéma précis (T0, T4, T8 heures) est </w:t>
      </w:r>
      <w:r>
        <w:rPr>
          <w:b/>
        </w:rPr>
        <w:t>obligatoire</w:t>
      </w:r>
      <w:r>
        <w:t xml:space="preserve"> lors de l'administration d'ifosfamide à haute dose (≥ 2 g/m²/jour) et de cyclophosphamide à haute dose (≥ 50 mg/kg). Sa particularité pharmacocinétique est d'être oxydé en dithiol inactif dans le plasma, puis </w:t>
      </w:r>
      <w:r>
        <w:rPr>
          <w:b/>
        </w:rPr>
        <w:t>réduit en mesna libre actif</w:t>
      </w:r>
      <w:r>
        <w:t xml:space="preserve"> dans les urines par les glutathion réductases rénales — ce qui garantit une action </w:t>
      </w:r>
      <w:r>
        <w:rPr>
          <w:b/>
        </w:rPr>
        <w:t>sélective</w:t>
      </w:r>
      <w:r>
        <w:t xml:space="preserve"> sur l'urothélium sans interférer avec l'effet antitumoral systémique.</w:t>
      </w:r>
    </w:p>
    <w:p>
      <w:r/>
      <w:r>
        <w:rPr>
          <w:b/>
        </w:rPr>
        <w:t>Médicaments disponibles en Algérie (Marques, Laboratoires, Formes et Dosages) :</w:t>
      </w:r>
      <w:r/>
    </w:p>
    <w:p>
      <w:pPr>
        <w:pStyle w:val="ListBullet"/>
      </w:pPr>
      <w:r/>
      <w:r>
        <w:rPr>
          <w:b/>
        </w:rPr>
        <w:t>UROMITEXAN</w:t>
      </w:r>
      <w:r>
        <w:t xml:space="preserve"> (BAXTER ONCOLOGY GMBH)</w:t>
      </w:r>
    </w:p>
    <w:p>
      <w:pPr>
        <w:pStyle w:val="ListBullet"/>
      </w:pPr>
      <w:r>
        <w:t>Formes et Dosages : Solution injectable IV, 100 mg/mL — Ampoule de 4 mL (400 mg/ampoule) — Boîte de 5 ampoules de 4 mL [spécialité princeps]</w:t>
      </w:r>
    </w:p>
    <w:p>
      <w:pPr>
        <w:pStyle w:val="ListBullet"/>
      </w:pPr>
      <w:r>
        <w:t>Liste : Liste II</w:t>
      </w:r>
    </w:p>
    <w:p>
      <w:pPr>
        <w:pStyle w:val="ListBullet"/>
      </w:pPr>
      <w:r>
        <w:t>Statut : Actif</w:t>
      </w:r>
    </w:p>
    <w:p>
      <w:r/>
      <w:r>
        <w:rPr>
          <w:i/>
        </w:rPr>
        <w:t>Note</w:t>
      </w:r>
      <w:r>
        <w:t xml:space="preserve"> : Le mesna est exclusivement disponible en Algérie en </w:t>
      </w:r>
      <w:r>
        <w:rPr>
          <w:b/>
        </w:rPr>
        <w:t>forme injectable IV</w:t>
      </w:r>
      <w:r>
        <w:t xml:space="preserve"> (usage hospitalier exclusif). Aucune forme orale n'est commercialisée (alors qu'elle existe en Europe pour la prolongation de la uoprotection à domicile). La spécialité UROMITEXAN (Baxter Oncology) est le princeps mondial, utilisé depuis 1988.</w:t>
      </w:r>
    </w:p>
    <w:p>
      <w:r/>
      <w:r>
        <w:rPr>
          <w:b/>
        </w:rPr>
        <w:t>Sous-classe et Mécanisme d'action :</w:t>
      </w:r>
      <w:r/>
    </w:p>
    <w:p>
      <w:pPr>
        <w:pStyle w:val="ListBullet"/>
      </w:pPr>
      <w:r/>
      <w:r>
        <w:rPr>
          <w:b/>
        </w:rPr>
        <w:t>Sous-classe</w:t>
      </w:r>
      <w:r>
        <w:t xml:space="preserve"> : Uoprotecteur spécifique de la chimiothérapie par oxazaphosphorines. Appartient à la famille des </w:t>
      </w:r>
      <w:r>
        <w:rPr>
          <w:b/>
        </w:rPr>
        <w:t>thiols synthétiques</w:t>
      </w:r>
      <w:r>
        <w:t xml:space="preserve"> (au même titre que la NAC et la carbocistéine), mais son indication principale est l'uoprotection et non la mucolytique bronchique.</w:t>
      </w:r>
    </w:p>
    <w:p>
      <w:pPr>
        <w:pStyle w:val="ListBullet"/>
      </w:pPr>
      <w:r/>
      <w:r>
        <w:rPr>
          <w:b/>
        </w:rPr>
        <w:t>Mécanisme d'action</w:t>
      </w:r>
      <w:r>
        <w:t xml:space="preserve"> :</w:t>
      </w:r>
    </w:p>
    <w:p>
      <w:pPr>
        <w:pStyle w:val="ListNumber"/>
      </w:pPr>
      <w:r/>
      <w:r>
        <w:rPr>
          <w:b/>
        </w:rPr>
        <w:t>Conjugaison directe avec l'acroléine</w:t>
      </w:r>
      <w:r>
        <w:t xml:space="preserve"> : le mesna possède un groupement </w:t>
      </w:r>
      <w:r>
        <w:rPr>
          <w:b/>
        </w:rPr>
        <w:t>thiol libre (-SH)</w:t>
      </w:r>
      <w:r>
        <w:t xml:space="preserve"> qui réagit avec la double liaison α,β-insaturée de l'acroléine (CH₂=CH-CHO, métabolite urotoxique du cyclophosphamide et de l'ifosfamide) par une </w:t>
      </w:r>
      <w:r>
        <w:rPr>
          <w:b/>
        </w:rPr>
        <w:t>réaction de Michael</w:t>
      </w:r>
      <w:r>
        <w:t xml:space="preserve">, formant un </w:t>
      </w:r>
      <w:r>
        <w:rPr>
          <w:b/>
        </w:rPr>
        <w:t>adduit stable et non toxique</w:t>
      </w:r>
      <w:r>
        <w:t xml:space="preserve"> (mesna-acroléine). Cet adduit est excrété dans les urines sans altération de l'urothélium vésical.</w:t>
      </w:r>
    </w:p>
    <w:p>
      <w:pPr>
        <w:pStyle w:val="ListNumber"/>
      </w:pPr>
      <w:r/>
      <w:r>
        <w:rPr>
          <w:b/>
        </w:rPr>
        <w:t>Réduction des dérivés 4-hydroxylés</w:t>
      </w:r>
      <w:r>
        <w:t xml:space="preserve"> : pour l'ifosfamide, le mesna réduit également le </w:t>
      </w:r>
      <w:r>
        <w:rPr>
          <w:b/>
        </w:rPr>
        <w:t>4-hydroxy-ifosfamide</w:t>
      </w:r>
      <w:r>
        <w:t xml:space="preserve"> et ses métabolites urotoxiques (chloroacétaldéhyde) en dérivés inactifs.</w:t>
      </w:r>
    </w:p>
    <w:p>
      <w:pPr>
        <w:pStyle w:val="ListNumber"/>
      </w:pPr>
      <w:r/>
      <w:r>
        <w:rPr>
          <w:b/>
        </w:rPr>
        <w:t>Sélectivité d'action urinaire</w:t>
      </w:r>
      <w:r>
        <w:t xml:space="preserve"> : le mesna est rapidement oxydé en son </w:t>
      </w:r>
      <w:r>
        <w:rPr>
          <w:b/>
        </w:rPr>
        <w:t>dithiol inactif</w:t>
      </w:r>
      <w:r>
        <w:t xml:space="preserve"> (mesna disulfide) dans le plasma par l'oxydation spontanée (le plasma est un milieu oxydant). Cependant, le dithiol est </w:t>
      </w:r>
      <w:r>
        <w:rPr>
          <w:b/>
        </w:rPr>
        <w:t>réduit en mesna libre actif</w:t>
      </w:r>
      <w:r>
        <w:t xml:space="preserve"> dans les urines par les </w:t>
      </w:r>
      <w:r>
        <w:rPr>
          <w:b/>
        </w:rPr>
        <w:t>glutathion réductases</w:t>
      </w:r>
      <w:r>
        <w:t xml:space="preserve"> rénales. Cette particularité permet au mesna d'être </w:t>
      </w:r>
      <w:r>
        <w:rPr>
          <w:b/>
        </w:rPr>
        <w:t>actif uniquement dans les voies urinaires</w:t>
      </w:r>
      <w:r>
        <w:t>, sans interférer avec l'activité alkylante systémique des oxazaphosphorines.</w:t>
      </w:r>
    </w:p>
    <w:p>
      <w:pPr>
        <w:pStyle w:val="ListNumber"/>
      </w:pPr>
      <w:r/>
      <w:r>
        <w:rPr>
          <w:b/>
        </w:rPr>
        <w:t>Activité mucolytique secondaire</w:t>
      </w:r>
      <w:r>
        <w:t xml:space="preserve"> (peu exploitée en clinique) : le mesna possède, comme la NAC, un groupement -SH capable de cliver les ponts disulfure des mucines ; cette propriété a été historiquement étudiée pour l'encombrement bronchique mais abandonnée au profit de la NAC (meilleure tolérance locale).</w:t>
      </w:r>
    </w:p>
    <w:p>
      <w:r/>
      <w:r>
        <w:rPr>
          <w:b/>
        </w:rPr>
        <w:t>Profil Pharmacologique :</w:t>
      </w:r>
      <w:r/>
    </w:p>
    <w:p>
      <w:pPr>
        <w:pStyle w:val="ListBullet"/>
      </w:pPr>
      <w:r/>
      <w:r>
        <w:rPr>
          <w:b/>
        </w:rPr>
        <w:t>Indications</w:t>
      </w:r>
      <w:r>
        <w:t xml:space="preserve"> :</w:t>
      </w:r>
    </w:p>
    <w:p>
      <w:pPr>
        <w:pStyle w:val="ListBullet"/>
      </w:pPr>
      <w:r/>
      <w:r>
        <w:rPr>
          <w:b/>
        </w:rPr>
        <w:t>Prévention de la cystite hémorragique induite par les oxazaphosphorines</w:t>
      </w:r>
      <w:r>
        <w:t xml:space="preserve"> :</w:t>
      </w:r>
    </w:p>
    <w:p>
      <w:pPr>
        <w:pStyle w:val="ListBullet"/>
      </w:pPr>
      <w:r>
        <w:t>*Ifosfamide à toute dose* (en pratique, surtout ≥ 2 g/m²/jour) : uoprotection obligatoire.</w:t>
      </w:r>
    </w:p>
    <w:p>
      <w:pPr>
        <w:pStyle w:val="ListBullet"/>
      </w:pPr>
      <w:r>
        <w:t>*Cyclophosphamide à haute dose* (≥ 50 mg/kg ou protocoles de conditionnement de greffe de cellules souches hématopoïétiques) : uoprotection obligatoire.</w:t>
      </w:r>
    </w:p>
    <w:p>
      <w:pPr>
        <w:pStyle w:val="ListBullet"/>
      </w:pPr>
      <w:r>
        <w:t xml:space="preserve">*Cyclophosphamide à dose conventionnelle* (≤ 1 g/m²/jour) : uoprotection </w:t>
      </w:r>
      <w:r>
        <w:rPr>
          <w:b/>
        </w:rPr>
        <w:t>non systématique</w:t>
      </w:r>
      <w:r>
        <w:t>, réservée aux patients à risque (antécédent de cystite, irradiation pelvienne, antécédents urologiques).</w:t>
      </w:r>
    </w:p>
    <w:p>
      <w:pPr>
        <w:pStyle w:val="ListBullet"/>
      </w:pPr>
      <w:r>
        <w:t>*Indication mucolytique* (historique, non utilisée en clinique en raison de l'existence de la NAC).</w:t>
      </w:r>
    </w:p>
    <w:p>
      <w:pPr>
        <w:pStyle w:val="ListBullet"/>
      </w:pPr>
      <w:r/>
      <w:r>
        <w:rPr>
          <w:b/>
        </w:rPr>
        <w:t>Contre-indications</w:t>
      </w:r>
      <w:r>
        <w:t xml:space="preserve"> :</w:t>
      </w:r>
    </w:p>
    <w:p>
      <w:pPr>
        <w:pStyle w:val="ListBullet"/>
      </w:pPr>
      <w:r>
        <w:t>Hypersensibilité au mesna ou à l'un des excipients.</w:t>
      </w:r>
    </w:p>
    <w:p>
      <w:pPr>
        <w:pStyle w:val="ListBullet"/>
      </w:pPr>
      <w:r/>
      <w:r>
        <w:rPr>
          <w:b/>
        </w:rPr>
        <w:t>Insuffisance rénale sévère</w:t>
      </w:r>
      <w:r>
        <w:t xml:space="preserve"> (clairance créatinine &lt; 30 mL/min) — en raison du métabolisme rénal du dithiol en mesna libre actif (risque d'accumulation et d'inefficacité par réduction insuffisante).</w:t>
      </w:r>
    </w:p>
    <w:p>
      <w:pPr>
        <w:pStyle w:val="ListBullet"/>
      </w:pPr>
      <w:r/>
      <w:r>
        <w:rPr>
          <w:b/>
        </w:rPr>
        <w:t>Grossesse et allaitement</w:t>
      </w:r>
      <w:r>
        <w:t xml:space="preserve"> (cf. section dédiée) — par prudence, réserver à l'évaluation bénéfice/risque oncologique.</w:t>
      </w:r>
    </w:p>
    <w:p>
      <w:pPr>
        <w:pStyle w:val="ListBullet"/>
      </w:pPr>
      <w:r>
        <w:t>*Patients sous chimiothérapie non oxazaphosphorinique* (le mesna n'a aucune indication hors ifosfamide/cyclophosphamide).</w:t>
      </w:r>
    </w:p>
    <w:p>
      <w:pPr>
        <w:pStyle w:val="ListBullet"/>
      </w:pPr>
      <w:r/>
      <w:r>
        <w:rPr>
          <w:b/>
        </w:rPr>
        <w:t>Effets Indésirables</w:t>
      </w:r>
      <w:r>
        <w:t xml:space="preserve"> :</w:t>
      </w:r>
    </w:p>
    <w:p>
      <w:pPr>
        <w:pStyle w:val="ListBullet"/>
      </w:pPr>
      <w:r>
        <w:t>*Digestifs* (fréquents, 5–15 %) : nausées, vomissements, diarrhée, douleurs abdominales — souvent difficiles à distinguer de la tolérance de la chimiothérapie concomitante.</w:t>
      </w:r>
    </w:p>
    <w:p>
      <w:pPr>
        <w:pStyle w:val="ListBullet"/>
      </w:pPr>
      <w:r>
        <w:t>*Cutanés* (peu fréquents) : rash, rash maculopapuleux, prurit, flush — réaction d'hypersensibilité possible.</w:t>
      </w:r>
    </w:p>
    <w:p>
      <w:pPr>
        <w:pStyle w:val="ListBullet"/>
      </w:pPr>
      <w:r>
        <w:t>*Neurologiques* (rares) : céphalées, asthénie.</w:t>
      </w:r>
    </w:p>
    <w:p>
      <w:pPr>
        <w:pStyle w:val="ListBullet"/>
      </w:pPr>
      <w:r>
        <w:t>*Cardiovasculaires* (rares) : hypotension transitoire en cas d'administration IV rapide.</w:t>
      </w:r>
    </w:p>
    <w:p>
      <w:pPr>
        <w:pStyle w:val="ListBullet"/>
      </w:pPr>
      <w:r>
        <w:t>*Biologiques* (rares) : augmentation transitoire des transaminases (ASAT, ALAT).</w:t>
      </w:r>
    </w:p>
    <w:p>
      <w:pPr>
        <w:pStyle w:val="ListBullet"/>
      </w:pPr>
      <w:r>
        <w:t>*Goût métallique* dans la bouche (fréquent, lié au groupement thiol).</w:t>
      </w:r>
    </w:p>
    <w:p>
      <w:r/>
      <w:r>
        <w:rPr>
          <w:b/>
        </w:rPr>
        <w:t>Prévention et Gestion des Effets Indésirables :</w:t>
      </w:r>
      <w:r/>
    </w:p>
    <w:p>
      <w:pPr>
        <w:pStyle w:val="ListBullet"/>
      </w:pPr>
      <w:r/>
      <w:r>
        <w:rPr>
          <w:b/>
        </w:rPr>
        <w:t>Mesures Préventives</w:t>
      </w:r>
      <w:r>
        <w:t xml:space="preserve"> :</w:t>
      </w:r>
    </w:p>
    <w:p>
      <w:pPr>
        <w:pStyle w:val="ListBullet"/>
      </w:pPr>
      <w:r/>
      <w:r>
        <w:rPr>
          <w:b/>
        </w:rPr>
        <w:t>Hydratation abondante</w:t>
      </w:r>
      <w:r>
        <w:t xml:space="preserve"> concomitante (≥ 3 L/jour de perfusion IV) pour assurer une </w:t>
      </w:r>
      <w:r>
        <w:rPr>
          <w:b/>
        </w:rPr>
        <w:t>diurèse alcaline ≥ 100 mL/h</w:t>
      </w:r>
      <w:r>
        <w:t xml:space="preserve"> (objectif : pH urinaire ≥ 7 et densité &lt; 1,010).</w:t>
      </w:r>
    </w:p>
    <w:p>
      <w:pPr>
        <w:pStyle w:val="ListBullet"/>
      </w:pPr>
      <w:r/>
      <w:r>
        <w:rPr>
          <w:b/>
        </w:rPr>
        <w:t>Alcalinisation des urines</w:t>
      </w:r>
      <w:r>
        <w:t xml:space="preserve"> (bicarbonate de sodium IV 1,4 % ou 4,2 % selon protocole) — surtout pour l'ifosfamide (prévention de l'acidose tubulaire et de l'encéphalopathie).</w:t>
      </w:r>
    </w:p>
    <w:p>
      <w:pPr>
        <w:pStyle w:val="ListBullet"/>
      </w:pPr>
      <w:r/>
      <w:r>
        <w:rPr>
          <w:b/>
        </w:rPr>
        <w:t>Surveillance de la bandelette urinaire</w:t>
      </w:r>
      <w:r>
        <w:t xml:space="preserve"> toutes les 4 heures pendant et après la chimiothérapie (recherche d'une hématurie microscopique &gt; 10 érythrocytes/mm³).</w:t>
      </w:r>
    </w:p>
    <w:p>
      <w:pPr>
        <w:pStyle w:val="ListBullet"/>
      </w:pPr>
      <w:r>
        <w:t xml:space="preserve">Administration </w:t>
      </w:r>
      <w:r>
        <w:rPr>
          <w:b/>
        </w:rPr>
        <w:t>lente</w:t>
      </w:r>
      <w:r>
        <w:t xml:space="preserve"> IV (en 15–30 minutes, ou en perfusion continue) pour éviter l'hypotension.</w:t>
      </w:r>
    </w:p>
    <w:p>
      <w:pPr>
        <w:pStyle w:val="ListBullet"/>
      </w:pPr>
      <w:r>
        <w:t xml:space="preserve">Vérifier la </w:t>
      </w:r>
      <w:r>
        <w:rPr>
          <w:b/>
        </w:rPr>
        <w:t>clairance créatinine</w:t>
      </w:r>
      <w:r>
        <w:t xml:space="preserve"> avant l'administration (à réduire si &lt; 60 mL/min ; CI si &lt; 30 mL/min).</w:t>
      </w:r>
    </w:p>
    <w:p>
      <w:pPr>
        <w:pStyle w:val="ListBullet"/>
      </w:pPr>
      <w:r/>
      <w:r>
        <w:rPr>
          <w:b/>
        </w:rPr>
        <w:t>Conduite à Tenir</w:t>
      </w:r>
      <w:r>
        <w:t xml:space="preserve"> :</w:t>
      </w:r>
    </w:p>
    <w:p>
      <w:pPr>
        <w:pStyle w:val="ListBullet"/>
      </w:pPr>
      <w:r>
        <w:t xml:space="preserve">*En cas d'hématurie macroscopique* sous mesna : </w:t>
      </w:r>
      <w:r>
        <w:rPr>
          <w:b/>
        </w:rPr>
        <w:t>arrêt de la chimiothérapie</w:t>
      </w:r>
      <w:r>
        <w:t>, hydratation IV maximale, sondage vésical à 3 voies pour lavage vésical continu, consultation urologique urgente (risque de cystite hémorragique cataclysmique nécessitant embolisation ou chirurgie).</w:t>
      </w:r>
    </w:p>
    <w:p>
      <w:pPr>
        <w:pStyle w:val="ListBullet"/>
      </w:pPr>
      <w:r>
        <w:t>*En cas de rash* : antihistaminique IV, corticothérapie IV si réaction sévère.</w:t>
      </w:r>
    </w:p>
    <w:p>
      <w:pPr>
        <w:pStyle w:val="ListBullet"/>
      </w:pPr>
      <w:r>
        <w:t>*En cas d'hypotension* : ralentir la perfusion, remplissage IV.</w:t>
      </w:r>
    </w:p>
    <w:p>
      <w:r/>
      <w:r>
        <w:rPr>
          <w:b/>
        </w:rPr>
        <w:t>Interactions Importantes :</w:t>
      </w:r>
      <w:r/>
    </w:p>
    <w:p>
      <w:pPr>
        <w:pStyle w:val="ListBullet"/>
      </w:pPr>
      <w:r/>
      <w:r>
        <w:rPr>
          <w:b/>
        </w:rPr>
        <w:t>Mesna + ifosfamide / cyclophosphamide</w:t>
      </w:r>
      <w:r>
        <w:t xml:space="preserve"> : association </w:t>
      </w:r>
      <w:r>
        <w:rPr>
          <w:b/>
        </w:rPr>
        <w:t>obligatoire</w:t>
      </w:r>
      <w:r>
        <w:t xml:space="preserve"> (le mesna est l'antidote de la toxicité urothéliale des oxazaphosphorines) — le mesna ne réduit pas l'effet antitumoral systémique.</w:t>
      </w:r>
    </w:p>
    <w:p>
      <w:pPr>
        <w:pStyle w:val="ListBullet"/>
      </w:pPr>
      <w:r/>
      <w:r>
        <w:rPr>
          <w:b/>
        </w:rPr>
        <w:t>Mesna + autres agents alkylants</w:t>
      </w:r>
      <w:r>
        <w:t xml:space="preserve"> (busulfan, melphalan, cisplatine, carboplatine) : aucune indication — le mesna n'est actif que contre l'acroléine et les métabolites urotoxiques des oxazaphosphorines.</w:t>
      </w:r>
    </w:p>
    <w:p>
      <w:pPr>
        <w:pStyle w:val="ListBullet"/>
      </w:pPr>
      <w:r/>
      <w:r>
        <w:rPr>
          <w:b/>
        </w:rPr>
        <w:t>Mesna + aminoglycosides</w:t>
      </w:r>
      <w:r>
        <w:t xml:space="preserve"> : pas d'interaction spécifique, mais surveillance de la fonction rénale.</w:t>
      </w:r>
    </w:p>
    <w:p>
      <w:pPr>
        <w:pStyle w:val="ListBullet"/>
      </w:pPr>
      <w:r/>
      <w:r>
        <w:rPr>
          <w:b/>
        </w:rPr>
        <w:t>Mesna + cisplatine</w:t>
      </w:r>
      <w:r>
        <w:t xml:space="preserve"> : le cisplatine peut potentialiser la néphrotoxicité ; surveillance accrue.</w:t>
      </w:r>
    </w:p>
    <w:p>
      <w:r/>
      <w:r>
        <w:rPr>
          <w:b/>
        </w:rPr>
        <w:t>Grossesse et Allaitement :</w:t>
      </w:r>
      <w:r/>
    </w:p>
    <w:p>
      <w:pPr>
        <w:pStyle w:val="ListBullet"/>
      </w:pPr>
      <w:r/>
      <w:r>
        <w:rPr>
          <w:b/>
        </w:rPr>
        <w:t>Grossesse</w:t>
      </w:r>
      <w:r>
        <w:t xml:space="preserve"> : le mesna est utilisé en chimiothérapie anticancéreuse, contexte où la grossesse est rarement poursuivie. Selon le CRAT, les données animales ne révèlent pas d'effet tératogène propre au mesna, mais le contexte de chimiothérapie (ifosfamide, cyclophosphamide) est lui-même </w:t>
      </w:r>
      <w:r>
        <w:rPr>
          <w:b/>
        </w:rPr>
        <w:t>hautement tératogène et embryotoxique</w:t>
      </w:r>
      <w:r>
        <w:t xml:space="preserve"> (les oxazaphosphorines sont CI absolue pendant la grossesse). Le mesna est donc utilisé en pratique chez la femme enceinte </w:t>
      </w:r>
      <w:r>
        <w:rPr>
          <w:b/>
        </w:rPr>
        <w:t>uniquement</w:t>
      </w:r>
      <w:r>
        <w:t xml:space="preserve"> si la chimiothérapie est jugée indispensable (cancer métastatique en poussée), dans une décision multidisciplinaire oncologique/obstétricale.</w:t>
      </w:r>
    </w:p>
    <w:p>
      <w:pPr>
        <w:pStyle w:val="ListBullet"/>
      </w:pPr>
      <w:r/>
      <w:r>
        <w:rPr>
          <w:b/>
        </w:rPr>
        <w:t>Allaitement</w:t>
      </w:r>
      <w:r>
        <w:t xml:space="preserve"> : </w:t>
      </w:r>
      <w:r>
        <w:rPr>
          <w:b/>
        </w:rPr>
        <w:t>CI absolue pendant la chimiothérapie</w:t>
      </w:r>
      <w:r>
        <w:t xml:space="preserve"> (toutes les chimiothérapies anticancéreuses sont CI pendant l'allaitement en raison du passage dans le lait maternel).</w:t>
      </w:r>
    </w:p>
    <w:p>
      <w:pPr>
        <w:pStyle w:val="ListBullet"/>
      </w:pPr>
      <w:r/>
      <w:r>
        <w:rPr>
          <w:b/>
        </w:rPr>
        <w:t>Précisions</w:t>
      </w:r>
      <w:r>
        <w:t xml:space="preserve"> : le mesna en lui-même n'a pas de toxicité fœtale documentée ; mais il est toujours utilisé en association avec une chimiothérapie tératogène, d'où la prudence globale.</w:t>
      </w:r>
    </w:p>
    <w:p>
      <w:r/>
      <w:r>
        <w:rPr>
          <w:b/>
        </w:rPr>
        <w:t>Posologie et Mode d'administration (Standard) :</w:t>
      </w:r>
      <w:r/>
    </w:p>
    <w:p>
      <w:pPr>
        <w:pStyle w:val="ListBullet"/>
      </w:pPr>
      <w:r/>
      <w:r>
        <w:rPr>
          <w:b/>
        </w:rPr>
        <w:t>Adulte</w:t>
      </w:r>
      <w:r>
        <w:t xml:space="preserve"> :</w:t>
      </w:r>
    </w:p>
    <w:p>
      <w:pPr>
        <w:pStyle w:val="ListBullet"/>
      </w:pPr>
      <w:r>
        <w:t xml:space="preserve">Schéma IV standard fractionné (recommandation principale) : mesna IV bolus à </w:t>
      </w:r>
      <w:r>
        <w:rPr>
          <w:b/>
        </w:rPr>
        <w:t>60 % de la dose d'oxazaphosphorine</w:t>
      </w:r>
      <w:r>
        <w:t xml:space="preserve">, en </w:t>
      </w:r>
      <w:r>
        <w:rPr>
          <w:b/>
        </w:rPr>
        <w:t>3 injections</w:t>
      </w:r>
      <w:r>
        <w:t xml:space="preserve"> à T0 (juste avant la chimiothérapie), T4 (4 heures après), et T8 (8 heures après).</w:t>
      </w:r>
    </w:p>
    <w:p>
      <w:pPr>
        <w:pStyle w:val="ListBullet"/>
      </w:pPr>
      <w:r>
        <w:t>*Exemple* : ifosfamide 2 g/m²/jour J1 à J3 → mesna 1200 mg/m²/jour en 3 injections de 400 mg/m² à T0, T4, T8 chaque jour.</w:t>
      </w:r>
    </w:p>
    <w:p>
      <w:pPr>
        <w:pStyle w:val="ListBullet"/>
      </w:pPr>
      <w:r>
        <w:t xml:space="preserve">Schéma IV continu : mesna IV en perfusion continue à </w:t>
      </w:r>
      <w:r>
        <w:rPr>
          <w:b/>
        </w:rPr>
        <w:t>60–120 % de la dose d'oxazaphosphorine</w:t>
      </w:r>
      <w:r>
        <w:t xml:space="preserve"> sur 24 heures (perfusion continue à la seringue électrique).</w:t>
      </w:r>
    </w:p>
    <w:p>
      <w:pPr>
        <w:pStyle w:val="ListBullet"/>
      </w:pPr>
      <w:r>
        <w:t>Schéma IV + oral : après 3 injections IV (T0, T4, T8), relay par mesna oral à 40 % de la dose d'oxazaphosphorine, en 2 prises à T12 et T16 (forme orale NON disponible en Algérie — à envisager en importation si nécessaire).</w:t>
      </w:r>
    </w:p>
    <w:p>
      <w:pPr>
        <w:pStyle w:val="ListBullet"/>
      </w:pPr>
      <w:r/>
      <w:r>
        <w:rPr>
          <w:b/>
        </w:rPr>
        <w:t>Enfant</w:t>
      </w:r>
      <w:r>
        <w:t xml:space="preserve"> :</w:t>
      </w:r>
    </w:p>
    <w:p>
      <w:pPr>
        <w:pStyle w:val="ListBullet"/>
      </w:pPr>
      <w:r>
        <w:t>Schéma identique à l'adulte, en adaptant selon la surface corporelle (m²) ou le poids.</w:t>
      </w:r>
    </w:p>
    <w:p>
      <w:pPr>
        <w:pStyle w:val="ListBullet"/>
      </w:pPr>
      <w:r>
        <w:t>*Nourrisson et enfant &lt; 12 ans* : surveillance de la diurèse et de la bandelette urinaire accrue.</w:t>
      </w:r>
    </w:p>
    <w:p>
      <w:pPr>
        <w:pStyle w:val="ListBullet"/>
      </w:pPr>
      <w:r/>
      <w:r>
        <w:rPr>
          <w:b/>
        </w:rPr>
        <w:t>Durée</w:t>
      </w:r>
      <w:r>
        <w:t xml:space="preserve"> : à chaque cycle de chimiothérapie par oxazaphosphorines, pendant toute la durée d'excrétion urinaire de l'acroléine (en pratique, le jour de la chimiothérapie + 24 heures).</w:t>
      </w:r>
    </w:p>
    <w:p>
      <w:pPr>
        <w:pStyle w:val="ListBullet"/>
      </w:pPr>
      <w:r/>
      <w:r>
        <w:rPr>
          <w:b/>
        </w:rPr>
        <w:t>Mode d'administration</w:t>
      </w:r>
      <w:r>
        <w:t xml:space="preserve"> : IV direct lent (3–5 minutes), ou perfusion courte 15–30 minutes, ou perfusion continue sur 24 heures selon protocole.</w:t>
      </w:r>
    </w:p>
    <w:p>
      <w:r/>
      <w:r>
        <w:rPr>
          <w:b/>
        </w:rPr>
        <w:t>Arbitrage et Bénéfices des Formes Galéniques :</w:t>
      </w:r>
      <w:r/>
    </w:p>
    <w:p>
      <w:pPr>
        <w:pStyle w:val="ListBullet"/>
      </w:pPr>
      <w:r/>
      <w:r>
        <w:rPr>
          <w:b/>
        </w:rPr>
        <w:t>Solution injectable IV 100 mg/mL</w:t>
      </w:r>
      <w:r>
        <w:t xml:space="preserve"> (UROMITEXAN, Baxter) : seule forme disponible en Algérie. Usage hospitalier exclusif (centre de chimiothérapie ambulatoire ou service d'oncologie/hématologie). Concentration 400 mg/4 mL par ampoule — pratique pour adapter la dose selon le protocole.</w:t>
      </w:r>
    </w:p>
    <w:p>
      <w:pPr>
        <w:pStyle w:val="ListBullet"/>
      </w:pPr>
      <w:r/>
      <w:r>
        <w:rPr>
          <w:b/>
        </w:rPr>
        <w:t>Forme orale</w:t>
      </w:r>
      <w:r>
        <w:t xml:space="preserve"> (400 mg comprimé) : existe en Europe (Uromitexan comprimés) pour prolongation de la uoprotection à domicile, mais </w:t>
      </w:r>
      <w:r>
        <w:rPr>
          <w:b/>
        </w:rPr>
        <w:t>non commercialisée en Algérie</w:t>
      </w:r>
      <w:r>
        <w:t>. En cas de besoin, importation exceptionnelle via pharmacies hospitalières.</w:t>
      </w:r>
    </w:p>
    <w:p>
      <w:pPr>
        <w:pStyle w:val="ListBullet"/>
      </w:pPr>
      <w:r/>
      <w:r>
        <w:rPr>
          <w:b/>
        </w:rPr>
        <w:t>Forme nébulisation</w:t>
      </w:r>
      <w:r>
        <w:t xml:space="preserve"> : existe historiquement pour l'indication mucolytique (rarement utilisée) — non commercialisée en Algérie.</w:t>
      </w:r>
    </w:p>
    <w:p>
      <w:r/>
      <w:r>
        <w:rPr>
          <w:b/>
        </w:rPr>
        <w:t>Instructions et Conseils au Patient :</w:t>
      </w:r>
      <w:r/>
    </w:p>
    <w:p>
      <w:pPr>
        <w:pStyle w:val="ListBullet"/>
      </w:pPr>
      <w:r/>
      <w:r>
        <w:rPr>
          <w:b/>
        </w:rPr>
        <w:t>Communication au comptoir</w:t>
      </w:r>
      <w:r>
        <w:t xml:space="preserve"> (et en milieu hospitalier) :</w:t>
      </w:r>
    </w:p>
    <w:p>
      <w:pPr>
        <w:pStyle w:val="ListBullet"/>
      </w:pPr>
      <w:r>
        <w:t xml:space="preserve">Le mesna est un médicament à </w:t>
      </w:r>
      <w:r>
        <w:rPr>
          <w:b/>
        </w:rPr>
        <w:t>usage hospitalier exclusif</w:t>
      </w:r>
      <w:r>
        <w:t xml:space="preserve"> — il n'est pas délivré en pharmacie d'officine en Algérie. Le pharmacien d'offrine peut néanmoins être interrogé sur ce médicament par les patients sous chimiothérapie.</w:t>
      </w:r>
    </w:p>
    <w:p>
      <w:pPr>
        <w:pStyle w:val="ListBullet"/>
      </w:pPr>
      <w:r>
        <w:t>« *Ce médicament protège votre vessie de la toxicité de la chimiothérapie (ifosfamide ou cyclophosphamide haute dose). Il est administré en perfusion IV en même temps que la chimiothérapie.* »</w:t>
      </w:r>
    </w:p>
    <w:p>
      <w:pPr>
        <w:pStyle w:val="ListBullet"/>
      </w:pPr>
      <w:r>
        <w:t>« *Buvez abondamment (au moins 3 L/jour) pendant et après la chimiothérapie pour bien rincer vos voies urinaires.* »</w:t>
      </w:r>
    </w:p>
    <w:p>
      <w:pPr>
        <w:pStyle w:val="ListBullet"/>
      </w:pPr>
      <w:r>
        <w:t>« *Signalez immédiatement toute urine rosée, rouge ou foncée, ainsi que toute douleur en urinant.* »</w:t>
      </w:r>
    </w:p>
    <w:p>
      <w:pPr>
        <w:pStyle w:val="ListBullet"/>
      </w:pPr>
      <w:r>
        <w:t>« *Un goût métallique dans la bouche est fréquent et normal.* »</w:t>
      </w:r>
    </w:p>
    <w:p>
      <w:pPr>
        <w:pStyle w:val="ListBullet"/>
      </w:pPr>
      <w:r/>
      <w:r>
        <w:rPr>
          <w:b/>
        </w:rPr>
        <w:t>Mode d'utilisation pratique</w:t>
      </w:r>
      <w:r>
        <w:t xml:space="preserve"> : administration IV en milieu spécialisé (centre de chimiothérapie), selon le protocole oncologique. Surveillance : bandelette urinaire toutes les 4 heures, diurèse horaire (objectif ≥ 100 mL/h), pH urinaire (objectif ≥ 7).</w:t>
      </w:r>
    </w:p>
    <w:p>
      <w:r/>
      <w:r>
        <w:rPr>
          <w:b/>
        </w:rPr>
        <w:t>Notes, Règles d'Or &amp; Pièges au Comptoir :</w:t>
      </w:r>
      <w:r/>
    </w:p>
    <w:p>
      <w:pPr>
        <w:pStyle w:val="ListBullet"/>
      </w:pPr>
      <w:r/>
      <w:r>
        <w:rPr>
          <w:b/>
        </w:rPr>
        <w:t>Piège classique</w:t>
      </w:r>
      <w:r>
        <w:t xml:space="preserve"> : le mesna n'a </w:t>
      </w:r>
      <w:r>
        <w:rPr>
          <w:b/>
        </w:rPr>
        <w:t>aucune indication hors chimiothérapie par oxazaphosphorines</w:t>
      </w:r>
      <w:r>
        <w:t>. En particulier, il ne doit pas être substitué à la NAC pour l'encombrement bronchique (son activité mucolytique est faible et non validée en clinique).</w:t>
      </w:r>
    </w:p>
    <w:p>
      <w:pPr>
        <w:pStyle w:val="ListBullet"/>
      </w:pPr>
      <w:r/>
      <w:r>
        <w:rPr>
          <w:b/>
        </w:rPr>
        <w:t>Règle de prise</w:t>
      </w:r>
      <w:r>
        <w:t xml:space="preserve"> : administration IV stricte selon protocole oncologique (T0, T4, T8), hydratation concomitante massive, surveillance bandelette urinaire.</w:t>
      </w:r>
    </w:p>
    <w:p>
      <w:pPr>
        <w:pStyle w:val="ListBullet"/>
      </w:pPr>
      <w:r/>
      <w:r>
        <w:rPr>
          <w:b/>
        </w:rPr>
        <w:t>Préparation et Conservation</w:t>
      </w:r>
      <w:r>
        <w:t xml:space="preserve"> : ampoules à conserver à température &lt; 25 °C, à l'abri de la lumière. Solution limpide incolore à légèrement jaune. Ne pas utiliser si la solution est trouble ou contient des particules.</w:t>
      </w:r>
    </w:p>
    <w:p>
      <w:pPr>
        <w:pStyle w:val="ListBullet"/>
      </w:pPr>
      <w:r/>
      <w:r>
        <w:rPr>
          <w:b/>
        </w:rPr>
        <w:t>Piège du surdosage / Substitution</w:t>
      </w:r>
      <w:r>
        <w:t xml:space="preserve"> :</w:t>
      </w:r>
    </w:p>
    <w:p>
      <w:pPr>
        <w:pStyle w:val="ListBullet"/>
      </w:pPr>
      <w:r/>
      <w:r>
        <w:rPr>
          <w:b/>
        </w:rPr>
        <w:t>Surveillance de la fonction rénale</w:t>
      </w:r>
      <w:r>
        <w:t xml:space="preserve"> obligatoire — le mesna est inefficace en cas d'insuffisance rénale sévère (la réduction du dithiol en mesna libre actif se fait dans le rein).</w:t>
      </w:r>
    </w:p>
    <w:p>
      <w:pPr>
        <w:pStyle w:val="ListBullet"/>
      </w:pPr>
      <w:r/>
      <w:r>
        <w:rPr>
          <w:b/>
        </w:rPr>
        <w:t>Ne pas confondre mesna et NAC</w:t>
      </w:r>
      <w:r>
        <w:t xml:space="preserve"> : bien que les deux soient des thiols, leurs indications sont totalement différentes (NAC = mucolytique + antidote paracétamol ; mesna = uoprotecteur chimiothérapie).</w:t>
      </w:r>
    </w:p>
    <w:p>
      <w:pPr>
        <w:pStyle w:val="ListBullet"/>
      </w:pPr>
      <w:r/>
      <w:r>
        <w:rPr>
          <w:b/>
        </w:rPr>
        <w:t>Substitution ifosfamide ↔ cyclophosphamide</w:t>
      </w:r>
      <w:r>
        <w:t xml:space="preserve"> : le mesna est obligatoire pour l'ifosfamide à toute dose ; pour le cyclophosphamide à dose conventionnelle (&lt; 50 mg/kg), il est optionnel (mais recommandé en pratique par prudence).</w:t>
      </w:r>
    </w:p>
    <w:p>
      <w:pPr>
        <w:pStyle w:val="ListBullet"/>
      </w:pPr>
      <w:r/>
      <w:r>
        <w:rPr>
          <w:b/>
        </w:rPr>
        <w:t>Encéphalopathie à l'ifosfamide</w:t>
      </w:r>
      <w:r>
        <w:t xml:space="preserve"> : le mesna ne prévient pas cette complication (liée au chloroacétaldéhyde métabolite) — surveiller l'état neurologique du patient sous ifosfamide (confusion, somnolence, convulsions).</w:t>
      </w:r>
    </w:p>
    <w:p>
      <w:pPr>
        <w:pStyle w:val="Heading2"/>
      </w:pPr>
      <w:r>
        <w:t>8. Introduction à la sous-classe des expectorants et fluidifiants — Dérivés terpéniques</w:t>
      </w:r>
    </w:p>
    <w:p>
      <w:r>
        <w:t xml:space="preserve">Les </w:t>
      </w:r>
      <w:r>
        <w:rPr>
          <w:b/>
        </w:rPr>
        <w:t>expectorants</w:t>
      </w:r>
      <w:r>
        <w:t xml:space="preserve"> et </w:t>
      </w:r>
      <w:r>
        <w:rPr>
          <w:b/>
        </w:rPr>
        <w:t>fluidifiants terpéniques</w:t>
      </w:r>
      <w:r>
        <w:t xml:space="preserve"> constituent une classe hétérogène de composés d'origine naturelle (végétale) dont le mécanisme d'action est principalement </w:t>
      </w:r>
      <w:r>
        <w:rPr>
          <w:b/>
        </w:rPr>
        <w:t>réflexe</w:t>
      </w:r>
      <w:r>
        <w:t xml:space="preserve"> et </w:t>
      </w:r>
      <w:r>
        <w:rPr>
          <w:b/>
        </w:rPr>
        <w:t>hydratant</w:t>
      </w:r>
      <w:r>
        <w:t>, distinct des mucolytiques thiols (clivage des ponts disulfure) ou des alcaloïdes vasiques (stimulation du surfactant). Ils regroupent :</w:t>
      </w:r>
    </w:p>
    <w:p>
      <w:pPr>
        <w:pStyle w:val="ListNumber"/>
      </w:pPr>
      <w:r>
        <w:t xml:space="preserve">La </w:t>
      </w:r>
      <w:r>
        <w:rPr>
          <w:b/>
        </w:rPr>
        <w:t>guaifénésine</w:t>
      </w:r>
      <w:r>
        <w:t xml:space="preserve"> (glycérol guaïacolate) — expectorant de référence dans cette classe, dérivé semi-synthétique de la résine de *Guaiacum officinale* (gaïac). Elle agit par stimulation des glandes séromuqueuses bronchiques, augmentant la phase liquide du mucus (réduction de la viscosité par dilution) et facilitant son expectoration.</w:t>
      </w:r>
    </w:p>
    <w:p>
      <w:pPr>
        <w:pStyle w:val="ListNumber"/>
      </w:pPr>
      <w:r>
        <w:t xml:space="preserve">Les </w:t>
      </w:r>
      <w:r>
        <w:rPr>
          <w:b/>
        </w:rPr>
        <w:t>terpènes</w:t>
      </w:r>
      <w:r>
        <w:t xml:space="preserve"> :</w:t>
      </w:r>
    </w:p>
    <w:p>
      <w:pPr>
        <w:pStyle w:val="ListBullet"/>
      </w:pPr>
      <w:r/>
      <w:r>
        <w:rPr>
          <w:b/>
        </w:rPr>
        <w:t>Eucalyptol</w:t>
      </w:r>
      <w:r>
        <w:t xml:space="preserve"> (1,8-cinéol) — extrait des feuilles d'*Eucalyptus globulus* (Myrtacées).</w:t>
      </w:r>
    </w:p>
    <w:p>
      <w:pPr>
        <w:pStyle w:val="ListBullet"/>
      </w:pPr>
      <w:r/>
      <w:r>
        <w:rPr>
          <w:b/>
        </w:rPr>
        <w:t>Gaïacol</w:t>
      </w:r>
      <w:r>
        <w:t xml:space="preserve"> (2-méthoxyphénol) et son dérivé </w:t>
      </w:r>
      <w:r>
        <w:rPr>
          <w:b/>
        </w:rPr>
        <w:t>gaïacol glycolate d'éthyle</w:t>
      </w:r>
      <w:r>
        <w:t xml:space="preserve"> — extrait de la résine de gaïac.</w:t>
      </w:r>
    </w:p>
    <w:p>
      <w:pPr>
        <w:pStyle w:val="ListBullet"/>
      </w:pPr>
      <w:r/>
      <w:r>
        <w:rPr>
          <w:b/>
        </w:rPr>
        <w:t>Camphre</w:t>
      </w:r>
      <w:r>
        <w:t xml:space="preserve"> (1,7,7-triméthylbicyclo[2.2.1]heptan-2-one) — extrait du camphrier *Cinnamomum camphora* (Lauracées).</w:t>
      </w:r>
    </w:p>
    <w:p>
      <w:pPr>
        <w:pStyle w:val="ListBullet"/>
      </w:pPr>
      <w:r/>
      <w:r>
        <w:rPr>
          <w:b/>
        </w:rPr>
        <w:t>Terpine</w:t>
      </w:r>
      <w:r>
        <w:t xml:space="preserve"> (terpinhydrate, p-menthan-6-ol) — dérivé monoterpénique synthétique.</w:t>
      </w:r>
    </w:p>
    <w:p>
      <w:pPr>
        <w:pStyle w:val="ListBullet"/>
      </w:pPr>
      <w:r/>
      <w:r>
        <w:rPr>
          <w:b/>
        </w:rPr>
        <w:t>Teinture d'ipéca</w:t>
      </w:r>
      <w:r>
        <w:t xml:space="preserve"> (extrait de *Cephaelis ipecacuanha*) — à faible dose, expectorant réflexe par stimulation des récepteurs gastriques et du vague.</w:t>
      </w:r>
    </w:p>
    <w:p>
      <w:pPr>
        <w:pStyle w:val="Heading3"/>
      </w:pPr>
      <w:r>
        <w:t>Mécanismes d'action</w:t>
      </w:r>
    </w:p>
    <w:p>
      <w:pPr>
        <w:pStyle w:val="ListBullet"/>
      </w:pPr>
      <w:r/>
      <w:r>
        <w:rPr>
          <w:b/>
        </w:rPr>
        <w:t>Guaifénésine</w:t>
      </w:r>
      <w:r>
        <w:t xml:space="preserve"> : stimulation des glandes séromuqueuses bronchiques (via le réflexe vagal gastrique) → augmentation de la </w:t>
      </w:r>
      <w:r>
        <w:rPr>
          <w:b/>
        </w:rPr>
        <w:t>phase aqueuse</w:t>
      </w:r>
      <w:r>
        <w:t xml:space="preserve"> du mucus → dilution → réduction de la viscosité → facilitation de l'expectoration. Effet modeste, démontré surtout sur la toux sèche post-infectieuse (études Cochrane mitigées).</w:t>
      </w:r>
    </w:p>
    <w:p>
      <w:pPr>
        <w:pStyle w:val="ListBullet"/>
      </w:pPr>
      <w:r/>
      <w:r>
        <w:rPr>
          <w:b/>
        </w:rPr>
        <w:t>Eucalyptol (1,8-cinéol)</w:t>
      </w:r>
      <w:r>
        <w:t xml:space="preserve"> : stimulation des récepteurs olfactifs et gustatifs → réflexe expectorant ; activité </w:t>
      </w:r>
      <w:r>
        <w:rPr>
          <w:b/>
        </w:rPr>
        <w:t>anti-inflammatoire</w:t>
      </w:r>
      <w:r>
        <w:t xml:space="preserve"> modeste (inhibition de IL-1β, TNF-α, NF-κB) ; activité </w:t>
      </w:r>
      <w:r>
        <w:rPr>
          <w:b/>
        </w:rPr>
        <w:t>bronchodilatatrice</w:t>
      </w:r>
      <w:r>
        <w:t xml:space="preserve"> faible (inhibition des canaux calciques voltage-dépendants) ; activité </w:t>
      </w:r>
      <w:r>
        <w:rPr>
          <w:b/>
        </w:rPr>
        <w:t>antibactérienne</w:t>
      </w:r>
      <w:r>
        <w:t xml:space="preserve"> in vitro.</w:t>
      </w:r>
    </w:p>
    <w:p>
      <w:pPr>
        <w:pStyle w:val="ListBullet"/>
      </w:pPr>
      <w:r/>
      <w:r>
        <w:rPr>
          <w:b/>
        </w:rPr>
        <w:t>Camphre</w:t>
      </w:r>
      <w:r>
        <w:t xml:space="preserve"> : action locale </w:t>
      </w:r>
      <w:r>
        <w:rPr>
          <w:b/>
        </w:rPr>
        <w:t>rubéfiante</w:t>
      </w:r>
      <w:r>
        <w:t xml:space="preserve"> (vasodilatation cutanée par stimulation des récepteurs TRPV3) — utilisé en applications cutanées (pommades) pour la toux ; inhalation possible.</w:t>
      </w:r>
    </w:p>
    <w:p>
      <w:pPr>
        <w:pStyle w:val="ListBullet"/>
      </w:pPr>
      <w:r/>
      <w:r>
        <w:rPr>
          <w:b/>
        </w:rPr>
        <w:t>Gaïacol</w:t>
      </w:r>
      <w:r>
        <w:t xml:space="preserve"> : expectorant réflexe, activité antiseptique locale modeste.</w:t>
      </w:r>
    </w:p>
    <w:p>
      <w:pPr>
        <w:pStyle w:val="ListBullet"/>
      </w:pPr>
      <w:r/>
      <w:r>
        <w:rPr>
          <w:b/>
        </w:rPr>
        <w:t>Terpine</w:t>
      </w:r>
      <w:r>
        <w:t xml:space="preserve"> : expectorant réflexe par stimulation du vague.</w:t>
      </w:r>
    </w:p>
    <w:p>
      <w:pPr>
        <w:pStyle w:val="ListBullet"/>
      </w:pPr>
      <w:r/>
      <w:r>
        <w:rPr>
          <w:b/>
        </w:rPr>
        <w:t>Teinture d'ipéca</w:t>
      </w:r>
      <w:r>
        <w:t xml:space="preserve"> (à faible dose) : stimulation des récepteurs de la muqueuse gastrique → réflexe vagal → stimulation des glandes bronchiques. </w:t>
      </w:r>
      <w:r>
        <w:rPr>
          <w:b/>
        </w:rPr>
        <w:t>À forte dose</w:t>
      </w:r>
      <w:r>
        <w:t>, émétisant (induction vomissements) — d'où son usage historique comme vomitif en cas d'intoxication, désormais déconseillé.</w:t>
      </w:r>
    </w:p>
    <w:p>
      <w:pPr>
        <w:pStyle w:val="Heading3"/>
      </w:pPr>
      <w:r>
        <w:t>Pharmacocinétique</w:t>
      </w:r>
    </w:p>
    <w:p>
      <w:pPr>
        <w:pStyle w:val="ListBullet"/>
      </w:pPr>
      <w:r/>
      <w:r>
        <w:rPr>
          <w:b/>
        </w:rPr>
        <w:t>Guaifénésine</w:t>
      </w:r>
      <w:r>
        <w:t xml:space="preserve"> : biodisponibilité orale 80 %, T_max 1 heure, métabolisme hépatique (β-(2-méthoxyphénoxy)-acide lactique), demi-vie 1 heure. Élimination rénale (60 % sous forme inchangue).</w:t>
      </w:r>
    </w:p>
    <w:p>
      <w:pPr>
        <w:pStyle w:val="ListBullet"/>
      </w:pPr>
      <w:r/>
      <w:r>
        <w:rPr>
          <w:b/>
        </w:rPr>
        <w:t>Eucalyptol</w:t>
      </w:r>
      <w:r>
        <w:t xml:space="preserve"> : absorption rapide par voie orale et inhalée ; métabolisme hépatique en acides hydroxycinéoliques conjugués ; élimination rénale et pulmonaire (exhalation). Demi-vie 1–3 heures.</w:t>
      </w:r>
    </w:p>
    <w:p>
      <w:pPr>
        <w:pStyle w:val="ListBullet"/>
      </w:pPr>
      <w:r/>
      <w:r>
        <w:rPr>
          <w:b/>
        </w:rPr>
        <w:t>Camphre</w:t>
      </w:r>
      <w:r>
        <w:t xml:space="preserve"> : absorption cutanée et digestive rapide ; métabolisme hépatique (hydroxylation en camphre-endo-ol, conjugué glucuronique) ; élimination rénale et pulmonaire. Demi-vie 5–12 heures. </w:t>
      </w:r>
      <w:r>
        <w:rPr>
          <w:b/>
        </w:rPr>
        <w:t>Toxique en surdosage</w:t>
      </w:r>
      <w:r>
        <w:t xml:space="preserve"> (convulsions, coma).</w:t>
      </w:r>
    </w:p>
    <w:p>
      <w:pPr>
        <w:pStyle w:val="Heading3"/>
      </w:pPr>
      <w:r>
        <w:t>Profil de tolérance</w:t>
      </w:r>
    </w:p>
    <w:p>
      <w:pPr>
        <w:pStyle w:val="ListBullet"/>
      </w:pPr>
      <w:r>
        <w:t>Guaifénésine : excellente tolérance, nausées et vomissements occasionnels à forte dose.</w:t>
      </w:r>
    </w:p>
    <w:p>
      <w:pPr>
        <w:pStyle w:val="ListBullet"/>
      </w:pPr>
      <w:r>
        <w:t>Eucalyptol : irritation gastrique, allergy rare.</w:t>
      </w:r>
    </w:p>
    <w:p>
      <w:pPr>
        <w:pStyle w:val="ListBullet"/>
      </w:pPr>
      <w:r>
        <w:t xml:space="preserve">Camphre : </w:t>
      </w:r>
      <w:r>
        <w:rPr>
          <w:b/>
        </w:rPr>
        <w:t>toxicité neurologique</w:t>
      </w:r>
      <w:r>
        <w:t xml:space="preserve"> (convulsions, confusion, coma) en cas de surdosage ou d'ingestion — d'où la CI absolue d'ingestion de camphre pur et l'interdiction d'utilisation chez le nourrisson et l'enfant de moins de 7 ans en application cutanée (en raison de l'absorption cutanée et du risque de convulsions).</w:t>
      </w:r>
    </w:p>
    <w:p>
      <w:pPr>
        <w:pStyle w:val="ListBullet"/>
      </w:pPr>
      <w:r>
        <w:t>Teinture d'ipéca : vomissements à forte dose (effet recherché en intoxication historique mais désormais déconseillé).</w:t>
      </w:r>
    </w:p>
    <w:p>
      <w:pPr>
        <w:pStyle w:val="Heading3"/>
      </w:pPr>
      <w:r>
        <w:t>Place dans la stratégie</w:t>
      </w:r>
    </w:p>
    <w:p>
      <w:pPr>
        <w:pStyle w:val="ListBullet"/>
      </w:pPr>
      <w:r>
        <w:t>Indications modestes : toux productive de la bronchite aiguë, encombrement bronchique bénin.</w:t>
      </w:r>
    </w:p>
    <w:p>
      <w:pPr>
        <w:pStyle w:val="ListBullet"/>
      </w:pPr>
      <w:r>
        <w:t>Eucalyptol inhalé ou oral : toux sèche irritative, encombrement bronchique.</w:t>
      </w:r>
    </w:p>
    <w:p>
      <w:pPr>
        <w:pStyle w:val="ListBullet"/>
      </w:pPr>
      <w:r>
        <w:t>Camphre en application cutanée : toux sèche (pommades, baumes — effet réflexe).</w:t>
      </w:r>
    </w:p>
    <w:p>
      <w:pPr>
        <w:pStyle w:val="ListBullet"/>
      </w:pPr>
      <w:r>
        <w:t>Associations : la guaifénésine est souvent associée à un antitussif (dextrométhorphane) ou à un antihistaminique (mepyramine) dans les préparations algériennes (ATUSSINE).</w:t>
      </w:r>
    </w:p>
    <w:p>
      <w:pPr>
        <w:pStyle w:val="Heading2"/>
      </w:pPr>
      <w:r>
        <w:t>9. Fiche DCI — Expecteur terpénique</w:t>
      </w:r>
    </w:p>
    <w:p>
      <w:pPr>
        <w:pStyle w:val="Heading3"/>
      </w:pPr>
      <w:r>
        <w:t>9.1. DCI : Guaifénésine + Expecteurs terpéniques (eucalyptol, gaïacol, terpine, camphre, teinture d'ipéca) (Seule)</w:t>
      </w:r>
    </w:p>
    <w:p>
      <w:r/>
      <w:r>
        <w:rPr>
          <w:b/>
        </w:rPr>
        <w:t>Liste des Catégories :</w:t>
      </w:r>
      <w:r>
        <w:t xml:space="preserve"> Expectorant, Fluidifiant bronchique, Terpénique, Association expectorante, Préparations composées (sirop, suppositoires).</w:t>
      </w:r>
    </w:p>
    <w:p>
      <w:r>
        <w:t xml:space="preserve">La </w:t>
      </w:r>
      <w:r>
        <w:rPr>
          <w:b/>
        </w:rPr>
        <w:t>guaifénésine</w:t>
      </w:r>
      <w:r>
        <w:t xml:space="preserve"> (glycérol guaïacolate) est un expectorant d'origine végétale (</w:t>
      </w:r>
      <w:r>
        <w:rPr>
          <w:i/>
        </w:rPr>
        <w:t>Guaiacum officinale</w:t>
      </w:r>
      <w:r>
        <w:t>) qui agit par stimulation réflexe des glandes séromuqueuses bronchiques, augmentant la phase aqueuse du mucus et facilitant son expectoration. Elle est souvent associée à des terpènes (eucalyptol, gaïacol, terpine) et, dans certaines préparations, à des antitussifs (codéine) ou antihistaminiques (mepyramine) pour potentialiser l'effet symptomatique. Sa biodisponibilité orale est de 80 %, avec un pic plasmatique à 1 heure et une demi-vie courte de 1 heure (élimination rénale).</w:t>
      </w:r>
    </w:p>
    <w:p>
      <w:r/>
      <w:r>
        <w:rPr>
          <w:b/>
        </w:rPr>
        <w:t>Médicaments disponibles en Algérie (Marques, Laboratoires, Formes et Dosages) :</w:t>
      </w:r>
      <w:r/>
    </w:p>
    <w:p>
      <w:r/>
      <w:r>
        <w:rPr>
          <w:i/>
        </w:rPr>
        <w:t>Spécialités actives :</w:t>
      </w:r>
      <w:r/>
    </w:p>
    <w:p>
      <w:pPr>
        <w:pStyle w:val="ListBullet"/>
      </w:pPr>
      <w:r/>
      <w:r>
        <w:rPr>
          <w:b/>
        </w:rPr>
        <w:t>FLUPEX</w:t>
      </w:r>
      <w:r>
        <w:t xml:space="preserve"> (LABORATOIRE ALGERIEN DU MEDICAMENT)</w:t>
      </w:r>
    </w:p>
    <w:p>
      <w:pPr>
        <w:pStyle w:val="ListBullet"/>
      </w:pPr>
      <w:r>
        <w:t>Formes et Dosages : Solution buvable — Guaifénésine 30 mg + Benzoate de sodium 300 mg + Terpine 37,5 mg + Eucalyptol 1,5 mg / 15 mL — Flacon de 200 mL</w:t>
      </w:r>
    </w:p>
    <w:p>
      <w:pPr>
        <w:pStyle w:val="ListBullet"/>
      </w:pPr>
      <w:r>
        <w:t>Statut : Actif</w:t>
      </w:r>
    </w:p>
    <w:p>
      <w:r/>
      <w:r>
        <w:rPr>
          <w:i/>
        </w:rPr>
        <w:t>Spécialités non renouvelables :</w:t>
      </w:r>
      <w:r/>
    </w:p>
    <w:p>
      <w:pPr>
        <w:pStyle w:val="ListBullet"/>
      </w:pPr>
      <w:r/>
      <w:r>
        <w:rPr>
          <w:b/>
        </w:rPr>
        <w:t>ENCOFLUIDE ADULTE</w:t>
      </w:r>
      <w:r>
        <w:t xml:space="preserve"> (GROUPE SAIDAL)</w:t>
      </w:r>
    </w:p>
    <w:p>
      <w:pPr>
        <w:pStyle w:val="ListBullet"/>
      </w:pPr>
      <w:r>
        <w:t>Formes et Dosages : Solution buvable — Terpine 0,25 g + Eucalyptol 0,01 g + Benzoate de sodium 2 g + Guaifénésine 0,2 g + Teinture d'ipéca 1 g + Codéine base 0,048 g / 100 mL — Flacon de 180 mL [association à un antitussif opioïde — codéine — à vérifier]</w:t>
      </w:r>
    </w:p>
    <w:p>
      <w:pPr>
        <w:pStyle w:val="ListBullet"/>
      </w:pPr>
      <w:r>
        <w:t>Liste : Liste II (en raison de la codéine)</w:t>
      </w:r>
    </w:p>
    <w:p>
      <w:pPr>
        <w:pStyle w:val="ListBullet"/>
      </w:pPr>
      <w:r>
        <w:t>Statut : Non Renouvelable</w:t>
      </w:r>
    </w:p>
    <w:p>
      <w:pPr>
        <w:pStyle w:val="ListBullet"/>
      </w:pPr>
      <w:r/>
      <w:r>
        <w:rPr>
          <w:b/>
        </w:rPr>
        <w:t>CAMPHOBIOTIC NOURRISSON</w:t>
      </w:r>
      <w:r>
        <w:t xml:space="preserve"> (GROUPE SAIDAL)</w:t>
      </w:r>
    </w:p>
    <w:p>
      <w:pPr>
        <w:pStyle w:val="ListBullet"/>
      </w:pPr>
      <w:r>
        <w:t>Formes et Dosages : Suppositoire nourrisson — Eucalyptol 0,03 g + Gaïacol glycolate d'éthyle 0,03 g — Boîte de 8</w:t>
      </w:r>
    </w:p>
    <w:p>
      <w:pPr>
        <w:pStyle w:val="ListBullet"/>
      </w:pPr>
      <w:r>
        <w:t>Statut : Non Renouvelable</w:t>
      </w:r>
    </w:p>
    <w:p>
      <w:pPr>
        <w:pStyle w:val="ListBullet"/>
      </w:pPr>
      <w:r/>
      <w:r>
        <w:rPr>
          <w:b/>
        </w:rPr>
        <w:t>CAMPHOBIOTIC ENFANT</w:t>
      </w:r>
      <w:r>
        <w:t xml:space="preserve"> (GROUPE SAIDAL)</w:t>
      </w:r>
    </w:p>
    <w:p>
      <w:pPr>
        <w:pStyle w:val="ListBullet"/>
      </w:pPr>
      <w:r>
        <w:t>Formes et Dosages : Suppositoire enfant — Camphre 0,04 g + Eucalyptol 0,05 g + Gaïacol 0,02 g + Gaïacol glycolate d'éthyle 0,08 g — Boîte de 8</w:t>
      </w:r>
    </w:p>
    <w:p>
      <w:pPr>
        <w:pStyle w:val="ListBullet"/>
      </w:pPr>
      <w:r>
        <w:t>Statut : Non Renouvelable</w:t>
      </w:r>
    </w:p>
    <w:p>
      <w:pPr>
        <w:pStyle w:val="ListBullet"/>
      </w:pPr>
      <w:r/>
      <w:r>
        <w:rPr>
          <w:b/>
        </w:rPr>
        <w:t>CAMPHOBIOTIC ADULTE</w:t>
      </w:r>
      <w:r>
        <w:t xml:space="preserve"> (GROUPE SAIDAL)</w:t>
      </w:r>
    </w:p>
    <w:p>
      <w:pPr>
        <w:pStyle w:val="ListBullet"/>
      </w:pPr>
      <w:r>
        <w:t>Formes et Dosages : Suppositoire adulte — Camphre 0,1 g + Gaïacol 0,06 g + Eucalyptol 0,05 g + Gaïacol glycolate d'éthyle 0,15 g + Créosote 0,07 g + Amyleine chlorhydrate 0,01 g — Boîte de 8 [association complexe à plusieurs terpènes + anesthésique local]</w:t>
      </w:r>
    </w:p>
    <w:p>
      <w:pPr>
        <w:pStyle w:val="ListBullet"/>
      </w:pPr>
      <w:r>
        <w:t>Statut : Non Renouvelable</w:t>
      </w:r>
    </w:p>
    <w:p>
      <w:r/>
      <w:r>
        <w:rPr>
          <w:i/>
        </w:rPr>
        <w:t>Spécialités retirées (R) :</w:t>
      </w:r>
      <w:r/>
    </w:p>
    <w:p>
      <w:pPr>
        <w:pStyle w:val="ListBullet"/>
      </w:pPr>
      <w:r/>
      <w:r>
        <w:rPr>
          <w:b/>
        </w:rPr>
        <w:t>PULMOFLUIDE SIMPLE</w:t>
      </w:r>
      <w:r>
        <w:t xml:space="preserve"> (COOPER MAROC)</w:t>
      </w:r>
    </w:p>
    <w:p>
      <w:pPr>
        <w:pStyle w:val="ListBullet"/>
      </w:pPr>
      <w:r>
        <w:t>Formes et Dosages : Sirop — Terpine 0,25 g + Eucalyptol 0,01 g + Benzoate de sodium 2 g + Guaifénésine 0,2 g + Teinture d'ipéca 1 g + Codéine base 0,048 g / 100 mL — Flacon de 150 mL</w:t>
      </w:r>
    </w:p>
    <w:p>
      <w:pPr>
        <w:pStyle w:val="ListBullet"/>
      </w:pPr>
      <w:r>
        <w:t>Liste : Liste II (en raison de la codéine)</w:t>
      </w:r>
    </w:p>
    <w:p>
      <w:pPr>
        <w:pStyle w:val="ListBullet"/>
      </w:pPr>
      <w:r>
        <w:t>Statut : Retiré (R)</w:t>
      </w:r>
    </w:p>
    <w:p>
      <w:r/>
      <w:r>
        <w:rPr>
          <w:b/>
        </w:rPr>
        <w:t>Sous-classe et Mécanisme d'action :</w:t>
      </w:r>
      <w:r/>
    </w:p>
    <w:p>
      <w:pPr>
        <w:pStyle w:val="ListBullet"/>
      </w:pPr>
      <w:r/>
      <w:r>
        <w:rPr>
          <w:b/>
        </w:rPr>
        <w:t>Sous-classe</w:t>
      </w:r>
      <w:r>
        <w:t xml:space="preserve"> : Expectorants et fluidifiants d'origine végétale (terpéniques) — représentés principalement par la </w:t>
      </w:r>
      <w:r>
        <w:rPr>
          <w:b/>
        </w:rPr>
        <w:t>guaifénésine</w:t>
      </w:r>
      <w:r>
        <w:t xml:space="preserve"> et les associations de terpènes (eucalyptol, gaïacol, camphre, terpine, teinture d'ipéca, créosote, amyleine). Classe historique (premiers expectorants utilisés depuis le XIXe siècle), d'efficacité </w:t>
      </w:r>
      <w:r>
        <w:rPr>
          <w:b/>
        </w:rPr>
        <w:t>modeste</w:t>
      </w:r>
      <w:r>
        <w:t xml:space="preserve"> mais largement prescrite en pratique de ville algérienne, en particulier en pédiatrie (sirop FLUPEX, suppositoires CAMPHOBIOTIC).</w:t>
      </w:r>
    </w:p>
    <w:p>
      <w:pPr>
        <w:pStyle w:val="ListBullet"/>
      </w:pPr>
      <w:r/>
      <w:r>
        <w:rPr>
          <w:b/>
        </w:rPr>
        <w:t>Mécanisme d'action</w:t>
      </w:r>
      <w:r>
        <w:t xml:space="preserve"> : les expectorants terpéniques agissent par </w:t>
      </w:r>
      <w:r>
        <w:rPr>
          <w:b/>
        </w:rPr>
        <w:t>quatre mécanismes principaux</w:t>
      </w:r>
      <w:r>
        <w:t xml:space="preserve"> :</w:t>
      </w:r>
    </w:p>
    <w:p>
      <w:pPr>
        <w:pStyle w:val="ListNumber"/>
      </w:pPr>
      <w:r/>
      <w:r>
        <w:rPr>
          <w:b/>
        </w:rPr>
        <w:t>Stimulation réflexe des glandes bronchiques</w:t>
      </w:r>
      <w:r>
        <w:t xml:space="preserve"> : la guaifénésine et les terpènes stimulent les récepteurs gustatifs et olfactifs de la muqueuse gastrique (et pharyngée pour les formes inhalées) → influx vagal → stimulation des glandes séromuqueuses bronchiques → </w:t>
      </w:r>
      <w:r>
        <w:rPr>
          <w:b/>
        </w:rPr>
        <w:t>augmentation de la phase aqueuse</w:t>
      </w:r>
      <w:r>
        <w:t xml:space="preserve"> du mucus → dilution → réduction de la viscosité → facilitation de l'expectoration.</w:t>
      </w:r>
    </w:p>
    <w:p>
      <w:pPr>
        <w:pStyle w:val="ListNumber"/>
      </w:pPr>
      <w:r/>
      <w:r>
        <w:rPr>
          <w:b/>
        </w:rPr>
        <w:t>Activité antiseptique locale</w:t>
      </w:r>
      <w:r>
        <w:t xml:space="preserve"> (eucalyptol, gaïacol, créosote) : activité antibactérienne in vitro modeste (notamment sur *Streptococcus pneumoniae*, *Haemophilus influenzae*) ; activité bactériostatique locale dans les voies aériennes.</w:t>
      </w:r>
    </w:p>
    <w:p>
      <w:pPr>
        <w:pStyle w:val="ListNumber"/>
      </w:pPr>
      <w:r/>
      <w:r>
        <w:rPr>
          <w:b/>
        </w:rPr>
        <w:t>Activité anti-inflammatoire</w:t>
      </w:r>
      <w:r>
        <w:t xml:space="preserve"> (eucalyptol) : inhibition de la production de cytokines pro-inflammatoires (IL-1β, TNF-α, NF-κB) par les macrophages alvéolaires ; activité bronchodilatatrice faible (inhibition des canaux calciques voltage-dépendants sur les cellules musculaires lisses bronchiques).</w:t>
      </w:r>
    </w:p>
    <w:p>
      <w:pPr>
        <w:pStyle w:val="ListNumber"/>
      </w:pPr>
      <w:r/>
      <w:r>
        <w:rPr>
          <w:b/>
        </w:rPr>
        <w:t>Effet local rubéfiant</w:t>
      </w:r>
      <w:r>
        <w:t xml:space="preserve"> (camphre en application cutanée) : stimulation des récepteurs TRPV3 cutanés → vasodilatation locale → effet réflexe expectorant ; effet antitussif réflexe.</w:t>
      </w:r>
    </w:p>
    <w:p>
      <w:pPr>
        <w:pStyle w:val="ListNumber"/>
      </w:pPr>
      <w:r/>
      <w:r>
        <w:rPr>
          <w:b/>
        </w:rPr>
        <w:t>Action antitussive complémentaire</w:t>
      </w:r>
      <w:r>
        <w:t xml:space="preserve"> (dans les formes associées à la codéine — ENCOFLUIDE, PULMOFLUIDE) : agoniste μ central.</w:t>
      </w:r>
    </w:p>
    <w:p>
      <w:pPr>
        <w:pStyle w:val="ListNumber"/>
      </w:pPr>
      <w:r/>
      <w:r>
        <w:rPr>
          <w:b/>
        </w:rPr>
        <w:t>Action antihistaminique</w:t>
      </w:r>
      <w:r>
        <w:t xml:space="preserve"> (mepyramine dans les associations comme ATUSSINE) : antagoniste H1 — effet antitussif additif et réduction de la rhinorrhée associée.</w:t>
      </w:r>
    </w:p>
    <w:p>
      <w:r/>
      <w:r>
        <w:rPr>
          <w:b/>
        </w:rPr>
        <w:t>Profil Pharmacologique :</w:t>
      </w:r>
      <w:r/>
    </w:p>
    <w:p>
      <w:pPr>
        <w:pStyle w:val="ListBullet"/>
      </w:pPr>
      <w:r/>
      <w:r>
        <w:rPr>
          <w:b/>
        </w:rPr>
        <w:t>Indications</w:t>
      </w:r>
      <w:r>
        <w:t xml:space="preserve"> :</w:t>
      </w:r>
    </w:p>
    <w:p>
      <w:pPr>
        <w:pStyle w:val="ListBullet"/>
      </w:pPr>
      <w:r>
        <w:t>Toux productive de la bronchite aiguë.</w:t>
      </w:r>
    </w:p>
    <w:p>
      <w:pPr>
        <w:pStyle w:val="ListBullet"/>
      </w:pPr>
      <w:r>
        <w:t>Encombrement bronchique bénin (adulte, enfant, nourrisson).</w:t>
      </w:r>
    </w:p>
    <w:p>
      <w:pPr>
        <w:pStyle w:val="ListBullet"/>
      </w:pPr>
      <w:r>
        <w:t>Toux sèche irritative (en association avec antitussif — ENCOFLUIDE, PULMOFLUIDE, ATUSSINE).</w:t>
      </w:r>
    </w:p>
    <w:p>
      <w:pPr>
        <w:pStyle w:val="ListBullet"/>
      </w:pPr>
      <w:r>
        <w:t>*Camphre en application cutanée* : toux sèche (pommades, baumes).</w:t>
      </w:r>
    </w:p>
    <w:p>
      <w:pPr>
        <w:pStyle w:val="ListBullet"/>
      </w:pPr>
      <w:r>
        <w:t>*Eucalyptol en inhalation* : encombrement naso-sinusien.</w:t>
      </w:r>
    </w:p>
    <w:p>
      <w:pPr>
        <w:pStyle w:val="ListBullet"/>
      </w:pPr>
      <w:r/>
      <w:r>
        <w:rPr>
          <w:b/>
        </w:rPr>
        <w:t>Contre-indications</w:t>
      </w:r>
      <w:r>
        <w:t xml:space="preserve"> :</w:t>
      </w:r>
    </w:p>
    <w:p>
      <w:pPr>
        <w:pStyle w:val="ListBullet"/>
      </w:pPr>
      <w:r>
        <w:t>Hypersensibilité à l'un des composants (terra-terpènes, guaifénésine, codéine).</w:t>
      </w:r>
    </w:p>
    <w:p>
      <w:pPr>
        <w:pStyle w:val="ListBullet"/>
      </w:pPr>
      <w:r/>
      <w:r>
        <w:rPr>
          <w:b/>
        </w:rPr>
        <w:t>Phénylcétonurie</w:t>
      </w:r>
      <w:r>
        <w:t xml:space="preserve"> (si aspartam présent — vérifier la composition).</w:t>
      </w:r>
    </w:p>
    <w:p>
      <w:pPr>
        <w:pStyle w:val="ListBullet"/>
      </w:pPr>
      <w:r/>
      <w:r>
        <w:rPr>
          <w:b/>
        </w:rPr>
        <w:t>Nourrisson &lt; 30 mois</w:t>
      </w:r>
      <w:r>
        <w:t xml:space="preserve"> (CAMPHOBIOTIC) en raison du risque de convulsion lié au camphre.</w:t>
      </w:r>
    </w:p>
    <w:p>
      <w:pPr>
        <w:pStyle w:val="ListBullet"/>
      </w:pPr>
      <w:r/>
      <w:r>
        <w:rPr>
          <w:b/>
        </w:rPr>
        <w:t>Asthme non contrôlé</w:t>
      </w:r>
      <w:r>
        <w:t xml:space="preserve"> (en raison du réflexe vagal et du risque de bronchospasme).</w:t>
      </w:r>
    </w:p>
    <w:p>
      <w:pPr>
        <w:pStyle w:val="ListBullet"/>
      </w:pPr>
      <w:r/>
      <w:r>
        <w:rPr>
          <w:b/>
        </w:rPr>
        <w:t>Ulcère gastro-duodénal en poussée</w:t>
      </w:r>
      <w:r>
        <w:t xml:space="preserve"> (tolérance digestive).</w:t>
      </w:r>
    </w:p>
    <w:p>
      <w:pPr>
        <w:pStyle w:val="ListBullet"/>
      </w:pPr>
      <w:r/>
      <w:r>
        <w:rPr>
          <w:b/>
        </w:rPr>
        <w:t>Insuffisance respiratoire sévère</w:t>
      </w:r>
      <w:r>
        <w:t xml:space="preserve"> (en raison de la présence éventuelle de codéine).</w:t>
      </w:r>
    </w:p>
    <w:p>
      <w:pPr>
        <w:pStyle w:val="ListBullet"/>
      </w:pPr>
      <w:r>
        <w:t xml:space="preserve">*Formes avec codéine* (ENCOFLUIDE, PULMOFLUIDE) : </w:t>
      </w:r>
      <w:r>
        <w:rPr>
          <w:b/>
        </w:rPr>
        <w:t>CI absolue chez l'enfant &lt; 12 ans</w:t>
      </w:r>
      <w:r>
        <w:t xml:space="preserve"> pour la codéine (recommandation ANSM 2015 — risque de dépression respiratoire), CI en cas d'allaitement, d'insuffisance respiratoire, de traumatisme crânien.</w:t>
      </w:r>
    </w:p>
    <w:p>
      <w:pPr>
        <w:pStyle w:val="ListBullet"/>
      </w:pPr>
      <w:r/>
      <w:r>
        <w:rPr>
          <w:b/>
        </w:rPr>
        <w:t>Effets Indésirables</w:t>
      </w:r>
      <w:r>
        <w:t xml:space="preserve"> :</w:t>
      </w:r>
    </w:p>
    <w:p>
      <w:pPr>
        <w:pStyle w:val="ListBullet"/>
      </w:pPr>
      <w:r>
        <w:t>*Digestifs* (fréquents) : nausées, vomissements, diarrhée, douleurs épigastriques (surtout en début de traitement).</w:t>
      </w:r>
    </w:p>
    <w:p>
      <w:pPr>
        <w:pStyle w:val="ListBullet"/>
      </w:pPr>
      <w:r>
        <w:t>*Cutanés* (peu fréquents) : rash, urticaire, prurit.</w:t>
      </w:r>
    </w:p>
    <w:p>
      <w:pPr>
        <w:pStyle w:val="ListBullet"/>
      </w:pPr>
      <w:r>
        <w:t>*Neurologiques* (rares) : céphalées, somnolence.</w:t>
      </w:r>
    </w:p>
    <w:p>
      <w:pPr>
        <w:pStyle w:val="ListBullet"/>
      </w:pPr>
      <w:r>
        <w:t>*Allergie croisée* : réactions d'hypersensibilité aux terpènes (eucalyptol, gaïacol) — testing allergologique si suspicion.</w:t>
      </w:r>
    </w:p>
    <w:p>
      <w:pPr>
        <w:pStyle w:val="ListBullet"/>
      </w:pPr>
      <w:r>
        <w:t xml:space="preserve">*Camphre* (en cas d'ingestion ou d'application cutanée étendue) : </w:t>
      </w:r>
      <w:r>
        <w:rPr>
          <w:b/>
        </w:rPr>
        <w:t>toxicité neurologique</w:t>
      </w:r>
      <w:r>
        <w:t xml:space="preserve"> (convulsions, confusion, agitation, coma), atteinte hépatique, atteinte rénale — d'où la CI absolue d'ingestion et l'interdiction d'application cutanée chez le nourrisson et l'enfant &lt; 7 ans.</w:t>
      </w:r>
    </w:p>
    <w:p>
      <w:pPr>
        <w:pStyle w:val="ListBullet"/>
      </w:pPr>
      <w:r>
        <w:t>*Codéine* (dans les associations) : dépression respiratoire, constipation, sédation, dépendance (cf. fiche 11.1 sur la pholcodine pour les EI opioïdes).</w:t>
      </w:r>
    </w:p>
    <w:p>
      <w:r/>
      <w:r>
        <w:rPr>
          <w:b/>
        </w:rPr>
        <w:t>Prévention et Gestion des Effets Indésirables :</w:t>
      </w:r>
      <w:r/>
    </w:p>
    <w:p>
      <w:pPr>
        <w:pStyle w:val="ListBullet"/>
      </w:pPr>
      <w:r/>
      <w:r>
        <w:rPr>
          <w:b/>
        </w:rPr>
        <w:t>Mesures Préventives</w:t>
      </w:r>
      <w:r>
        <w:t xml:space="preserve"> :</w:t>
      </w:r>
    </w:p>
    <w:p>
      <w:pPr>
        <w:pStyle w:val="ListBullet"/>
      </w:pPr>
      <w:r>
        <w:t xml:space="preserve">Administrer </w:t>
      </w:r>
      <w:r>
        <w:rPr>
          <w:b/>
        </w:rPr>
        <w:t>pendant les repas</w:t>
      </w:r>
      <w:r>
        <w:t xml:space="preserve"> pour réduire la tolérance digestive.</w:t>
      </w:r>
    </w:p>
    <w:p>
      <w:pPr>
        <w:pStyle w:val="ListBullet"/>
      </w:pPr>
      <w:r/>
      <w:r>
        <w:rPr>
          <w:b/>
        </w:rPr>
        <w:t>Hydratation abondante</w:t>
      </w:r>
      <w:r>
        <w:t xml:space="preserve"> (1,5–2 L/jour) pour potentialiser l'effet expectorant.</w:t>
      </w:r>
    </w:p>
    <w:p>
      <w:pPr>
        <w:pStyle w:val="ListBullet"/>
      </w:pPr>
      <w:r/>
      <w:r>
        <w:rPr>
          <w:b/>
        </w:rPr>
        <w:t>Durée limitée à 5–7 jours</w:t>
      </w:r>
      <w:r>
        <w:t xml:space="preserve"> en automédication.</w:t>
      </w:r>
    </w:p>
    <w:p>
      <w:pPr>
        <w:pStyle w:val="ListBullet"/>
      </w:pPr>
      <w:r/>
      <w:r>
        <w:rPr>
          <w:b/>
        </w:rPr>
        <w:t>Camphre</w:t>
      </w:r>
      <w:r>
        <w:t xml:space="preserve"> : ne JAMAIS ingérer (toxicité neurologique) ; éviter l'application cutanée chez le nourrisson &lt; 7 ans (en raison de l'absorption cutanée).</w:t>
      </w:r>
    </w:p>
    <w:p>
      <w:pPr>
        <w:pStyle w:val="ListBullet"/>
      </w:pPr>
      <w:r/>
      <w:r>
        <w:rPr>
          <w:b/>
        </w:rPr>
        <w:t>Codéine</w:t>
      </w:r>
      <w:r>
        <w:t xml:space="preserve"> (dans les associations) : ne pas utiliser chez l'enfant &lt; 12 ans (recommandation ANSM 2015), ni chez la femme allaitante (risque de dépression respiratoire du nourrisson — métaboliseur ultra-rapide CYP2D6).</w:t>
      </w:r>
    </w:p>
    <w:p>
      <w:pPr>
        <w:pStyle w:val="ListBullet"/>
      </w:pPr>
      <w:r/>
      <w:r>
        <w:rPr>
          <w:b/>
        </w:rPr>
        <w:t>Asthmatiques</w:t>
      </w:r>
      <w:r>
        <w:t xml:space="preserve"> : surveillance (risque de bronchospasme réflexe).</w:t>
      </w:r>
    </w:p>
    <w:p>
      <w:pPr>
        <w:pStyle w:val="ListBullet"/>
      </w:pPr>
      <w:r/>
      <w:r>
        <w:rPr>
          <w:b/>
        </w:rPr>
        <w:t>Conduite à Tenir</w:t>
      </w:r>
      <w:r>
        <w:t xml:space="preserve"> :</w:t>
      </w:r>
    </w:p>
    <w:p>
      <w:pPr>
        <w:pStyle w:val="ListBullet"/>
      </w:pPr>
      <w:r>
        <w:t xml:space="preserve">*En cas de convulsion sous camphre* : </w:t>
      </w:r>
      <w:r>
        <w:rPr>
          <w:b/>
        </w:rPr>
        <w:t>arrêt immédiat</w:t>
      </w:r>
      <w:r>
        <w:t>, hospitalisation en urgence (service de réanimation), diazépam IV (Valium™ 10 mg) si convulsion prolongée.</w:t>
      </w:r>
    </w:p>
    <w:p>
      <w:pPr>
        <w:pStyle w:val="ListBullet"/>
      </w:pPr>
      <w:r>
        <w:t>*En cas de dépression respiratoire sous codéine* : naloxone IV (Narcan™ 0,4 mg à renouveler), hospitalisation en réanimation.</w:t>
      </w:r>
    </w:p>
    <w:p>
      <w:pPr>
        <w:pStyle w:val="ListBullet"/>
      </w:pPr>
      <w:r>
        <w:t>*En cas de nausées/vomissements* : réduire la dose, fractionner les prises.</w:t>
      </w:r>
    </w:p>
    <w:p>
      <w:r/>
      <w:r>
        <w:rPr>
          <w:b/>
        </w:rPr>
        <w:t>Interactions Importantes :</w:t>
      </w:r>
      <w:r/>
    </w:p>
    <w:p>
      <w:pPr>
        <w:pStyle w:val="ListBullet"/>
      </w:pPr>
      <w:r/>
      <w:r>
        <w:rPr>
          <w:b/>
        </w:rPr>
        <w:t>Guaifénésine + antitussifs opioïdes</w:t>
      </w:r>
      <w:r>
        <w:t xml:space="preserve"> (codéine, dextrométhorphane) : association </w:t>
      </w:r>
      <w:r>
        <w:rPr>
          <w:b/>
        </w:rPr>
        <w:t>logique</w:t>
      </w:r>
      <w:r>
        <w:t xml:space="preserve"> dans les toux mixtes (productive + irritative) mais </w:t>
      </w:r>
      <w:r>
        <w:rPr>
          <w:b/>
        </w:rPr>
        <w:t>controversée</w:t>
      </w:r>
      <w:r>
        <w:t xml:space="preserve"> — l'antitussif peut bloquer l'expectoration fluidifiée par l'expectorant. Préférer l'expectorant SEUL si toux productive pure ; antitussif SEUL si toux sèche pure.</w:t>
      </w:r>
    </w:p>
    <w:p>
      <w:pPr>
        <w:pStyle w:val="ListBullet"/>
      </w:pPr>
      <w:r/>
      <w:r>
        <w:rPr>
          <w:b/>
        </w:rPr>
        <w:t>Codéine + dépresseurs SNC</w:t>
      </w:r>
      <w:r>
        <w:t xml:space="preserve"> (alcool, benzodiazépines, antihistaminiques H1 sédatifs, barbituriques) : potentialisation de la dépression respiratoire.</w:t>
      </w:r>
    </w:p>
    <w:p>
      <w:pPr>
        <w:pStyle w:val="ListBullet"/>
      </w:pPr>
      <w:r/>
      <w:r>
        <w:rPr>
          <w:b/>
        </w:rPr>
        <w:t>Codéine + IMAO</w:t>
      </w:r>
      <w:r>
        <w:t xml:space="preserve"> : syndrome sérotoninergique, crise hypertensive — CI absolue.</w:t>
      </w:r>
    </w:p>
    <w:p>
      <w:pPr>
        <w:pStyle w:val="ListBullet"/>
      </w:pPr>
      <w:r/>
      <w:r>
        <w:rPr>
          <w:b/>
        </w:rPr>
        <w:t>Codéine + tramadol</w:t>
      </w:r>
      <w:r>
        <w:t xml:space="preserve"> : potentialisation de la toxicité sérotoninergique et convulsivante.</w:t>
      </w:r>
    </w:p>
    <w:p>
      <w:pPr>
        <w:pStyle w:val="ListBullet"/>
      </w:pPr>
      <w:r/>
      <w:r>
        <w:rPr>
          <w:b/>
        </w:rPr>
        <w:t>Camphre + anticonvulsivants</w:t>
      </w:r>
      <w:r>
        <w:t xml:space="preserve"> : potentialisation de l'effet proconvulsivant.</w:t>
      </w:r>
    </w:p>
    <w:p>
      <w:r/>
      <w:r>
        <w:rPr>
          <w:b/>
        </w:rPr>
        <w:t>Grossesse et Allaitement :</w:t>
      </w:r>
      <w:r/>
    </w:p>
    <w:p>
      <w:pPr>
        <w:pStyle w:val="ListBullet"/>
      </w:pPr>
      <w:r/>
      <w:r>
        <w:rPr>
          <w:b/>
        </w:rPr>
        <w:t>Grossesse</w:t>
      </w:r>
      <w:r>
        <w:t xml:space="preserve"> :</w:t>
      </w:r>
    </w:p>
    <w:p>
      <w:pPr>
        <w:pStyle w:val="ListBullet"/>
      </w:pPr>
      <w:r>
        <w:t xml:space="preserve">*Guaifénésine seule* : selon le CRAT, données limitées mais </w:t>
      </w:r>
      <w:r>
        <w:rPr>
          <w:b/>
        </w:rPr>
        <w:t>compatible</w:t>
      </w:r>
      <w:r>
        <w:t xml:space="preserve"> avec la grossesse en cas de nécessité, traitement court.</w:t>
      </w:r>
    </w:p>
    <w:p>
      <w:pPr>
        <w:pStyle w:val="ListBullet"/>
      </w:pPr>
      <w:r>
        <w:t>*Eucalyptol* : compatible aux 2e et 3e trimestres ; éviter au 1er trimestre par prudence.</w:t>
      </w:r>
    </w:p>
    <w:p>
      <w:pPr>
        <w:pStyle w:val="ListBullet"/>
      </w:pPr>
      <w:r>
        <w:t xml:space="preserve">*Camphre* : </w:t>
      </w:r>
      <w:r>
        <w:rPr>
          <w:b/>
        </w:rPr>
        <w:t>à éviter pendant la grossesse</w:t>
      </w:r>
      <w:r>
        <w:t xml:space="preserve"> (données animales évocatrices d'un effet embryotoxique à forte dose ; passage transplacentaire possible).</w:t>
      </w:r>
    </w:p>
    <w:p>
      <w:pPr>
        <w:pStyle w:val="ListBullet"/>
      </w:pPr>
      <w:r>
        <w:t xml:space="preserve">*Codéine* : </w:t>
      </w:r>
      <w:r>
        <w:rPr>
          <w:b/>
        </w:rPr>
        <w:t>à éviter au 3e trimestre</w:t>
      </w:r>
      <w:r>
        <w:t xml:space="preserve"> (risque de syndrome de sevrage néonatal) ; CI absolue pendant l'allaitement (cf. recommandation ANSM 2015).</w:t>
      </w:r>
    </w:p>
    <w:p>
      <w:pPr>
        <w:pStyle w:val="ListBullet"/>
      </w:pPr>
      <w:r/>
      <w:r>
        <w:rPr>
          <w:b/>
        </w:rPr>
        <w:t>Allaitement</w:t>
      </w:r>
      <w:r>
        <w:t xml:space="preserve"> :</w:t>
      </w:r>
    </w:p>
    <w:p>
      <w:pPr>
        <w:pStyle w:val="ListBullet"/>
      </w:pPr>
      <w:r>
        <w:t>*Guaifénésine* : compatible en traitement court.</w:t>
      </w:r>
    </w:p>
    <w:p>
      <w:pPr>
        <w:pStyle w:val="ListBullet"/>
      </w:pPr>
      <w:r>
        <w:t xml:space="preserve">*Codéine* : </w:t>
      </w:r>
      <w:r>
        <w:rPr>
          <w:b/>
        </w:rPr>
        <w:t>CI absolue</w:t>
      </w:r>
      <w:r>
        <w:t xml:space="preserve"> pendant l'allaitement (recommandation ANSM 2015 — métaboliseurs ultra-rapides CYP2D6 transfèrent de la morphine au lait maternel, risque de dépression respiratoire mortelle du nourrisson).</w:t>
      </w:r>
    </w:p>
    <w:p>
      <w:pPr>
        <w:pStyle w:val="ListBullet"/>
      </w:pPr>
      <w:r>
        <w:t>*Camphre* : à éviter.</w:t>
      </w:r>
    </w:p>
    <w:p>
      <w:pPr>
        <w:pStyle w:val="ListBullet"/>
      </w:pPr>
      <w:r/>
      <w:r>
        <w:rPr>
          <w:b/>
        </w:rPr>
        <w:t>Précisions</w:t>
      </w:r>
      <w:r>
        <w:t xml:space="preserve"> : pendant la grossesse, </w:t>
      </w:r>
      <w:r>
        <w:rPr>
          <w:b/>
        </w:rPr>
        <w:t>privilégier les mesures non-médicamenteuses</w:t>
      </w:r>
      <w:r>
        <w:t xml:space="preserve"> (hydratation, lavage nasal au sérum physiologique, miel chez l'enfant &gt; 1 an) ; si expectorant nécessaire, la </w:t>
      </w:r>
      <w:r>
        <w:rPr>
          <w:b/>
        </w:rPr>
        <w:t>guaifénésine seule</w:t>
      </w:r>
      <w:r>
        <w:t xml:space="preserve"> (sans association à la codéine ni au camphre) est le meilleur choix.</w:t>
      </w:r>
    </w:p>
    <w:p>
      <w:r/>
      <w:r>
        <w:rPr>
          <w:b/>
        </w:rPr>
        <w:t>Posologie et Mode d'administration (Standard) :</w:t>
      </w:r>
      <w:r/>
    </w:p>
    <w:p>
      <w:pPr>
        <w:pStyle w:val="ListBullet"/>
      </w:pPr>
      <w:r/>
      <w:r>
        <w:rPr>
          <w:b/>
        </w:rPr>
        <w:t>Adulte</w:t>
      </w:r>
      <w:r>
        <w:t xml:space="preserve"> :</w:t>
      </w:r>
    </w:p>
    <w:p>
      <w:pPr>
        <w:pStyle w:val="ListBullet"/>
      </w:pPr>
      <w:r>
        <w:t>*FLUPEX solution buvable* : 1 cuillère à soupe (15 mL) x 3 fois/jour — soit guaifénésine 30 mg x 3/jour (90 mg/jour), terpine 37,5 mg x 3/jour (112,5 mg/jour), eucalyptol 1,5 mg x 3/jour (4,5 mg/jour).</w:t>
      </w:r>
    </w:p>
    <w:p>
      <w:pPr>
        <w:pStyle w:val="ListBullet"/>
      </w:pPr>
      <w:r>
        <w:t>*ENCOFLUIDE ADULTE* (non renouvelable) : 1 cuillère à soupe x 3/jour — contient codéine (CI si enfant, allaitement).</w:t>
      </w:r>
    </w:p>
    <w:p>
      <w:pPr>
        <w:pStyle w:val="ListBullet"/>
      </w:pPr>
      <w:r>
        <w:t>*CAMPHOBIOTIC ADULTE suppositoire* (non renouvelable) : 1 suppositoire x 2 à 3 fois/jour.</w:t>
      </w:r>
    </w:p>
    <w:p>
      <w:pPr>
        <w:pStyle w:val="ListBullet"/>
      </w:pPr>
      <w:r/>
      <w:r>
        <w:rPr>
          <w:b/>
        </w:rPr>
        <w:t>Enfant</w:t>
      </w:r>
      <w:r>
        <w:t xml:space="preserve"> :</w:t>
      </w:r>
    </w:p>
    <w:p>
      <w:pPr>
        <w:pStyle w:val="ListBullet"/>
      </w:pPr>
      <w:r>
        <w:t>*FLUPEX solution buvable* : 1 cuillère à café (5 mL) x 2 à 3 fois/jour selon l'âge.</w:t>
      </w:r>
    </w:p>
    <w:p>
      <w:pPr>
        <w:pStyle w:val="ListBullet"/>
      </w:pPr>
      <w:r>
        <w:t xml:space="preserve">*CAMPHOBIOTIC NOURRISSON* (non renouvelable) : 1 suppositoire x 2/jour — </w:t>
      </w:r>
      <w:r>
        <w:rPr>
          <w:b/>
        </w:rPr>
        <w:t>à éviter chez le nourrisson &lt; 30 mois</w:t>
      </w:r>
      <w:r>
        <w:t xml:space="preserve"> (camphre).</w:t>
      </w:r>
    </w:p>
    <w:p>
      <w:pPr>
        <w:pStyle w:val="ListBullet"/>
      </w:pPr>
      <w:r>
        <w:t>*CAMPHOBIOTIC ENFANT* (non renouvelable) : 1 suppositoire x 2/jour — chez l'enfant &gt; 30 mois.</w:t>
      </w:r>
    </w:p>
    <w:p>
      <w:pPr>
        <w:pStyle w:val="ListBullet"/>
      </w:pPr>
      <w:r/>
      <w:r>
        <w:rPr>
          <w:b/>
        </w:rPr>
        <w:t>Durée</w:t>
      </w:r>
      <w:r>
        <w:t xml:space="preserve"> : 5–7 jours en automédication.</w:t>
      </w:r>
    </w:p>
    <w:p>
      <w:pPr>
        <w:pStyle w:val="ListBullet"/>
      </w:pPr>
      <w:r/>
      <w:r>
        <w:rPr>
          <w:b/>
        </w:rPr>
        <w:t>Moment de la prise</w:t>
      </w:r>
      <w:r>
        <w:t xml:space="preserve"> : pendant les repas.</w:t>
      </w:r>
    </w:p>
    <w:p>
      <w:r/>
      <w:r>
        <w:rPr>
          <w:b/>
        </w:rPr>
        <w:t>Arbitrage et Bénéfices des Formes Galéniques :</w:t>
      </w:r>
      <w:r/>
    </w:p>
    <w:p>
      <w:pPr>
        <w:pStyle w:val="ListBullet"/>
      </w:pPr>
      <w:r/>
      <w:r>
        <w:rPr>
          <w:b/>
        </w:rPr>
        <w:t>Solution buvable (sirop)</w:t>
      </w:r>
      <w:r>
        <w:t xml:space="preserve"> : forme de référence (FLUPEX) — adaptation posologique aisée chez l'enfant. Préférée en pédiatrie.</w:t>
      </w:r>
    </w:p>
    <w:p>
      <w:pPr>
        <w:pStyle w:val="ListBullet"/>
      </w:pPr>
      <w:r/>
      <w:r>
        <w:rPr>
          <w:b/>
        </w:rPr>
        <w:t>Suppositoires</w:t>
      </w:r>
      <w:r>
        <w:t xml:space="preserve"> (CAMPHOBIOTIC) : alternative historique pour le nourrisson et l'enfant en cas de refus du sirop ou de vomissements — mais </w:t>
      </w:r>
      <w:r>
        <w:rPr>
          <w:b/>
        </w:rPr>
        <w:t>utilisation contestée</w:t>
      </w:r>
      <w:r>
        <w:t xml:space="preserve"> en raison du risque lié au camphre (convulsions). Préférer le sirop dans la mesure du possible.</w:t>
      </w:r>
    </w:p>
    <w:p>
      <w:pPr>
        <w:pStyle w:val="ListBullet"/>
      </w:pPr>
      <w:r/>
      <w:r>
        <w:rPr>
          <w:b/>
        </w:rPr>
        <w:t>Formes associées</w:t>
      </w:r>
      <w:r>
        <w:t xml:space="preserve"> (avec codéine, mepyramine) : à réserver à la toux mixte (productive + irritative) — mais risque d'encombrement si prédominance productive. Vérifier la composition exacte.</w:t>
      </w:r>
    </w:p>
    <w:p>
      <w:r/>
      <w:r>
        <w:rPr>
          <w:b/>
        </w:rPr>
        <w:t>Instructions et Conseils au Patient :</w:t>
      </w:r>
      <w:r/>
    </w:p>
    <w:p>
      <w:pPr>
        <w:pStyle w:val="ListBullet"/>
      </w:pPr>
      <w:r/>
      <w:r>
        <w:rPr>
          <w:b/>
        </w:rPr>
        <w:t>Communication au comptoir</w:t>
      </w:r>
      <w:r>
        <w:t xml:space="preserve"> :</w:t>
      </w:r>
    </w:p>
    <w:p>
      <w:pPr>
        <w:pStyle w:val="ListBullet"/>
      </w:pPr>
      <w:r>
        <w:t>« *Ce sirop facilite l'expectoration en augmentant la quantité de liquide dans le mucus. Buvez abondamment (1,5–2 L/jour) pendant le traitement.* »</w:t>
      </w:r>
    </w:p>
    <w:p>
      <w:pPr>
        <w:pStyle w:val="ListBullet"/>
      </w:pPr>
      <w:r>
        <w:t>« *Prenez-le pendant les repas.* »</w:t>
      </w:r>
    </w:p>
    <w:p>
      <w:pPr>
        <w:pStyle w:val="ListBullet"/>
      </w:pPr>
      <w:r>
        <w:t>« *Ce n'est pas un antitussif : la toux peut persister, c'est normal, elle permet d'évacuer le mucus fluidifié.* »</w:t>
      </w:r>
    </w:p>
    <w:p>
      <w:pPr>
        <w:pStyle w:val="ListBullet"/>
      </w:pPr>
      <w:r>
        <w:t>« *Pour l'enfant, respectez bien la dose selon son âge (utilisez la cuillère-mesure fournie).* »</w:t>
      </w:r>
    </w:p>
    <w:p>
      <w:pPr>
        <w:pStyle w:val="ListBullet"/>
      </w:pPr>
      <w:r>
        <w:t>« *Si le sirop contient de la codéine (ENCOFLUIDE, PULMOFLUIDE), prévenez votre médecin si vous allaitez, si vous êtes enceinte au 3e trimestre, ou si vous avez un enfant de moins de 12 ans — il ne convient pas dans ces cas.* »</w:t>
      </w:r>
    </w:p>
    <w:p>
      <w:pPr>
        <w:pStyle w:val="ListBullet"/>
      </w:pPr>
      <w:r>
        <w:t>« *Les suppositoires CAMPHOBIOTIC contiennent du camphre : ne jamais les faire ingérer, et éviter chez le nourrisson de moins de 30 mois.* »</w:t>
      </w:r>
    </w:p>
    <w:p>
      <w:pPr>
        <w:pStyle w:val="ListBullet"/>
      </w:pPr>
      <w:r/>
      <w:r>
        <w:rPr>
          <w:b/>
        </w:rPr>
        <w:t>Mode d'utilisation pratique</w:t>
      </w:r>
      <w:r>
        <w:t xml:space="preserve"> :</w:t>
      </w:r>
    </w:p>
    <w:p>
      <w:pPr>
        <w:pStyle w:val="ListBullet"/>
      </w:pPr>
      <w:r>
        <w:t>Bien agiter le sirop avant emploi.</w:t>
      </w:r>
    </w:p>
    <w:p>
      <w:pPr>
        <w:pStyle w:val="ListBullet"/>
      </w:pPr>
      <w:r>
        <w:t>Utiliser la cuillère-mesure fournie.</w:t>
      </w:r>
    </w:p>
    <w:p>
      <w:pPr>
        <w:pStyle w:val="ListBullet"/>
      </w:pPr>
      <w:r>
        <w:t>Pour les suppositoires : retirer l'emballage, humidifier avec de l'eau ou un lubrifiant, introduire délicatement dans le rectum, de préférence après une selle.</w:t>
      </w:r>
    </w:p>
    <w:p>
      <w:pPr>
        <w:pStyle w:val="ListBullet"/>
      </w:pPr>
      <w:r>
        <w:t>En cas d'oubli : ne pas doubler la dose suivante.</w:t>
      </w:r>
    </w:p>
    <w:p>
      <w:pPr>
        <w:pStyle w:val="ListBullet"/>
      </w:pPr>
      <w:r>
        <w:t>Conservation : sirop à température &lt; 25 °C, à l'abri de la lumière ; jeter après 1 mois d'ouverture. Suppositoires au réfrigérateur (2–8 °C) si formulation fragile.</w:t>
      </w:r>
    </w:p>
    <w:p>
      <w:r/>
      <w:r>
        <w:rPr>
          <w:b/>
        </w:rPr>
        <w:t>Notes, Règles d'Or &amp; Pièges au Comptoir :</w:t>
      </w:r>
      <w:r/>
    </w:p>
    <w:p>
      <w:pPr>
        <w:pStyle w:val="ListBullet"/>
      </w:pPr>
      <w:r/>
      <w:r>
        <w:rPr>
          <w:b/>
        </w:rPr>
        <w:t>Piège classique</w:t>
      </w:r>
      <w:r>
        <w:t xml:space="preserve"> :</w:t>
      </w:r>
    </w:p>
    <w:p>
      <w:pPr>
        <w:pStyle w:val="ListBullet"/>
      </w:pPr>
      <w:r>
        <w:t xml:space="preserve">Les associations guaifénésine + codéine (ENCOFLUIDE, PULMOFLUIDE) sont </w:t>
      </w:r>
      <w:r>
        <w:rPr>
          <w:b/>
        </w:rPr>
        <w:t>controversées</w:t>
      </w:r>
      <w:r>
        <w:t xml:space="preserve"> : l'antitussif bloque l'expectoration fluidifiée par l'expectorant — logique thérapeutique discutable.</w:t>
      </w:r>
    </w:p>
    <w:p>
      <w:pPr>
        <w:pStyle w:val="ListBullet"/>
      </w:pPr>
      <w:r/>
      <w:r>
        <w:rPr>
          <w:b/>
        </w:rPr>
        <w:t>Camphre</w:t>
      </w:r>
      <w:r>
        <w:t xml:space="preserve"> : toxicité neurologique en cas d'ingestion ou d'application cutanée étendue — bien vérifier l'absence d'ingestion (notamment chez le nourrisson et l'enfant qui peuvent porter les mains à la bouche après application).</w:t>
      </w:r>
    </w:p>
    <w:p>
      <w:pPr>
        <w:pStyle w:val="ListBullet"/>
      </w:pPr>
      <w:r/>
      <w:r>
        <w:rPr>
          <w:b/>
        </w:rPr>
        <w:t>Codéine chez l'enfant &lt; 12 ans</w:t>
      </w:r>
      <w:r>
        <w:t xml:space="preserve"> : CI absolue (recommandation ANSM 2015 — risque de dépression respiratoire mortelle chez les métaboliseurs ultra-rapides CYP2D6).</w:t>
      </w:r>
    </w:p>
    <w:p>
      <w:pPr>
        <w:pStyle w:val="ListBullet"/>
      </w:pPr>
      <w:r/>
      <w:r>
        <w:rPr>
          <w:b/>
        </w:rPr>
        <w:t>Règle de prise</w:t>
      </w:r>
      <w:r>
        <w:t xml:space="preserve"> : 5–7 jours en automédication ; traitement prolongé sous surveillance médicale.</w:t>
      </w:r>
    </w:p>
    <w:p>
      <w:pPr>
        <w:pStyle w:val="ListBullet"/>
      </w:pPr>
      <w:r/>
      <w:r>
        <w:rPr>
          <w:b/>
        </w:rPr>
        <w:t>Préparation et Conservation</w:t>
      </w:r>
      <w:r>
        <w:t xml:space="preserve"> : sirop fragile après ouverture — vérifier la date de péremption après ouverture (souvent 1 mois max).</w:t>
      </w:r>
    </w:p>
    <w:p>
      <w:pPr>
        <w:pStyle w:val="ListBullet"/>
      </w:pPr>
      <w:r/>
      <w:r>
        <w:rPr>
          <w:b/>
        </w:rPr>
        <w:t>Piège du surdosage / Substitution</w:t>
      </w:r>
      <w:r>
        <w:t xml:space="preserve"> :</w:t>
      </w:r>
    </w:p>
    <w:p>
      <w:pPr>
        <w:pStyle w:val="ListBullet"/>
      </w:pPr>
      <w:r/>
      <w:r>
        <w:rPr>
          <w:b/>
        </w:rPr>
        <w:t>Surdosage en camphre</w:t>
      </w:r>
      <w:r>
        <w:t xml:space="preserve"> : symptomatologie neurologique (convulsions, coma) — </w:t>
      </w:r>
      <w:r>
        <w:rPr>
          <w:b/>
        </w:rPr>
        <w:t>urgence médicale</w:t>
      </w:r>
      <w:r>
        <w:t xml:space="preserve"> (service de réanimation).</w:t>
      </w:r>
    </w:p>
    <w:p>
      <w:pPr>
        <w:pStyle w:val="ListBullet"/>
      </w:pPr>
      <w:r/>
      <w:r>
        <w:rPr>
          <w:b/>
        </w:rPr>
        <w:t>Surdosage en codéine</w:t>
      </w:r>
      <w:r>
        <w:t xml:space="preserve"> : dépression respiratoire — naloxone IV (Narcan™ 0,4 mg à renouveler).</w:t>
      </w:r>
    </w:p>
    <w:p>
      <w:pPr>
        <w:pStyle w:val="ListBullet"/>
      </w:pPr>
      <w:r/>
      <w:r>
        <w:rPr>
          <w:b/>
        </w:rPr>
        <w:t>Vérifier la composition</w:t>
      </w:r>
      <w:r>
        <w:t xml:space="preserve"> des préparations composées (ENCOFLUIDE, PULMOFLUIDE, ATUSSINE contiennent de la codéine ou de la mepyramine — ne pas substituer à un expectorant simple sans vérifier).</w:t>
      </w:r>
    </w:p>
    <w:p>
      <w:pPr>
        <w:pStyle w:val="ListBullet"/>
      </w:pPr>
      <w:r/>
      <w:r>
        <w:rPr>
          <w:b/>
        </w:rPr>
        <w:t>Substitution entre marques</w:t>
      </w:r>
      <w:r>
        <w:t xml:space="preserve"> : la composition étant très variable d'une marque à l'autre (FLUPEX vs ENCOFLUIDE vs CAMPHOBIOTIC), il est indispensable de </w:t>
      </w:r>
      <w:r>
        <w:rPr>
          <w:b/>
        </w:rPr>
        <w:t>vérifier la composition exacte</w:t>
      </w:r>
      <w:r>
        <w:t xml:space="preserve"> avant toute substitution.</w:t>
      </w:r>
    </w:p>
    <w:p>
      <w:pPr>
        <w:pStyle w:val="Heading2"/>
      </w:pPr>
      <w:r>
        <w:t>10. Introduction à la sous-classe des antitussifs opioïdes centraux</w:t>
      </w:r>
    </w:p>
    <w:p>
      <w:r>
        <w:t xml:space="preserve">Les </w:t>
      </w:r>
      <w:r>
        <w:rPr>
          <w:b/>
        </w:rPr>
        <w:t>antitussifs opioïdes centraux</w:t>
      </w:r>
      <w:r>
        <w:t xml:space="preserve"> sont des dérivés morphiniques qui suppriment le réflexe de la toux par </w:t>
      </w:r>
      <w:r>
        <w:rPr>
          <w:b/>
        </w:rPr>
        <w:t>action sur le centre de la toux</w:t>
      </w:r>
      <w:r>
        <w:t xml:space="preserve"> situé dans le </w:t>
      </w:r>
      <w:r>
        <w:rPr>
          <w:b/>
        </w:rPr>
        <w:t>bulbe rachidien</w:t>
      </w:r>
      <w:r>
        <w:t xml:space="preserve"> (noyau du tractus solitaire, NTS, et noyau rétroambiguïs). Leur cible pharmacologique est le </w:t>
      </w:r>
      <w:r>
        <w:rPr>
          <w:b/>
        </w:rPr>
        <w:t>récepteur opioïde μ (MOR)</w:t>
      </w:r>
      <w:r>
        <w:t xml:space="preserve"> — le même que celui de la morphine — couplé aux protéines Gi/o, qui réduit l'entrée de calcium dans les terminaisons nerveuses présynaptiques (inhibition de la libération de neurotransmetteurs excitateurs comme le glutamate et la substance P) et hyperpolarise les neurones postsynaptiques par activation des canaux potassium rectifiants entrants (GIRK).</w:t>
      </w:r>
    </w:p>
    <w:p>
      <w:pPr>
        <w:pStyle w:val="Heading3"/>
      </w:pPr>
      <w:r>
        <w:t>Classification</w:t>
      </w:r>
    </w:p>
    <w:p>
      <w:r>
        <w:t>On distingue deux sous-classes parmi les antitussifs opioïdes centraux :</w:t>
      </w:r>
    </w:p>
    <w:p>
      <w:pPr>
        <w:pStyle w:val="ListNumber"/>
      </w:pPr>
      <w:r/>
      <w:r>
        <w:rPr>
          <w:b/>
        </w:rPr>
        <w:t>Opioïdes centraux stupéfiants</w:t>
      </w:r>
      <w:r>
        <w:t xml:space="preserve"> (Liste I des stupéfiants) :</w:t>
      </w:r>
    </w:p>
    <w:p>
      <w:pPr>
        <w:pStyle w:val="ListBullet"/>
      </w:pPr>
      <w:r/>
      <w:r>
        <w:rPr>
          <w:b/>
        </w:rPr>
        <w:t>Pholcodine</w:t>
      </w:r>
      <w:r>
        <w:t xml:space="preserve"> (3-O-morpholinoéthylmorphine) — disponible en Algérie.</w:t>
      </w:r>
    </w:p>
    <w:p>
      <w:pPr>
        <w:pStyle w:val="ListBullet"/>
      </w:pPr>
      <w:r/>
      <w:r>
        <w:rPr>
          <w:b/>
        </w:rPr>
        <w:t>Codéine</w:t>
      </w:r>
      <w:r>
        <w:t xml:space="preserve"> (3-méthylmorphine) — historiquement utilisée comme antitussif, mais l'ANSM a émis en 2015 une </w:t>
      </w:r>
      <w:r>
        <w:rPr>
          <w:b/>
        </w:rPr>
        <w:t>recommandation de contre-indication chez l'enfant &lt; 12 ans</w:t>
      </w:r>
      <w:r>
        <w:t xml:space="preserve"> et chez la femme allaitante (métaboliseurs ultra-rapides CYP2D6 transfèrent de la morphine au lait maternel, risque de dépression respiratoire mortelle du nourrisson). La codéine reste disponible en Algérie en association (ENCOFLUIDE, PULMOFLUIDE, mais ces spécialités sont non renouvelables ou retirées).</w:t>
      </w:r>
    </w:p>
    <w:p>
      <w:pPr>
        <w:pStyle w:val="ListNumber"/>
      </w:pPr>
      <w:r/>
      <w:r>
        <w:rPr>
          <w:b/>
        </w:rPr>
        <w:t>Opioïdes centraux non stupéfiants</w:t>
      </w:r>
      <w:r>
        <w:t xml:space="preserve"> (exonérés de la liste des stupéfiants) :</w:t>
      </w:r>
    </w:p>
    <w:p>
      <w:pPr>
        <w:pStyle w:val="ListBullet"/>
      </w:pPr>
      <w:r/>
      <w:r>
        <w:rPr>
          <w:b/>
        </w:rPr>
        <w:t>Dextrométhorphane</w:t>
      </w:r>
      <w:r>
        <w:t xml:space="preserve"> (d-isomère du lévorphanol) — disponible en Algérie en vente libre (sirop). Son passage limité de la BBB explique l'absence d'effet analgésique, euphorisant et dépresseur respiratoire significatif aux doses thérapeutiques.</w:t>
      </w:r>
    </w:p>
    <w:p>
      <w:pPr>
        <w:pStyle w:val="ListBullet"/>
      </w:pPr>
      <w:r/>
      <w:r>
        <w:rPr>
          <w:b/>
        </w:rPr>
        <w:t>Noscapine</w:t>
      </w:r>
      <w:r>
        <w:t xml:space="preserve"> — non disponible en Algérie.</w:t>
      </w:r>
    </w:p>
    <w:p>
      <w:pPr>
        <w:pStyle w:val="Heading3"/>
      </w:pPr>
      <w:r>
        <w:t>Mécanisme d'action central</w:t>
      </w:r>
    </w:p>
    <w:p>
      <w:r>
        <w:t xml:space="preserve">Les opioïdes centraux inhibent le réflexe de la toux par action sur le </w:t>
      </w:r>
      <w:r>
        <w:rPr>
          <w:b/>
        </w:rPr>
        <w:t>centre de la toux</w:t>
      </w:r>
      <w:r>
        <w:t xml:space="preserve"> bulbaire (NTS) via les récepteurs μ. La pholcodine, dont la structure morphinique est substituée en position 3 par un groupement </w:t>
      </w:r>
      <w:r>
        <w:rPr>
          <w:b/>
        </w:rPr>
        <w:t>morpholinoéthyle</w:t>
      </w:r>
      <w:r>
        <w:t xml:space="preserve">, a un </w:t>
      </w:r>
      <w:r>
        <w:rPr>
          <w:b/>
        </w:rPr>
        <w:t>passage limité de la BBB</w:t>
      </w:r>
      <w:r>
        <w:t xml:space="preserve"> (en raison de la taille du groupement morpholinoéthyle et de son caractère polaire), ce qui explique son </w:t>
      </w:r>
      <w:r>
        <w:rPr>
          <w:b/>
        </w:rPr>
        <w:t>effet antitussif prédominant</w:t>
      </w:r>
      <w:r>
        <w:t xml:space="preserve"> et son </w:t>
      </w:r>
      <w:r>
        <w:rPr>
          <w:b/>
        </w:rPr>
        <w:t>effet dépresseur respiratoire, analgésique et euphorisant moindre</w:t>
      </w:r>
      <w:r>
        <w:t xml:space="preserve"> que la morphine ou la codéine. Sa durée d'action est prolongée (12 heures) en raison d'une demie-vie longue (30–40 heures) liée à une distribution tissulaire étendue.</w:t>
      </w:r>
    </w:p>
    <w:p>
      <w:r>
        <w:t xml:space="preserve">Le </w:t>
      </w:r>
      <w:r>
        <w:rPr>
          <w:b/>
        </w:rPr>
        <w:t>dextrométhorphane</w:t>
      </w:r>
      <w:r>
        <w:t xml:space="preserve">, isomère dextrogyre du lévorphanol, a une affinité pour le récepteur μ centrale, mais son passage de la BBB est également limité — son effet antitussif est proche de celui de la codéine (sans effet dépresseur respiratoire significatif). Il est par ailleurs métabolisé par le CYP2D6 en </w:t>
      </w:r>
      <w:r>
        <w:rPr>
          <w:b/>
        </w:rPr>
        <w:t>dextrorphane</w:t>
      </w:r>
      <w:r>
        <w:t xml:space="preserve">, qui a une activité antagoniste des récepteurs </w:t>
      </w:r>
      <w:r>
        <w:rPr>
          <w:b/>
        </w:rPr>
        <w:t>NMDA</w:t>
      </w:r>
      <w:r>
        <w:t xml:space="preserve"> (d'où son utilisation expérimentale dans les douleurs neuropathiques et son potentiel d'abus à forte dose — effet dissociatif type kétamine, dit « robotripping »).</w:t>
      </w:r>
    </w:p>
    <w:p>
      <w:pPr>
        <w:pStyle w:val="Heading3"/>
      </w:pPr>
      <w:r>
        <w:t>Profil de tolérance</w:t>
      </w:r>
    </w:p>
    <w:p>
      <w:pPr>
        <w:pStyle w:val="ListBullet"/>
      </w:pPr>
      <w:r/>
      <w:r>
        <w:rPr>
          <w:b/>
        </w:rPr>
        <w:t>Pholcodine</w:t>
      </w:r>
      <w:r>
        <w:t xml:space="preserve"> : sédation, constipation, dépression respiratoire (dose-dépendante, moindre que la morphine), risque de </w:t>
      </w:r>
      <w:r>
        <w:rPr>
          <w:b/>
        </w:rPr>
        <w:t>dépendance</w:t>
      </w:r>
      <w:r>
        <w:t xml:space="preserve"> et de tolérance, </w:t>
      </w:r>
      <w:r>
        <w:rPr>
          <w:b/>
        </w:rPr>
        <w:t>allergie croisée avec les curares</w:t>
      </w:r>
      <w:r>
        <w:t xml:space="preserve"> (anaphylaxie documentée, réévaluée par le PRAC EMA en 2011, 2015, 2023 — retrait de l'AMM européenne recommandé en mars 2023, mise en œuvre échelonnée sur 12 mois en 2023-2024).</w:t>
      </w:r>
    </w:p>
    <w:p>
      <w:pPr>
        <w:pStyle w:val="ListBullet"/>
      </w:pPr>
      <w:r/>
      <w:r>
        <w:rPr>
          <w:b/>
        </w:rPr>
        <w:t>Dextrométhorphane</w:t>
      </w:r>
      <w:r>
        <w:t xml:space="preserve"> : sédation légère, vertiges, nausées ; risque de </w:t>
      </w:r>
      <w:r>
        <w:rPr>
          <w:b/>
        </w:rPr>
        <w:t>syndrome sérotoninergique</w:t>
      </w:r>
      <w:r>
        <w:t xml:space="preserve"> en cas d'association aux IMAO (CI absolue) ; potentiel d'abus à très forte dose (effet dissociatif).</w:t>
      </w:r>
    </w:p>
    <w:p>
      <w:pPr>
        <w:pStyle w:val="Heading3"/>
      </w:pPr>
      <w:r>
        <w:t>Place dans la stratégie</w:t>
      </w:r>
    </w:p>
    <w:p>
      <w:pPr>
        <w:pStyle w:val="ListBullet"/>
      </w:pPr>
      <w:r>
        <w:t xml:space="preserve">Indications : </w:t>
      </w:r>
      <w:r>
        <w:rPr>
          <w:b/>
        </w:rPr>
        <w:t>toux sèche</w:t>
      </w:r>
      <w:r>
        <w:t xml:space="preserve"> invalidante, en traitement </w:t>
      </w:r>
      <w:r>
        <w:rPr>
          <w:b/>
        </w:rPr>
        <w:t>court</w:t>
      </w:r>
      <w:r>
        <w:t xml:space="preserve"> (5–7 jours), en deuxième intention après échec des mesures non-médicamenteuses (hydratation, arrêt du tabac, miel chez l'enfant &gt; 1 an).</w:t>
      </w:r>
    </w:p>
    <w:p>
      <w:pPr>
        <w:pStyle w:val="ListBullet"/>
      </w:pPr>
      <w:r/>
      <w:r>
        <w:rPr>
          <w:b/>
        </w:rPr>
        <w:t>CI absolue sur toux productive</w:t>
      </w:r>
      <w:r>
        <w:t xml:space="preserve"> (risque d'encombrement bronchique).</w:t>
      </w:r>
    </w:p>
    <w:p>
      <w:pPr>
        <w:pStyle w:val="ListBullet"/>
      </w:pPr>
      <w:r/>
      <w:r>
        <w:rPr>
          <w:b/>
        </w:rPr>
        <w:t>CI absolue</w:t>
      </w:r>
      <w:r>
        <w:t xml:space="preserve"> chez l'asthmatique non contrôlé, l'insuffisant respiratoire sévère, l'enfant &lt; 2 ans (dépression respiratoire), la femme allaitante (codéine, pholcodine par prudence).</w:t>
      </w:r>
    </w:p>
    <w:p>
      <w:pPr>
        <w:pStyle w:val="ListBullet"/>
      </w:pPr>
      <w:r>
        <w:t xml:space="preserve">Préférer le </w:t>
      </w:r>
      <w:r>
        <w:rPr>
          <w:b/>
        </w:rPr>
        <w:t>dextrométhorphane</w:t>
      </w:r>
      <w:r>
        <w:t xml:space="preserve"> à la pholcodine en première intention (meilleur profil de tolérance, pas de liste des stupéfiants, pas d'allergie croisée aux curares).</w:t>
      </w:r>
    </w:p>
    <w:p>
      <w:pPr>
        <w:pStyle w:val="Heading2"/>
      </w:pPr>
      <w:r>
        <w:t>11. Fiches DCI — Antitussifs centraux</w:t>
      </w:r>
    </w:p>
    <w:p>
      <w:pPr>
        <w:pStyle w:val="Heading3"/>
      </w:pPr>
      <w:r>
        <w:t>11.1. DCI : Pholcodine (Seule)</w:t>
      </w:r>
    </w:p>
    <w:p>
      <w:r/>
      <w:r>
        <w:rPr>
          <w:b/>
        </w:rPr>
        <w:t>Liste des Catégories :</w:t>
      </w:r>
      <w:r>
        <w:t xml:space="preserve"> Antitussif opioïde central, Stupéfiant (Liste I), Agoniste μ central, Antitussif prescription médicale obligatoire, Spécialité à surveillance renforcée (PRAC 2023).</w:t>
      </w:r>
    </w:p>
    <w:p>
      <w:r>
        <w:t xml:space="preserve">La </w:t>
      </w:r>
      <w:r>
        <w:rPr>
          <w:b/>
        </w:rPr>
        <w:t>pholcodine</w:t>
      </w:r>
      <w:r>
        <w:t xml:space="preserve"> (3-O-morpholinoéthylmorphine) est un dérivé morphinique de la morphine, agoniste des récepteurs </w:t>
      </w:r>
      <w:r>
        <w:rPr>
          <w:b/>
        </w:rPr>
        <w:t>μ centraux</w:t>
      </w:r>
      <w:r>
        <w:t xml:space="preserve"> du centre bulbaire de la toux. Sa structure chimique (substitution en position 3 par un groupement </w:t>
      </w:r>
      <w:r>
        <w:rPr>
          <w:b/>
        </w:rPr>
        <w:t>morpholinoéthyle</w:t>
      </w:r>
      <w:r>
        <w:t xml:space="preserve">) réduit fortement le passage de la barrière hémato-encéphalique (BBB), ce qui explique son effet antitussif prédominant et son effet dépresseur respiratoire, analgésique et euphorisant moindre que la morphine ou la codéine. Sa </w:t>
      </w:r>
      <w:r>
        <w:rPr>
          <w:b/>
        </w:rPr>
        <w:t>durée d'action prolongée</w:t>
      </w:r>
      <w:r>
        <w:t xml:space="preserve"> (12 heures) est liée à une demie-vie longue (30–40 heures) due à une distribution tissulaire étendue. Inscrite sur la </w:t>
      </w:r>
      <w:r>
        <w:rPr>
          <w:b/>
        </w:rPr>
        <w:t>Liste I des stupéfiants</w:t>
      </w:r>
      <w:r>
        <w:t xml:space="preserve"> en Algérie, elle fait l'objet d'une surveillance européenne renforcée depuis 2011 en raison du risque documenté d'</w:t>
      </w:r>
      <w:r>
        <w:rPr>
          <w:b/>
        </w:rPr>
        <w:t>anaphylaxie croisée avec les curares</w:t>
      </w:r>
      <w:r>
        <w:t xml:space="preserve"> (suxaméthonium, rocuronium) — le PRAC a recommandé en mars 2023 le </w:t>
      </w:r>
      <w:r>
        <w:rPr>
          <w:b/>
        </w:rPr>
        <w:t>retrait de l'AMM européenne</w:t>
      </w:r>
      <w:r>
        <w:t>.</w:t>
      </w:r>
    </w:p>
    <w:p>
      <w:r/>
      <w:r>
        <w:rPr>
          <w:b/>
        </w:rPr>
        <w:t>Médicaments disponibles en Algérie (Marques, Laboratoires, Formes et Dosages) :</w:t>
      </w:r>
      <w:r/>
    </w:p>
    <w:p>
      <w:r/>
      <w:r>
        <w:rPr>
          <w:i/>
        </w:rPr>
        <w:t>Spécialités actives :</w:t>
      </w:r>
      <w:r/>
    </w:p>
    <w:p>
      <w:pPr>
        <w:pStyle w:val="ListBullet"/>
      </w:pPr>
      <w:r/>
      <w:r>
        <w:rPr>
          <w:b/>
        </w:rPr>
        <w:t>RHINATHIOL AD TOUX SECHE</w:t>
      </w:r>
      <w:r>
        <w:t xml:space="preserve"> (INSTITUT MEDICAL ALGERIEN)</w:t>
      </w:r>
    </w:p>
    <w:p>
      <w:pPr>
        <w:pStyle w:val="ListBullet"/>
      </w:pPr>
      <w:r>
        <w:t>Formes et Dosages : Sirop 0,0012 (soit 12 mg/100 mL — équivalent 0,6 mg/5 mL de cuillère-mesure) — Flacon de 125 mL</w:t>
      </w:r>
    </w:p>
    <w:p>
      <w:pPr>
        <w:pStyle w:val="ListBullet"/>
      </w:pPr>
      <w:r>
        <w:t>Liste : Liste I (stupéfiant)</w:t>
      </w:r>
    </w:p>
    <w:p>
      <w:pPr>
        <w:pStyle w:val="ListBullet"/>
      </w:pPr>
      <w:r>
        <w:t>Statut : Actif</w:t>
      </w:r>
    </w:p>
    <w:p>
      <w:pPr>
        <w:pStyle w:val="ListBullet"/>
      </w:pPr>
      <w:r/>
      <w:r>
        <w:rPr>
          <w:b/>
        </w:rPr>
        <w:t>TUSSO RHINATHIOL TOUX SECHE ENFANT</w:t>
      </w:r>
      <w:r>
        <w:t xml:space="preserve"> (INSTITUT MEDICAL ALGERIEN)</w:t>
      </w:r>
    </w:p>
    <w:p>
      <w:pPr>
        <w:pStyle w:val="ListBullet"/>
      </w:pPr>
      <w:r>
        <w:t>Formes et Dosages : Sirop 0,06 % (soit 60 mg/100 mL — équivalent 3 mg/5 mL de cuillère-mesure) — Flacon de 125 mL [forme concentrée enfant — attention à ne pas confondre avec la forme adulte]</w:t>
      </w:r>
    </w:p>
    <w:p>
      <w:pPr>
        <w:pStyle w:val="ListBullet"/>
      </w:pPr>
      <w:r>
        <w:t>Liste : Liste I (stupéfiant)</w:t>
      </w:r>
    </w:p>
    <w:p>
      <w:pPr>
        <w:pStyle w:val="ListBullet"/>
      </w:pPr>
      <w:r>
        <w:t>Statut : Actif</w:t>
      </w:r>
    </w:p>
    <w:p>
      <w:pPr>
        <w:pStyle w:val="ListBullet"/>
      </w:pPr>
      <w:r/>
      <w:r>
        <w:rPr>
          <w:b/>
        </w:rPr>
        <w:t>POLERY ENFANTS</w:t>
      </w:r>
      <w:r>
        <w:t xml:space="preserve"> (BIOGALENIC)</w:t>
      </w:r>
    </w:p>
    <w:p>
      <w:pPr>
        <w:pStyle w:val="ListBullet"/>
      </w:pPr>
      <w:r>
        <w:t>Formes et Dosages : Sirop — Pholcodine 1 mg + Extrait fluide d'Erysimum 29,6 mg / 5 mL — Flacon de 125 mL [association à un extrait de plante (Erysimum = « scrophulaire ») à propriétés cardiotoniques et expectorantes]</w:t>
      </w:r>
    </w:p>
    <w:p>
      <w:pPr>
        <w:pStyle w:val="ListBullet"/>
      </w:pPr>
      <w:r>
        <w:t>Liste : Liste I (stupéfiant)</w:t>
      </w:r>
    </w:p>
    <w:p>
      <w:pPr>
        <w:pStyle w:val="ListBullet"/>
      </w:pPr>
      <w:r>
        <w:t>Statut : Actif</w:t>
      </w:r>
    </w:p>
    <w:p>
      <w:r/>
      <w:r>
        <w:rPr>
          <w:i/>
        </w:rPr>
        <w:t>Spécialités non renouvelables :</w:t>
      </w:r>
      <w:r/>
    </w:p>
    <w:p>
      <w:pPr>
        <w:pStyle w:val="ListBullet"/>
      </w:pPr>
      <w:r/>
      <w:r>
        <w:rPr>
          <w:b/>
        </w:rPr>
        <w:t>DENORAL ENFANTS</w:t>
      </w:r>
      <w:r>
        <w:t xml:space="preserve"> (GROUPE SAIDAL) — Sirop — Buzepide 0,004 g + Clocinizine 0,015 g + Pholcodine 0,040 g / 100 mL — Flacon de 125 mL — Liste I — Statut : Non Renouvelable [association à un antihistaminique H1 (clocinizine) et à un autre principe actif (buzepide)]</w:t>
      </w:r>
    </w:p>
    <w:p>
      <w:pPr>
        <w:pStyle w:val="ListBullet"/>
      </w:pPr>
      <w:r/>
      <w:r>
        <w:rPr>
          <w:b/>
        </w:rPr>
        <w:t>DENORAL ADULTES</w:t>
      </w:r>
      <w:r>
        <w:t xml:space="preserve"> (GROUPE SAIDAL) — Sirop — Buzepide 0,006 g + Clocinizine 0,0225 g + Pholcodine 0,090 g / 100 mL — Flacon de 125 mL — Liste I — Statut : Non Renouvelable</w:t>
      </w:r>
    </w:p>
    <w:p>
      <w:r/>
      <w:r>
        <w:rPr>
          <w:i/>
        </w:rPr>
        <w:t>Spécialités retirées (R) :</w:t>
      </w:r>
      <w:r/>
    </w:p>
    <w:p>
      <w:pPr>
        <w:pStyle w:val="ListBullet"/>
      </w:pPr>
      <w:r/>
      <w:r>
        <w:rPr>
          <w:b/>
        </w:rPr>
        <w:t>BIOCALYPTOL A LA PHOLCODINE</w:t>
      </w:r>
      <w:r>
        <w:t xml:space="preserve"> (LABORATOIRES SARL WORLD MEDICINE LIMITED ET PROPHARMAL SOUS LICENCE HYGIA PHARMA) — Sirop — Pholcodine 131 mg + Gaïacol 19,75 mg / 100 mL — Flacon de 200 mL — Liste I — Statut : Retiré (R) [association à un expectorant terpénique]</w:t>
      </w:r>
    </w:p>
    <w:p>
      <w:pPr>
        <w:pStyle w:val="ListBullet"/>
      </w:pPr>
      <w:r/>
      <w:r>
        <w:rPr>
          <w:b/>
        </w:rPr>
        <w:t>DENORAL ENFANTS</w:t>
      </w:r>
      <w:r>
        <w:t xml:space="preserve"> (RHONE POULENC RORER) — Sirop — Buzepide 0,2 mg + Clocinizine 0,75 mg + Pholcodine 2 mg / 5 mL — Flacon de 150 mL — Liste I — Statut : Retiré (R)</w:t>
      </w:r>
    </w:p>
    <w:p>
      <w:pPr>
        <w:pStyle w:val="ListBullet"/>
      </w:pPr>
      <w:r/>
      <w:r>
        <w:rPr>
          <w:b/>
        </w:rPr>
        <w:t>DENORAL ADULTES</w:t>
      </w:r>
      <w:r>
        <w:t xml:space="preserve"> (RHONE POULENC RORER) — Sirop — Buzepide 0,9 mg + Clocinizine 3,375 mg + Pholcodine 13,5 mg / 5 mL — Flacon de 150 mL — Liste I — Statut : Retiré (R)</w:t>
      </w:r>
    </w:p>
    <w:p>
      <w:pPr>
        <w:pStyle w:val="ListBullet"/>
      </w:pPr>
      <w:r/>
      <w:r>
        <w:rPr>
          <w:b/>
        </w:rPr>
        <w:t>TROPHIRES ADULTE</w:t>
      </w:r>
      <w:r>
        <w:t xml:space="preserve"> (LABORATOIRE PHARMACEUTIQUE ALGERIEN — LPA) — Sirop adulte — Pholcodine 166,25 mg + Tenoate de sodium 1,25 g — Flacon de 125 mL — Liste I — Statut : Retiré (R)</w:t>
      </w:r>
    </w:p>
    <w:p>
      <w:pPr>
        <w:pStyle w:val="ListBullet"/>
      </w:pPr>
      <w:r/>
      <w:r>
        <w:rPr>
          <w:b/>
        </w:rPr>
        <w:t>TROPHIRES ENFANT</w:t>
      </w:r>
      <w:r>
        <w:t xml:space="preserve"> (LABORATOIRE PHARMACEUTIQUE ALGERIEN — LPA) — Sirop enfant — Pholcodine 75 mg + Tenoate de sodium 1,25 g — Flacon de 125 mL — Liste I — Statut : Retiré (R)</w:t>
      </w:r>
    </w:p>
    <w:p>
      <w:r/>
      <w:r>
        <w:rPr>
          <w:b/>
        </w:rPr>
        <w:t>Sous-classe et Mécanisme d'action :</w:t>
      </w:r>
      <w:r/>
    </w:p>
    <w:p>
      <w:pPr>
        <w:pStyle w:val="ListBullet"/>
      </w:pPr>
      <w:r/>
      <w:r>
        <w:rPr>
          <w:b/>
        </w:rPr>
        <w:t>Sous-classe</w:t>
      </w:r>
      <w:r>
        <w:t xml:space="preserve"> : Antitussif de la famille des </w:t>
      </w:r>
      <w:r>
        <w:rPr>
          <w:b/>
        </w:rPr>
        <w:t>opioïdes centraux stupéfiants</w:t>
      </w:r>
      <w:r>
        <w:t xml:space="preserve"> (Liste I des stupéfiants), dérivé morphinique de la morphine.</w:t>
      </w:r>
    </w:p>
    <w:p>
      <w:pPr>
        <w:pStyle w:val="ListBullet"/>
      </w:pPr>
      <w:r/>
      <w:r>
        <w:rPr>
          <w:b/>
        </w:rPr>
        <w:t>Mécanisme d'action</w:t>
      </w:r>
      <w:r>
        <w:t xml:space="preserve"> : la pholcodine est un </w:t>
      </w:r>
      <w:r>
        <w:rPr>
          <w:b/>
        </w:rPr>
        <w:t>agoniste des récepteurs opioïdes μ (MOR)</w:t>
      </w:r>
      <w:r>
        <w:t xml:space="preserve"> centraux, situés au niveau du </w:t>
      </w:r>
      <w:r>
        <w:rPr>
          <w:b/>
        </w:rPr>
        <w:t>centre de la toux</w:t>
      </w:r>
      <w:r>
        <w:t xml:space="preserve"> du bulbe rachidien (noyau du tractus solitaire — NTS — et noyau rétroambiguïs). Le récepteur μ est couplé aux protéines Gi/o ; son activation par la pholcodine entraîne :</w:t>
      </w:r>
    </w:p>
    <w:p>
      <w:pPr>
        <w:pStyle w:val="ListNumber"/>
      </w:pPr>
      <w:r/>
      <w:r>
        <w:rPr>
          <w:b/>
        </w:rPr>
        <w:t>Inhibition présynaptique</w:t>
      </w:r>
      <w:r>
        <w:t xml:space="preserve"> : réduction de l'entrée de calcium (Ca²⁺) dans les terminaisons nerveuses afférentes (vagales) → inhibition de la libération de neurotransmetteurs excitateurs (glutamate, substance P) au niveau du NTS → réduction de l'influx vers les motoneurones respiratoires.</w:t>
      </w:r>
    </w:p>
    <w:p>
      <w:pPr>
        <w:pStyle w:val="ListNumber"/>
      </w:pPr>
      <w:r/>
      <w:r>
        <w:rPr>
          <w:b/>
        </w:rPr>
        <w:t>Hyperpolarisation postsynaptique</w:t>
      </w:r>
      <w:r>
        <w:t xml:space="preserve"> : activation des canaux potassium rectifiants entrants (GIRK) → sortie de K⁺ → hyperpolarisation des neurones du centre de la toux → réduction de leur excitabilité.</w:t>
      </w:r>
    </w:p>
    <w:p>
      <w:pPr>
        <w:pStyle w:val="ListNumber"/>
      </w:pPr>
      <w:r/>
      <w:r>
        <w:rPr>
          <w:b/>
        </w:rPr>
        <w:t>Suppression du réflexe de la toux</w:t>
      </w:r>
      <w:r>
        <w:t xml:space="preserve"> à la fois dans sa composante inspiratoire (diaphragme, muscles intercostaux) et expiratoire (muscles abdominaux, muscles expiratoires accessoires).</w:t>
      </w:r>
    </w:p>
    <w:p>
      <w:r>
        <w:t xml:space="preserve">  La structure chimique de la pholcodine (substitution en </w:t>
      </w:r>
      <w:r>
        <w:rPr>
          <w:b/>
        </w:rPr>
        <w:t>position 3</w:t>
      </w:r>
      <w:r>
        <w:t xml:space="preserve"> du noyau morphinique par un groupement </w:t>
      </w:r>
      <w:r>
        <w:rPr>
          <w:b/>
        </w:rPr>
        <w:t>morpholinoéthyle</w:t>
      </w:r>
      <w:r>
        <w:t xml:space="preserve">, c'est-à-dire un groupement morpholine relié par un bras éthyl) réduit fortement le </w:t>
      </w:r>
      <w:r>
        <w:rPr>
          <w:b/>
        </w:rPr>
        <w:t>passage de la barrière hémato-encéphalique (BBB)</w:t>
      </w:r>
      <w:r>
        <w:t xml:space="preserve"> en raison de la taille et du caractère polaire de ce groupement. Ceci explique :</w:t>
      </w:r>
    </w:p>
    <w:p>
      <w:pPr>
        <w:pStyle w:val="ListBullet"/>
      </w:pPr>
      <w:r>
        <w:t xml:space="preserve">L'effet </w:t>
      </w:r>
      <w:r>
        <w:rPr>
          <w:b/>
        </w:rPr>
        <w:t>antitussif prédominant</w:t>
      </w:r>
      <w:r>
        <w:t xml:space="preserve"> (le centre de la toux est accessible aux molécules polaires car partiellement en dehors de la BBB stricte, au niveau de la zone post-rémaque / area postrema).</w:t>
      </w:r>
    </w:p>
    <w:p>
      <w:pPr>
        <w:pStyle w:val="ListBullet"/>
      </w:pPr>
      <w:r>
        <w:t xml:space="preserve">L'effet </w:t>
      </w:r>
      <w:r>
        <w:rPr>
          <w:b/>
        </w:rPr>
        <w:t>dépresseur respiratoire moindre</w:t>
      </w:r>
      <w:r>
        <w:t xml:space="preserve"> que la morphine (les centres respiratoires bulbaires sont mieux protégés par la BBB stricte).</w:t>
      </w:r>
    </w:p>
    <w:p>
      <w:pPr>
        <w:pStyle w:val="ListBullet"/>
      </w:pPr>
      <w:r>
        <w:t xml:space="preserve">L'effet </w:t>
      </w:r>
      <w:r>
        <w:rPr>
          <w:b/>
        </w:rPr>
        <w:t>analgésique moindre</w:t>
      </w:r>
      <w:r>
        <w:t xml:space="preserve"> que la morphine.</w:t>
      </w:r>
    </w:p>
    <w:p>
      <w:pPr>
        <w:pStyle w:val="ListBullet"/>
      </w:pPr>
      <w:r>
        <w:t xml:space="preserve">L'effet </w:t>
      </w:r>
      <w:r>
        <w:rPr>
          <w:b/>
        </w:rPr>
        <w:t>euphorisant moindre</w:t>
      </w:r>
      <w:r>
        <w:t xml:space="preserve"> que la morphine (réduction du potentiel de dépendance — mais dépendance possible en cas d'usage prolongé ou à forte dose).</w:t>
      </w:r>
    </w:p>
    <w:p>
      <w:r>
        <w:t xml:space="preserve">  La pholcodine a une </w:t>
      </w:r>
      <w:r>
        <w:rPr>
          <w:b/>
        </w:rPr>
        <w:t>demie-vie plasmatique longue</w:t>
      </w:r>
      <w:r>
        <w:t xml:space="preserve"> (30–40 heures) en raison d'une distribution tissulaire étendue (volume de distribution 30–50 L/kg) et d'une élimination rénale majoritaire (formes inchangue et déméthylée). Cette demie-vie longue explique la </w:t>
      </w:r>
      <w:r>
        <w:rPr>
          <w:b/>
        </w:rPr>
        <w:t>durée d'action prolongée</w:t>
      </w:r>
      <w:r>
        <w:t xml:space="preserve"> (12 heures) et le risque d'</w:t>
      </w:r>
      <w:r>
        <w:rPr>
          <w:b/>
        </w:rPr>
        <w:t>accumulation</w:t>
      </w:r>
      <w:r>
        <w:t xml:space="preserve"> en cas d'administration répétée (surveillance chez le sujet âgé et l'insuffisant rénal).</w:t>
      </w:r>
    </w:p>
    <w:p>
      <w:r/>
      <w:r>
        <w:rPr>
          <w:b/>
        </w:rPr>
        <w:t>Profil Pharmacologique :</w:t>
      </w:r>
      <w:r/>
    </w:p>
    <w:p>
      <w:pPr>
        <w:pStyle w:val="ListBullet"/>
      </w:pPr>
      <w:r/>
      <w:r>
        <w:rPr>
          <w:b/>
        </w:rPr>
        <w:t>Indications</w:t>
      </w:r>
      <w:r>
        <w:t xml:space="preserve"> :</w:t>
      </w:r>
    </w:p>
    <w:p>
      <w:pPr>
        <w:pStyle w:val="ListBullet"/>
      </w:pPr>
      <w:r/>
      <w:r>
        <w:rPr>
          <w:b/>
        </w:rPr>
        <w:t>Toux sèche</w:t>
      </w:r>
      <w:r>
        <w:t xml:space="preserve"> invalidante, en traitement </w:t>
      </w:r>
      <w:r>
        <w:rPr>
          <w:b/>
        </w:rPr>
        <w:t>court</w:t>
      </w:r>
      <w:r>
        <w:t xml:space="preserve"> (5–7 jours), en deuxième intention après échec des mesures non-médicamenteuses (hydratation, arrêt du tabac, miel chez l'enfant &gt; 1 an).</w:t>
      </w:r>
    </w:p>
    <w:p>
      <w:pPr>
        <w:pStyle w:val="ListBullet"/>
      </w:pPr>
      <w:r>
        <w:t>*Préférer le dextrométhorphane en première intention* (meilleur profil de tolérance, pas de liste des stupéfiants, pas d'allergie croisée aux curares).</w:t>
      </w:r>
    </w:p>
    <w:p>
      <w:pPr>
        <w:pStyle w:val="ListBullet"/>
      </w:pPr>
      <w:r>
        <w:t>*Toux sèche post-opératoire* (réduire la douleur pariétale et le risque de déchirure de suture).</w:t>
      </w:r>
    </w:p>
    <w:p>
      <w:pPr>
        <w:pStyle w:val="ListBullet"/>
      </w:pPr>
      <w:r>
        <w:t>*Toux sèche de l'insuffisant cardiaque* (à adapter selon le contexte).</w:t>
      </w:r>
    </w:p>
    <w:p>
      <w:pPr>
        <w:pStyle w:val="ListBullet"/>
      </w:pPr>
      <w:r/>
      <w:r>
        <w:rPr>
          <w:b/>
        </w:rPr>
        <w:t>Contre-indications</w:t>
      </w:r>
      <w:r>
        <w:t xml:space="preserve"> :</w:t>
      </w:r>
    </w:p>
    <w:p>
      <w:pPr>
        <w:pStyle w:val="ListBullet"/>
      </w:pPr>
      <w:r/>
      <w:r>
        <w:rPr>
          <w:b/>
        </w:rPr>
        <w:t>Toux productive</w:t>
      </w:r>
      <w:r>
        <w:t xml:space="preserve"> (CI absolue — risque d'encombrement bronchique, atélectasie, surinfection, asphyxie).</w:t>
      </w:r>
    </w:p>
    <w:p>
      <w:pPr>
        <w:pStyle w:val="ListBullet"/>
      </w:pPr>
      <w:r/>
      <w:r>
        <w:rPr>
          <w:b/>
        </w:rPr>
        <w:t>Asthme non contrôlé</w:t>
      </w:r>
      <w:r>
        <w:t xml:space="preserve"> (risque de dépression respiratoire masquée).</w:t>
      </w:r>
    </w:p>
    <w:p>
      <w:pPr>
        <w:pStyle w:val="ListBullet"/>
      </w:pPr>
      <w:r/>
      <w:r>
        <w:rPr>
          <w:b/>
        </w:rPr>
        <w:t>Insuffisance respiratoire décompensée</w:t>
      </w:r>
      <w:r>
        <w:t xml:space="preserve"> (risque de dépression respiratoire additive).</w:t>
      </w:r>
    </w:p>
    <w:p>
      <w:pPr>
        <w:pStyle w:val="ListBullet"/>
      </w:pPr>
      <w:r/>
      <w:r>
        <w:rPr>
          <w:b/>
        </w:rPr>
        <w:t>Traumatisme crânien</w:t>
      </w:r>
      <w:r>
        <w:t xml:space="preserve"> et hypertension intracrânienne (risque d'augmentation de la PaCO₂ et d'aggravation de l'HIC).</w:t>
      </w:r>
    </w:p>
    <w:p>
      <w:pPr>
        <w:pStyle w:val="ListBullet"/>
      </w:pPr>
      <w:r/>
      <w:r>
        <w:rPr>
          <w:b/>
        </w:rPr>
        <w:t>Epilepsie non contrôlée</w:t>
      </w:r>
      <w:r>
        <w:t xml:space="preserve"> (la pholcodine peut abaisser le seuil épileptogène à forte dose).</w:t>
      </w:r>
    </w:p>
    <w:p>
      <w:pPr>
        <w:pStyle w:val="ListBullet"/>
      </w:pPr>
      <w:r/>
      <w:r>
        <w:rPr>
          <w:b/>
        </w:rPr>
        <w:t>Hypersensibilité à la pholcodine</w:t>
      </w:r>
      <w:r>
        <w:t xml:space="preserve"> (rare mais possible).</w:t>
      </w:r>
    </w:p>
    <w:p>
      <w:pPr>
        <w:pStyle w:val="ListBullet"/>
      </w:pPr>
      <w:r/>
      <w:r>
        <w:rPr>
          <w:b/>
        </w:rPr>
        <w:t>Antécédent d'anaphylaxie aux curares</w:t>
      </w:r>
      <w:r>
        <w:t xml:space="preserve"> (suxaméthonium, rocuronium, vecuronium) — CI relative (risque d'anaphylaxie croisée, cf. section dédiée).</w:t>
      </w:r>
    </w:p>
    <w:p>
      <w:pPr>
        <w:pStyle w:val="ListBullet"/>
      </w:pPr>
      <w:r/>
      <w:r>
        <w:rPr>
          <w:b/>
        </w:rPr>
        <w:t>Anesthésie générale prévue dans les semaines à venir</w:t>
      </w:r>
      <w:r>
        <w:t xml:space="preserve"> — arrêter la pholcodine au moins 1 mois avant (en raison du risque d'anaphylaxie aux curares).</w:t>
      </w:r>
    </w:p>
    <w:p>
      <w:pPr>
        <w:pStyle w:val="ListBullet"/>
      </w:pPr>
      <w:r/>
      <w:r>
        <w:rPr>
          <w:b/>
        </w:rPr>
        <w:t>Enfant &lt; 2 ans</w:t>
      </w:r>
      <w:r>
        <w:t xml:space="preserve"> (dépression respiratoire, accumulation).</w:t>
      </w:r>
    </w:p>
    <w:p>
      <w:pPr>
        <w:pStyle w:val="ListBullet"/>
      </w:pPr>
      <w:r/>
      <w:r>
        <w:rPr>
          <w:b/>
        </w:rPr>
        <w:t>Insuffisance hépatique sévère</w:t>
      </w:r>
      <w:r>
        <w:t xml:space="preserve"> (métabolisme hépatique).</w:t>
      </w:r>
    </w:p>
    <w:p>
      <w:pPr>
        <w:pStyle w:val="ListBullet"/>
      </w:pPr>
      <w:r/>
      <w:r>
        <w:rPr>
          <w:b/>
        </w:rPr>
        <w:t>Insuffisance rénale sévère</w:t>
      </w:r>
      <w:r>
        <w:t xml:space="preserve"> (accumulation par réduction de l'élimination rénale).</w:t>
      </w:r>
    </w:p>
    <w:p>
      <w:pPr>
        <w:pStyle w:val="ListBullet"/>
      </w:pPr>
      <w:r/>
      <w:r>
        <w:rPr>
          <w:b/>
        </w:rPr>
        <w:t>Allaitement</w:t>
      </w:r>
      <w:r>
        <w:t xml:space="preserve"> (passage dans le lait maternel).</w:t>
      </w:r>
    </w:p>
    <w:p>
      <w:pPr>
        <w:pStyle w:val="ListBullet"/>
      </w:pPr>
      <w:r/>
      <w:r>
        <w:rPr>
          <w:b/>
        </w:rPr>
        <w:t>3e trimestre de grossesse</w:t>
      </w:r>
      <w:r>
        <w:t xml:space="preserve"> (risque de syndrome de sevrage néonatal).</w:t>
      </w:r>
    </w:p>
    <w:p>
      <w:pPr>
        <w:pStyle w:val="ListBullet"/>
      </w:pPr>
      <w:r/>
      <w:r>
        <w:rPr>
          <w:b/>
        </w:rPr>
        <w:t>Alcoolisme aigu</w:t>
      </w:r>
      <w:r>
        <w:t xml:space="preserve"> et </w:t>
      </w:r>
      <w:r>
        <w:rPr>
          <w:b/>
        </w:rPr>
        <w:t>intoxication éthylique aiguë</w:t>
      </w:r>
      <w:r>
        <w:t>.</w:t>
      </w:r>
    </w:p>
    <w:p>
      <w:pPr>
        <w:pStyle w:val="ListBullet"/>
      </w:pPr>
      <w:r/>
      <w:r>
        <w:rPr>
          <w:b/>
        </w:rPr>
        <w:t>Traitement par IMAO</w:t>
      </w:r>
      <w:r>
        <w:t xml:space="preserve"> (interaction — syndrome sérotoninergique).</w:t>
      </w:r>
    </w:p>
    <w:p>
      <w:pPr>
        <w:pStyle w:val="ListBullet"/>
      </w:pPr>
      <w:r/>
      <w:r>
        <w:rPr>
          <w:b/>
        </w:rPr>
        <w:t>Traitements par dépresseurs du SNC</w:t>
      </w:r>
      <w:r>
        <w:t xml:space="preserve"> (benzodiazépines, antihistaminiques H1 sédatifs, barbituriques).</w:t>
      </w:r>
    </w:p>
    <w:p>
      <w:pPr>
        <w:pStyle w:val="ListBullet"/>
      </w:pPr>
      <w:r/>
      <w:r>
        <w:rPr>
          <w:b/>
        </w:rPr>
        <w:t>Effets Indésirables</w:t>
      </w:r>
      <w:r>
        <w:t xml:space="preserve"> :</w:t>
      </w:r>
    </w:p>
    <w:p>
      <w:pPr>
        <w:pStyle w:val="ListBullet"/>
      </w:pPr>
      <w:r>
        <w:t xml:space="preserve">*Neurologiques* (fréquents, 5–20 %) : </w:t>
      </w:r>
      <w:r>
        <w:rPr>
          <w:b/>
        </w:rPr>
        <w:t>sédation, somnolence, vertiges, céphalées</w:t>
      </w:r>
      <w:r>
        <w:t xml:space="preserve"> — gênants pour la conduite automobile et l'utilisation de machines.</w:t>
      </w:r>
    </w:p>
    <w:p>
      <w:pPr>
        <w:pStyle w:val="ListBullet"/>
      </w:pPr>
      <w:r>
        <w:t xml:space="preserve">*Digestifs* (fréquents) : </w:t>
      </w:r>
      <w:r>
        <w:rPr>
          <w:b/>
        </w:rPr>
        <w:t>constipation</w:t>
      </w:r>
      <w:r>
        <w:t xml:space="preserve"> (effet μ périphérique sur les plexus myentériques), nausées, vomissements, sécheresse buccale.</w:t>
      </w:r>
    </w:p>
    <w:p>
      <w:pPr>
        <w:pStyle w:val="ListBullet"/>
      </w:pPr>
      <w:r>
        <w:t xml:space="preserve">*Respiratoires* (peu fréquents mais critiques) : </w:t>
      </w:r>
      <w:r>
        <w:rPr>
          <w:b/>
        </w:rPr>
        <w:t>dépression respiratoire</w:t>
      </w:r>
      <w:r>
        <w:t xml:space="preserve"> dose-dépendante (réduction de la fréquence respiratoire, de la PaO₂, augmentation de la PaCO₂) — surtout chez le sujet âgé, l'insuffisant respiratoire, l'enfant.</w:t>
      </w:r>
    </w:p>
    <w:p>
      <w:pPr>
        <w:pStyle w:val="ListBullet"/>
      </w:pPr>
      <w:r>
        <w:t>*Cutanés* (rares) : rash, urticaire, prurit.</w:t>
      </w:r>
    </w:p>
    <w:p>
      <w:pPr>
        <w:pStyle w:val="ListBullet"/>
      </w:pPr>
      <w:r>
        <w:t xml:space="preserve">*Allergiques* (rares mais critiques) : </w:t>
      </w:r>
      <w:r>
        <w:rPr>
          <w:b/>
        </w:rPr>
        <w:t>anaphylaxie</w:t>
      </w:r>
      <w:r>
        <w:t xml:space="preserve"> (réaction IgE-médiée à la pholcodine, en lien avec une sensibilisation préalable) ; </w:t>
      </w:r>
      <w:r>
        <w:rPr>
          <w:b/>
        </w:rPr>
        <w:t>anaphylaxie croisée avec les curares</w:t>
      </w:r>
      <w:r>
        <w:t xml:space="preserve"> (suxaméthonium, rocuronium) — risque documenté d'anaphylaxie per-anesthésique chez les patients préalablement exposés à la pholcodine.</w:t>
      </w:r>
    </w:p>
    <w:p>
      <w:pPr>
        <w:pStyle w:val="ListBullet"/>
      </w:pPr>
      <w:r>
        <w:t>*Endocriniens* (à long terme) : hyperprolactinémie, gynécomastie (effet μ hypothalamique).</w:t>
      </w:r>
    </w:p>
    <w:p>
      <w:pPr>
        <w:pStyle w:val="ListBullet"/>
      </w:pPr>
      <w:r>
        <w:t>*Dépendance* (à forte dose ou usage prolongé) : tolérance, dépendance physique et psychique — moindre que la morphine mais réelle.</w:t>
      </w:r>
    </w:p>
    <w:p>
      <w:r/>
      <w:r>
        <w:rPr>
          <w:b/>
        </w:rPr>
        <w:t>Prévention et Gestion des Effets Indésirables :</w:t>
      </w:r>
      <w:r/>
    </w:p>
    <w:p>
      <w:pPr>
        <w:pStyle w:val="ListBullet"/>
      </w:pPr>
      <w:r/>
      <w:r>
        <w:rPr>
          <w:b/>
        </w:rPr>
        <w:t>Mesures Préventives</w:t>
      </w:r>
      <w:r>
        <w:t xml:space="preserve"> :</w:t>
      </w:r>
    </w:p>
    <w:p>
      <w:pPr>
        <w:pStyle w:val="ListBullet"/>
      </w:pPr>
      <w:r/>
      <w:r>
        <w:rPr>
          <w:b/>
        </w:rPr>
        <w:t>Durée limitée à 5–7 jours</w:t>
      </w:r>
      <w:r>
        <w:t xml:space="preserve"> sans avis médical ; ne pas dépasser 14 jours.</w:t>
      </w:r>
    </w:p>
    <w:p>
      <w:pPr>
        <w:pStyle w:val="ListBullet"/>
      </w:pPr>
      <w:r/>
      <w:r>
        <w:rPr>
          <w:b/>
        </w:rPr>
        <w:t>Posologie minimale efficace</w:t>
      </w:r>
      <w:r>
        <w:t xml:space="preserve"> — surtout chez le sujet âgé et l'insuffisant rénal/hépatique.</w:t>
      </w:r>
    </w:p>
    <w:p>
      <w:pPr>
        <w:pStyle w:val="ListBullet"/>
      </w:pPr>
      <w:r/>
      <w:r>
        <w:rPr>
          <w:b/>
        </w:rPr>
        <w:t>Préférer le dextrométhorphane en première intention</w:t>
      </w:r>
      <w:r>
        <w:t xml:space="preserve"> (profil de tolérance meilleur, pas de stupéfiant, pas d'allergie croisée aux curares).</w:t>
      </w:r>
    </w:p>
    <w:p>
      <w:pPr>
        <w:pStyle w:val="ListBullet"/>
      </w:pPr>
      <w:r/>
      <w:r>
        <w:rPr>
          <w:b/>
        </w:rPr>
        <w:t>Interrogatoire systématique</w:t>
      </w:r>
      <w:r>
        <w:t xml:space="preserve"> sur :</w:t>
      </w:r>
    </w:p>
    <w:p>
      <w:pPr>
        <w:pStyle w:val="ListBullet"/>
      </w:pPr>
      <w:r>
        <w:t>Une anesthésie générale prévue dans les semaines à venir (arrêt de la pholcodine au moins 1 mois avant).</w:t>
      </w:r>
    </w:p>
    <w:p>
      <w:pPr>
        <w:pStyle w:val="ListBullet"/>
      </w:pPr>
      <w:r>
        <w:t>Un antécédent d'anaphylaxie per-anesthésique (CI absolue à la pholcodine).</w:t>
      </w:r>
    </w:p>
    <w:p>
      <w:pPr>
        <w:pStyle w:val="ListBullet"/>
      </w:pPr>
      <w:r>
        <w:t>Une toux productive (CI absolue à la pholcodine).</w:t>
      </w:r>
    </w:p>
    <w:p>
      <w:pPr>
        <w:pStyle w:val="ListBullet"/>
      </w:pPr>
      <w:r>
        <w:t>Un asthme ou une BPCO (prudence, surveillance de la SpO₂).</w:t>
      </w:r>
    </w:p>
    <w:p>
      <w:pPr>
        <w:pStyle w:val="ListBullet"/>
      </w:pPr>
      <w:r>
        <w:t>Une prise d'IMAO (CI absolue).</w:t>
      </w:r>
    </w:p>
    <w:p>
      <w:pPr>
        <w:pStyle w:val="ListBullet"/>
      </w:pPr>
      <w:r>
        <w:t>Une grossesse (CI au 3e trimestre) ou un allaitement (CI).</w:t>
      </w:r>
    </w:p>
    <w:p>
      <w:pPr>
        <w:pStyle w:val="ListBullet"/>
      </w:pPr>
      <w:r/>
      <w:r>
        <w:rPr>
          <w:b/>
        </w:rPr>
        <w:t>Information patient</w:t>
      </w:r>
      <w:r>
        <w:t xml:space="preserve"> sur les signes d'anaphylaxie (urticaire généralisée, œdème de Quincke, gêne respiratoire, hypotension) — arrêt immédiat et appel du SAMU (14 ou 16, Algérie).</w:t>
      </w:r>
    </w:p>
    <w:p>
      <w:pPr>
        <w:pStyle w:val="ListBullet"/>
      </w:pPr>
      <w:r/>
      <w:r>
        <w:rPr>
          <w:b/>
        </w:rPr>
        <w:t>Prévention de la constipation</w:t>
      </w:r>
      <w:r>
        <w:t xml:space="preserve"> : hydratation abondante, alimentation riche en fibres, laxatif osmotique si nécessaire (macrogol).</w:t>
      </w:r>
    </w:p>
    <w:p>
      <w:pPr>
        <w:pStyle w:val="ListBullet"/>
      </w:pPr>
      <w:r/>
      <w:r>
        <w:rPr>
          <w:b/>
        </w:rPr>
        <w:t>Avertissement</w:t>
      </w:r>
      <w:r>
        <w:t xml:space="preserve"> sur la conduite automobile (effet sédatif).</w:t>
      </w:r>
    </w:p>
    <w:p>
      <w:pPr>
        <w:pStyle w:val="ListBullet"/>
      </w:pPr>
      <w:r/>
      <w:r>
        <w:rPr>
          <w:b/>
        </w:rPr>
        <w:t>Conduite à Tenir</w:t>
      </w:r>
      <w:r>
        <w:t xml:space="preserve"> :</w:t>
      </w:r>
    </w:p>
    <w:p>
      <w:pPr>
        <w:pStyle w:val="ListBullet"/>
      </w:pPr>
      <w:r>
        <w:t xml:space="preserve">*En cas de surdosage* (somnolence marquée, bradypnée &lt; 12/min, myosis serré) : </w:t>
      </w:r>
      <w:r>
        <w:rPr>
          <w:b/>
        </w:rPr>
        <w:t>hospitalisation en urgence</w:t>
      </w:r>
      <w:r>
        <w:t xml:space="preserve">, </w:t>
      </w:r>
      <w:r>
        <w:rPr>
          <w:b/>
        </w:rPr>
        <w:t>naloxone IV</w:t>
      </w:r>
      <w:r>
        <w:t xml:space="preserve"> (Narcan™ 0,4 mg à renouveler toutes les 2–3 minutes jusqu'à réveil — attention à la demie-vie courte de la naloxone 30–60 min vs 30–40 h de la pholcodine, perfusion continue nécessaire).</w:t>
      </w:r>
    </w:p>
    <w:p>
      <w:pPr>
        <w:pStyle w:val="ListBullet"/>
      </w:pPr>
      <w:r>
        <w:t xml:space="preserve">*En cas d'anaphylaxie* : </w:t>
      </w:r>
      <w:r>
        <w:rPr>
          <w:b/>
        </w:rPr>
        <w:t>arrêt immédiat</w:t>
      </w:r>
      <w:r>
        <w:t>, adrenaline IM 0,5 mg (Adulte) ou 0,01 mg/kg (Enfant) dans la cuisse antéro-latérale, antihistaminiques + corticoïdes IV, oxygène, remplissage macromoléculaire, appel du SAMU.</w:t>
      </w:r>
    </w:p>
    <w:p>
      <w:pPr>
        <w:pStyle w:val="ListBullet"/>
      </w:pPr>
      <w:r>
        <w:t xml:space="preserve">*En cas de toux productive sous pholcodine* : </w:t>
      </w:r>
      <w:r>
        <w:rPr>
          <w:b/>
        </w:rPr>
        <w:t>arrêt immédiat</w:t>
      </w:r>
      <w:r>
        <w:t xml:space="preserve"> (passage à un mucolytique).</w:t>
      </w:r>
    </w:p>
    <w:p>
      <w:pPr>
        <w:pStyle w:val="ListBullet"/>
      </w:pPr>
      <w:r>
        <w:t>*En cas de constipation sévère* : macrogol 10–20 g/jour, laxatif stimulant si nécessaire.</w:t>
      </w:r>
    </w:p>
    <w:p>
      <w:pPr>
        <w:pStyle w:val="ListBullet"/>
      </w:pPr>
      <w:r>
        <w:t xml:space="preserve">*En cas d'anesthésie générale programmée* : </w:t>
      </w:r>
      <w:r>
        <w:rPr>
          <w:b/>
        </w:rPr>
        <w:t>arrêter la pholcodine au moins 1 mois avant</w:t>
      </w:r>
      <w:r>
        <w:t xml:space="preserve"> et signaler l'exposition passée à l'anesthésiste.</w:t>
      </w:r>
    </w:p>
    <w:p>
      <w:r/>
      <w:r>
        <w:rPr>
          <w:b/>
        </w:rPr>
        <w:t>Interactions Importantes :</w:t>
      </w:r>
      <w:r/>
    </w:p>
    <w:p>
      <w:pPr>
        <w:pStyle w:val="ListBullet"/>
      </w:pPr>
      <w:r/>
      <w:r>
        <w:rPr>
          <w:b/>
        </w:rPr>
        <w:t>Pholcodine + dépresseurs du SNC</w:t>
      </w:r>
      <w:r>
        <w:t xml:space="preserve"> (alcool, benzodiazépines, antihistaminiques H1 sédatifs, barbituriques, neuroleptiques) : </w:t>
      </w:r>
      <w:r>
        <w:rPr>
          <w:b/>
        </w:rPr>
        <w:t>potentialisation de la sédation et de la dépression respiratoire</w:t>
      </w:r>
      <w:r>
        <w:t xml:space="preserve"> — éviter l'association ou réduire les doses.</w:t>
      </w:r>
    </w:p>
    <w:p>
      <w:pPr>
        <w:pStyle w:val="ListBullet"/>
      </w:pPr>
      <w:r/>
      <w:r>
        <w:rPr>
          <w:b/>
        </w:rPr>
        <w:t>Pholcodine + IMAO</w:t>
      </w:r>
      <w:r>
        <w:t xml:space="preserve"> (sélegiline, phénelzine, tranylcypromine, moclobémide) : </w:t>
      </w:r>
      <w:r>
        <w:rPr>
          <w:b/>
        </w:rPr>
        <w:t>syndrome sérotoninergique</w:t>
      </w:r>
      <w:r>
        <w:t xml:space="preserve"> (hyperthermie, agitation, hyperréflexie, myoclonies, rhabdomyolyse, décès) — </w:t>
      </w:r>
      <w:r>
        <w:rPr>
          <w:b/>
        </w:rPr>
        <w:t>CI absolue</w:t>
      </w:r>
      <w:r>
        <w:t xml:space="preserve"> ; respecter un wash-out de 14 jours entre l'arrêt de l'IMAO et la prise de pholcodine.</w:t>
      </w:r>
    </w:p>
    <w:p>
      <w:pPr>
        <w:pStyle w:val="ListBullet"/>
      </w:pPr>
      <w:r/>
      <w:r>
        <w:rPr>
          <w:b/>
        </w:rPr>
        <w:t>Pholcodine + tramadol</w:t>
      </w:r>
      <w:r>
        <w:t xml:space="preserve"> : potentialisation de la toxicité sérotoninergique et convulsivante.</w:t>
      </w:r>
    </w:p>
    <w:p>
      <w:pPr>
        <w:pStyle w:val="ListBullet"/>
      </w:pPr>
      <w:r/>
      <w:r>
        <w:rPr>
          <w:b/>
        </w:rPr>
        <w:t>Pholcodine + antitussifs</w:t>
      </w:r>
      <w:r>
        <w:t xml:space="preserve"> : pas d'association avec d'autres antitussifs.</w:t>
      </w:r>
    </w:p>
    <w:p>
      <w:pPr>
        <w:pStyle w:val="ListBullet"/>
      </w:pPr>
      <w:r/>
      <w:r>
        <w:rPr>
          <w:b/>
        </w:rPr>
        <w:t>Pholcodine + mucolytiques</w:t>
      </w:r>
      <w:r>
        <w:t xml:space="preserve"> : effet contradictoire (CI logique — la pholcodine bloque la toux d'expectoration fluidifiée par le mucolytique).</w:t>
      </w:r>
    </w:p>
    <w:p>
      <w:pPr>
        <w:pStyle w:val="ListBullet"/>
      </w:pPr>
      <w:r/>
      <w:r>
        <w:rPr>
          <w:b/>
        </w:rPr>
        <w:t>Pholcodine + curares</w:t>
      </w:r>
      <w:r>
        <w:t xml:space="preserve"> (suxaméthonium, rocuronium, vecuronium) : </w:t>
      </w:r>
      <w:r>
        <w:rPr>
          <w:b/>
        </w:rPr>
        <w:t>risque d'anaphylaxie croisée</w:t>
      </w:r>
      <w:r>
        <w:t xml:space="preserve"> — signaler à l'anesthésiste toute exposition passée à la pholcodine avant anesthésie générale.</w:t>
      </w:r>
    </w:p>
    <w:p>
      <w:pPr>
        <w:pStyle w:val="ListBullet"/>
      </w:pPr>
      <w:r/>
      <w:r>
        <w:rPr>
          <w:b/>
        </w:rPr>
        <w:t>Pholcodine + contraceptifs oraux</w:t>
      </w:r>
      <w:r>
        <w:t xml:space="preserve"> (CYP3A4) : prudence (interaction mineure).</w:t>
      </w:r>
    </w:p>
    <w:p>
      <w:pPr>
        <w:pStyle w:val="ListBullet"/>
      </w:pPr>
      <w:r/>
      <w:r>
        <w:rPr>
          <w:b/>
        </w:rPr>
        <w:t>Pholcodine + rifampicine, phénytoïne, carbamazépine</w:t>
      </w:r>
      <w:r>
        <w:t xml:space="preserve"> (inducteurs CYP3A4) : réduction de l'effet de la pholcodine.</w:t>
      </w:r>
    </w:p>
    <w:p>
      <w:r/>
      <w:r>
        <w:rPr>
          <w:b/>
        </w:rPr>
        <w:t>Grossesse et Allaitement :</w:t>
      </w:r>
      <w:r/>
    </w:p>
    <w:p>
      <w:pPr>
        <w:pStyle w:val="ListBullet"/>
      </w:pPr>
      <w:r/>
      <w:r>
        <w:rPr>
          <w:b/>
        </w:rPr>
        <w:t>Grossesse</w:t>
      </w:r>
      <w:r>
        <w:t xml:space="preserve"> :</w:t>
      </w:r>
    </w:p>
    <w:p>
      <w:pPr>
        <w:pStyle w:val="ListBullet"/>
      </w:pPr>
      <w:r>
        <w:t>Selon le CRAT — les opioïdes traversent le placenta.</w:t>
      </w:r>
    </w:p>
    <w:p>
      <w:pPr>
        <w:pStyle w:val="ListBullet"/>
      </w:pPr>
      <w:r/>
      <w:r>
        <w:rPr>
          <w:b/>
        </w:rPr>
        <w:t>1er et 2e trimestres</w:t>
      </w:r>
      <w:r>
        <w:t xml:space="preserve"> : à éviter par prudence (données animales évocatrices d'un effet tératogène à forte dose, données humaines limitées).</w:t>
      </w:r>
    </w:p>
    <w:p>
      <w:pPr>
        <w:pStyle w:val="ListBullet"/>
      </w:pPr>
      <w:r/>
      <w:r>
        <w:rPr>
          <w:b/>
        </w:rPr>
        <w:t>3e trimestre</w:t>
      </w:r>
      <w:r>
        <w:t xml:space="preserve"> : </w:t>
      </w:r>
      <w:r>
        <w:rPr>
          <w:b/>
        </w:rPr>
        <w:t>CI relative</w:t>
      </w:r>
      <w:r>
        <w:t xml:space="preserve"> en raison du risque de </w:t>
      </w:r>
      <w:r>
        <w:rPr>
          <w:b/>
        </w:rPr>
        <w:t>syndrome de sevrage néonatal</w:t>
      </w:r>
      <w:r>
        <w:t xml:space="preserve"> (irritabilité, tremblements, vomissements, diarrhée, convulsions dans les 24–72 heures après la naissance — surveillance en maternité obligatoire si prise en fin de grossesse).</w:t>
      </w:r>
    </w:p>
    <w:p>
      <w:pPr>
        <w:pStyle w:val="ListBullet"/>
      </w:pPr>
      <w:r/>
      <w:r>
        <w:rPr>
          <w:b/>
        </w:rPr>
        <w:t>À l'accouchement</w:t>
      </w:r>
      <w:r>
        <w:t xml:space="preserve"> : CI absolue (dépression respiratoire néonatale — la naloxone néonatale doit être disponible en salle de naissance).</w:t>
      </w:r>
    </w:p>
    <w:p>
      <w:pPr>
        <w:pStyle w:val="ListBullet"/>
      </w:pPr>
      <w:r/>
      <w:r>
        <w:rPr>
          <w:b/>
        </w:rPr>
        <w:t>Préférer les mesures non-médicamenteuses</w:t>
      </w:r>
      <w:r>
        <w:t xml:space="preserve"> pendant la grossesse (hydratation, lavage nasal au sérum physiologique, miel chez l'enfant &gt; 1 an).</w:t>
      </w:r>
    </w:p>
    <w:p>
      <w:pPr>
        <w:pStyle w:val="ListBullet"/>
      </w:pPr>
      <w:r/>
      <w:r>
        <w:rPr>
          <w:b/>
        </w:rPr>
        <w:t>Allaitement</w:t>
      </w:r>
      <w:r>
        <w:t xml:space="preserve"> : </w:t>
      </w:r>
      <w:r>
        <w:rPr>
          <w:b/>
        </w:rPr>
        <w:t>CI absolue</w:t>
      </w:r>
      <w:r>
        <w:t xml:space="preserve"> selon l'ANSM (recommandation 2015) — la pholcodine passe dans le lait maternel ; risque de dépression respiratoire, de sédation et de dépendance physique chez le nourrisson. Métaboliseurs ultra-rapides CYP2D6 : risque majoré (cf. codéine).</w:t>
      </w:r>
    </w:p>
    <w:p>
      <w:pPr>
        <w:pStyle w:val="ListBullet"/>
      </w:pPr>
      <w:r/>
      <w:r>
        <w:rPr>
          <w:b/>
        </w:rPr>
        <w:t>Précisions</w:t>
      </w:r>
      <w:r>
        <w:t xml:space="preserve"> : pendant la grossesse et l'allaitement, </w:t>
      </w:r>
      <w:r>
        <w:rPr>
          <w:b/>
        </w:rPr>
        <w:t>privilégier les mesures non-médicamenteuses</w:t>
      </w:r>
      <w:r>
        <w:t xml:space="preserve"> ; si antitussif nécessaire, le </w:t>
      </w:r>
      <w:r>
        <w:rPr>
          <w:b/>
        </w:rPr>
        <w:t>dextrométhorphane</w:t>
      </w:r>
      <w:r>
        <w:t xml:space="preserve"> (aux 2e et 3e trimestres, en traitement court) est un meilleur choix que la pholcodine.</w:t>
      </w:r>
    </w:p>
    <w:p>
      <w:r/>
      <w:r>
        <w:rPr>
          <w:b/>
        </w:rPr>
        <w:t>Posologie et Mode d'administration (Standard) :</w:t>
      </w:r>
      <w:r/>
    </w:p>
    <w:p>
      <w:pPr>
        <w:pStyle w:val="ListBullet"/>
      </w:pPr>
      <w:r/>
      <w:r>
        <w:rPr>
          <w:b/>
        </w:rPr>
        <w:t>Adulte</w:t>
      </w:r>
      <w:r>
        <w:t xml:space="preserve"> :</w:t>
      </w:r>
    </w:p>
    <w:p>
      <w:pPr>
        <w:pStyle w:val="ListBullet"/>
      </w:pPr>
      <w:r>
        <w:t>*RHINATHIOL AD TOUX SECHE sirop 0,0012* (12 mg/100 mL = 0,6 mg/5 mL cuillère-mesure) : 1 cuillère-mesure (5 mL) x 3 à 4 fois/jour — soit 1,8 à 2,4 mg/jour.</w:t>
      </w:r>
    </w:p>
    <w:p>
      <w:pPr>
        <w:pStyle w:val="ListBullet"/>
      </w:pPr>
      <w:r>
        <w:t>*POLERY ENFANTS sirop* (1 mg/5 mL) : à éviter chez l'adulte (forme pédiatrique).</w:t>
      </w:r>
    </w:p>
    <w:p>
      <w:pPr>
        <w:pStyle w:val="ListBullet"/>
      </w:pPr>
      <w:r>
        <w:t>*DENORAL ADULTES sirop* (0,090 g/100 mL = 0,9 mg/5 mL — non renouvelable) : 1 cuillère-mesure (5 mL) x 3/jour.</w:t>
      </w:r>
    </w:p>
    <w:p>
      <w:pPr>
        <w:pStyle w:val="ListBullet"/>
      </w:pPr>
      <w:r/>
      <w:r>
        <w:rPr>
          <w:b/>
        </w:rPr>
        <w:t>Enfant</w:t>
      </w:r>
      <w:r>
        <w:t xml:space="preserve"> :</w:t>
      </w:r>
    </w:p>
    <w:p>
      <w:pPr>
        <w:pStyle w:val="ListBullet"/>
      </w:pPr>
      <w:r>
        <w:t xml:space="preserve">*TUSSO RHINATHIOL TOUX SECHE ENFANT sirop 0,06 %* (60 mg/100 mL = 3 mg/5 mL) — </w:t>
      </w:r>
      <w:r>
        <w:rPr>
          <w:b/>
        </w:rPr>
        <w:t>attention</w:t>
      </w:r>
      <w:r>
        <w:t xml:space="preserve"> : la forme enfant est plus concentrée que la forme adulte (à vérifier dans la notice — ce qui est inhabituel) ; se référer strictement à la notice.</w:t>
      </w:r>
    </w:p>
    <w:p>
      <w:pPr>
        <w:pStyle w:val="ListBullet"/>
      </w:pPr>
      <w:r>
        <w:t>*POLERY ENFANTS sirop* (1 mg/5 mL) : 1 cuillère-mesure (5 mL) x 2 à 3 fois/jour selon l'âge.</w:t>
      </w:r>
    </w:p>
    <w:p>
      <w:pPr>
        <w:pStyle w:val="ListBullet"/>
      </w:pPr>
      <w:r/>
      <w:r>
        <w:rPr>
          <w:b/>
        </w:rPr>
        <w:t>Enfant &lt; 2 ans</w:t>
      </w:r>
      <w:r>
        <w:t xml:space="preserve"> : CI (dépression respiratoire).</w:t>
      </w:r>
    </w:p>
    <w:p>
      <w:pPr>
        <w:pStyle w:val="ListBullet"/>
      </w:pPr>
      <w:r/>
      <w:r>
        <w:rPr>
          <w:b/>
        </w:rPr>
        <w:t>Enfant 2–6 ans</w:t>
      </w:r>
      <w:r>
        <w:t xml:space="preserve"> : sous surveillance médicale stricte, dose minimale efficace.</w:t>
      </w:r>
    </w:p>
    <w:p>
      <w:pPr>
        <w:pStyle w:val="ListBullet"/>
      </w:pPr>
      <w:r/>
      <w:r>
        <w:rPr>
          <w:b/>
        </w:rPr>
        <w:t>Enfant &gt; 6 ans</w:t>
      </w:r>
      <w:r>
        <w:t xml:space="preserve"> : posologie adaptée au poids.</w:t>
      </w:r>
    </w:p>
    <w:p>
      <w:pPr>
        <w:pStyle w:val="ListBullet"/>
      </w:pPr>
      <w:r/>
      <w:r>
        <w:rPr>
          <w:b/>
        </w:rPr>
        <w:t>Durée</w:t>
      </w:r>
      <w:r>
        <w:t xml:space="preserve"> : 5–7 jours en automédication ; ne pas dépasser 14 jours sans avis médical.</w:t>
      </w:r>
    </w:p>
    <w:p>
      <w:pPr>
        <w:pStyle w:val="ListBullet"/>
      </w:pPr>
      <w:r/>
      <w:r>
        <w:rPr>
          <w:b/>
        </w:rPr>
        <w:t>Moment de la prise</w:t>
      </w:r>
      <w:r>
        <w:t xml:space="preserve"> : espacer les prises de 6–8 heures ; dernière prise idéalement le soir (en raison de l'effet antitussif prolongé nocturne et de la sédation).</w:t>
      </w:r>
    </w:p>
    <w:p>
      <w:r/>
      <w:r>
        <w:rPr>
          <w:b/>
        </w:rPr>
        <w:t>Arbitrage et Bénéfices des Formes Galéniques :</w:t>
      </w:r>
      <w:r/>
    </w:p>
    <w:p>
      <w:pPr>
        <w:pStyle w:val="ListBullet"/>
      </w:pPr>
      <w:r/>
      <w:r>
        <w:rPr>
          <w:b/>
        </w:rPr>
        <w:t>Sirop</w:t>
      </w:r>
      <w:r>
        <w:t xml:space="preserve"> (forme unique disponible en Algérie) : administration aisée chez l'enfant, adaptation posologique par cuillère-mesure. Préférer les </w:t>
      </w:r>
      <w:r>
        <w:rPr>
          <w:b/>
        </w:rPr>
        <w:t>formes simples</w:t>
      </w:r>
      <w:r>
        <w:t xml:space="preserve"> (RHINATHIOL AD, TUSSO RHINATHIOL ENFANT) aux </w:t>
      </w:r>
      <w:r>
        <w:rPr>
          <w:b/>
        </w:rPr>
        <w:t>formes associées</w:t>
      </w:r>
      <w:r>
        <w:t xml:space="preserve"> (DENORAL avec antihistaminique — non renouvelable ; POLERY avec extrait de plante — à surveiller en raison de la composition en Erysimum, plante potentiellement cardiotoxique à forte dose).</w:t>
      </w:r>
    </w:p>
    <w:p>
      <w:pPr>
        <w:pStyle w:val="ListBullet"/>
      </w:pPr>
      <w:r/>
      <w:r>
        <w:rPr>
          <w:b/>
        </w:rPr>
        <w:t>Comprimé</w:t>
      </w:r>
      <w:r>
        <w:t xml:space="preserve"> : non disponible en Algérie.</w:t>
      </w:r>
    </w:p>
    <w:p>
      <w:pPr>
        <w:pStyle w:val="ListBullet"/>
      </w:pPr>
      <w:r/>
      <w:r>
        <w:rPr>
          <w:b/>
        </w:rPr>
        <w:t>Suppositoire</w:t>
      </w:r>
      <w:r>
        <w:t xml:space="preserve"> : non disponible en Algérie.</w:t>
      </w:r>
    </w:p>
    <w:p>
      <w:r/>
      <w:r>
        <w:rPr>
          <w:b/>
        </w:rPr>
        <w:t>Instructions et Conseils au Patient :</w:t>
      </w:r>
      <w:r/>
    </w:p>
    <w:p>
      <w:pPr>
        <w:pStyle w:val="ListBullet"/>
      </w:pPr>
      <w:r/>
      <w:r>
        <w:rPr>
          <w:b/>
        </w:rPr>
        <w:t>Communication au comptoir</w:t>
      </w:r>
      <w:r>
        <w:t xml:space="preserve"> :</w:t>
      </w:r>
    </w:p>
    <w:p>
      <w:pPr>
        <w:pStyle w:val="ListBullet"/>
      </w:pPr>
      <w:r>
        <w:t>« *Ce sirop calme la toux sèche. Prenez-le uniquement si vous avez une toux SÈCHE (sans crachats). Si vous avez une toux grasse avec crachats, NE LE PRENEZ PAS — il pourrait aggraver l'encombrement bronchique.* »</w:t>
      </w:r>
    </w:p>
    <w:p>
      <w:pPr>
        <w:pStyle w:val="ListBullet"/>
      </w:pPr>
      <w:r>
        <w:t>« *Prenez-le pendant 5–7 jours maximum. Si la toux persiste, consultez votre médecin.* »</w:t>
      </w:r>
    </w:p>
    <w:p>
      <w:pPr>
        <w:pStyle w:val="ListBullet"/>
      </w:pPr>
      <w:r>
        <w:t>« *Ce médicament peut provoquer de la somnolence : ne pas conduire ni utiliser de machines dangereuses.* »</w:t>
      </w:r>
    </w:p>
    <w:p>
      <w:pPr>
        <w:pStyle w:val="ListBullet"/>
      </w:pPr>
      <w:r>
        <w:t>« *Buvez de l'eau ou mangez des fibres pour prévenir la constipation.* »</w:t>
      </w:r>
    </w:p>
    <w:p>
      <w:pPr>
        <w:pStyle w:val="ListBullet"/>
      </w:pPr>
      <w:r>
        <w:t>« *Si vous devez subir une anesthésie générale dans les semaines à venir (opération, examen sous anesthésie), signalez à l'anesthésiste que vous prenez ou avez pris ce médicament — il peut interagir avec certains produits anesthésiques.* »</w:t>
      </w:r>
    </w:p>
    <w:p>
      <w:pPr>
        <w:pStyle w:val="ListBullet"/>
      </w:pPr>
      <w:r>
        <w:t>« *Signalez immédiatement tout signe d'allergie (urticaire généralisée, gonflement du visage, gêne respiratoire, malaise) — arrêt du traitement et appel du SAMU.* »</w:t>
      </w:r>
    </w:p>
    <w:p>
      <w:pPr>
        <w:pStyle w:val="ListBullet"/>
      </w:pPr>
      <w:r/>
      <w:r>
        <w:rPr>
          <w:b/>
        </w:rPr>
        <w:t>Mode d'utilisation pratique</w:t>
      </w:r>
      <w:r>
        <w:t xml:space="preserve"> :</w:t>
      </w:r>
    </w:p>
    <w:p>
      <w:pPr>
        <w:pStyle w:val="ListBullet"/>
      </w:pPr>
      <w:r>
        <w:t>Bien agiter le sirop avant emploi.</w:t>
      </w:r>
    </w:p>
    <w:p>
      <w:pPr>
        <w:pStyle w:val="ListBullet"/>
      </w:pPr>
      <w:r>
        <w:t>Utiliser la cuillère-mesure fournie (ne pas substituer par une cuillère à café domestique).</w:t>
      </w:r>
    </w:p>
    <w:p>
      <w:pPr>
        <w:pStyle w:val="ListBullet"/>
      </w:pPr>
      <w:r>
        <w:t>Espacer les prises de 6–8 heures.</w:t>
      </w:r>
    </w:p>
    <w:p>
      <w:pPr>
        <w:pStyle w:val="ListBullet"/>
      </w:pPr>
      <w:r>
        <w:t>En cas d'oubli : ne pas doubler la dose suivante.</w:t>
      </w:r>
    </w:p>
    <w:p>
      <w:pPr>
        <w:pStyle w:val="ListBullet"/>
      </w:pPr>
      <w:r>
        <w:t>Conservation : sirop à température &lt; 25 °C, à l'abri de la lumière ; bien refermer après usage.</w:t>
      </w:r>
    </w:p>
    <w:p>
      <w:pPr>
        <w:pStyle w:val="ListBullet"/>
      </w:pPr>
      <w:r>
        <w:t>Ce médicament est inscrit sur la Liste I des stupéfiants — prescription médicale obligatoire, pas de renouvellement sans ordonnance, conservation à l'abri des enfants et des adolescents (risque d'abus).</w:t>
      </w:r>
    </w:p>
    <w:p>
      <w:r/>
      <w:r>
        <w:rPr>
          <w:b/>
        </w:rPr>
        <w:t>Notes, Règles d'Or &amp; Pièges au Comptoir :</w:t>
      </w:r>
      <w:r/>
    </w:p>
    <w:p>
      <w:pPr>
        <w:pStyle w:val="ListBullet"/>
      </w:pPr>
      <w:r/>
      <w:r>
        <w:rPr>
          <w:b/>
        </w:rPr>
        <w:t>Piège classique</w:t>
      </w:r>
      <w:r>
        <w:t xml:space="preserve"> :</w:t>
      </w:r>
    </w:p>
    <w:p>
      <w:pPr>
        <w:pStyle w:val="ListBullet"/>
      </w:pPr>
      <w:r/>
      <w:r>
        <w:rPr>
          <w:b/>
        </w:rPr>
        <w:t>Antitussif sur toux productive</w:t>
      </w:r>
      <w:r>
        <w:t xml:space="preserve"> : danger absolu — risque d'encombrement bronchique, atélectasie, surinfection, asphyxie (surtout chez le sujet âgé, l'enfant, l'insuffisant respiratoire). Toujours demander au patient : « *Votre toux est-elle sèche ou grasse ? Crachez-vous des mucosités ?* » Si oui, refuser la délivrance et proposer un mucolytique.</w:t>
      </w:r>
    </w:p>
    <w:p>
      <w:pPr>
        <w:pStyle w:val="ListBullet"/>
      </w:pPr>
      <w:r/>
      <w:r>
        <w:rPr>
          <w:b/>
        </w:rPr>
        <w:t>Anaphylaxie croisée aux curares</w:t>
      </w:r>
      <w:r>
        <w:t xml:space="preserve"> : risque documenté — un patient exposé à la pholcodine peut développer une anaphylaxie per-anesthésique lors de l'administration de suxaméthonium ou de rocuronium. </w:t>
      </w:r>
      <w:r>
        <w:rPr>
          <w:b/>
        </w:rPr>
        <w:t>PRAC EMA mars 2023</w:t>
      </w:r>
      <w:r>
        <w:t xml:space="preserve"> : retrait de l'AMM européenne recommandé. En Algérie, la pholcodine reste active en Avril 2026 — le pharmacien d'offrine doit </w:t>
      </w:r>
      <w:r>
        <w:rPr>
          <w:b/>
        </w:rPr>
        <w:t>interroger systématiquement</w:t>
      </w:r>
      <w:r>
        <w:t xml:space="preserve"> le patient sur une anesthésie prévue et </w:t>
      </w:r>
      <w:r>
        <w:rPr>
          <w:b/>
        </w:rPr>
        <w:t>informer le patient</w:t>
      </w:r>
      <w:r>
        <w:t xml:space="preserve"> de signaler son exposition passée à l'anesthésiste.</w:t>
      </w:r>
    </w:p>
    <w:p>
      <w:pPr>
        <w:pStyle w:val="ListBullet"/>
      </w:pPr>
      <w:r/>
      <w:r>
        <w:rPr>
          <w:b/>
        </w:rPr>
        <w:t>Enfant &lt; 2 ans</w:t>
      </w:r>
      <w:r>
        <w:t xml:space="preserve"> : CI absolue.</w:t>
      </w:r>
    </w:p>
    <w:p>
      <w:pPr>
        <w:pStyle w:val="ListBullet"/>
      </w:pPr>
      <w:r/>
      <w:r>
        <w:rPr>
          <w:b/>
        </w:rPr>
        <w:t>Surdosage</w:t>
      </w:r>
      <w:r>
        <w:t xml:space="preserve"> : dépression respiratoire — naloxone IV (Narcan™ 0,4 mg à renouveler — perfusion continue nécessaire en raison de la demie-vie longue de la pholcodine).</w:t>
      </w:r>
    </w:p>
    <w:p>
      <w:pPr>
        <w:pStyle w:val="ListBullet"/>
      </w:pPr>
      <w:r/>
      <w:r>
        <w:rPr>
          <w:b/>
        </w:rPr>
        <w:t>IMAO</w:t>
      </w:r>
      <w:r>
        <w:t xml:space="preserve"> : CI absolue (syndrome sérotoninergique).</w:t>
      </w:r>
    </w:p>
    <w:p>
      <w:pPr>
        <w:pStyle w:val="ListBullet"/>
      </w:pPr>
      <w:r/>
      <w:r>
        <w:rPr>
          <w:b/>
        </w:rPr>
        <w:t>Règle de prise</w:t>
      </w:r>
      <w:r>
        <w:t xml:space="preserve"> : 5–7 jours en automédication ; ne pas dépasser 14 jours sans avis médical.</w:t>
      </w:r>
    </w:p>
    <w:p>
      <w:pPr>
        <w:pStyle w:val="ListBullet"/>
      </w:pPr>
      <w:r/>
      <w:r>
        <w:rPr>
          <w:b/>
        </w:rPr>
        <w:t>Préparation et Conservation</w:t>
      </w:r>
      <w:r>
        <w:t xml:space="preserve"> : sirop stupéfiant — à conserver à l'abri, dans un endroit sécurisé, hors de portée des enfants et des adolescents.</w:t>
      </w:r>
    </w:p>
    <w:p>
      <w:pPr>
        <w:pStyle w:val="ListBullet"/>
      </w:pPr>
      <w:r/>
      <w:r>
        <w:rPr>
          <w:b/>
        </w:rPr>
        <w:t>Piège du surdosage / Substitution</w:t>
      </w:r>
      <w:r>
        <w:t xml:space="preserve"> :</w:t>
      </w:r>
    </w:p>
    <w:p>
      <w:pPr>
        <w:pStyle w:val="ListBullet"/>
      </w:pPr>
      <w:r/>
      <w:r>
        <w:rPr>
          <w:b/>
        </w:rPr>
        <w:t>Substitution pholcodine ↔ dextrométhorphane</w:t>
      </w:r>
      <w:r>
        <w:t xml:space="preserve"> : en raison du risque d'anaphylaxie croisée aux curares documenté pour la pholcodine, le </w:t>
      </w:r>
      <w:r>
        <w:rPr>
          <w:b/>
        </w:rPr>
        <w:t>dextrométhorphane</w:t>
      </w:r>
      <w:r>
        <w:t xml:space="preserve"> est l'antitussif central de première intention en Algérie (profil de tolérance meilleur, exonéré de la liste des stupéfiants, pas d'allergie croisée aux curares). La pholcodine doit être réservée aux cas où le dextrométhorphane est inefficace ou mal toléré, et en l'absence d'anesthésie prévue.</w:t>
      </w:r>
    </w:p>
    <w:p>
      <w:pPr>
        <w:pStyle w:val="ListBullet"/>
      </w:pPr>
      <w:r/>
      <w:r>
        <w:rPr>
          <w:b/>
        </w:rPr>
        <w:t>Forme enfant plus concentrée que forme adulte</w:t>
      </w:r>
      <w:r>
        <w:t xml:space="preserve"> (TUSSO RHINATHIOL ENFANT 0,06 % vs RHINATHIOL AD TOUX SECHE 0,0012) — à vérifier dans la notice avant toute administration ; </w:t>
      </w:r>
      <w:r>
        <w:rPr>
          <w:b/>
        </w:rPr>
        <w:t>ne pas substituer sans recalculer la dose</w:t>
      </w:r>
      <w:r>
        <w:t>.</w:t>
      </w:r>
    </w:p>
    <w:p>
      <w:pPr>
        <w:pStyle w:val="ListBullet"/>
      </w:pPr>
      <w:r/>
      <w:r>
        <w:rPr>
          <w:b/>
        </w:rPr>
        <w:t>Associations</w:t>
      </w:r>
      <w:r>
        <w:t xml:space="preserve"> (DENORAL avec antihistaminique H1, POLERY avec Erysimum) — préférer les formes simples en raison des interactions et EI additifs.</w:t>
      </w:r>
    </w:p>
    <w:p>
      <w:pPr>
        <w:pStyle w:val="Heading3"/>
      </w:pPr>
      <w:r>
        <w:t>11.2. DCI : Dextrométhorphane (Seule)</w:t>
      </w:r>
    </w:p>
    <w:p>
      <w:r/>
      <w:r>
        <w:rPr>
          <w:b/>
        </w:rPr>
        <w:t>Liste des Catégories :</w:t>
      </w:r>
      <w:r>
        <w:t xml:space="preserve"> Antitussif opioïde central non stupéfiant, Agoniste μ central (faible passage BBB), Antitussif en vente libre, Spécialité à surveiller (interactions IMAO), Métabolite CYP2D6 (dextrorphane antagoniste NMDA).</w:t>
      </w:r>
    </w:p>
    <w:p>
      <w:r>
        <w:t xml:space="preserve">Le </w:t>
      </w:r>
      <w:r>
        <w:rPr>
          <w:b/>
        </w:rPr>
        <w:t>dextrométhorphane</w:t>
      </w:r>
      <w:r>
        <w:t xml:space="preserve"> (d-3-méthoxy-N-méthylmorphinane) est le </w:t>
      </w:r>
      <w:r>
        <w:rPr>
          <w:b/>
        </w:rPr>
        <w:t>d-isomère</w:t>
      </w:r>
      <w:r>
        <w:t xml:space="preserve"> du lévorphanol (morphiniane) ; il a une affinité pour les récepteurs </w:t>
      </w:r>
      <w:r>
        <w:rPr>
          <w:b/>
        </w:rPr>
        <w:t>μ centraux</w:t>
      </w:r>
      <w:r>
        <w:t xml:space="preserve"> du centre bulbaire de la toux, mais son </w:t>
      </w:r>
      <w:r>
        <w:rPr>
          <w:b/>
        </w:rPr>
        <w:t>passage limité de la BBB</w:t>
      </w:r>
      <w:r>
        <w:t xml:space="preserve"> explique l'</w:t>
      </w:r>
      <w:r>
        <w:rPr>
          <w:b/>
        </w:rPr>
        <w:t>absence d'effet analgésique, euphorisant et dépresseur respiratoire significatif</w:t>
      </w:r>
      <w:r>
        <w:t xml:space="preserve"> aux doses thérapeutiques. Exonéré de la liste des stupéfiants, il est largement disponible en vente libre en Algérie et dans le monde, et constitue l'antitussif central de </w:t>
      </w:r>
      <w:r>
        <w:rPr>
          <w:b/>
        </w:rPr>
        <w:t>première intention</w:t>
      </w:r>
      <w:r>
        <w:t xml:space="preserve">. Son métabolite actif, le </w:t>
      </w:r>
      <w:r>
        <w:rPr>
          <w:b/>
        </w:rPr>
        <w:t>dextrorphane</w:t>
      </w:r>
      <w:r>
        <w:t xml:space="preserve"> (produit par déméthylation CYP2D6), a une activité antagoniste des récepteurs </w:t>
      </w:r>
      <w:r>
        <w:rPr>
          <w:b/>
        </w:rPr>
        <w:t>NMDA</w:t>
      </w:r>
      <w:r>
        <w:t xml:space="preserve"> (d'où son utilisation expérimentale dans les douleurs neuropathiques et son potentiel d'abus à très forte dose — effet dissociatif type kétamine, dit « robotripping »).</w:t>
      </w:r>
    </w:p>
    <w:p>
      <w:r/>
      <w:r>
        <w:rPr>
          <w:b/>
        </w:rPr>
        <w:t>Médicaments disponibles en Algérie (Marques, Laboratoires, Formes et Dosages) :</w:t>
      </w:r>
      <w:r/>
    </w:p>
    <w:p>
      <w:r/>
      <w:r>
        <w:rPr>
          <w:i/>
        </w:rPr>
        <w:t>Spécialités actives — Sirop (dextrométhorphane seul) :</w:t>
      </w:r>
      <w:r/>
    </w:p>
    <w:p>
      <w:pPr>
        <w:pStyle w:val="ListBullet"/>
      </w:pPr>
      <w:r/>
      <w:r>
        <w:rPr>
          <w:b/>
        </w:rPr>
        <w:t>TUSSIFAN</w:t>
      </w:r>
      <w:r>
        <w:t xml:space="preserve"> (GEOPHARM)</w:t>
      </w:r>
    </w:p>
    <w:p>
      <w:pPr>
        <w:pStyle w:val="ListBullet"/>
      </w:pPr>
      <w:r>
        <w:t>Formes et Dosages : Sirop 0,002 (soit 2 mg/mL — équivalent 10 mg/5 mL de cuillère-mesure) — Flacon de 100 mL</w:t>
      </w:r>
    </w:p>
    <w:p>
      <w:pPr>
        <w:pStyle w:val="ListBullet"/>
      </w:pPr>
      <w:r>
        <w:t>Statut : Actif</w:t>
      </w:r>
    </w:p>
    <w:p>
      <w:pPr>
        <w:pStyle w:val="ListBullet"/>
      </w:pPr>
      <w:r/>
      <w:r>
        <w:rPr>
          <w:b/>
        </w:rPr>
        <w:t>TUSSIDEX</w:t>
      </w:r>
      <w:r>
        <w:t xml:space="preserve"> (INPHA-MEDIS)</w:t>
      </w:r>
    </w:p>
    <w:p>
      <w:pPr>
        <w:pStyle w:val="ListBullet"/>
      </w:pPr>
      <w:r>
        <w:t>Formes et Dosages : Sirop 0,002 (2 mg/mL = 10 mg/5 mL) — Flacon de 125 mL + gobelet doseur</w:t>
      </w:r>
    </w:p>
    <w:p>
      <w:pPr>
        <w:pStyle w:val="ListBullet"/>
      </w:pPr>
      <w:r>
        <w:t>Statut : Actif</w:t>
      </w:r>
    </w:p>
    <w:p>
      <w:pPr>
        <w:pStyle w:val="ListBullet"/>
      </w:pPr>
      <w:r/>
      <w:r>
        <w:rPr>
          <w:b/>
        </w:rPr>
        <w:t>HUMEX TOUX SECHE ENFANT</w:t>
      </w:r>
      <w:r>
        <w:t xml:space="preserve"> (URGO HEALTHCARE)</w:t>
      </w:r>
    </w:p>
    <w:p>
      <w:pPr>
        <w:pStyle w:val="ListBullet"/>
      </w:pPr>
      <w:r>
        <w:t>Formes et Dosages : Sirop 0,1 g/100 mL (soit 1 mg/mL = 5 mg/5 mL) — Flacon de 125 mL + gobelet doseur gradué</w:t>
      </w:r>
    </w:p>
    <w:p>
      <w:pPr>
        <w:pStyle w:val="ListBullet"/>
      </w:pPr>
      <w:r>
        <w:t>Statut : Actif</w:t>
      </w:r>
    </w:p>
    <w:p>
      <w:pPr>
        <w:pStyle w:val="ListBullet"/>
      </w:pPr>
      <w:r/>
      <w:r>
        <w:rPr>
          <w:b/>
        </w:rPr>
        <w:t>TUSSIFAN</w:t>
      </w:r>
      <w:r>
        <w:t xml:space="preserve"> (GEOPHARM)</w:t>
      </w:r>
    </w:p>
    <w:p>
      <w:pPr>
        <w:pStyle w:val="ListBullet"/>
      </w:pPr>
      <w:r>
        <w:t>Formes et Dosages : Sirop 10 mg/5 mL (= 2 mg/mL) — Flacon de 125 mL + gobelet doseur gradué</w:t>
      </w:r>
    </w:p>
    <w:p>
      <w:pPr>
        <w:pStyle w:val="ListBullet"/>
      </w:pPr>
      <w:r>
        <w:t>Statut : Actif [forme alternative à 0,002]</w:t>
      </w:r>
    </w:p>
    <w:p>
      <w:pPr>
        <w:pStyle w:val="ListBullet"/>
      </w:pPr>
      <w:r/>
      <w:r>
        <w:rPr>
          <w:b/>
        </w:rPr>
        <w:t>TUSSIDEX</w:t>
      </w:r>
      <w:r>
        <w:t xml:space="preserve"> (INPHA-MEDIS)</w:t>
      </w:r>
    </w:p>
    <w:p>
      <w:pPr>
        <w:pStyle w:val="ListBullet"/>
      </w:pPr>
      <w:r>
        <w:t>Formes et Dosages : Sirop 0,1 g/100 mL (1 mg/mL = 5 mg/5 mL) — Flacon de 125 mL + gobelet doseur</w:t>
      </w:r>
    </w:p>
    <w:p>
      <w:pPr>
        <w:pStyle w:val="ListBullet"/>
      </w:pPr>
      <w:r>
        <w:t>Statut : Actif [forme alternative]</w:t>
      </w:r>
    </w:p>
    <w:p>
      <w:pPr>
        <w:pStyle w:val="ListBullet"/>
      </w:pPr>
      <w:r/>
      <w:r>
        <w:rPr>
          <w:b/>
        </w:rPr>
        <w:t>HUMEX TOUX SECHE ADULTE</w:t>
      </w:r>
      <w:r>
        <w:t xml:space="preserve"> (URGO HEALTHCARE)</w:t>
      </w:r>
    </w:p>
    <w:p>
      <w:pPr>
        <w:pStyle w:val="ListBullet"/>
      </w:pPr>
      <w:r>
        <w:t>Formes et Dosages : Sirop 0,133 g/100 mL (= 1,33 mg/mL = 20 mg/15 mL) — Flacon de 125 mL + gobelet doseur gradué</w:t>
      </w:r>
    </w:p>
    <w:p>
      <w:pPr>
        <w:pStyle w:val="ListBullet"/>
      </w:pPr>
      <w:r>
        <w:t>Statut : Actif</w:t>
      </w:r>
    </w:p>
    <w:p>
      <w:pPr>
        <w:pStyle w:val="ListBullet"/>
      </w:pPr>
      <w:r/>
      <w:r>
        <w:rPr>
          <w:b/>
        </w:rPr>
        <w:t>BRONCHOCALM ADULTES</w:t>
      </w:r>
      <w:r>
        <w:t xml:space="preserve"> (LABORATOIRE GROUPEMENT PHARMACEUTIQUE ALGERIEN)</w:t>
      </w:r>
    </w:p>
    <w:p>
      <w:pPr>
        <w:pStyle w:val="ListBullet"/>
      </w:pPr>
      <w:r>
        <w:t>Formes et Dosages : Sirop 0,2 % (= 2 mg/mL = 10 mg/5 mL) — Flacon de 150 mL</w:t>
      </w:r>
    </w:p>
    <w:p>
      <w:pPr>
        <w:pStyle w:val="ListBullet"/>
      </w:pPr>
      <w:r>
        <w:t>Statut : Actif</w:t>
      </w:r>
    </w:p>
    <w:p>
      <w:pPr>
        <w:pStyle w:val="ListBullet"/>
      </w:pPr>
      <w:r/>
      <w:r>
        <w:rPr>
          <w:b/>
        </w:rPr>
        <w:t>DEXSTOP 0,2 %</w:t>
      </w:r>
      <w:r>
        <w:t xml:space="preserve"> (SARL GROUPE SANTE)</w:t>
      </w:r>
    </w:p>
    <w:p>
      <w:pPr>
        <w:pStyle w:val="ListBullet"/>
      </w:pPr>
      <w:r>
        <w:t>Formes et Dosages : Sirop 0,2 % (= 2 mg/mL = 10 mg/5 mL) — Flacon de 125 mL</w:t>
      </w:r>
    </w:p>
    <w:p>
      <w:pPr>
        <w:pStyle w:val="ListBullet"/>
      </w:pPr>
      <w:r>
        <w:t>Statut : Actif</w:t>
      </w:r>
    </w:p>
    <w:p>
      <w:pPr>
        <w:pStyle w:val="ListBullet"/>
      </w:pPr>
      <w:r/>
      <w:r>
        <w:rPr>
          <w:b/>
        </w:rPr>
        <w:t>BRONCHOCALM ENFANTS</w:t>
      </w:r>
      <w:r>
        <w:t xml:space="preserve"> (LABORATOIRE GROUPEMENT PHARMACEUTIQUE ALGERIEN)</w:t>
      </w:r>
    </w:p>
    <w:p>
      <w:pPr>
        <w:pStyle w:val="ListBullet"/>
      </w:pPr>
      <w:r>
        <w:t>Formes et Dosages : Sirop 0,1 % (= 1 mg/mL = 5 mg/5 mL) — Flacon de 125 mL</w:t>
      </w:r>
    </w:p>
    <w:p>
      <w:pPr>
        <w:pStyle w:val="ListBullet"/>
      </w:pPr>
      <w:r>
        <w:t>Statut : Actif</w:t>
      </w:r>
    </w:p>
    <w:p>
      <w:pPr>
        <w:pStyle w:val="ListBullet"/>
      </w:pPr>
      <w:r/>
      <w:r>
        <w:rPr>
          <w:b/>
        </w:rPr>
        <w:t>DEXSTOP ENFANTS</w:t>
      </w:r>
      <w:r>
        <w:t xml:space="preserve"> (SARL GROUPE SANTE)</w:t>
      </w:r>
    </w:p>
    <w:p>
      <w:pPr>
        <w:pStyle w:val="ListBullet"/>
      </w:pPr>
      <w:r>
        <w:t>Formes et Dosages : Sirop 0,1 % (= 1 mg/mL = 5 mg/5 mL) — Flacon de 125 mL</w:t>
      </w:r>
    </w:p>
    <w:p>
      <w:pPr>
        <w:pStyle w:val="ListBullet"/>
      </w:pPr>
      <w:r>
        <w:t>Statut : Actif</w:t>
      </w:r>
    </w:p>
    <w:p>
      <w:r/>
      <w:r>
        <w:rPr>
          <w:i/>
        </w:rPr>
        <w:t>Spécialités actives — Sirop (dextrométhorphane en association) :</w:t>
      </w:r>
      <w:r/>
    </w:p>
    <w:p>
      <w:pPr>
        <w:pStyle w:val="ListBullet"/>
      </w:pPr>
      <w:r/>
      <w:r>
        <w:rPr>
          <w:b/>
        </w:rPr>
        <w:t>ATUSSINE ADULTES</w:t>
      </w:r>
      <w:r>
        <w:t xml:space="preserve"> (SPA UNION PHARMACEUTIQUE CONSTANTINOISE PRODUCTION)</w:t>
      </w:r>
    </w:p>
    <w:p>
      <w:pPr>
        <w:pStyle w:val="ListBullet"/>
      </w:pPr>
      <w:r>
        <w:t>Formes et Dosages : Sirop — Dextrométhorphane bromhydrate 0,2 g + Mépyramine maléate 0,2 g / 100 mL — Flacon de 125 mL [association à un antihistaminique H1 — mépyramine]</w:t>
      </w:r>
    </w:p>
    <w:p>
      <w:pPr>
        <w:pStyle w:val="ListBullet"/>
      </w:pPr>
      <w:r>
        <w:t>Statut : Actif</w:t>
      </w:r>
    </w:p>
    <w:p>
      <w:pPr>
        <w:pStyle w:val="ListBullet"/>
      </w:pPr>
      <w:r/>
      <w:r>
        <w:rPr>
          <w:b/>
        </w:rPr>
        <w:t>ATUSSINE ENFANTS</w:t>
      </w:r>
      <w:r>
        <w:t xml:space="preserve"> (SPA UNION PHARMACEUTIQUE CONSTANTINOISE PRODUCTION)</w:t>
      </w:r>
    </w:p>
    <w:p>
      <w:pPr>
        <w:pStyle w:val="ListBullet"/>
      </w:pPr>
      <w:r>
        <w:t>Formes et Dosages : Sirop — Dextrométhorphane bromhydrate 0,1 g + Mépyramine maléate 0,1 g + Guaifénésine 0,4 g / 100 mL — Flacon de 125 mL [association à un antihistaminique H1 + un expectorant]</w:t>
      </w:r>
    </w:p>
    <w:p>
      <w:pPr>
        <w:pStyle w:val="ListBullet"/>
      </w:pPr>
      <w:r>
        <w:t>Statut : Actif</w:t>
      </w:r>
    </w:p>
    <w:p>
      <w:r/>
      <w:r>
        <w:rPr>
          <w:i/>
        </w:rPr>
        <w:t>Note</w:t>
      </w:r>
      <w:r>
        <w:t xml:space="preserve"> : Aucune spécialité retirée (R) ou non renouvelable pour le dextrométhorphane en Algérie.</w:t>
      </w:r>
    </w:p>
    <w:p>
      <w:r/>
      <w:r>
        <w:rPr>
          <w:b/>
        </w:rPr>
        <w:t>Sous-classe et Mécanisme d'action :</w:t>
      </w:r>
      <w:r/>
    </w:p>
    <w:p>
      <w:pPr>
        <w:pStyle w:val="ListBullet"/>
      </w:pPr>
      <w:r/>
      <w:r>
        <w:rPr>
          <w:b/>
        </w:rPr>
        <w:t>Sous-classe</w:t>
      </w:r>
      <w:r>
        <w:t xml:space="preserve"> : Antitussif de la famille des </w:t>
      </w:r>
      <w:r>
        <w:rPr>
          <w:b/>
        </w:rPr>
        <w:t>opioïdes centraux non stupéfiants</w:t>
      </w:r>
      <w:r>
        <w:t>, d-isomère du lévorphanol (morphiniane). Exonéré de la liste des stupéfiants — vente libre en pharmacie.</w:t>
      </w:r>
    </w:p>
    <w:p>
      <w:pPr>
        <w:pStyle w:val="ListBullet"/>
      </w:pPr>
      <w:r/>
      <w:r>
        <w:rPr>
          <w:b/>
        </w:rPr>
        <w:t>Mécanisme d'action</w:t>
      </w:r>
      <w:r>
        <w:t xml:space="preserve"> :</w:t>
      </w:r>
    </w:p>
    <w:p>
      <w:pPr>
        <w:pStyle w:val="ListNumber"/>
      </w:pPr>
      <w:r/>
      <w:r>
        <w:rPr>
          <w:b/>
        </w:rPr>
        <w:t>Agoniste des récepteurs opioïdes μ (MOR) centraux</w:t>
      </w:r>
      <w:r>
        <w:t xml:space="preserve"> : comme la pholcodine et la codéine, le dextrométhorphane est un agoniste des récepteurs μ du centre bulbaire de la toux (NTS). Son activation du μ couplé Gi/o inhibe la libération présynaptique de glutamate et de substance P, et hyperpolarise les neurones postsynaptiques par activation des canaux GIRK → suppression du réflexe de la toux.</w:t>
      </w:r>
    </w:p>
    <w:p>
      <w:pPr>
        <w:pStyle w:val="ListNumber"/>
      </w:pPr>
      <w:r/>
      <w:r>
        <w:rPr>
          <w:b/>
        </w:rPr>
        <w:t>Passage limité de la BBB</w:t>
      </w:r>
      <w:r>
        <w:t xml:space="preserve"> : le dextrométhorphane est un isomère dextrogyre (configuration spatiale inversée par rapport au lévorphanol analgésique) ; cette stéréochimie réduit son affinité pour les récepteurs μ du système limbique (effets euphorisants) et du centre respiratoire (effets dépresseurs respiratoires). Son passage de la BBB est également limité par sa structure chimique (caractère polaire du bromhydrate). Ceci explique son </w:t>
      </w:r>
      <w:r>
        <w:rPr>
          <w:b/>
        </w:rPr>
        <w:t>effet antitussif prédominant</w:t>
      </w:r>
      <w:r>
        <w:t xml:space="preserve"> et son absence d'effets analgésiques, euphorisants et dépresseurs respiratoires significatifs aux doses thérapeutiques.</w:t>
      </w:r>
    </w:p>
    <w:p>
      <w:pPr>
        <w:pStyle w:val="ListNumber"/>
      </w:pPr>
      <w:r/>
      <w:r>
        <w:rPr>
          <w:b/>
        </w:rPr>
        <w:t>Métabolisme en dextrorphane</w:t>
      </w:r>
      <w:r>
        <w:t xml:space="preserve"> : le dextrométhorphane est déméthylé par le </w:t>
      </w:r>
      <w:r>
        <w:rPr>
          <w:b/>
        </w:rPr>
        <w:t>CYP2D6</w:t>
      </w:r>
      <w:r>
        <w:t xml:space="preserve"> en </w:t>
      </w:r>
      <w:r>
        <w:rPr>
          <w:b/>
        </w:rPr>
        <w:t>dextrorphane</w:t>
      </w:r>
      <w:r>
        <w:t xml:space="preserve"> (3-hydroxy-N-méthylmorphiniane), qui a une activité </w:t>
      </w:r>
      <w:r>
        <w:rPr>
          <w:b/>
        </w:rPr>
        <w:t>antagoniste des récepteurs NMDA</w:t>
      </w:r>
      <w:r>
        <w:t xml:space="preserve"> (N-méthyl-D-aspartate) — comparable à la kétamine (d'où son utilisation expérimentale dans les douleurs neuropathiques et son potentiel d'abus à très forte dose — effet dissociatif type kétamine, dit « robotripping » chez les adolescents américains).</w:t>
      </w:r>
    </w:p>
    <w:p>
      <w:pPr>
        <w:pStyle w:val="ListNumber"/>
      </w:pPr>
      <w:r/>
      <w:r>
        <w:rPr>
          <w:b/>
        </w:rPr>
        <w:t>Polymorphisme génétique CYP2D6</w:t>
      </w:r>
      <w:r>
        <w:t xml:space="preserve"> : 5–10 % de la population caucasienne sont des métaboliseurs lents CYP2D6 (concentration plasmatique de dextrométhorphane plus élevée, effet antitussif plus marqué, mais aussi risque d'EI accru) ; à l'inverse, 1–2 % sont des métaboliseurs ultra-rapides (métabolisme rapide en dextrorphane, effet antitussif réduit mais risque d'EI dissociatif accru).</w:t>
      </w:r>
    </w:p>
    <w:p>
      <w:r/>
      <w:r>
        <w:rPr>
          <w:b/>
        </w:rPr>
        <w:t>Profil Pharmacologique :</w:t>
      </w:r>
      <w:r/>
    </w:p>
    <w:p>
      <w:pPr>
        <w:pStyle w:val="ListBullet"/>
      </w:pPr>
      <w:r/>
      <w:r>
        <w:rPr>
          <w:b/>
        </w:rPr>
        <w:t>Indications</w:t>
      </w:r>
      <w:r>
        <w:t xml:space="preserve"> :</w:t>
      </w:r>
    </w:p>
    <w:p>
      <w:pPr>
        <w:pStyle w:val="ListBullet"/>
      </w:pPr>
      <w:r/>
      <w:r>
        <w:rPr>
          <w:b/>
        </w:rPr>
        <w:t>Toux sèche</w:t>
      </w:r>
      <w:r>
        <w:t xml:space="preserve"> invalidante, en traitement </w:t>
      </w:r>
      <w:r>
        <w:rPr>
          <w:b/>
        </w:rPr>
        <w:t>court</w:t>
      </w:r>
      <w:r>
        <w:t xml:space="preserve"> (5–7 jours), en </w:t>
      </w:r>
      <w:r>
        <w:rPr>
          <w:b/>
        </w:rPr>
        <w:t>première intention</w:t>
      </w:r>
      <w:r>
        <w:t xml:space="preserve"> (avant la pholcodine).</w:t>
      </w:r>
    </w:p>
    <w:p>
      <w:pPr>
        <w:pStyle w:val="ListBullet"/>
      </w:pPr>
      <w:r>
        <w:t>*Préférer le dextrométhorphane à la pholcodine* en raison du meilleur profil de tolérance (pas de liste des stupéfiants, pas d'allergie croisée aux curares, moins de sédation, moins de risque de dépendance).</w:t>
      </w:r>
    </w:p>
    <w:p>
      <w:pPr>
        <w:pStyle w:val="ListBullet"/>
      </w:pPr>
      <w:r/>
      <w:r>
        <w:rPr>
          <w:b/>
        </w:rPr>
        <w:t>Contre-indications</w:t>
      </w:r>
      <w:r>
        <w:t xml:space="preserve"> :</w:t>
      </w:r>
    </w:p>
    <w:p>
      <w:pPr>
        <w:pStyle w:val="ListBullet"/>
      </w:pPr>
      <w:r/>
      <w:r>
        <w:rPr>
          <w:b/>
        </w:rPr>
        <w:t>Toux productive</w:t>
      </w:r>
      <w:r>
        <w:t xml:space="preserve"> (CI absolue — risque d'encombrement bronchique).</w:t>
      </w:r>
    </w:p>
    <w:p>
      <w:pPr>
        <w:pStyle w:val="ListBullet"/>
      </w:pPr>
      <w:r/>
      <w:r>
        <w:rPr>
          <w:b/>
        </w:rPr>
        <w:t>Asthme non contrôlé</w:t>
      </w:r>
      <w:r>
        <w:t xml:space="preserve"> (risque de dépression respiratoire masquée — bien que moindre qu'avec la pholcodine).</w:t>
      </w:r>
    </w:p>
    <w:p>
      <w:pPr>
        <w:pStyle w:val="ListBullet"/>
      </w:pPr>
      <w:r/>
      <w:r>
        <w:rPr>
          <w:b/>
        </w:rPr>
        <w:t>Insuffisance respiratoire décompensée</w:t>
      </w:r>
      <w:r>
        <w:t>.</w:t>
      </w:r>
    </w:p>
    <w:p>
      <w:pPr>
        <w:pStyle w:val="ListBullet"/>
      </w:pPr>
      <w:r/>
      <w:r>
        <w:rPr>
          <w:b/>
        </w:rPr>
        <w:t>Traumatisme crânien</w:t>
      </w:r>
      <w:r>
        <w:t xml:space="preserve"> et hypertension intracrânienne.</w:t>
      </w:r>
    </w:p>
    <w:p>
      <w:pPr>
        <w:pStyle w:val="ListBullet"/>
      </w:pPr>
      <w:r/>
      <w:r>
        <w:rPr>
          <w:b/>
        </w:rPr>
        <w:t>Hypersensibilité au dextrométhorphane</w:t>
      </w:r>
      <w:r>
        <w:t xml:space="preserve"> (rare).</w:t>
      </w:r>
    </w:p>
    <w:p>
      <w:pPr>
        <w:pStyle w:val="ListBullet"/>
      </w:pPr>
      <w:r/>
      <w:r>
        <w:rPr>
          <w:b/>
        </w:rPr>
        <w:t>Traitement par IMAO</w:t>
      </w:r>
      <w:r>
        <w:t xml:space="preserve"> (CI absolue — syndrome sérotoninergique).</w:t>
      </w:r>
    </w:p>
    <w:p>
      <w:pPr>
        <w:pStyle w:val="ListBullet"/>
      </w:pPr>
      <w:r/>
      <w:r>
        <w:rPr>
          <w:b/>
        </w:rPr>
        <w:t>Allaitement</w:t>
      </w:r>
      <w:r>
        <w:t xml:space="preserve"> (par prudence — bien que le risque soit moindre qu'avec la pholcodine).</w:t>
      </w:r>
    </w:p>
    <w:p>
      <w:pPr>
        <w:pStyle w:val="ListBullet"/>
      </w:pPr>
      <w:r/>
      <w:r>
        <w:rPr>
          <w:b/>
        </w:rPr>
        <w:t>Enfant &lt; 2 ans</w:t>
      </w:r>
      <w:r>
        <w:t xml:space="preserve"> (prudence, dose minimale efficace).</w:t>
      </w:r>
    </w:p>
    <w:p>
      <w:pPr>
        <w:pStyle w:val="ListBullet"/>
      </w:pPr>
      <w:r/>
      <w:r>
        <w:rPr>
          <w:b/>
        </w:rPr>
        <w:t>Insuffisance hépatique sévère</w:t>
      </w:r>
      <w:r>
        <w:t xml:space="preserve"> (métabolisme hépatique).</w:t>
      </w:r>
    </w:p>
    <w:p>
      <w:pPr>
        <w:pStyle w:val="ListBullet"/>
      </w:pPr>
      <w:r/>
      <w:r>
        <w:rPr>
          <w:b/>
        </w:rPr>
        <w:t>Épilepsie</w:t>
      </w:r>
      <w:r>
        <w:t xml:space="preserve"> (à forte dose, abaissement du seuil épileptogène par le dextrorphane).</w:t>
      </w:r>
    </w:p>
    <w:p>
      <w:pPr>
        <w:pStyle w:val="ListBullet"/>
      </w:pPr>
      <w:r/>
      <w:r>
        <w:rPr>
          <w:b/>
        </w:rPr>
        <w:t>Effets Indésirables</w:t>
      </w:r>
      <w:r>
        <w:t xml:space="preserve"> :</w:t>
      </w:r>
    </w:p>
    <w:p>
      <w:pPr>
        <w:pStyle w:val="ListBullet"/>
      </w:pPr>
      <w:r>
        <w:t>*Neurologiques* (peu fréquents, 1–5 %) : somnolence, vertiges, céphalées, asthénie.</w:t>
      </w:r>
    </w:p>
    <w:p>
      <w:pPr>
        <w:pStyle w:val="ListBullet"/>
      </w:pPr>
      <w:r>
        <w:t>*Digestifs* (peu fréquents) : nausées, vomissements, diarrhée, sécheresse buccale.</w:t>
      </w:r>
    </w:p>
    <w:p>
      <w:pPr>
        <w:pStyle w:val="ListBullet"/>
      </w:pPr>
      <w:r>
        <w:t>*Respiratoires* (rares) : dépression respiratoire (à forte dose ou en association avec dépresseurs SNC).</w:t>
      </w:r>
    </w:p>
    <w:p>
      <w:pPr>
        <w:pStyle w:val="ListBullet"/>
      </w:pPr>
      <w:r>
        <w:t>*Cutanés* (rares) : rash, urticaire.</w:t>
      </w:r>
    </w:p>
    <w:p>
      <w:pPr>
        <w:pStyle w:val="ListBullet"/>
      </w:pPr>
      <w:r>
        <w:t>*Allergiques* (exceptionnels) : réaction d'hypersensibilité.</w:t>
      </w:r>
    </w:p>
    <w:p>
      <w:pPr>
        <w:pStyle w:val="ListBullet"/>
      </w:pPr>
      <w:r>
        <w:t xml:space="preserve">*Syndrome sérotoninergique* (en cas d'association aux IMAO ou aux antidépresseurs sérotoninergiques) : hyperthermie, agitation, hyperréflexie, myoclonies, rhabdomyolyse, convulsions, décès — </w:t>
      </w:r>
      <w:r>
        <w:rPr>
          <w:b/>
        </w:rPr>
        <w:t>urgence vitale</w:t>
      </w:r>
      <w:r>
        <w:t>.</w:t>
      </w:r>
    </w:p>
    <w:p>
      <w:pPr>
        <w:pStyle w:val="ListBullet"/>
      </w:pPr>
      <w:r>
        <w:t>*À très forte dose (potentiel d'abus)* : effet dissociatif (détachement du corps, hallucinations, agitation), ataxie, nystagmus, hypertension, tachycardie — comparable à l'effet de la kétamine.</w:t>
      </w:r>
    </w:p>
    <w:p>
      <w:r/>
      <w:r>
        <w:rPr>
          <w:b/>
        </w:rPr>
        <w:t>Prévention et Gestion des Effets Indésirables :</w:t>
      </w:r>
      <w:r/>
    </w:p>
    <w:p>
      <w:pPr>
        <w:pStyle w:val="ListBullet"/>
      </w:pPr>
      <w:r/>
      <w:r>
        <w:rPr>
          <w:b/>
        </w:rPr>
        <w:t>Mesures Préventives</w:t>
      </w:r>
      <w:r>
        <w:t xml:space="preserve"> :</w:t>
      </w:r>
    </w:p>
    <w:p>
      <w:pPr>
        <w:pStyle w:val="ListBullet"/>
      </w:pPr>
      <w:r/>
      <w:r>
        <w:rPr>
          <w:b/>
        </w:rPr>
        <w:t>Durée limitée à 5–7 jours</w:t>
      </w:r>
      <w:r>
        <w:t xml:space="preserve"> sans avis médical ; ne pas dépasser 14 jours.</w:t>
      </w:r>
    </w:p>
    <w:p>
      <w:pPr>
        <w:pStyle w:val="ListBullet"/>
      </w:pPr>
      <w:r/>
      <w:r>
        <w:rPr>
          <w:b/>
        </w:rPr>
        <w:t>Posologie minimale efficace</w:t>
      </w:r>
      <w:r>
        <w:t xml:space="preserve"> — surtout chez l'enfant et le sujet âgé.</w:t>
      </w:r>
    </w:p>
    <w:p>
      <w:pPr>
        <w:pStyle w:val="ListBullet"/>
      </w:pPr>
      <w:r/>
      <w:r>
        <w:rPr>
          <w:b/>
        </w:rPr>
        <w:t>Interrogatoire systématique</w:t>
      </w:r>
      <w:r>
        <w:t xml:space="preserve"> sur :</w:t>
      </w:r>
    </w:p>
    <w:p>
      <w:pPr>
        <w:pStyle w:val="ListBullet"/>
      </w:pPr>
      <w:r>
        <w:t>Une toux productive (CI absolue).</w:t>
      </w:r>
    </w:p>
    <w:p>
      <w:pPr>
        <w:pStyle w:val="ListBullet"/>
      </w:pPr>
      <w:r>
        <w:t>Un traitement par IMAO (CI absolue — respecter 14 jours de wash-out).</w:t>
      </w:r>
    </w:p>
    <w:p>
      <w:pPr>
        <w:pStyle w:val="ListBullet"/>
      </w:pPr>
      <w:r>
        <w:t>Une prise d'antidépresseurs sérotoninergiques (IRS, ISRSN — prudence).</w:t>
      </w:r>
    </w:p>
    <w:p>
      <w:pPr>
        <w:pStyle w:val="ListBullet"/>
      </w:pPr>
      <w:r>
        <w:t>Une prise de dépresseurs SNC (alcool, benzodiazépines, antihistaminiques H1 sédatifs).</w:t>
      </w:r>
    </w:p>
    <w:p>
      <w:pPr>
        <w:pStyle w:val="ListBullet"/>
      </w:pPr>
      <w:r>
        <w:t>Une grossesse ou un allaitement.</w:t>
      </w:r>
    </w:p>
    <w:p>
      <w:pPr>
        <w:pStyle w:val="ListBullet"/>
      </w:pPr>
      <w:r>
        <w:t>Une épilepsie.</w:t>
      </w:r>
    </w:p>
    <w:p>
      <w:pPr>
        <w:pStyle w:val="ListBullet"/>
      </w:pPr>
      <w:r/>
      <w:r>
        <w:rPr>
          <w:b/>
        </w:rPr>
        <w:t>Information patient</w:t>
      </w:r>
      <w:r>
        <w:t xml:space="preserve"> sur les signes du syndrome sérotoninergique (fièvre, agitation, tremblements, hyperréflexie, raideur musculaire, confusion) — arrêt immédiat et appel du SAMU.</w:t>
      </w:r>
    </w:p>
    <w:p>
      <w:pPr>
        <w:pStyle w:val="ListBullet"/>
      </w:pPr>
      <w:r/>
      <w:r>
        <w:rPr>
          <w:b/>
        </w:rPr>
        <w:t>Avertissement</w:t>
      </w:r>
      <w:r>
        <w:t xml:space="preserve"> sur la conduite automobile (effet sédatif possible).</w:t>
      </w:r>
    </w:p>
    <w:p>
      <w:pPr>
        <w:pStyle w:val="ListBullet"/>
      </w:pPr>
      <w:r/>
      <w:r>
        <w:rPr>
          <w:b/>
        </w:rPr>
        <w:t>Prévention de l'abus</w:t>
      </w:r>
      <w:r>
        <w:t xml:space="preserve"> (jeunes, adolescents) — information sur le potentiel d'abus à très forte dose (effet dissociatif type kétamine, dit « robotripping »).</w:t>
      </w:r>
    </w:p>
    <w:p>
      <w:pPr>
        <w:pStyle w:val="ListBullet"/>
      </w:pPr>
      <w:r/>
      <w:r>
        <w:rPr>
          <w:b/>
        </w:rPr>
        <w:t>Conduite à Tenir</w:t>
      </w:r>
      <w:r>
        <w:t xml:space="preserve"> :</w:t>
      </w:r>
    </w:p>
    <w:p>
      <w:pPr>
        <w:pStyle w:val="ListBullet"/>
      </w:pPr>
      <w:r>
        <w:t>*En cas de surdosage* (somnolence, vertiges, ataxie, nystagmus, hypertension, tachycardie, hallucinations) : arrêt immédiat, traitement symptomatique, surveillance en milieu médicalisé (pas d'antidote spécifique — la naloxone est inefficace car le dextrométhorphane n'a pas d'effet dépresseur respiratoire significatif à dose thérapeutique).</w:t>
      </w:r>
    </w:p>
    <w:p>
      <w:pPr>
        <w:pStyle w:val="ListBullet"/>
      </w:pPr>
      <w:r>
        <w:t xml:space="preserve">*En cas de syndrome sérotoninergique* : </w:t>
      </w:r>
      <w:r>
        <w:rPr>
          <w:b/>
        </w:rPr>
        <w:t>arrêt immédiat</w:t>
      </w:r>
      <w:r>
        <w:t xml:space="preserve"> du dextrométhorphane et de tous les agents sérotoninergiques, hospitalisation en réanimation, cyproheptadine (Periactine™ — antidote sérotoninergique), refroidissement externe, benzodiazépines pour le contrôle de l'agitation et de la rigidité.</w:t>
      </w:r>
    </w:p>
    <w:p>
      <w:pPr>
        <w:pStyle w:val="ListBullet"/>
      </w:pPr>
      <w:r>
        <w:t>*En cas de toux productive* : arrêt immédiat (passage à un mucolytique).</w:t>
      </w:r>
    </w:p>
    <w:p>
      <w:r/>
      <w:r>
        <w:rPr>
          <w:b/>
        </w:rPr>
        <w:t>Interactions Importantes :</w:t>
      </w:r>
      <w:r/>
    </w:p>
    <w:p>
      <w:pPr>
        <w:pStyle w:val="ListBullet"/>
      </w:pPr>
      <w:r/>
      <w:r>
        <w:rPr>
          <w:b/>
        </w:rPr>
        <w:t>Dextrométhorphane + IMAO</w:t>
      </w:r>
      <w:r>
        <w:t xml:space="preserve"> (sélegiline, phénelzine, tranylcypromine, moclobémide) : </w:t>
      </w:r>
      <w:r>
        <w:rPr>
          <w:b/>
        </w:rPr>
        <w:t>syndrome sérotoninergique</w:t>
      </w:r>
      <w:r>
        <w:t xml:space="preserve"> — </w:t>
      </w:r>
      <w:r>
        <w:rPr>
          <w:b/>
        </w:rPr>
        <w:t>CI absolue</w:t>
      </w:r>
      <w:r>
        <w:t xml:space="preserve"> ; respecter un wash-out de 14 jours entre l'arrêt de l'IMAO et la prise de dextrométhorphane. Cette interaction est </w:t>
      </w:r>
      <w:r>
        <w:rPr>
          <w:b/>
        </w:rPr>
        <w:t>l'interaction critique</w:t>
      </w:r>
      <w:r>
        <w:t xml:space="preserve"> à connaître au comptoir.</w:t>
      </w:r>
    </w:p>
    <w:p>
      <w:pPr>
        <w:pStyle w:val="ListBullet"/>
      </w:pPr>
      <w:r/>
      <w:r>
        <w:rPr>
          <w:b/>
        </w:rPr>
        <w:t>Dextrométhorphane + antidépresseurs sérotoninergiques</w:t>
      </w:r>
      <w:r>
        <w:t xml:space="preserve"> (IRS — fluoxétine, sertraline, paroxétine, citalopram, escitalopram ; ISRSN — venlafaxine, duloxétine ; clomipramine, imipramine) : risque de syndrome sérotoninergique — éviter l'association ou surveiller étroitement.</w:t>
      </w:r>
    </w:p>
    <w:p>
      <w:pPr>
        <w:pStyle w:val="ListBullet"/>
      </w:pPr>
      <w:r/>
      <w:r>
        <w:rPr>
          <w:b/>
        </w:rPr>
        <w:t>Dextrométhorphane + tramadol</w:t>
      </w:r>
      <w:r>
        <w:t xml:space="preserve"> : potentialisation de la toxicité sérotoninergique et convulsivante.</w:t>
      </w:r>
    </w:p>
    <w:p>
      <w:pPr>
        <w:pStyle w:val="ListBullet"/>
      </w:pPr>
      <w:r/>
      <w:r>
        <w:rPr>
          <w:b/>
        </w:rPr>
        <w:t>Dextrométhorphane + pétidine</w:t>
      </w:r>
      <w:r>
        <w:t xml:space="preserve"> (mépéridine) : syndrome sérotoninergique.</w:t>
      </w:r>
    </w:p>
    <w:p>
      <w:pPr>
        <w:pStyle w:val="ListBullet"/>
      </w:pPr>
      <w:r/>
      <w:r>
        <w:rPr>
          <w:b/>
        </w:rPr>
        <w:t>Dextrométhorphane + dépresseurs du SNC</w:t>
      </w:r>
      <w:r>
        <w:t xml:space="preserve"> (alcool, benzodiazépines, antihistaminiques H1 sédatifs, barbituriques, neuroleptiques) : potentialisation de la sédation — éviter l'association ou réduire les doses.</w:t>
      </w:r>
    </w:p>
    <w:p>
      <w:pPr>
        <w:pStyle w:val="ListBullet"/>
      </w:pPr>
      <w:r/>
      <w:r>
        <w:rPr>
          <w:b/>
        </w:rPr>
        <w:t>Dextrométhorphane + inhibiteurs du CYP2D6</w:t>
      </w:r>
      <w:r>
        <w:t xml:space="preserve"> (fluoxétine, paroxétine, quinidine, bupropion, cinacalcet) : augmentation de la concentration plasmatique du dextrométhorphane (métaboliseurs lents pharmacologiques) — risque d'EI accru, en particulier neurologiques.</w:t>
      </w:r>
    </w:p>
    <w:p>
      <w:pPr>
        <w:pStyle w:val="ListBullet"/>
      </w:pPr>
      <w:r/>
      <w:r>
        <w:rPr>
          <w:b/>
        </w:rPr>
        <w:t>Dextrométhorphane + mucolytiques</w:t>
      </w:r>
      <w:r>
        <w:t xml:space="preserve"> : effet contradictoire — éviter.</w:t>
      </w:r>
    </w:p>
    <w:p>
      <w:r/>
      <w:r>
        <w:rPr>
          <w:b/>
        </w:rPr>
        <w:t>Grossesse et Allaitement :</w:t>
      </w:r>
      <w:r/>
    </w:p>
    <w:p>
      <w:pPr>
        <w:pStyle w:val="ListBullet"/>
      </w:pPr>
      <w:r/>
      <w:r>
        <w:rPr>
          <w:b/>
        </w:rPr>
        <w:t>Grossesse</w:t>
      </w:r>
      <w:r>
        <w:t xml:space="preserve"> :</w:t>
      </w:r>
    </w:p>
    <w:p>
      <w:pPr>
        <w:pStyle w:val="ListBullet"/>
      </w:pPr>
      <w:r>
        <w:t>Selon le CRAT — les données animales ne révèlent pas d'effet malformatif mais les données humaines sont limitées.</w:t>
      </w:r>
    </w:p>
    <w:p>
      <w:pPr>
        <w:pStyle w:val="ListBullet"/>
      </w:pPr>
      <w:r/>
      <w:r>
        <w:rPr>
          <w:b/>
        </w:rPr>
        <w:t>1er trimestre</w:t>
      </w:r>
      <w:r>
        <w:t xml:space="preserve"> : à éviter par prudence.</w:t>
      </w:r>
    </w:p>
    <w:p>
      <w:pPr>
        <w:pStyle w:val="ListBullet"/>
      </w:pPr>
      <w:r/>
      <w:r>
        <w:rPr>
          <w:b/>
        </w:rPr>
        <w:t>2e et 3e trimestres</w:t>
      </w:r>
      <w:r>
        <w:t xml:space="preserve"> : </w:t>
      </w:r>
      <w:r>
        <w:rPr>
          <w:b/>
        </w:rPr>
        <w:t>compatible</w:t>
      </w:r>
      <w:r>
        <w:t xml:space="preserve"> en cas de nécessité clinique, en traitement court (5–7 jours).</w:t>
      </w:r>
    </w:p>
    <w:p>
      <w:pPr>
        <w:pStyle w:val="ListBullet"/>
      </w:pPr>
      <w:r/>
      <w:r>
        <w:rPr>
          <w:b/>
        </w:rPr>
        <w:t>À l'accouchement</w:t>
      </w:r>
      <w:r>
        <w:t xml:space="preserve"> : à éviter dans les 2 semaines précédant le terme (risque théorique de dépression respiratoire néonatale, moindre qu'avec la pholcodine).</w:t>
      </w:r>
    </w:p>
    <w:p>
      <w:pPr>
        <w:pStyle w:val="ListBullet"/>
      </w:pPr>
      <w:r/>
      <w:r>
        <w:rPr>
          <w:b/>
        </w:rPr>
        <w:t>Préférer les mesures non-médicamenteuses</w:t>
      </w:r>
      <w:r>
        <w:t xml:space="preserve"> pendant la grossesse.</w:t>
      </w:r>
    </w:p>
    <w:p>
      <w:pPr>
        <w:pStyle w:val="ListBullet"/>
      </w:pPr>
      <w:r/>
      <w:r>
        <w:rPr>
          <w:b/>
        </w:rPr>
        <w:t>Allaitement</w:t>
      </w:r>
      <w:r>
        <w:t xml:space="preserve"> :</w:t>
      </w:r>
    </w:p>
    <w:p>
      <w:pPr>
        <w:pStyle w:val="ListBullet"/>
      </w:pPr>
      <w:r>
        <w:t xml:space="preserve">Selon LactMed — le dextrométhorphane passe dans le lait maternel en faible quantité ; </w:t>
      </w:r>
      <w:r>
        <w:rPr>
          <w:b/>
        </w:rPr>
        <w:t>compatible</w:t>
      </w:r>
      <w:r>
        <w:t xml:space="preserve"> avec l'allaitement en traitement court, à dose standard, en surveillance de la sédation éventuelle du nourrisson.</w:t>
      </w:r>
    </w:p>
    <w:p>
      <w:pPr>
        <w:pStyle w:val="ListBullet"/>
      </w:pPr>
      <w:r>
        <w:t>À éviter par prudence chez les métaboliseuses ultra-rapides CYP2D6 (concentration en dextrorphane plus élevée).</w:t>
      </w:r>
    </w:p>
    <w:p>
      <w:pPr>
        <w:pStyle w:val="ListBullet"/>
      </w:pPr>
      <w:r/>
      <w:r>
        <w:rPr>
          <w:b/>
        </w:rPr>
        <w:t>Précisions</w:t>
      </w:r>
      <w:r>
        <w:t xml:space="preserve"> : le dextrométhorphane est un </w:t>
      </w:r>
      <w:r>
        <w:rPr>
          <w:b/>
        </w:rPr>
        <w:t>meilleur choix</w:t>
      </w:r>
      <w:r>
        <w:t xml:space="preserve"> que la pholcodine pendant la grossesse et l'allaitement (profil de tolérance meilleur, pas d'allergie croisée aux curares).</w:t>
      </w:r>
    </w:p>
    <w:p>
      <w:r/>
      <w:r>
        <w:rPr>
          <w:b/>
        </w:rPr>
        <w:t>Posologie et Mode d'administration (Standard) :</w:t>
      </w:r>
      <w:r/>
    </w:p>
    <w:p>
      <w:pPr>
        <w:pStyle w:val="ListBullet"/>
      </w:pPr>
      <w:r/>
      <w:r>
        <w:rPr>
          <w:b/>
        </w:rPr>
        <w:t>Adulte</w:t>
      </w:r>
      <w:r>
        <w:t xml:space="preserve"> :</w:t>
      </w:r>
    </w:p>
    <w:p>
      <w:pPr>
        <w:pStyle w:val="ListBullet"/>
      </w:pPr>
      <w:r>
        <w:t>*Sirop 2 mg/mL (10 mg/5 mL)* (TUSSIFAN, TUSSIDEX, BRONCHOCALM ADULTES, DEXSTOP 0,2 %) : 1 cuillère-mesure (5 mL = 10 mg) x 3 à 4 fois/jour — soit 30–40 mg/jour.</w:t>
      </w:r>
    </w:p>
    <w:p>
      <w:pPr>
        <w:pStyle w:val="ListBullet"/>
      </w:pPr>
      <w:r>
        <w:t>*Sirop 1,33 mg/mL (20 mg/15 mL)* (HUMEX TOUX SECHE ADULTE) : 1 cuillère-mesure (15 mL = 20 mg) x 2 à 3 fois/jour — soit 40–60 mg/jour.</w:t>
      </w:r>
    </w:p>
    <w:p>
      <w:pPr>
        <w:pStyle w:val="ListBullet"/>
      </w:pPr>
      <w:r>
        <w:t>*Posologie maximale* : 60 mg/jour (ne pas dépasser).</w:t>
      </w:r>
    </w:p>
    <w:p>
      <w:pPr>
        <w:pStyle w:val="ListBullet"/>
      </w:pPr>
      <w:r>
        <w:t>*ATUSSINE ADULTES* (association avec mépyramine 0,2 g/100 mL) : 1 cuillère-mesure x 3/jour (à vérifier dans la notice selon la cuillère-mesure fournie).</w:t>
      </w:r>
    </w:p>
    <w:p>
      <w:pPr>
        <w:pStyle w:val="ListBullet"/>
      </w:pPr>
      <w:r/>
      <w:r>
        <w:rPr>
          <w:b/>
        </w:rPr>
        <w:t>Enfant</w:t>
      </w:r>
      <w:r>
        <w:t xml:space="preserve"> :</w:t>
      </w:r>
    </w:p>
    <w:p>
      <w:pPr>
        <w:pStyle w:val="ListBullet"/>
      </w:pPr>
      <w:r>
        <w:t>*Sirop 1 mg/mL (5 mg/5 mL)* (HUMEX TOUX SECHE ENFANT, BRONCHOCALM ENFANTS, DEXSTOP ENFANTS, TUSSIDEX 0,1 g/100 mL) : 1 cuillère-mesure (5 mL = 5 mg) x 2 à 4 fois/jour selon l'âge.</w:t>
      </w:r>
    </w:p>
    <w:p>
      <w:pPr>
        <w:pStyle w:val="ListBullet"/>
      </w:pPr>
      <w:r/>
      <w:r>
        <w:rPr>
          <w:b/>
        </w:rPr>
        <w:t>Enfant &lt; 2 ans</w:t>
      </w:r>
      <w:r>
        <w:t xml:space="preserve"> : à éviter par prudence (si nécessaire, dose minimale efficace sous surveillance médicale stricte).</w:t>
      </w:r>
    </w:p>
    <w:p>
      <w:pPr>
        <w:pStyle w:val="ListBullet"/>
      </w:pPr>
      <w:r/>
      <w:r>
        <w:rPr>
          <w:b/>
        </w:rPr>
        <w:t>Enfant 2–6 ans</w:t>
      </w:r>
      <w:r>
        <w:t xml:space="preserve"> : 2,5 mL (2,5 mg) x 3/jour (7,5 mg/jour).</w:t>
      </w:r>
    </w:p>
    <w:p>
      <w:pPr>
        <w:pStyle w:val="ListBullet"/>
      </w:pPr>
      <w:r/>
      <w:r>
        <w:rPr>
          <w:b/>
        </w:rPr>
        <w:t>Enfant 6–12 ans</w:t>
      </w:r>
      <w:r>
        <w:t xml:space="preserve"> : 5 mL (5 mg) x 3/jour (15 mg/jour).</w:t>
      </w:r>
    </w:p>
    <w:p>
      <w:pPr>
        <w:pStyle w:val="ListBullet"/>
      </w:pPr>
      <w:r/>
      <w:r>
        <w:rPr>
          <w:b/>
        </w:rPr>
        <w:t>Enfant &gt; 12 ans</w:t>
      </w:r>
      <w:r>
        <w:t xml:space="preserve"> : posologie adulte.</w:t>
      </w:r>
    </w:p>
    <w:p>
      <w:pPr>
        <w:pStyle w:val="ListBullet"/>
      </w:pPr>
      <w:r/>
      <w:r>
        <w:rPr>
          <w:b/>
        </w:rPr>
        <w:t>Durée</w:t>
      </w:r>
      <w:r>
        <w:t xml:space="preserve"> : 5–7 jours en automédication ; ne pas dépasser 14 jours sans avis médical.</w:t>
      </w:r>
    </w:p>
    <w:p>
      <w:pPr>
        <w:pStyle w:val="ListBullet"/>
      </w:pPr>
      <w:r/>
      <w:r>
        <w:rPr>
          <w:b/>
        </w:rPr>
        <w:t>Moment de la prise</w:t>
      </w:r>
      <w:r>
        <w:t xml:space="preserve"> : espacer les prises de 6–8 heures ; dernière prise idéalement le soir (effet antitussif nocturne prolongé).</w:t>
      </w:r>
    </w:p>
    <w:p>
      <w:r/>
      <w:r>
        <w:rPr>
          <w:b/>
        </w:rPr>
        <w:t>Arbitrage et Bénéfices des Formes Galéniques :</w:t>
      </w:r>
      <w:r/>
    </w:p>
    <w:p>
      <w:pPr>
        <w:pStyle w:val="ListBullet"/>
      </w:pPr>
      <w:r/>
      <w:r>
        <w:rPr>
          <w:b/>
        </w:rPr>
        <w:t>Sirop</w:t>
      </w:r>
      <w:r>
        <w:t xml:space="preserve"> (forme unique disponible en Algérie) :</w:t>
      </w:r>
    </w:p>
    <w:p>
      <w:pPr>
        <w:pStyle w:val="ListBullet"/>
      </w:pPr>
      <w:r>
        <w:t>*Sirop 2 mg/mL (10 mg/5 mL)* pour adulte (TUSSIFAN, TUSSIDEX, BRONCHOCALM ADULTES, DEXSTOP 0,2 %).</w:t>
      </w:r>
    </w:p>
    <w:p>
      <w:pPr>
        <w:pStyle w:val="ListBullet"/>
      </w:pPr>
      <w:r>
        <w:t>*Sirop 1 mg/mL (5 mg/5 mL)* pour enfant (HUMEX TOUX SECHE ENFANT, BRONCHOCALM ENFANTS, DEXSTOP ENFANTS, TUSSIDEX 0,1 g/100 mL).</w:t>
      </w:r>
    </w:p>
    <w:p>
      <w:pPr>
        <w:pStyle w:val="ListBullet"/>
      </w:pPr>
      <w:r>
        <w:t>*Sirop 1,33 mg/mL (20 mg/15 mL)* pour adulte (HUMEX TOUX SECHE ADULTE — forme plus concentrée).</w:t>
      </w:r>
    </w:p>
    <w:p>
      <w:pPr>
        <w:pStyle w:val="ListBullet"/>
      </w:pPr>
      <w:r>
        <w:t>*Associations* (ATUSSINE ADULTES, ATUSSINE ENFANTS) — à réserver à la toux sèche associée à une rhinite (en raison de l'antihistaminique H1 mépyramine) ou à une composante productive modérée (guaifénésine).</w:t>
      </w:r>
    </w:p>
    <w:p>
      <w:pPr>
        <w:pStyle w:val="ListBullet"/>
      </w:pPr>
      <w:r/>
      <w:r>
        <w:rPr>
          <w:b/>
        </w:rPr>
        <w:t>Comprimé</w:t>
      </w:r>
      <w:r>
        <w:t xml:space="preserve"> : non disponible en Algérie.</w:t>
      </w:r>
    </w:p>
    <w:p>
      <w:pPr>
        <w:pStyle w:val="ListBullet"/>
      </w:pPr>
      <w:r/>
      <w:r>
        <w:rPr>
          <w:b/>
        </w:rPr>
        <w:t>Suppositoire</w:t>
      </w:r>
      <w:r>
        <w:t xml:space="preserve"> : non disponible en Algérie.</w:t>
      </w:r>
    </w:p>
    <w:p>
      <w:r/>
      <w:r>
        <w:rPr>
          <w:b/>
        </w:rPr>
        <w:t>Instructions et Conseils au Patient :</w:t>
      </w:r>
      <w:r/>
    </w:p>
    <w:p>
      <w:pPr>
        <w:pStyle w:val="ListBullet"/>
      </w:pPr>
      <w:r/>
      <w:r>
        <w:rPr>
          <w:b/>
        </w:rPr>
        <w:t>Communication au comptoir</w:t>
      </w:r>
      <w:r>
        <w:t xml:space="preserve"> :</w:t>
      </w:r>
    </w:p>
    <w:p>
      <w:pPr>
        <w:pStyle w:val="ListBullet"/>
      </w:pPr>
      <w:r>
        <w:t>« *Ce sirop calme la toux sèche. Prenez-le UNIQUEMENT si vous avez une toux SÈCHE (sans crachats). Si vous avez une toux grasse avec crachats, NE LE PRENEZ PAS — il pourrait aggraver l'encombrement bronchique. Demandez plutôt un mucolytique (sirop d'ambroxol, carbocistéine, ou NAC).* »</w:t>
      </w:r>
    </w:p>
    <w:p>
      <w:pPr>
        <w:pStyle w:val="ListBullet"/>
      </w:pPr>
      <w:r>
        <w:t>« *Prenez-le pendant 5–7 jours maximum. Si la toux persiste, consultez votre médecin.* »</w:t>
      </w:r>
    </w:p>
    <w:p>
      <w:pPr>
        <w:pStyle w:val="ListBullet"/>
      </w:pPr>
      <w:r>
        <w:t>« *Ce médicament peut provoquer une légère somnolence : prudence si vous devez conduire.* »</w:t>
      </w:r>
    </w:p>
    <w:p>
      <w:pPr>
        <w:pStyle w:val="ListBullet"/>
      </w:pPr>
      <w:r>
        <w:t>« *Si vous prenez un antidépresseur (surtout les IMAO ou les IRS comme le Prozac, le Prozac, le Zoloft, le Paxil, le Celexa, l'Effexor, le Cymbalta, l'Anafranil), signalez-le impérativement avant de prendre ce sirop — il y a un risque grave d'interaction.* »</w:t>
      </w:r>
    </w:p>
    <w:p>
      <w:pPr>
        <w:pStyle w:val="ListBullet"/>
      </w:pPr>
      <w:r>
        <w:t>« *Signalez immédiatement tout signe de syndrome sérotoninergique : fièvre, agitation, tremblements, raideur musculaire, confusion — arrêt du traitement et appel du SAMU.* »</w:t>
      </w:r>
    </w:p>
    <w:p>
      <w:pPr>
        <w:pStyle w:val="ListBullet"/>
      </w:pPr>
      <w:r/>
      <w:r>
        <w:rPr>
          <w:b/>
        </w:rPr>
        <w:t>Mode d'utilisation pratique</w:t>
      </w:r>
      <w:r>
        <w:t xml:space="preserve"> :</w:t>
      </w:r>
    </w:p>
    <w:p>
      <w:pPr>
        <w:pStyle w:val="ListBullet"/>
      </w:pPr>
      <w:r>
        <w:t>Bien agiter le sirop avant emploi.</w:t>
      </w:r>
    </w:p>
    <w:p>
      <w:pPr>
        <w:pStyle w:val="ListBullet"/>
      </w:pPr>
      <w:r>
        <w:t>Utiliser la cuillère-mesure ou le gobelet doseur fourni.</w:t>
      </w:r>
    </w:p>
    <w:p>
      <w:pPr>
        <w:pStyle w:val="ListBullet"/>
      </w:pPr>
      <w:r>
        <w:t>Espacer les prises de 6–8 heures.</w:t>
      </w:r>
    </w:p>
    <w:p>
      <w:pPr>
        <w:pStyle w:val="ListBullet"/>
      </w:pPr>
      <w:r>
        <w:t>En cas d'oubli : ne pas doubler la dose suivante.</w:t>
      </w:r>
    </w:p>
    <w:p>
      <w:pPr>
        <w:pStyle w:val="ListBullet"/>
      </w:pPr>
      <w:r>
        <w:t>Conservation : sirop à température &lt; 25 °C, à l'abri de la lumière ; bien refermer après usage.</w:t>
      </w:r>
    </w:p>
    <w:p>
      <w:pPr>
        <w:pStyle w:val="ListBullet"/>
      </w:pPr>
      <w:r>
        <w:t>Ce médicament n'est pas inscrit sur la liste des stupéfiants — vente libre, mais à conserver hors de portée des enfants et des adolescents (potentiel d'abus à très forte dose).</w:t>
      </w:r>
    </w:p>
    <w:p>
      <w:r/>
      <w:r>
        <w:rPr>
          <w:b/>
        </w:rPr>
        <w:t>Notes, Règles d'Or &amp; Pièges au Comptoir :</w:t>
      </w:r>
      <w:r/>
    </w:p>
    <w:p>
      <w:pPr>
        <w:pStyle w:val="ListBullet"/>
      </w:pPr>
      <w:r/>
      <w:r>
        <w:rPr>
          <w:b/>
        </w:rPr>
        <w:t>Piège classique</w:t>
      </w:r>
      <w:r>
        <w:t xml:space="preserve"> :</w:t>
      </w:r>
    </w:p>
    <w:p>
      <w:pPr>
        <w:pStyle w:val="ListBullet"/>
      </w:pPr>
      <w:r/>
      <w:r>
        <w:rPr>
          <w:b/>
        </w:rPr>
        <w:t>Antitussif sur toux productive</w:t>
      </w:r>
      <w:r>
        <w:t xml:space="preserve"> : danger absolu — risque d'encombrement bronchique. Toujours demander au patient : « *Votre toux est-elle sèche ou grasse ? Crachez-vous des mucosités ?* » Si oui, refuser la délivrance et proposer un mucolytique.</w:t>
      </w:r>
    </w:p>
    <w:p>
      <w:pPr>
        <w:pStyle w:val="ListBullet"/>
      </w:pPr>
      <w:r/>
      <w:r>
        <w:rPr>
          <w:b/>
        </w:rPr>
        <w:t>Dextrométhorphane + IMAO</w:t>
      </w:r>
      <w:r>
        <w:t xml:space="preserve"> : </w:t>
      </w:r>
      <w:r>
        <w:rPr>
          <w:b/>
        </w:rPr>
        <w:t>CI absolue</w:t>
      </w:r>
      <w:r>
        <w:t xml:space="preserve"> (syndrome sérotoninergique — mortalité 10–15 %). Toujours interroger le patient sur ses traitements chroniques, en particulier les antidépresseurs. En cas de doute, demander l'ordonnance ou faire appel au médecin.</w:t>
      </w:r>
    </w:p>
    <w:p>
      <w:pPr>
        <w:pStyle w:val="ListBullet"/>
      </w:pPr>
      <w:r/>
      <w:r>
        <w:rPr>
          <w:b/>
        </w:rPr>
        <w:t>Polymorphisme CYP2D6</w:t>
      </w:r>
      <w:r>
        <w:t xml:space="preserve"> : 5–10 % de la population est métaboliseur lent (risque d'EI accru), 1–2 % est métaboliseur ultra-rapide (risque d'effet dissociatif à forte dose). En pratique, pas de dépistage systématique, mais surveillance accrue des EI neurologiques.</w:t>
      </w:r>
    </w:p>
    <w:p>
      <w:pPr>
        <w:pStyle w:val="ListBullet"/>
      </w:pPr>
      <w:r/>
      <w:r>
        <w:rPr>
          <w:b/>
        </w:rPr>
        <w:t>Potentiel d'abus</w:t>
      </w:r>
      <w:r>
        <w:t xml:space="preserve"> : le dextrométhorphane à très forte dose (≥ 10× la dose thérapeutique) a un effet dissociatif type kétamine (« robotripping » chez les adolescents américains). En Algérie, le risque est moins connu mais à surveiller, en particulier chez les jeunes et les adolescents — information patient.</w:t>
      </w:r>
    </w:p>
    <w:p>
      <w:pPr>
        <w:pStyle w:val="ListBullet"/>
      </w:pPr>
      <w:r/>
      <w:r>
        <w:rPr>
          <w:b/>
        </w:rPr>
        <w:t>Forme enfant plus diluée que forme adulte</w:t>
      </w:r>
      <w:r>
        <w:t xml:space="preserve"> : à vérifier dans la notice avant administration. Les sirops « enfant » (0,1 %) sont à 5 mg/5 mL, les sirops « adulte » (0,2 %) sont à 10 mg/5 mL. Ne pas substituer sans recalculer la dose.</w:t>
      </w:r>
    </w:p>
    <w:p>
      <w:pPr>
        <w:pStyle w:val="ListBullet"/>
      </w:pPr>
      <w:r/>
      <w:r>
        <w:rPr>
          <w:b/>
        </w:rPr>
        <w:t>Associations</w:t>
      </w:r>
      <w:r>
        <w:t xml:space="preserve"> (ATUSSINE) : à réserver à des indications spécifiques (toux sèche + rhinite). Préférer le dextrométhorphane seul en première intention.</w:t>
      </w:r>
    </w:p>
    <w:p>
      <w:pPr>
        <w:pStyle w:val="ListBullet"/>
      </w:pPr>
      <w:r/>
      <w:r>
        <w:rPr>
          <w:b/>
        </w:rPr>
        <w:t>Règle de prise</w:t>
      </w:r>
      <w:r>
        <w:t xml:space="preserve"> : 5–7 jours en automédication ; ne pas dépasser 14 jours sans avis médical.</w:t>
      </w:r>
    </w:p>
    <w:p>
      <w:pPr>
        <w:pStyle w:val="ListBullet"/>
      </w:pPr>
      <w:r/>
      <w:r>
        <w:rPr>
          <w:b/>
        </w:rPr>
        <w:t>Préparation et Conservation</w:t>
      </w:r>
      <w:r>
        <w:t xml:space="preserve"> : sirop à température &lt; 25 °C, à l'abri de la lumière ; bien refermer après usage.</w:t>
      </w:r>
    </w:p>
    <w:p>
      <w:pPr>
        <w:pStyle w:val="ListBullet"/>
      </w:pPr>
      <w:r/>
      <w:r>
        <w:rPr>
          <w:b/>
        </w:rPr>
        <w:t>Piège du surdosage / Substitution</w:t>
      </w:r>
      <w:r>
        <w:t xml:space="preserve"> :</w:t>
      </w:r>
    </w:p>
    <w:p>
      <w:pPr>
        <w:pStyle w:val="ListBullet"/>
      </w:pPr>
      <w:r/>
      <w:r>
        <w:rPr>
          <w:b/>
        </w:rPr>
        <w:t>Substitution dextrométhorphane ↔ pholcodine</w:t>
      </w:r>
      <w:r>
        <w:t xml:space="preserve"> : en raison du risque d'anaphylaxie croisée aux curares documenté pour la pholcodine, le </w:t>
      </w:r>
      <w:r>
        <w:rPr>
          <w:b/>
        </w:rPr>
        <w:t>dextrométhorphane est l'antitussif central de première intention</w:t>
      </w:r>
      <w:r>
        <w:t xml:space="preserve"> en Algérie. La pholcodine doit être réservée aux cas où le dextrométhorphane est inefficace ou mal toléré, et en l'absence d'anesthésie prévue.</w:t>
      </w:r>
    </w:p>
    <w:p>
      <w:pPr>
        <w:pStyle w:val="ListBullet"/>
      </w:pPr>
      <w:r/>
      <w:r>
        <w:rPr>
          <w:b/>
        </w:rPr>
        <w:t>Substitution entre marques</w:t>
      </w:r>
      <w:r>
        <w:t xml:space="preserve"> : les sirops dextrométhorphane sont à concentrations variables (0,1 % enfant, 0,2 % adulte, 1,33 mg/mL Humex Adulte) — </w:t>
      </w:r>
      <w:r>
        <w:rPr>
          <w:b/>
        </w:rPr>
        <w:t>vérifier la concentration avant substitution</w:t>
      </w:r>
      <w:r>
        <w:t>.</w:t>
      </w:r>
    </w:p>
    <w:p>
      <w:pPr>
        <w:pStyle w:val="ListBullet"/>
      </w:pPr>
      <w:r/>
      <w:r>
        <w:rPr>
          <w:b/>
        </w:rPr>
        <w:t>Vente libre ≠ absence de risque</w:t>
      </w:r>
      <w:r>
        <w:t xml:space="preserve"> : le dextrométhorphane, bien qu'en vente libre, a des interactions critiques (IMAO) et un potentiel d'abus. Le pharmacien doit </w:t>
      </w:r>
      <w:r>
        <w:rPr>
          <w:b/>
        </w:rPr>
        <w:t>conseiller</w:t>
      </w:r>
      <w:r>
        <w:t xml:space="preserve"> le patient à chaque délivrance.</w:t>
      </w:r>
    </w:p>
    <w:p>
      <w:pPr>
        <w:pStyle w:val="Heading2"/>
      </w:pPr>
      <w:r>
        <w:t>12. Tableau comparatif synthétique des 8 DCI</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 d'action principal</w:t>
            </w:r>
          </w:p>
        </w:tc>
        <w:tc>
          <w:tcPr>
            <w:tcW w:type="dxa" w:w="1336"/>
          </w:tcPr>
          <w:p>
            <w:r>
              <w:rPr>
                <w:b/>
                <w:sz w:val="20"/>
              </w:rPr>
              <w:t>Posologie standard adulte</w:t>
            </w:r>
          </w:p>
        </w:tc>
        <w:tc>
          <w:tcPr>
            <w:tcW w:type="dxa" w:w="1336"/>
          </w:tcPr>
          <w:p>
            <w:r>
              <w:rPr>
                <w:b/>
                <w:sz w:val="20"/>
              </w:rPr>
              <w:t>Effet indésirable majeur</w:t>
            </w:r>
          </w:p>
        </w:tc>
        <w:tc>
          <w:tcPr>
            <w:tcW w:type="dxa" w:w="1336"/>
          </w:tcPr>
          <w:p>
            <w:r>
              <w:rPr>
                <w:b/>
                <w:sz w:val="20"/>
              </w:rPr>
              <w:t>Contre-indication majeure</w:t>
            </w:r>
          </w:p>
        </w:tc>
        <w:tc>
          <w:tcPr>
            <w:tcW w:type="dxa" w:w="1336"/>
          </w:tcPr>
          <w:p>
            <w:r>
              <w:rPr>
                <w:b/>
                <w:sz w:val="20"/>
              </w:rPr>
              <w:t>Grossesse / Allaitement</w:t>
            </w:r>
          </w:p>
        </w:tc>
      </w:tr>
      <w:tr>
        <w:tc>
          <w:tcPr>
            <w:tcW w:type="dxa" w:w="1336"/>
          </w:tcPr>
          <w:p>
            <w:r>
              <w:rPr>
                <w:sz w:val="20"/>
              </w:rPr>
              <w:t>**N-acétylcystéine (NAC)**</w:t>
            </w:r>
          </w:p>
        </w:tc>
        <w:tc>
          <w:tcPr>
            <w:tcW w:type="dxa" w:w="1336"/>
          </w:tcPr>
          <w:p>
            <w:r>
              <w:rPr>
                <w:sz w:val="20"/>
              </w:rPr>
              <w:t>Mucolytique thiol</w:t>
            </w:r>
          </w:p>
        </w:tc>
        <w:tc>
          <w:tcPr>
            <w:tcW w:type="dxa" w:w="1336"/>
          </w:tcPr>
          <w:p>
            <w:r>
              <w:rPr>
                <w:sz w:val="20"/>
              </w:rPr>
              <w:t>Clivage direct des ponts disulfure (-SH libre) des mucines ; précurseur du glutathion</w:t>
            </w:r>
          </w:p>
        </w:tc>
        <w:tc>
          <w:tcPr>
            <w:tcW w:type="dxa" w:w="1336"/>
          </w:tcPr>
          <w:p>
            <w:r>
              <w:rPr>
                <w:sz w:val="20"/>
              </w:rPr>
              <w:t>200 mg x 3/jour (600 mg/jour) per os pendant 5–7 jours</w:t>
            </w:r>
          </w:p>
        </w:tc>
        <w:tc>
          <w:tcPr>
            <w:tcW w:type="dxa" w:w="1336"/>
          </w:tcPr>
          <w:p>
            <w:r>
              <w:rPr>
                <w:sz w:val="20"/>
              </w:rPr>
              <w:t>Bronchospasme (forme inhalée), nausées</w:t>
            </w:r>
          </w:p>
        </w:tc>
        <w:tc>
          <w:tcPr>
            <w:tcW w:type="dxa" w:w="1336"/>
          </w:tcPr>
          <w:p>
            <w:r>
              <w:rPr>
                <w:sz w:val="20"/>
              </w:rPr>
              <w:t>Ulcère GD en poussée, asthme non contrôlé (forme inhalée), phénylcétonurie</w:t>
            </w:r>
          </w:p>
        </w:tc>
        <w:tc>
          <w:tcPr>
            <w:tcW w:type="dxa" w:w="1336"/>
          </w:tcPr>
          <w:p>
            <w:r>
              <w:rPr>
                <w:sz w:val="20"/>
              </w:rPr>
              <w:t>Compatible grossesse ; compatible allaitement (CRAT, traitement court)</w:t>
            </w:r>
          </w:p>
        </w:tc>
      </w:tr>
      <w:tr>
        <w:tc>
          <w:tcPr>
            <w:tcW w:type="dxa" w:w="1336"/>
          </w:tcPr>
          <w:p>
            <w:r>
              <w:rPr>
                <w:sz w:val="20"/>
              </w:rPr>
              <w:t>**Carbocistéine**</w:t>
            </w:r>
          </w:p>
        </w:tc>
        <w:tc>
          <w:tcPr>
            <w:tcW w:type="dxa" w:w="1336"/>
          </w:tcPr>
          <w:p>
            <w:r>
              <w:rPr>
                <w:sz w:val="20"/>
              </w:rPr>
              <w:t>Mucolytique thiol</w:t>
            </w:r>
          </w:p>
        </w:tc>
        <w:tc>
          <w:tcPr>
            <w:tcW w:type="dxa" w:w="1336"/>
          </w:tcPr>
          <w:p>
            <w:r>
              <w:rPr>
                <w:sz w:val="20"/>
              </w:rPr>
              <w:t>Clivage indirect des ponts S-S (thioéther → cystéine libre → GSH) ; régulation des cellules calciformes (sialomucines &gt; mucines acides)</w:t>
            </w:r>
          </w:p>
        </w:tc>
        <w:tc>
          <w:tcPr>
            <w:tcW w:type="dxa" w:w="1336"/>
          </w:tcPr>
          <w:p>
            <w:r>
              <w:rPr>
                <w:sz w:val="20"/>
              </w:rPr>
              <w:t>750 mg x 2/jour (1500 mg/jour) pendant 4–8 jours, puis 750 mg/jour entretien</w:t>
            </w:r>
          </w:p>
        </w:tc>
        <w:tc>
          <w:tcPr>
            <w:tcW w:type="dxa" w:w="1336"/>
          </w:tcPr>
          <w:p>
            <w:r>
              <w:rPr>
                <w:sz w:val="20"/>
              </w:rPr>
              <w:t>Nausées (moins que NAC), rash</w:t>
            </w:r>
          </w:p>
        </w:tc>
        <w:tc>
          <w:tcPr>
            <w:tcW w:type="dxa" w:w="1336"/>
          </w:tcPr>
          <w:p>
            <w:r>
              <w:rPr>
                <w:sz w:val="20"/>
              </w:rPr>
              <w:t>Ulcère GD en poussée, phénylcétonurie</w:t>
            </w:r>
          </w:p>
        </w:tc>
        <w:tc>
          <w:tcPr>
            <w:tcW w:type="dxa" w:w="1336"/>
          </w:tcPr>
          <w:p>
            <w:r>
              <w:rPr>
                <w:sz w:val="20"/>
              </w:rPr>
              <w:t>Compatible grossesse ; compatible allaitement (CRAT) — bon choix pendant grossesse</w:t>
            </w:r>
          </w:p>
        </w:tc>
      </w:tr>
      <w:tr>
        <w:tc>
          <w:tcPr>
            <w:tcW w:type="dxa" w:w="1336"/>
          </w:tcPr>
          <w:p>
            <w:r>
              <w:rPr>
                <w:sz w:val="20"/>
              </w:rPr>
              <w:t>**Ambroxol**</w:t>
            </w:r>
          </w:p>
        </w:tc>
        <w:tc>
          <w:tcPr>
            <w:tcW w:type="dxa" w:w="1336"/>
          </w:tcPr>
          <w:p>
            <w:r>
              <w:rPr>
                <w:sz w:val="20"/>
              </w:rPr>
              <w:t>Mucolytique alcaloïde vasique</w:t>
            </w:r>
          </w:p>
        </w:tc>
        <w:tc>
          <w:tcPr>
            <w:tcW w:type="dxa" w:w="1336"/>
          </w:tcPr>
          <w:p>
            <w:r>
              <w:rPr>
                <w:sz w:val="20"/>
              </w:rPr>
              <w:t>Stimulation du surfactant (pneumocytes II) + activation ciliaire + rééquilibrage mucines</w:t>
            </w:r>
          </w:p>
        </w:tc>
        <w:tc>
          <w:tcPr>
            <w:tcW w:type="dxa" w:w="1336"/>
          </w:tcPr>
          <w:p>
            <w:r>
              <w:rPr>
                <w:sz w:val="20"/>
              </w:rPr>
              <w:t>30 mg x 3/jour (90 mg/jour) pendant 5–7 jours, puis 30 mg x 2/jour entretien</w:t>
            </w:r>
          </w:p>
        </w:tc>
        <w:tc>
          <w:tcPr>
            <w:tcW w:type="dxa" w:w="1336"/>
          </w:tcPr>
          <w:p>
            <w:r>
              <w:rPr>
                <w:sz w:val="20"/>
              </w:rPr>
              <w:t>Nausées, rash, Stevens-Johnson exceptionnel (signal ANSM 2014)</w:t>
            </w:r>
          </w:p>
        </w:tc>
        <w:tc>
          <w:tcPr>
            <w:tcW w:type="dxa" w:w="1336"/>
          </w:tcPr>
          <w:p>
            <w:r>
              <w:rPr>
                <w:sz w:val="20"/>
              </w:rPr>
              <w:t>Ulcère GD en poussée, phénylcétonurie, nourrisson &lt; 2 ans sous surveillance</w:t>
            </w:r>
          </w:p>
        </w:tc>
        <w:tc>
          <w:tcPr>
            <w:tcW w:type="dxa" w:w="1336"/>
          </w:tcPr>
          <w:p>
            <w:r>
              <w:rPr>
                <w:sz w:val="20"/>
              </w:rPr>
              <w:t>Déconseillé 1er trimestre ; compatible 2e/3e ; déconseillé allaitement</w:t>
            </w:r>
          </w:p>
        </w:tc>
      </w:tr>
      <w:tr>
        <w:tc>
          <w:tcPr>
            <w:tcW w:type="dxa" w:w="1336"/>
          </w:tcPr>
          <w:p>
            <w:r>
              <w:rPr>
                <w:sz w:val="20"/>
              </w:rPr>
              <w:t>**Bromhexine**</w:t>
            </w:r>
          </w:p>
        </w:tc>
        <w:tc>
          <w:tcPr>
            <w:tcW w:type="dxa" w:w="1336"/>
          </w:tcPr>
          <w:p>
            <w:r>
              <w:rPr>
                <w:sz w:val="20"/>
              </w:rPr>
              <w:t>Mucolytique alcaloïde vasique</w:t>
            </w:r>
          </w:p>
        </w:tc>
        <w:tc>
          <w:tcPr>
            <w:tcW w:type="dxa" w:w="1336"/>
          </w:tcPr>
          <w:p>
            <w:r>
              <w:rPr>
                <w:sz w:val="20"/>
              </w:rPr>
              <w:t>Prodrogue de l'ambroxol (déméthylation/hydroxylation CYP3A4) — mêmes effets que l'ambroxol</w:t>
            </w:r>
          </w:p>
        </w:tc>
        <w:tc>
          <w:tcPr>
            <w:tcW w:type="dxa" w:w="1336"/>
          </w:tcPr>
          <w:p>
            <w:r>
              <w:rPr>
                <w:sz w:val="20"/>
              </w:rPr>
              <w:t>10 mg x 3/jour (30 mg/jour) pendant 5–7 jours</w:t>
            </w:r>
          </w:p>
        </w:tc>
        <w:tc>
          <w:tcPr>
            <w:tcW w:type="dxa" w:w="1336"/>
          </w:tcPr>
          <w:p>
            <w:r>
              <w:rPr>
                <w:sz w:val="20"/>
              </w:rPr>
              <w:t>Nausées, rash, Stevens-Johnson exceptionnel</w:t>
            </w:r>
          </w:p>
        </w:tc>
        <w:tc>
          <w:tcPr>
            <w:tcW w:type="dxa" w:w="1336"/>
          </w:tcPr>
          <w:p>
            <w:r>
              <w:rPr>
                <w:sz w:val="20"/>
              </w:rPr>
              <w:t>Ulcère GD, phénylcétonurie, nourrisson &lt; 2 ans</w:t>
            </w:r>
          </w:p>
        </w:tc>
        <w:tc>
          <w:tcPr>
            <w:tcW w:type="dxa" w:w="1336"/>
          </w:tcPr>
          <w:p>
            <w:r>
              <w:rPr>
                <w:sz w:val="20"/>
              </w:rPr>
              <w:t>Déconseillé 1er trimestre ; compatible 2e/3e ; déconseillé allaitement</w:t>
            </w:r>
          </w:p>
        </w:tc>
      </w:tr>
      <w:tr>
        <w:tc>
          <w:tcPr>
            <w:tcW w:type="dxa" w:w="1336"/>
          </w:tcPr>
          <w:p>
            <w:r>
              <w:rPr>
                <w:sz w:val="20"/>
              </w:rPr>
              <w:t>**Mesna**</w:t>
            </w:r>
          </w:p>
        </w:tc>
        <w:tc>
          <w:tcPr>
            <w:tcW w:type="dxa" w:w="1336"/>
          </w:tcPr>
          <w:p>
            <w:r>
              <w:rPr>
                <w:sz w:val="20"/>
              </w:rPr>
              <w:t>Thiol uoprotecteur (chimio)</w:t>
            </w:r>
          </w:p>
        </w:tc>
        <w:tc>
          <w:tcPr>
            <w:tcW w:type="dxa" w:w="1336"/>
          </w:tcPr>
          <w:p>
            <w:r>
              <w:rPr>
                <w:sz w:val="20"/>
              </w:rPr>
              <w:t>Conjugaison directe avec l'acroléine (Michael addition) → adduit non toxique ; sélectivité urinaire (réduction rénale du dithiol)</w:t>
            </w:r>
          </w:p>
        </w:tc>
        <w:tc>
          <w:tcPr>
            <w:tcW w:type="dxa" w:w="1336"/>
          </w:tcPr>
          <w:p>
            <w:r>
              <w:rPr>
                <w:sz w:val="20"/>
              </w:rPr>
              <w:t>60 % de la dose d'oxazaphosphorine, IV à T0, T4, T8</w:t>
            </w:r>
          </w:p>
        </w:tc>
        <w:tc>
          <w:tcPr>
            <w:tcW w:type="dxa" w:w="1336"/>
          </w:tcPr>
          <w:p>
            <w:r>
              <w:rPr>
                <w:sz w:val="20"/>
              </w:rPr>
              <w:t>Nausées, rash, goût métallique, hypotension IV rapide</w:t>
            </w:r>
          </w:p>
        </w:tc>
        <w:tc>
          <w:tcPr>
            <w:tcW w:type="dxa" w:w="1336"/>
          </w:tcPr>
          <w:p>
            <w:r>
              <w:rPr>
                <w:sz w:val="20"/>
              </w:rPr>
              <w:t>Insuffisance rénale sévère (&lt; 30 mL/min), grossesse/allaitement (dans le contexte chimio)</w:t>
            </w:r>
          </w:p>
        </w:tc>
        <w:tc>
          <w:tcPr>
            <w:tcW w:type="dxa" w:w="1336"/>
          </w:tcPr>
          <w:p>
            <w:r>
              <w:rPr>
                <w:sz w:val="20"/>
              </w:rPr>
              <w:t>Contexte chimio CI grossesse ; CI absolue allaitement</w:t>
            </w:r>
          </w:p>
        </w:tc>
      </w:tr>
      <w:tr>
        <w:tc>
          <w:tcPr>
            <w:tcW w:type="dxa" w:w="1336"/>
          </w:tcPr>
          <w:p>
            <w:r>
              <w:rPr>
                <w:sz w:val="20"/>
              </w:rPr>
              <w:t>**Guaifénésine + terpènes**</w:t>
            </w:r>
          </w:p>
        </w:tc>
        <w:tc>
          <w:tcPr>
            <w:tcW w:type="dxa" w:w="1336"/>
          </w:tcPr>
          <w:p>
            <w:r>
              <w:rPr>
                <w:sz w:val="20"/>
              </w:rPr>
              <w:t>Expectorant terpénique</w:t>
            </w:r>
          </w:p>
        </w:tc>
        <w:tc>
          <w:tcPr>
            <w:tcW w:type="dxa" w:w="1336"/>
          </w:tcPr>
          <w:p>
            <w:r>
              <w:rPr>
                <w:sz w:val="20"/>
              </w:rPr>
              <w:t>Stimulation réflexe des glandes séromuqueuses bronchiques (vague) ; activité antiseptique et anti-inflammatoire locale</w:t>
            </w:r>
          </w:p>
        </w:tc>
        <w:tc>
          <w:tcPr>
            <w:tcW w:type="dxa" w:w="1336"/>
          </w:tcPr>
          <w:p>
            <w:r>
              <w:rPr>
                <w:sz w:val="20"/>
              </w:rPr>
              <w:t>Guaifénésine 30 mg + terpines x 3/jour (FLUPEX)</w:t>
            </w:r>
          </w:p>
        </w:tc>
        <w:tc>
          <w:tcPr>
            <w:tcW w:type="dxa" w:w="1336"/>
          </w:tcPr>
          <w:p>
            <w:r>
              <w:rPr>
                <w:sz w:val="20"/>
              </w:rPr>
              <w:t>Nausées, convulsions (camphre — surdosage), dépression respiratoire (codéine — associations)</w:t>
            </w:r>
          </w:p>
        </w:tc>
        <w:tc>
          <w:tcPr>
            <w:tcW w:type="dxa" w:w="1336"/>
          </w:tcPr>
          <w:p>
            <w:r>
              <w:rPr>
                <w:sz w:val="20"/>
              </w:rPr>
              <w:t>Nourrisson &lt; 30 mois (camphre), enfant &lt; 12 ans (codéine), asthme non contrôlé</w:t>
            </w:r>
          </w:p>
        </w:tc>
        <w:tc>
          <w:tcPr>
            <w:tcW w:type="dxa" w:w="1336"/>
          </w:tcPr>
          <w:p>
            <w:r>
              <w:rPr>
                <w:sz w:val="20"/>
              </w:rPr>
              <w:t>Guaifénésine seule compatible grossesse/allaitement ; codéine CI allaitement</w:t>
            </w:r>
          </w:p>
        </w:tc>
      </w:tr>
      <w:tr>
        <w:tc>
          <w:tcPr>
            <w:tcW w:type="dxa" w:w="1336"/>
          </w:tcPr>
          <w:p>
            <w:r>
              <w:rPr>
                <w:sz w:val="20"/>
              </w:rPr>
              <w:t>**Pholcodine**</w:t>
            </w:r>
          </w:p>
        </w:tc>
        <w:tc>
          <w:tcPr>
            <w:tcW w:type="dxa" w:w="1336"/>
          </w:tcPr>
          <w:p>
            <w:r>
              <w:rPr>
                <w:sz w:val="20"/>
              </w:rPr>
              <w:t>Antitussif opioïde central (stupéfiant, Liste I)</w:t>
            </w:r>
          </w:p>
        </w:tc>
        <w:tc>
          <w:tcPr>
            <w:tcW w:type="dxa" w:w="1336"/>
          </w:tcPr>
          <w:p>
            <w:r>
              <w:rPr>
                <w:sz w:val="20"/>
              </w:rPr>
              <w:t>Agoniste μ central du centre bulbaire de la toux (NTS) ; passage BBB limité (groupement morpholinoéthyle)</w:t>
            </w:r>
          </w:p>
        </w:tc>
        <w:tc>
          <w:tcPr>
            <w:tcW w:type="dxa" w:w="1336"/>
          </w:tcPr>
          <w:p>
            <w:r>
              <w:rPr>
                <w:sz w:val="20"/>
              </w:rPr>
              <w:t>5 mL x 3–4/jour sirop 0,0012 (RHINATHIOL AD) — soit ~2 mg/jour</w:t>
            </w:r>
          </w:p>
        </w:tc>
        <w:tc>
          <w:tcPr>
            <w:tcW w:type="dxa" w:w="1336"/>
          </w:tcPr>
          <w:p>
            <w:r>
              <w:rPr>
                <w:sz w:val="20"/>
              </w:rPr>
              <w:t>Sédation, constipation, **anaphylaxie croisée aux curares** (PRAC EMA 2023)</w:t>
            </w:r>
          </w:p>
        </w:tc>
        <w:tc>
          <w:tcPr>
            <w:tcW w:type="dxa" w:w="1336"/>
          </w:tcPr>
          <w:p>
            <w:r>
              <w:rPr>
                <w:sz w:val="20"/>
              </w:rPr>
              <w:t>Toux productive (CI absolue), asthme non contrôlé, IMAO, enfant &lt; 2 ans, anesthésie prévue</w:t>
            </w:r>
          </w:p>
        </w:tc>
        <w:tc>
          <w:tcPr>
            <w:tcW w:type="dxa" w:w="1336"/>
          </w:tcPr>
          <w:p>
            <w:r>
              <w:rPr>
                <w:sz w:val="20"/>
              </w:rPr>
              <w:t>CI 3e trimestre (sevrage néonatal) ; CI allaitement (ANSM 2015)</w:t>
            </w:r>
          </w:p>
        </w:tc>
      </w:tr>
      <w:tr>
        <w:tc>
          <w:tcPr>
            <w:tcW w:type="dxa" w:w="1336"/>
          </w:tcPr>
          <w:p>
            <w:r>
              <w:rPr>
                <w:sz w:val="20"/>
              </w:rPr>
              <w:t>**Dextrométhorphane**</w:t>
            </w:r>
          </w:p>
        </w:tc>
        <w:tc>
          <w:tcPr>
            <w:tcW w:type="dxa" w:w="1336"/>
          </w:tcPr>
          <w:p>
            <w:r>
              <w:rPr>
                <w:sz w:val="20"/>
              </w:rPr>
              <w:t>Antitussif opioïde central (non stupéfiant)</w:t>
            </w:r>
          </w:p>
        </w:tc>
        <w:tc>
          <w:tcPr>
            <w:tcW w:type="dxa" w:w="1336"/>
          </w:tcPr>
          <w:p>
            <w:r>
              <w:rPr>
                <w:sz w:val="20"/>
              </w:rPr>
              <w:t>Agoniste μ central (d-isomère du lévorphanol) ; passage BBB limité ; métabolite dextrorphane antagoniste NMDA</w:t>
            </w:r>
          </w:p>
        </w:tc>
        <w:tc>
          <w:tcPr>
            <w:tcW w:type="dxa" w:w="1336"/>
          </w:tcPr>
          <w:p>
            <w:r>
              <w:rPr>
                <w:sz w:val="20"/>
              </w:rPr>
              <w:t>10 mg x 3–4/jour (30–40 mg/jour) — sirop 2 mg/mL</w:t>
            </w:r>
          </w:p>
        </w:tc>
        <w:tc>
          <w:tcPr>
            <w:tcW w:type="dxa" w:w="1336"/>
          </w:tcPr>
          <w:p>
            <w:r>
              <w:rPr>
                <w:sz w:val="20"/>
              </w:rPr>
              <w:t>Sédation légère, syndrome sérotoninergique (IMAO), potentiel d'abus à très forte dose</w:t>
            </w:r>
          </w:p>
        </w:tc>
        <w:tc>
          <w:tcPr>
            <w:tcW w:type="dxa" w:w="1336"/>
          </w:tcPr>
          <w:p>
            <w:r>
              <w:rPr>
                <w:sz w:val="20"/>
              </w:rPr>
              <w:t>Toux productive (CI absolue), IMAO (CI absolue — syndrome sérotoninergique), asthme non contrôlé</w:t>
            </w:r>
          </w:p>
        </w:tc>
        <w:tc>
          <w:tcPr>
            <w:tcW w:type="dxa" w:w="1336"/>
          </w:tcPr>
          <w:p>
            <w:r>
              <w:rPr>
                <w:sz w:val="20"/>
              </w:rPr>
              <w:t>Compatible 2e/3e trimestre (traitement court) ; compatible allaitement (CRAT, par prudence)</w:t>
            </w:r>
          </w:p>
        </w:tc>
      </w:tr>
    </w:tbl>
    <w:p/>
    <w:p>
      <w:pPr>
        <w:pStyle w:val="Heading2"/>
      </w:pPr>
      <w:r>
        <w:t>13. Règles d'Or et points-clés au comptoir</w:t>
      </w:r>
    </w:p>
    <w:p>
      <w:pPr>
        <w:pStyle w:val="Heading3"/>
      </w:pPr>
      <w:r>
        <w:t>13.1. Règles d'Or absolues</w:t>
      </w:r>
    </w:p>
    <w:p>
      <w:pPr>
        <w:pStyle w:val="ListNumber"/>
      </w:pPr>
      <w:r/>
      <w:r>
        <w:rPr>
          <w:b/>
        </w:rPr>
        <w:t>Toux productive = JAMAIS d'antitussif</w:t>
      </w:r>
      <w:r>
        <w:t>. La règle est absolue : un antitussif opioïde central (pholcodine, dextrométhorphane) sur une toux productive (avec expectoration de mucus) provoque un encombrement bronchique, une atélectasie, une surinfection, voire une asphyxie (surtout chez le sujet âgé, l'enfant, l'insuffisant respiratoire). Toujours demander au patient : « *Votre toux est-elle sèche ou grasse ? Crachez-vous des mucosités ?* » Si oui, proposer un mucolytique (NAC, carbocistéine, ambroxol) ou un expectorant (guaifénésine), et non un antitussif.</w:t>
      </w:r>
    </w:p>
    <w:p>
      <w:pPr>
        <w:pStyle w:val="ListNumber"/>
      </w:pPr>
      <w:r/>
      <w:r>
        <w:rPr>
          <w:b/>
        </w:rPr>
        <w:t>Antitussif + mucolytique = association illogique et dangereuse</w:t>
      </w:r>
      <w:r>
        <w:t>. Ne jamais associer un antitussif (pholcodine, dextrométhorphane) à un mucolytique (NAC, carbocistéine, ambroxol, bromhexine) ou à un expectorant (guaifénésine). Le mucolytique fluidifie le mucus pour faciliter son évacuation par la toux ; l'antitussif bloque cette toux d'évacuation → encombrement. Cette règle s'applique aussi aux spécialités composées qui associent ces deux classes (ENCOFLUIDE, PULMOFLUIDE — codéine + guaifénésine) — la logique thérapeutique est discutable.</w:t>
      </w:r>
    </w:p>
    <w:p>
      <w:pPr>
        <w:pStyle w:val="ListNumber"/>
      </w:pPr>
      <w:r/>
      <w:r>
        <w:rPr>
          <w:b/>
        </w:rPr>
        <w:t>Durée limitée à 5–7 jours sans avis médical</w:t>
      </w:r>
      <w:r>
        <w:t>. Mucolytiques, expectorants et antitussifs ne doivent pas être poursuivis au-delà de 5–7 jours sans consultation médicale. Une toux ou une expectoration persistante au-delà de 2 semaines doit faire rechercher une cause sous-jacente (asthme, BPCO, RGO, cancer pulmonaire, tuberculose, dilatation des bronches).</w:t>
      </w:r>
    </w:p>
    <w:p>
      <w:pPr>
        <w:pStyle w:val="ListNumber"/>
      </w:pPr>
      <w:r/>
      <w:r>
        <w:rPr>
          <w:b/>
        </w:rPr>
        <w:t>Dextrométhorphane + IMAO = CI absolue</w:t>
      </w:r>
      <w:r>
        <w:t>. Le syndrome sérotoninergique est une urgence vitale (mortalité 10–15 %). Toujours interroger le patient sur ses traitements chroniques, en particulier les antidépresseurs. En cas de doute, demander l'ordonnance ou faire appel au médecin. Respecter un wash-out de 14 jours entre l'arrêt de l'IMAO et la prise de dextrométhorphane (ou pholcodine).</w:t>
      </w:r>
    </w:p>
    <w:p>
      <w:pPr>
        <w:pStyle w:val="ListNumber"/>
      </w:pPr>
      <w:r/>
      <w:r>
        <w:rPr>
          <w:b/>
        </w:rPr>
        <w:t>Pholcodine et anesthésie générale = danger</w:t>
      </w:r>
      <w:r>
        <w:t xml:space="preserve">. Le risque d'anaphylaxie croisée aux curares (suxaméthonium, rocuronium, vecuronium) est documenté depuis 2011 et le PRAC EMA a recommandé en mars 2023 le </w:t>
      </w:r>
      <w:r>
        <w:rPr>
          <w:b/>
        </w:rPr>
        <w:t>retrait de l'AMM européenne</w:t>
      </w:r>
      <w:r>
        <w:t xml:space="preserve"> de la pholcodine. En Algérie, la pholcodine reste active en Avril 2026 (RHINATHIOL AD TOUX SECHE, TUSSO RHINATHIOL TOUX SECHE ENFANT, POLERY ENFANTS) — </w:t>
      </w:r>
      <w:r>
        <w:rPr>
          <w:b/>
        </w:rPr>
        <w:t>interroger systématiquement</w:t>
      </w:r>
      <w:r>
        <w:t xml:space="preserve"> le patient sur une anesthésie prévue et </w:t>
      </w:r>
      <w:r>
        <w:rPr>
          <w:b/>
        </w:rPr>
        <w:t>informer le patient</w:t>
      </w:r>
      <w:r>
        <w:t xml:space="preserve"> de signaler son exposition passée à l'anesthésiste. En cas d'anesthésie programmée : arrêter la pholcodine au moins 1 mois avant. En pratique, </w:t>
      </w:r>
      <w:r>
        <w:rPr>
          <w:b/>
        </w:rPr>
        <w:t>préférer le dextrométhorphane</w:t>
      </w:r>
      <w:r>
        <w:t xml:space="preserve"> à la pholcodine en première intention.</w:t>
      </w:r>
    </w:p>
    <w:p>
      <w:pPr>
        <w:pStyle w:val="ListNumber"/>
      </w:pPr>
      <w:r/>
      <w:r>
        <w:rPr>
          <w:b/>
        </w:rPr>
        <w:t>Codéine chez l'enfant &lt; 12 ans et chez la femme allaitante = CI absolue</w:t>
      </w:r>
      <w:r>
        <w:t xml:space="preserve"> (recommandation ANSM 2015). La codéine, présente dans les associations ENCOFLUIDE et PULMOFLUIDE (toutes deux retirées ou non renouvelables en Algérie), est métabolisée en morphine par le CYP2D6. Les métaboliseurs ultra-rapides CYP2D6 (1–2 % de la population caucasienne, jusqu'à 29 % des populations africaines et moyen-orientales) produisent une quantité excessive de morphine, ce qui peut entraîner une dépression respiratoire mortelle chez le nourrisson allaité (cas signalés en 2006-2007).</w:t>
      </w:r>
    </w:p>
    <w:p>
      <w:pPr>
        <w:pStyle w:val="ListNumber"/>
      </w:pPr>
      <w:r/>
      <w:r>
        <w:rPr>
          <w:b/>
        </w:rPr>
        <w:t>NAC inhalée et asthme = bronchospasme</w:t>
      </w:r>
      <w:r>
        <w:t>. La NAC administrée par aérosol peut déclencher un bronchospasme réflexe chez le patient asthmatique ou hyper-réactif. Préférer la forme orale (sachet, comprimé effervescent) chez l'asthmatique. Si la forme inhalée est nécessaire (prescription hospitalière), administrer un bronchodilatateur β2-mimétique (salbutamol nébulisation) 10 minutes avant, avec surveillance.</w:t>
      </w:r>
    </w:p>
    <w:p>
      <w:pPr>
        <w:pStyle w:val="ListNumber"/>
      </w:pPr>
      <w:r/>
      <w:r>
        <w:rPr>
          <w:b/>
        </w:rPr>
        <w:t>Mesna : uoprotection obligatoire des oxazaphosphorines</w:t>
      </w:r>
      <w:r>
        <w:t>. Le mesna (UROMITEXAN) doit être administré systématiquement lors de l'administration d'</w:t>
      </w:r>
      <w:r>
        <w:rPr>
          <w:b/>
        </w:rPr>
        <w:t>ifosfamide</w:t>
      </w:r>
      <w:r>
        <w:t xml:space="preserve"> à toute dose (en pratique ≥ 2 g/m²/jour) et de </w:t>
      </w:r>
      <w:r>
        <w:rPr>
          <w:b/>
        </w:rPr>
        <w:t>cyclophosphamide</w:t>
      </w:r>
      <w:r>
        <w:t xml:space="preserve"> à haute dose (≥ 50 mg/kg — protocoles de conditionnement de greffe de cellules souches hématopoïétiques). Schéma IV standard : 60 % de la dose d'oxazaphosphorine, fractionné en 3 injections à T0, T4, T8 heures, avec hydratation abondante concomitante (≥ 3 L/jour) et surveillance de la bandelette urinaire. Le mesna n'a </w:t>
      </w:r>
      <w:r>
        <w:rPr>
          <w:b/>
        </w:rPr>
        <w:t>aucune indication hors chimiothérapie par oxazaphosphorines</w:t>
      </w:r>
      <w:r>
        <w:t xml:space="preserve"> — en particulier, il ne doit pas être substitué à la NAC pour l'encombrement bronchique (son activité mucolytique est faible et non validée en clinique).</w:t>
      </w:r>
    </w:p>
    <w:p>
      <w:pPr>
        <w:pStyle w:val="ListNumber"/>
      </w:pPr>
      <w:r/>
      <w:r>
        <w:rPr>
          <w:b/>
        </w:rPr>
        <w:t>Camphre : toxicité neurologique en cas d'ingestion ou d'application cutanée étendue</w:t>
      </w:r>
      <w:r>
        <w:t xml:space="preserve">. Le camphre (présent dans CAMPHOBIOTIC suppositoires) est </w:t>
      </w:r>
      <w:r>
        <w:rPr>
          <w:b/>
        </w:rPr>
        <w:t>toxique pour le système nerveux central</w:t>
      </w:r>
      <w:r>
        <w:t xml:space="preserve"> (convulsions, confusion, agitation, coma) en cas d'ingestion ou d'absorption cutanée étendue. CI absolue d'ingestion. CI absolue d'application cutanée chez le nourrisson &lt; 7 ans et chez la femme enceinte (effet embryotoxique à forte dose). Surveillance neurologique en cas d'utilisation en suppositoire.</w:t>
      </w:r>
    </w:p>
    <w:p>
      <w:pPr>
        <w:pStyle w:val="ListNumber"/>
      </w:pPr>
      <w:r/>
      <w:r>
        <w:rPr>
          <w:b/>
        </w:rPr>
        <w:t>Mesures non-médicamenteuses avant tout</w:t>
      </w:r>
      <w:r>
        <w:t xml:space="preserve">. Avant tout recours pharmacologique à un mucolytique, expectorant ou antitussif, </w:t>
      </w:r>
      <w:r>
        <w:rPr>
          <w:b/>
        </w:rPr>
        <w:t>privilégier</w:t>
      </w:r>
      <w:r>
        <w:t xml:space="preserve"> :</w:t>
      </w:r>
    </w:p>
    <w:p>
      <w:pPr>
        <w:pStyle w:val="ListBullet"/>
      </w:pPr>
      <w:r/>
      <w:r>
        <w:rPr>
          <w:b/>
        </w:rPr>
        <w:t>Hydratation abondante</w:t>
      </w:r>
      <w:r>
        <w:t xml:space="preserve"> (1,5–2 L/jour adulte) pour fluidifier les sécrétions.</w:t>
      </w:r>
    </w:p>
    <w:p>
      <w:pPr>
        <w:pStyle w:val="ListBullet"/>
      </w:pPr>
      <w:r/>
      <w:r>
        <w:rPr>
          <w:b/>
        </w:rPr>
        <w:t>Arrêt du tabac</w:t>
      </w:r>
      <w:r>
        <w:t xml:space="preserve"> (première cause de toux chronique).</w:t>
      </w:r>
    </w:p>
    <w:p>
      <w:pPr>
        <w:pStyle w:val="ListBullet"/>
      </w:pPr>
      <w:r/>
      <w:r>
        <w:rPr>
          <w:b/>
        </w:rPr>
        <w:t>Lavage nasal au sérum physiologique</w:t>
      </w:r>
      <w:r>
        <w:t xml:space="preserve"> (rhinite, sinusite).</w:t>
      </w:r>
    </w:p>
    <w:p>
      <w:pPr>
        <w:pStyle w:val="ListBullet"/>
      </w:pPr>
      <w:r/>
      <w:r>
        <w:rPr>
          <w:b/>
        </w:rPr>
        <w:t>Miel</w:t>
      </w:r>
      <w:r>
        <w:t xml:space="preserve"> chez l'enfant &gt; 1 an (effet antitussif modeste mais démontré — Cochrane 2014).</w:t>
      </w:r>
    </w:p>
    <w:p>
      <w:pPr>
        <w:pStyle w:val="ListBullet"/>
      </w:pPr>
      <w:r/>
      <w:r>
        <w:rPr>
          <w:b/>
        </w:rPr>
        <w:t>Humidification de l'air</w:t>
      </w:r>
      <w:r>
        <w:t xml:space="preserve"> (aérosol humide, bouche sur bol d'eau chaude).</w:t>
      </w:r>
    </w:p>
    <w:p>
      <w:pPr>
        <w:pStyle w:val="ListBullet"/>
      </w:pPr>
      <w:r/>
      <w:r>
        <w:rPr>
          <w:b/>
        </w:rPr>
        <w:t>Surélévation de la tête</w:t>
      </w:r>
      <w:r>
        <w:t xml:space="preserve"> (toux nocturne, reflux gastro-œsophagien).</w:t>
      </w:r>
    </w:p>
    <w:p>
      <w:pPr>
        <w:pStyle w:val="ListBullet"/>
      </w:pPr>
      <w:r/>
      <w:r>
        <w:rPr>
          <w:b/>
        </w:rPr>
        <w:t>Kinésithérapie respiratoire</w:t>
      </w:r>
      <w:r>
        <w:t xml:space="preserve"> chez le nourrisson (bronchiolite).</w:t>
      </w:r>
    </w:p>
    <w:p>
      <w:pPr>
        <w:pStyle w:val="Heading3"/>
      </w:pPr>
      <w:r>
        <w:t>13.2. Pièges majeurs au comptoir</w:t>
      </w:r>
    </w:p>
    <w:p>
      <w:pPr>
        <w:pStyle w:val="ListBullet"/>
      </w:pPr>
      <w:r/>
      <w:r>
        <w:rPr>
          <w:b/>
        </w:rPr>
        <w:t>Toux chronique (&gt; 3 semaines) chez le fumeur de plus de 40 ans</w:t>
      </w:r>
      <w:r>
        <w:t xml:space="preserve"> : orientation médicale systématique pour bilan radiologique et recherche de cancer pulmonaire (au premier rang des causes de toux chronique du fumeur).</w:t>
      </w:r>
    </w:p>
    <w:p>
      <w:pPr>
        <w:pStyle w:val="ListBullet"/>
      </w:pPr>
      <w:r/>
      <w:r>
        <w:rPr>
          <w:b/>
        </w:rPr>
        <w:t>Hémoptysie</w:t>
      </w:r>
      <w:r>
        <w:t xml:space="preserve"> (crachats sanglants) : orientation urgente vers les urgences hospitalières (cancer pulmonaire, tuberculose, embolie pulmonaire, dilatation des bronches).</w:t>
      </w:r>
    </w:p>
    <w:p>
      <w:pPr>
        <w:pStyle w:val="ListBullet"/>
      </w:pPr>
      <w:r/>
      <w:r>
        <w:rPr>
          <w:b/>
        </w:rPr>
        <w:t>Toux avec dyspnée, fièvre, altération de l'état général</w:t>
      </w:r>
      <w:r>
        <w:t xml:space="preserve"> : orientation médicale urgente (pneumonie, embolie pulmonaire, insuffisance cardiaque décompensée).</w:t>
      </w:r>
    </w:p>
    <w:p>
      <w:pPr>
        <w:pStyle w:val="ListBullet"/>
      </w:pPr>
      <w:r/>
      <w:r>
        <w:rPr>
          <w:b/>
        </w:rPr>
        <w:t>Toux + reflux gastro-œsophagien</w:t>
      </w:r>
      <w:r>
        <w:t xml:space="preserve"> : traiter le RGO en première intention (IPP — cf. Chapitre 51 Fascicule VI), pas d'antitussif.</w:t>
      </w:r>
    </w:p>
    <w:p>
      <w:pPr>
        <w:pStyle w:val="ListBullet"/>
      </w:pPr>
      <w:r/>
      <w:r>
        <w:rPr>
          <w:b/>
        </w:rPr>
        <w:t>Toux sous IEC</w:t>
      </w:r>
      <w:r>
        <w:t xml:space="preserve"> (ramipril, perindopril, enalapril, etc.) : substitution par un ARA II (valsartan, telmisartan) — l'antitussif est inefficace sur la toux d'IEC.</w:t>
      </w:r>
    </w:p>
    <w:p>
      <w:pPr>
        <w:pStyle w:val="ListBullet"/>
      </w:pPr>
      <w:r/>
      <w:r>
        <w:rPr>
          <w:b/>
        </w:rPr>
        <w:t>Enfant &lt; 2 ans avec antitussif</w:t>
      </w:r>
      <w:r>
        <w:t xml:space="preserve"> : CI absolue à la pholcodine, à la codéine, prudence avec le dextrométhorphane (préférer les mesures non-médicamenteuses : hydratation, lavage nasal, kinésithérapie respiratoire).</w:t>
      </w:r>
    </w:p>
    <w:p>
      <w:pPr>
        <w:pStyle w:val="ListBullet"/>
      </w:pPr>
      <w:r/>
      <w:r>
        <w:rPr>
          <w:b/>
        </w:rPr>
        <w:t>Bronchiolite du nourrisson &lt; 2 ans</w:t>
      </w:r>
      <w:r>
        <w:t xml:space="preserve"> : pas d'antitussif, pas de mucolytique ; privilégier le lavage nasal au sérum physiologique, la kinésithérapie respiratoire, l'hydratation, et l'hospitalisation si détresse respiratoire.</w:t>
      </w:r>
    </w:p>
    <w:p>
      <w:pPr>
        <w:pStyle w:val="ListBullet"/>
      </w:pPr>
      <w:r/>
      <w:r>
        <w:rPr>
          <w:b/>
        </w:rPr>
        <w:t>Pholcodine et alerte anesthésie</w:t>
      </w:r>
      <w:r>
        <w:t xml:space="preserve"> : indiquer sur la boîte ou le sachet du patient un rappel : « *Signaler à l'anesthésiste en cas d'intervention chirurgicale programmée* ».</w:t>
      </w:r>
    </w:p>
    <w:p>
      <w:pPr>
        <w:pStyle w:val="Heading3"/>
      </w:pPr>
      <w:r>
        <w:t>13.3. Points-clés de la nomenclature algérienne</w:t>
      </w:r>
    </w:p>
    <w:p>
      <w:pPr>
        <w:pStyle w:val="ListBullet"/>
      </w:pPr>
      <w:r/>
      <w:r>
        <w:rPr>
          <w:b/>
        </w:rPr>
        <w:t>Mucolytiques</w:t>
      </w:r>
      <w:r>
        <w:t xml:space="preserve"> : marché très fragmenté (9 marques d'ambroxol actives, 3 marques de NAC actives, 2 marques de carbocistéine actives, 2 marques de bromhexine actives). La substitution entre marques génériques est possible (mêmes doses) en vérifiant la concentration exacte.</w:t>
      </w:r>
    </w:p>
    <w:p>
      <w:pPr>
        <w:pStyle w:val="ListBullet"/>
      </w:pPr>
      <w:r/>
      <w:r>
        <w:rPr>
          <w:b/>
        </w:rPr>
        <w:t>Antitussifs</w:t>
      </w:r>
      <w:r>
        <w:t xml:space="preserve"> : marché dominé par le </w:t>
      </w:r>
      <w:r>
        <w:rPr>
          <w:b/>
        </w:rPr>
        <w:t>dextrométhorphane</w:t>
      </w:r>
      <w:r>
        <w:t xml:space="preserve"> (10+ marques actives, vente libre) ; la pholcodine est limitée à 3 marques actives (RHINATHIOL, TUSSO RHINATHIOL, POLERY) et reste sur la Liste I des stupéfiants.</w:t>
      </w:r>
    </w:p>
    <w:p>
      <w:pPr>
        <w:pStyle w:val="ListBullet"/>
      </w:pPr>
      <w:r/>
      <w:r>
        <w:rPr>
          <w:b/>
        </w:rPr>
        <w:t>Mesna</w:t>
      </w:r>
      <w:r>
        <w:t xml:space="preserve"> : seule spécialité active UROMITEXAN (Baxter Oncology) en forme injectable IV 100 mg/mL, usage hospitalier exclusif.</w:t>
      </w:r>
    </w:p>
    <w:p>
      <w:pPr>
        <w:pStyle w:val="ListBullet"/>
      </w:pPr>
      <w:r/>
      <w:r>
        <w:rPr>
          <w:b/>
        </w:rPr>
        <w:t>Expectorants</w:t>
      </w:r>
      <w:r>
        <w:t xml:space="preserve"> : marché en régression (FLUPEX seul actif, les autres formes — ENCOFLUIDE, PULMOFLUIDE, CAMPHOBIOTIC — étant non renouvelables ou retirées).</w:t>
      </w:r>
    </w:p>
    <w:p>
      <w:pPr>
        <w:pStyle w:val="ListBullet"/>
      </w:pPr>
      <w:r/>
      <w:r>
        <w:rPr>
          <w:b/>
        </w:rPr>
        <w:t>Spécialités retirées</w:t>
      </w:r>
      <w:r>
        <w:t xml:space="preserve"> : nombreuses spécialités retirées du marché algérien en raison d'évolutions réglementaires (retrait européen de la pholcodine en cours, retrait de la codéine chez l'enfant, retrait de la forme injectable de bromhexine BISOLVON, etc.) — le pharmacien doit être informé de ces retraits pour orienter le patient vers les alternatives actives.</w:t>
      </w:r>
    </w:p>
    <w:p>
      <w:pPr>
        <w:pStyle w:val="Heading3"/>
      </w:pPr>
      <w:r>
        <w:t>13.4. Conclusion</w:t>
      </w:r>
    </w:p>
    <w:p>
      <w:r>
        <w:t xml:space="preserve">Le chapitre 64 a couvert 8 DCI réparties en 6 sous-classes thérapeutiques, allant des </w:t>
      </w:r>
      <w:r>
        <w:rPr>
          <w:b/>
        </w:rPr>
        <w:t>mucolytiques</w:t>
      </w:r>
      <w:r>
        <w:t xml:space="preserve"> (NAC, carbocistéine, ambroxol, bromhexine, mesna) aux </w:t>
      </w:r>
      <w:r>
        <w:rPr>
          <w:b/>
        </w:rPr>
        <w:t>expectorants terpéniques</w:t>
      </w:r>
      <w:r>
        <w:t xml:space="preserve"> (guaifénésine + terpènes), en passant par les </w:t>
      </w:r>
      <w:r>
        <w:rPr>
          <w:b/>
        </w:rPr>
        <w:t>antitussifs opioïdes centraux</w:t>
      </w:r>
      <w:r>
        <w:t xml:space="preserve"> (pholcodine, dextrométhorphane). Cette diversité de classes et de mécanismes reflète la complexité de la prise en charge symptomatique de la toux et de l'encombrement bronchique, deux symptômes respiratoires parmi les plus fréquents en pratique de ville comme à l'hôpital. Le pharmacien d'officine algérien joue ici un rôle </w:t>
      </w:r>
      <w:r>
        <w:rPr>
          <w:b/>
        </w:rPr>
        <w:t>essentiel</w:t>
      </w:r>
      <w:r>
        <w:t xml:space="preserve"> de conseil, de dépistage et d'orientation : il est le </w:t>
      </w:r>
      <w:r>
        <w:rPr>
          <w:b/>
        </w:rPr>
        <w:t>premier interlocuteur</w:t>
      </w:r>
      <w:r>
        <w:t xml:space="preserve"> du patient pour la toux banale de bronchite aiguë, mais aussi le </w:t>
      </w:r>
      <w:r>
        <w:rPr>
          <w:b/>
        </w:rPr>
        <w:t>vigilant</w:t>
      </w:r>
      <w:r>
        <w:t xml:space="preserve"> qui détecte les signes d'alerte (toux productive, dyspnée, hémoptysie, toux chronique du fumeur) et oriente vers le médecin. Il est aussi le </w:t>
      </w:r>
      <w:r>
        <w:rPr>
          <w:b/>
        </w:rPr>
        <w:t>gardien</w:t>
      </w:r>
      <w:r>
        <w:t xml:space="preserve"> des bonnes prescriptions (pas d'antitussif sur toux productive, pas d'IMAO avec dextrométhorphane, pas d'anesthésie sous pholcodine). Cette responsabilité, exercée au quotidien, contribue à la sécurité d'usage des médicaments de la sphère respiratoire, en complément des traitements de fond de l'asthme et de la BPCO traités dans les chapitres précédents (61 bronchodilatateurs, 62 CSI et associations, 63 antileucotriènes/théophylline/anti-IgE).</w:t>
      </w:r>
    </w:p>
    <w:p>
      <w:pPr>
        <w:ind w:left="567"/>
      </w:pPr>
      <w:r>
        <w:rPr>
          <w:i/>
          <w:color w:val="606060"/>
        </w:rPr>
        <w:t>**Sources mobilisées** : VIDAL, ANSM (mises au point et recommandations : pholcodine 2011/2015/2023, codéine enfant 2015, ambroxol/bromhexine 2014), Thériaque, CRAT (Centre Renseignements sur les Agents Tératogènes), LactMed (NIH), HAS (recommandations toux de l'adulte 2018, bronchiolite nourrisson 2014), SPLF (Société de Pneumologie de Langue Française), GINA 2024, GOLD 2024, EMA PRAC (recommandations sur la pholcodine 2011, 2015, 2023), Cochrane (meta-analyses mucolytiques BPCO 2019, miel antitussif 2014), UpToDate, OMS, études pivots (BRONCUS NAC 2005, PEACE carbocistéine 2008, Samuelsson 1982 leucotriènes Nobel).</w:t>
      </w:r>
    </w:p>
    <w:p>
      <w:pPr>
        <w:pStyle w:val="Heading1"/>
      </w:pPr>
      <w:r>
        <w:t>Chapitre 65 — Antihistaminiques H1 (Allergies respiratoires, cutanées et rhume)</w:t>
      </w:r>
    </w:p>
    <w:p>
      <w:pPr>
        <w:ind w:left="567"/>
      </w:pPr>
      <w:r>
        <w:rPr>
          <w:i/>
          <w:color w:val="606060"/>
        </w:rPr>
        <w:t>**Fascicule VII — Pneumologie / Antiasthmatiques et pathologies respiratoires**</w:t>
      </w:r>
    </w:p>
    <w:p>
      <w:pPr>
        <w:ind w:left="567"/>
      </w:pPr>
      <w:r>
        <w:rPr>
          <w:i/>
          <w:color w:val="606060"/>
        </w:rPr>
        <w:t>*Sous-classes thérapeutiques : Antihistaminiques H1 – 2e génération (non sédatifs) : cétirizine, lévocétirizine, loratadine, desloratadine, fexofénadine, ébastine, bilastine, rupatadine ; Antihistaminiques H1 – 1re génération (sédatifs) : hydroxyzine ; Antihistaminiques H1 – 1re génération (phénothiazines) : prométhazine ; Antihistaminiques H1 – 1re génération (alkylamines) : dexchlorphéniramine ; Antihistaminiques H1 – 1re génération (éthanolamines) : doxylamine ; Antihistaminiques H1 – Associations rhume (décongestionnants) : phényléphrine + chlorphéniramine*</w:t>
      </w:r>
    </w:p>
    <w:p>
      <w:pPr>
        <w:ind w:left="567"/>
      </w:pPr>
      <w:r>
        <w:rPr>
          <w:i/>
          <w:color w:val="606060"/>
        </w:rPr>
        <w:t>*Nomenclature algérienne des médicaments — Avril 2026*</w:t>
      </w:r>
    </w:p>
    <w:p>
      <w:pPr>
        <w:pStyle w:val="Heading2"/>
      </w:pPr>
      <w:r>
        <w:t>Sommaire du chapitre</w:t>
      </w:r>
    </w:p>
    <w:p>
      <w:pPr>
        <w:pStyle w:val="ListNumber"/>
      </w:pPr>
      <w:r>
        <w:t>Vue d'ensemble des antihistaminiques H1</w:t>
      </w:r>
    </w:p>
    <w:p>
      <w:pPr>
        <w:pStyle w:val="ListNumber"/>
      </w:pPr>
      <w:r>
        <w:t>Introduction à la sous-classe des antihistaminiques H1 de 2e génération (non sédatifs)</w:t>
      </w:r>
    </w:p>
    <w:p>
      <w:pPr>
        <w:pStyle w:val="ListNumber"/>
      </w:pPr>
      <w:r>
        <w:t>Fiches DCI — 2e génération non sédatifs</w:t>
      </w:r>
    </w:p>
    <w:p>
      <w:pPr>
        <w:pStyle w:val="ListBullet"/>
      </w:pPr>
      <w:r>
        <w:t>1. Cétirizine</w:t>
      </w:r>
    </w:p>
    <w:p>
      <w:pPr>
        <w:pStyle w:val="ListBullet"/>
      </w:pPr>
      <w:r>
        <w:t>2. Lévocétirizine</w:t>
      </w:r>
    </w:p>
    <w:p>
      <w:pPr>
        <w:pStyle w:val="ListBullet"/>
      </w:pPr>
      <w:r>
        <w:t>3. Loratadine</w:t>
      </w:r>
    </w:p>
    <w:p>
      <w:pPr>
        <w:pStyle w:val="ListBullet"/>
      </w:pPr>
      <w:r>
        <w:t>4. Desloratadine</w:t>
      </w:r>
    </w:p>
    <w:p>
      <w:pPr>
        <w:pStyle w:val="ListBullet"/>
      </w:pPr>
      <w:r>
        <w:t>5. Fexofénadine</w:t>
      </w:r>
    </w:p>
    <w:p>
      <w:pPr>
        <w:pStyle w:val="ListBullet"/>
      </w:pPr>
      <w:r>
        <w:t>6. Ébastine</w:t>
      </w:r>
    </w:p>
    <w:p>
      <w:pPr>
        <w:pStyle w:val="ListBullet"/>
      </w:pPr>
      <w:r>
        <w:t>7. Bilastine</w:t>
      </w:r>
    </w:p>
    <w:p>
      <w:pPr>
        <w:pStyle w:val="ListBullet"/>
      </w:pPr>
      <w:r>
        <w:t>8. Rupatadine</w:t>
      </w:r>
    </w:p>
    <w:p>
      <w:pPr>
        <w:pStyle w:val="ListNumber"/>
      </w:pPr>
      <w:r>
        <w:t>Introduction à la sous-classe des antihistaminiques H1 de 1re génération (sédatifs)</w:t>
      </w:r>
    </w:p>
    <w:p>
      <w:pPr>
        <w:pStyle w:val="ListNumber"/>
      </w:pPr>
      <w:r>
        <w:t>Fiche DCI — 1re génération (sédatifs)</w:t>
      </w:r>
    </w:p>
    <w:p>
      <w:pPr>
        <w:pStyle w:val="ListBullet"/>
      </w:pPr>
      <w:r>
        <w:t>9. Hydroxyzine</w:t>
      </w:r>
    </w:p>
    <w:p>
      <w:pPr>
        <w:pStyle w:val="ListNumber"/>
      </w:pPr>
      <w:r>
        <w:t>Introduction à la sous-classe des antihistaminiques H1 de 1re génération (phénothiazines)</w:t>
      </w:r>
    </w:p>
    <w:p>
      <w:pPr>
        <w:pStyle w:val="ListNumber"/>
      </w:pPr>
      <w:r>
        <w:t>Fiche DCI — 1re génération (phénothiazines)</w:t>
      </w:r>
    </w:p>
    <w:p>
      <w:pPr>
        <w:pStyle w:val="ListBullet"/>
      </w:pPr>
      <w:r>
        <w:t>10. Prométhazine</w:t>
      </w:r>
    </w:p>
    <w:p>
      <w:pPr>
        <w:pStyle w:val="ListNumber"/>
      </w:pPr>
      <w:r>
        <w:t>Introduction à la sous-classe des antihistaminiques H1 de 1re génération (alkylamines)</w:t>
      </w:r>
    </w:p>
    <w:p>
      <w:pPr>
        <w:pStyle w:val="ListNumber"/>
      </w:pPr>
      <w:r>
        <w:t>Fiche DCI — 1re génération (alkylamines)</w:t>
      </w:r>
    </w:p>
    <w:p>
      <w:pPr>
        <w:pStyle w:val="ListBullet"/>
      </w:pPr>
      <w:r>
        <w:t>11. Dexchlorphéniramine</w:t>
      </w:r>
    </w:p>
    <w:p>
      <w:pPr>
        <w:pStyle w:val="ListNumber"/>
      </w:pPr>
      <w:r>
        <w:t>Introduction à la sous-classe des antihistaminiques H1 de 1re génération (éthanolamines)</w:t>
      </w:r>
    </w:p>
    <w:p>
      <w:pPr>
        <w:pStyle w:val="ListNumber"/>
      </w:pPr>
      <w:r>
        <w:t>Fiche DCI — 1re génération (éthanolamines)</w:t>
      </w:r>
    </w:p>
    <w:p>
      <w:pPr>
        <w:pStyle w:val="ListBullet"/>
      </w:pPr>
      <w:r>
        <w:t>12. Doxylamine</w:t>
      </w:r>
    </w:p>
    <w:p>
      <w:pPr>
        <w:pStyle w:val="ListNumber"/>
      </w:pPr>
      <w:r>
        <w:t>Introduction à la sous-classe des antihistaminiques H1 en associations rhume (décongestionnants)</w:t>
      </w:r>
    </w:p>
    <w:p>
      <w:pPr>
        <w:pStyle w:val="ListNumber"/>
      </w:pPr>
      <w:r>
        <w:t>Fiche DCI — Association rhume</w:t>
      </w:r>
    </w:p>
    <w:p>
      <w:pPr>
        <w:pStyle w:val="ListBullet"/>
      </w:pPr>
      <w:r>
        <w:t>13. Phényléphrine + Chlorphéniramine</w:t>
      </w:r>
    </w:p>
    <w:p>
      <w:pPr>
        <w:pStyle w:val="ListNumber"/>
      </w:pPr>
      <w:r>
        <w:t>Tableau comparatif synthétique des 13 DCI</w:t>
      </w:r>
    </w:p>
    <w:p>
      <w:pPr>
        <w:pStyle w:val="ListNumber"/>
      </w:pPr>
      <w:r>
        <w:t>Règles d'Or et points-clés au comptoir</w:t>
      </w:r>
    </w:p>
    <w:p>
      <w:pPr>
        <w:pStyle w:val="Heading2"/>
      </w:pPr>
      <w:r>
        <w:t>1. Vue d'ensemble des antihistaminiques H1</w:t>
      </w:r>
    </w:p>
    <w:p>
      <w:r>
        <w:t xml:space="preserve">Les chapitres précédents du Fascicule VII ont traité successivement les </w:t>
      </w:r>
      <w:r>
        <w:rPr>
          <w:b/>
        </w:rPr>
        <w:t>bronchodilatateurs</w:t>
      </w:r>
      <w:r>
        <w:t xml:space="preserve"> (Chapitre 61 : β2-mimétiques et anticholinergiques), les </w:t>
      </w:r>
      <w:r>
        <w:rPr>
          <w:b/>
        </w:rPr>
        <w:t>corticoïdes inhalés et leurs associations fixes</w:t>
      </w:r>
      <w:r>
        <w:t xml:space="preserve"> (Chapitre 62 : CSI, CSI+LABA, triples CSI+LABA+LAMA), les </w:t>
      </w:r>
      <w:r>
        <w:rPr>
          <w:b/>
        </w:rPr>
        <w:t>antileucotriènes, théophylline et anti-IgE</w:t>
      </w:r>
      <w:r>
        <w:t xml:space="preserve"> (Chapitre 63), les </w:t>
      </w:r>
      <w:r>
        <w:rPr>
          <w:b/>
        </w:rPr>
        <w:t>mucolytiques et antitussifs</w:t>
      </w:r>
      <w:r>
        <w:t xml:space="preserve"> (Chapitre 64) et les </w:t>
      </w:r>
      <w:r>
        <w:rPr>
          <w:b/>
        </w:rPr>
        <w:t>surfactants exogènes et traitements de l'HTAP</w:t>
      </w:r>
      <w:r>
        <w:t xml:space="preserve"> (Chapitre 66). Le présent chapitre 65 est dédié aux </w:t>
      </w:r>
      <w:r>
        <w:rPr>
          <w:b/>
        </w:rPr>
        <w:t>antihistaminiques H1</w:t>
      </w:r>
      <w:r>
        <w:t xml:space="preserve">, classe pharmacologique centrale dans la prise en charge des </w:t>
      </w:r>
      <w:r>
        <w:rPr>
          <w:b/>
        </w:rPr>
        <w:t>manifestations allergiques respiratoires</w:t>
      </w:r>
      <w:r>
        <w:t xml:space="preserve"> (rhinite allergique, rhino-conjonctivite), cutanées (urticaire, prurit, dermatite atopique) et des symptômes du </w:t>
      </w:r>
      <w:r>
        <w:rPr>
          <w:b/>
        </w:rPr>
        <w:t>rhume banal</w:t>
      </w:r>
      <w:r>
        <w:t xml:space="preserve"> (1re génération et associations décongestionnantes). Les antihistaminiques H1 sont l'une des classes médicamenteuses les plus prescrites au monde, et ils occupent une place particulièrement importante dans la pratique pharmaceutique algérienne, où la rhinite allergique touche environ 20 à 25 % de la population générale, avec une prédominance pédiatrique (30 à 40 % des enfants scolarisés selon les enquêtes ISAAC — International Study of Asthma and Allergies in Childhood).</w:t>
      </w:r>
    </w:p>
    <w:p>
      <w:pPr>
        <w:pStyle w:val="Heading3"/>
      </w:pPr>
      <w:r>
        <w:t>Physiologie des récepteurs H1 et de l'histamine</w:t>
      </w:r>
    </w:p>
    <w:p>
      <w:r>
        <w:t>L'</w:t>
      </w:r>
      <w:r>
        <w:rPr>
          <w:b/>
        </w:rPr>
        <w:t>histamine</w:t>
      </w:r>
      <w:r>
        <w:t xml:space="preserve"> (2-(1H-imidazol-4-yl)éthanamine) est une amine biogénique synthétisée à partir de la </w:t>
      </w:r>
      <w:r>
        <w:rPr>
          <w:b/>
        </w:rPr>
        <w:t>L-histidine</w:t>
      </w:r>
      <w:r>
        <w:t xml:space="preserve"> sous l'action de la </w:t>
      </w:r>
      <w:r>
        <w:rPr>
          <w:b/>
        </w:rPr>
        <w:t>histidine décarboxylase</w:t>
      </w:r>
      <w:r>
        <w:t xml:space="preserve"> (HDC), principalement stockée dans les </w:t>
      </w:r>
      <w:r>
        <w:rPr>
          <w:b/>
        </w:rPr>
        <w:t>granules sécrétoires des mastocytes</w:t>
      </w:r>
      <w:r>
        <w:t xml:space="preserve"> et des </w:t>
      </w:r>
      <w:r>
        <w:rPr>
          <w:b/>
        </w:rPr>
        <w:t>basophiles</w:t>
      </w:r>
      <w:r>
        <w:t xml:space="preserve">, où elle est complexée à l'héparine et à diverses protéases (tryptase, chymase). La dégranulation mastocytaire est déclenchée par la </w:t>
      </w:r>
      <w:r>
        <w:rPr>
          <w:b/>
        </w:rPr>
        <w:t>liaison de l'IgE au récepteur FcεRI</w:t>
      </w:r>
      <w:r>
        <w:t xml:space="preserve"> et l'agrégation de ce dernier en présence de l'allergène spécifique (pollens, acariens, phanères animales, venins, aliments, médicaments). La libération d'histamine est quasi-immédiate (réaction de </w:t>
      </w:r>
      <w:r>
        <w:rPr>
          <w:b/>
        </w:rPr>
        <w:t>phase immédiate</w:t>
      </w:r>
      <w:r>
        <w:t xml:space="preserve">, 15 à 30 minutes), suivie d'une </w:t>
      </w:r>
      <w:r>
        <w:rPr>
          <w:b/>
        </w:rPr>
        <w:t>phase tardive</w:t>
      </w:r>
      <w:r>
        <w:t xml:space="preserve"> (4 à 8 heures) dominée par la synthèse de leucotriènes (LTC4, LTD4, LTE4), prostaglandines (PGD2) et cytokines Th2 (IL-4, IL-5, IL-13).</w:t>
      </w:r>
    </w:p>
    <w:p>
      <w:r>
        <w:t xml:space="preserve">Les </w:t>
      </w:r>
      <w:r>
        <w:rPr>
          <w:b/>
        </w:rPr>
        <w:t>récepteurs à l'histamine</w:t>
      </w:r>
      <w:r>
        <w:t xml:space="preserve"> appartiennent à la super-famille des récepteurs couplés aux protéines G (RCPG) à sept domaines transmembranaires. Quatre sous-types sont décrits :</w:t>
      </w:r>
    </w:p>
    <w:p>
      <w:pPr>
        <w:pStyle w:val="ListBullet"/>
      </w:pPr>
      <w:r/>
      <w:r>
        <w:rPr>
          <w:b/>
        </w:rPr>
        <w:t>Récepteur H1</w:t>
      </w:r>
      <w:r>
        <w:t xml:space="preserve"> (couplé Gq/11) : exprimé sur les cellules endothéliales, les cellules musculaires lisses bronchiques et vasculaires, les neurones sensitifs, les cellules gliales. Son activation provoque une </w:t>
      </w:r>
      <w:r>
        <w:rPr>
          <w:b/>
        </w:rPr>
        <w:t>vasodilatation</w:t>
      </w:r>
      <w:r>
        <w:t xml:space="preserve"> (libération de NO endothélial), une augmentation de la </w:t>
      </w:r>
      <w:r>
        <w:rPr>
          <w:b/>
        </w:rPr>
        <w:t>perméabilité vasculaire</w:t>
      </w:r>
      <w:r>
        <w:t xml:space="preserve"> (rétraction des cellules endothéliales, ouverture des jonctions serrées), une </w:t>
      </w:r>
      <w:r>
        <w:rPr>
          <w:b/>
        </w:rPr>
        <w:t>bronchoconstriction</w:t>
      </w:r>
      <w:r>
        <w:t xml:space="preserve"> (contraction des CML bronchiques via la cascade Gq → PLC → IP3 → Ca2+ → MLCK), une stimulation des terminaisons nerveuses sensitives (prurit, douleur, éternuement), et une activation centrale (vigilance, nausées). Le récepteur H1 est la cible thérapeutique des antihistaminiques H1.</w:t>
      </w:r>
    </w:p>
    <w:p>
      <w:pPr>
        <w:pStyle w:val="ListBullet"/>
      </w:pPr>
      <w:r/>
      <w:r>
        <w:rPr>
          <w:b/>
        </w:rPr>
        <w:t>Récepteur H2</w:t>
      </w:r>
      <w:r>
        <w:t xml:space="preserve"> (couplé Gs/AMPc) : exprimé sur les cellules pariétales gastriques (sécrétion acide), les cellules cardiaques (chronotrope +, inotrope +), les cellules immunitaires. Cible des anti-H2 (ranitidine, famotidine — cf. Fascicule VI).</w:t>
      </w:r>
    </w:p>
    <w:p>
      <w:pPr>
        <w:pStyle w:val="ListBullet"/>
      </w:pPr>
      <w:r/>
      <w:r>
        <w:rPr>
          <w:b/>
        </w:rPr>
        <w:t>Récepteur H3</w:t>
      </w:r>
      <w:r>
        <w:t xml:space="preserve"> (couplé Gi/o, autorécepteur présynaptique) : exprimé sur les terminaisons nerveuses centrales et périphériques. Régule négativement la libération d'histamine, de neurotransmetteurs (acétylcholine, noradrénaline, dopamine, sérotonine). Cible émergente dans la narcolepsie (pitolisant).</w:t>
      </w:r>
    </w:p>
    <w:p>
      <w:pPr>
        <w:pStyle w:val="ListBullet"/>
      </w:pPr>
      <w:r/>
      <w:r>
        <w:rPr>
          <w:b/>
        </w:rPr>
        <w:t>Récepteur H4</w:t>
      </w:r>
      <w:r>
        <w:t xml:space="preserve"> (couplé Gi/o) : exprimé sur les cellules hématopoïétiques (mastocytes, basophiles, éosinophiles, cellules dendritiques, lymphocytes Th2). Impliqué dans le chimiotactisme éosinophilique et la régulation de la réponse Th2. Cible thérapeutique en développement.</w:t>
      </w:r>
    </w:p>
    <w:p>
      <w:pPr>
        <w:pStyle w:val="Heading3"/>
      </w:pPr>
      <w:r>
        <w:t>Classification structurale et historique</w:t>
      </w:r>
    </w:p>
    <w:p>
      <w:r>
        <w:t xml:space="preserve">Les antihistaminiques H1 sont classés en </w:t>
      </w:r>
      <w:r>
        <w:rPr>
          <w:b/>
        </w:rPr>
        <w:t>deux générations</w:t>
      </w:r>
      <w:r>
        <w:t xml:space="preserve"> selon leur profil de tolérance centrale (sédation) et leurs propriétés anticholinergiques (atropiniques) :</w:t>
      </w:r>
    </w:p>
    <w:p>
      <w:pPr>
        <w:pStyle w:val="ListBullet"/>
      </w:pPr>
      <w:r/>
      <w:r>
        <w:rPr>
          <w:b/>
        </w:rPr>
        <w:t>1re génération (sédatifs)</w:t>
      </w:r>
      <w:r>
        <w:t xml:space="preserve"> : ce sont les premiers antihistaminiques développés, à partir des années 1940 (phénothiazines : prométhazine 1946 — Rhône-Poulenc ; éthanolamines : diphénhydramine 1946 ; alkylamines : chlorphéniramine 1949 ; pipérazines : hydroxyzine 1956, cyclizine ; éthylènediamines : mepyramine/pyrilamine). Leur structure chimique est </w:t>
      </w:r>
      <w:r>
        <w:rPr>
          <w:b/>
        </w:rPr>
        <w:t>liposoluble</w:t>
      </w:r>
      <w:r>
        <w:t xml:space="preserve">, ce qui leur permet de </w:t>
      </w:r>
      <w:r>
        <w:rPr>
          <w:b/>
        </w:rPr>
        <w:t>traverser la barrière hémato-encéphalique (BBB)</w:t>
      </w:r>
      <w:r>
        <w:t xml:space="preserve"> et de se lier aux récepteurs H1 centraux (vigilance, nausées) mais aussi aux récepteurs </w:t>
      </w:r>
      <w:r>
        <w:rPr>
          <w:b/>
        </w:rPr>
        <w:t>muscariniques M1-M3</w:t>
      </w:r>
      <w:r>
        <w:t xml:space="preserve"> (effets atropiniques : sécheresse buccale, mydriase, rétention urinaire, tachycardie, troubles cognitifs), aux </w:t>
      </w:r>
      <w:r>
        <w:rPr>
          <w:b/>
        </w:rPr>
        <w:t>récepteurs α1-adrénergiques</w:t>
      </w:r>
      <w:r>
        <w:t xml:space="preserve"> (hypotension orthostatique), aux </w:t>
      </w:r>
      <w:r>
        <w:rPr>
          <w:b/>
        </w:rPr>
        <w:t>canaux sodiques</w:t>
      </w:r>
      <w:r>
        <w:t xml:space="preserve"> (allongement QT — notamment hydroxyzine), et aux </w:t>
      </w:r>
      <w:r>
        <w:rPr>
          <w:b/>
        </w:rPr>
        <w:t>récepteurs sérotoninergiques 5-HT2A</w:t>
      </w:r>
      <w:r>
        <w:t xml:space="preserve"> (effet antiémétique). Ils sont aujourd'hui </w:t>
      </w:r>
      <w:r>
        <w:rPr>
          <w:b/>
        </w:rPr>
        <w:t>déconseillés en première intention</w:t>
      </w:r>
      <w:r>
        <w:t xml:space="preserve"> dans la rhinite allergique et l'urticaire, mais gardent des indications spécifiques : </w:t>
      </w:r>
      <w:r>
        <w:rPr>
          <w:b/>
        </w:rPr>
        <w:t>hydroxyzine</w:t>
      </w:r>
      <w:r>
        <w:t xml:space="preserve"> dans l'anxiété et le prurit (sous surveillance QT stricte selon ANSM 2015), </w:t>
      </w:r>
      <w:r>
        <w:rPr>
          <w:b/>
        </w:rPr>
        <w:t>prométhazine</w:t>
      </w:r>
      <w:r>
        <w:t xml:space="preserve"> dans la prévention du </w:t>
      </w:r>
      <w:r>
        <w:rPr>
          <w:b/>
        </w:rPr>
        <w:t>mal des transports</w:t>
      </w:r>
      <w:r>
        <w:t xml:space="preserve"> et comme </w:t>
      </w:r>
      <w:r>
        <w:rPr>
          <w:b/>
        </w:rPr>
        <w:t>antiémétique/sédatif</w:t>
      </w:r>
      <w:r>
        <w:t xml:space="preserve"> péri-opératoire (CI absolue enfant &lt; 2 ans), </w:t>
      </w:r>
      <w:r>
        <w:rPr>
          <w:b/>
        </w:rPr>
        <w:t>doxylamine</w:t>
      </w:r>
      <w:r>
        <w:t xml:space="preserve"> comme </w:t>
      </w:r>
      <w:r>
        <w:rPr>
          <w:b/>
        </w:rPr>
        <w:t>antiémétique de la grossesse</w:t>
      </w:r>
      <w:r>
        <w:t xml:space="preserve"> (association à pyridoxine, XXX™), </w:t>
      </w:r>
      <w:r>
        <w:rPr>
          <w:b/>
        </w:rPr>
        <w:t>dexchlorphéniramine</w:t>
      </w:r>
      <w:r>
        <w:t xml:space="preserve"> dans l'urticaire aiguë et les allergies médicamenteuses.</w:t>
      </w:r>
    </w:p>
    <w:p>
      <w:pPr>
        <w:pStyle w:val="ListBullet"/>
      </w:pPr>
      <w:r/>
      <w:r>
        <w:rPr>
          <w:b/>
        </w:rPr>
        <w:t>2e génération (non sédatifs)</w:t>
      </w:r>
      <w:r>
        <w:t xml:space="preserve"> : développés à partir des années 1980 pour réduire les effets centraux et atropiniques. Leur structure chimique est </w:t>
      </w:r>
      <w:r>
        <w:rPr>
          <w:b/>
        </w:rPr>
        <w:t>hydrosoluble</w:t>
      </w:r>
      <w:r>
        <w:t xml:space="preserve"> (polarité accrue par groupement carboxylique, fumarate ou furoate), ce qui limite leur passage de la BBB. Ils ont également une </w:t>
      </w:r>
      <w:r>
        <w:rPr>
          <w:b/>
        </w:rPr>
        <w:t>affinité réduite pour les récepteurs muscariniques</w:t>
      </w:r>
      <w:r>
        <w:t xml:space="preserve"> et cardiaques. Cependant, certains d'entre eux (terfénadine, astémizole) ont été retirés du marché dans les années 1990 en raison d'un </w:t>
      </w:r>
      <w:r>
        <w:rPr>
          <w:b/>
        </w:rPr>
        <w:t>allongement QT</w:t>
      </w:r>
      <w:r>
        <w:t xml:space="preserve"> et de cas de </w:t>
      </w:r>
      <w:r>
        <w:rPr>
          <w:b/>
        </w:rPr>
        <w:t>torsades de pointe</w:t>
      </w:r>
      <w:r>
        <w:t xml:space="preserve"> (torsadogènes, surtout en surdosage, en association avec des inhibiteurs du CYP3A4 comme le kétoconazole ou l'érythromycine, ou en insuffisance hépatique). La </w:t>
      </w:r>
      <w:r>
        <w:rPr>
          <w:b/>
        </w:rPr>
        <w:t>fexofénadine</w:t>
      </w:r>
      <w:r>
        <w:t xml:space="preserve"> (métabolite actif de la terfénadine, dépourvu de toxicité cardiaque) a remplacé cette dernière. Les 2e génération modernes (cétirizine, lévocétirizine, loratadine, desloratadine, fexofénadine, ébastine, bilastine, rupatadine) ont un profil de sécurité cardiaque rassurant aux doses recommandées et sont compatibles avec la conduite automobile et les activités professionnelles.</w:t>
      </w:r>
    </w:p>
    <w:p>
      <w:pPr>
        <w:pStyle w:val="Heading3"/>
      </w:pPr>
      <w:r>
        <w:t>Indications principales</w:t>
      </w:r>
    </w:p>
    <w:p>
      <w:pPr>
        <w:pStyle w:val="ListBullet"/>
      </w:pPr>
      <w:r/>
      <w:r>
        <w:rPr>
          <w:b/>
        </w:rPr>
        <w:t>Rhinite allergique</w:t>
      </w:r>
      <w:r>
        <w:t xml:space="preserve"> (saisonnière — pollens — ou perannuelle — acariens, phanères animales) : traitement symptomatique de 1re intention, en monothérapie dans les formes légères (score ARIA : &lt; 4 sur 12) ou en association aux corticoïdes nasaux dans les formes modérées à sévères (cf. Chapitre 62 — budésonide, fluticasone, mométasone nasaux).</w:t>
      </w:r>
    </w:p>
    <w:p>
      <w:pPr>
        <w:pStyle w:val="ListBullet"/>
      </w:pPr>
      <w:r/>
      <w:r>
        <w:rPr>
          <w:b/>
        </w:rPr>
        <w:t>Conjonctivite allergique</w:t>
      </w:r>
      <w:r>
        <w:t xml:space="preserve"> : prick, conjonctivite aiguë, kérato-conjonctivite vernale.</w:t>
      </w:r>
    </w:p>
    <w:p>
      <w:pPr>
        <w:pStyle w:val="ListBullet"/>
      </w:pPr>
      <w:r/>
      <w:r>
        <w:rPr>
          <w:b/>
        </w:rPr>
        <w:t>Urticaire</w:t>
      </w:r>
      <w:r>
        <w:t xml:space="preserve"> : aiguë, chronique spontanée (UCS &gt; 6 semaines), urticaire physique (dermographisme, urticaire au froid, cholinergique), angio-œdème histaminique. La HAS recommande la 2e génération en 1re intention, jusqu'à 4× la dose habituelle en 2e intention, puis passage à l'omalizumab (cf. Chapitre 63) en 3e intention dans l'urticaire chronique résistante.</w:t>
      </w:r>
    </w:p>
    <w:p>
      <w:pPr>
        <w:pStyle w:val="ListBullet"/>
      </w:pPr>
      <w:r/>
      <w:r>
        <w:rPr>
          <w:b/>
        </w:rPr>
        <w:t>Prurit</w:t>
      </w:r>
      <w:r>
        <w:t xml:space="preserve"> : dermatite atopique (en traitement adjuvant), eczéma de contact, prurit non spécifique, varicelle.</w:t>
      </w:r>
    </w:p>
    <w:p>
      <w:pPr>
        <w:pStyle w:val="ListBullet"/>
      </w:pPr>
      <w:r/>
      <w:r>
        <w:rPr>
          <w:b/>
        </w:rPr>
        <w:t>Allergies médicamenteuses</w:t>
      </w:r>
      <w:r>
        <w:t xml:space="preserve"> : réactions cutanées histaminiques (prurit, urticaire) bénignes à modérées (les formes graves — DRESS, Stevens-Johnson/Lyell, anaphylaxie — relèvent de l'urgence hospitalière et de l'adrénaline).</w:t>
      </w:r>
    </w:p>
    <w:p>
      <w:pPr>
        <w:pStyle w:val="ListBullet"/>
      </w:pPr>
      <w:r/>
      <w:r>
        <w:rPr>
          <w:b/>
        </w:rPr>
        <w:t>Rhume banal</w:t>
      </w:r>
      <w:r>
        <w:t xml:space="preserve"> (1re génération + associations décongestionnantes) : traitement symptomatique de la rhinite virale (éternuements, rhinorrhée, obstruction nasale) chez l'adulte et l'enfant de plus de 2 ans (attention CI absolue enfant &lt; 2 ans pour la prométhazine, risque de mort subite).</w:t>
      </w:r>
    </w:p>
    <w:p>
      <w:pPr>
        <w:pStyle w:val="ListBullet"/>
      </w:pPr>
      <w:r/>
      <w:r>
        <w:rPr>
          <w:b/>
        </w:rPr>
        <w:t>Mal des transports</w:t>
      </w:r>
      <w:r>
        <w:t xml:space="preserve"> (cinétose) : prométhazine en prévention et curatif.</w:t>
      </w:r>
    </w:p>
    <w:p>
      <w:pPr>
        <w:pStyle w:val="ListBullet"/>
      </w:pPr>
      <w:r/>
      <w:r>
        <w:rPr>
          <w:b/>
        </w:rPr>
        <w:t>Nausées et vomissements</w:t>
      </w:r>
      <w:r>
        <w:t xml:space="preserve"> : prométhazine (antiémétique), doxylamine + pyridoxine (hyperemesis gravidarum).</w:t>
      </w:r>
    </w:p>
    <w:p>
      <w:pPr>
        <w:pStyle w:val="ListBullet"/>
      </w:pPr>
      <w:r/>
      <w:r>
        <w:rPr>
          <w:b/>
        </w:rPr>
        <w:t>Anxiété et prurit</w:t>
      </w:r>
      <w:r>
        <w:t xml:space="preserve"> : hydroxyzine (anxiolytique léger et antihistaminique ; restriction 100 mg/jour max ANSM 2015 pour allongement QT).</w:t>
      </w:r>
    </w:p>
    <w:p>
      <w:pPr>
        <w:pStyle w:val="ListBullet"/>
      </w:pPr>
      <w:r/>
      <w:r>
        <w:rPr>
          <w:b/>
        </w:rPr>
        <w:t>Insomnie</w:t>
      </w:r>
      <w:r>
        <w:t xml:space="preserve"> (1re génération) : doxylamine (DORLAMINE, SULAMINE) — usage court (≤ 5 jours) en automédication.</w:t>
      </w:r>
    </w:p>
    <w:p>
      <w:pPr>
        <w:pStyle w:val="Heading3"/>
      </w:pPr>
      <w:r>
        <w:t>Place dans la stratégie thérapeutique</w:t>
      </w:r>
    </w:p>
    <w:p>
      <w:r>
        <w:t xml:space="preserve">Selon les recommandations </w:t>
      </w:r>
      <w:r>
        <w:rPr>
          <w:b/>
        </w:rPr>
        <w:t>ARIA 2010</w:t>
      </w:r>
      <w:r>
        <w:t xml:space="preserve"> (Allergic Rhinitis and its Impact on Asthma — mise à jour ARIA 2021, Bousquet et al.) et le </w:t>
      </w:r>
      <w:r>
        <w:rPr>
          <w:b/>
        </w:rPr>
        <w:t>GINA 2024</w:t>
      </w:r>
      <w:r>
        <w:t xml:space="preserve"> :</w:t>
      </w:r>
    </w:p>
    <w:p>
      <w:pPr>
        <w:pStyle w:val="ListBullet"/>
      </w:pPr>
      <w:r/>
      <w:r>
        <w:rPr>
          <w:b/>
        </w:rPr>
        <w:t>Rhinite allergique légère</w:t>
      </w:r>
      <w:r>
        <w:t xml:space="preserve"> : antihistaminique H1 oral de 2e génération en 1re intention, ou corticoïde nasal seul si obstruction nasale prédominante.</w:t>
      </w:r>
    </w:p>
    <w:p>
      <w:pPr>
        <w:pStyle w:val="ListBullet"/>
      </w:pPr>
      <w:r/>
      <w:r>
        <w:rPr>
          <w:b/>
        </w:rPr>
        <w:t>Rhinite allergique modérée à sévère</w:t>
      </w:r>
      <w:r>
        <w:t xml:space="preserve"> : </w:t>
      </w:r>
      <w:r>
        <w:rPr>
          <w:b/>
        </w:rPr>
        <w:t>association</w:t>
      </w:r>
      <w:r>
        <w:t xml:space="preserve"> antihistaminique H1 oral 2e génération + corticoïde nasal (effet additif sur l'obstruction nasale et la rhinorrhée). Le combo est supérieur à chacune des monothérapies.</w:t>
      </w:r>
    </w:p>
    <w:p>
      <w:pPr>
        <w:pStyle w:val="ListBullet"/>
      </w:pPr>
      <w:r/>
      <w:r>
        <w:rPr>
          <w:b/>
        </w:rPr>
        <w:t>Asthme allergique</w:t>
      </w:r>
      <w:r>
        <w:t xml:space="preserve"> : l'antihistaminique H1 n'a pas d'effet sur les symptômes bronchiques (pas d'effet bronchodilatateur), mais peut réduire la composante rhinitique associée (« une voie, une maladie » — ARIA/GINA).</w:t>
      </w:r>
    </w:p>
    <w:p>
      <w:pPr>
        <w:pStyle w:val="ListBullet"/>
      </w:pPr>
      <w:r/>
      <w:r>
        <w:rPr>
          <w:b/>
        </w:rPr>
        <w:t>Urticaire chronique</w:t>
      </w:r>
      <w:r>
        <w:t xml:space="preserve"> : antihistaminique H1 2e génération en 1re intention (jusqu'à 4× la dose en 2e intention — sous surveillance médicale) ; omalizumab en 3e intention (cf. Chapitre 63).</w:t>
      </w:r>
    </w:p>
    <w:p>
      <w:pPr>
        <w:pStyle w:val="ListBullet"/>
      </w:pPr>
      <w:r/>
      <w:r>
        <w:rPr>
          <w:b/>
        </w:rPr>
        <w:t>Anaphylaxie</w:t>
      </w:r>
      <w:r>
        <w:t xml:space="preserve"> : l'antihistaminique H1 n'est pas un traitement de l'anaphylaxie (le traitement de 1re ligne est l'</w:t>
      </w:r>
      <w:r>
        <w:rPr>
          <w:b/>
        </w:rPr>
        <w:t>adrénaline IM</w:t>
      </w:r>
      <w:r>
        <w:t>). Il peut être administré en complément après adrénaline pour soulager l'urticaire et le prurit résiduels.</w:t>
      </w:r>
    </w:p>
    <w:p>
      <w:pPr>
        <w:pStyle w:val="Heading3"/>
      </w:pPr>
      <w:r>
        <w:t>Objectifs pédagogiques</w:t>
      </w:r>
    </w:p>
    <w:p>
      <w:r>
        <w:t>Ce chapitre a pour objectif de fournir au pharmacien d'officine algérien les compétences nécessaires pour :</w:t>
      </w:r>
    </w:p>
    <w:p>
      <w:pPr>
        <w:pStyle w:val="ListBullet"/>
      </w:pPr>
      <w:r/>
      <w:r>
        <w:rPr>
          <w:b/>
        </w:rPr>
        <w:t>Dispenser</w:t>
      </w:r>
      <w:r>
        <w:t xml:space="preserve"> les 13 DCI d'antihistaminiques H1 disponibles dans la nomenclature algérienne Avril 2026 (8 DCI de 2e génération, 4 DCI de 1re génération, 1 association fixe pour le rhume).</w:t>
      </w:r>
    </w:p>
    <w:p>
      <w:pPr>
        <w:pStyle w:val="ListBullet"/>
      </w:pPr>
      <w:r/>
      <w:r>
        <w:rPr>
          <w:b/>
        </w:rPr>
        <w:t>Différencier</w:t>
      </w:r>
      <w:r>
        <w:t xml:space="preserve"> les 2e génération (non sédatifs, préférés en première intention dans la rhinite allergique et l'urticaire) des 1re génération (sédatifs, à réserver à des indications spécifiques : mal des transports, insomnie, anxiété, prurit, antiémétique grossesse).</w:t>
      </w:r>
    </w:p>
    <w:p>
      <w:pPr>
        <w:pStyle w:val="ListBullet"/>
      </w:pPr>
      <w:r/>
      <w:r>
        <w:rPr>
          <w:b/>
        </w:rPr>
        <w:t>Détecter</w:t>
      </w:r>
      <w:r>
        <w:t xml:space="preserve"> les contre-indications majeures : allongement QT (hydroxyzine ANSM 2015 — restriction 100 mg/jour max), enfant &lt; 2 ans (prométhazine — risque de mort subite), glaucome à angle fermé et hypertrophie bénigne de la prostate (effets atropiniques des 1re génération).</w:t>
      </w:r>
    </w:p>
    <w:p>
      <w:pPr>
        <w:pStyle w:val="ListBullet"/>
      </w:pPr>
      <w:r/>
      <w:r>
        <w:rPr>
          <w:b/>
        </w:rPr>
        <w:t>Counseling patient</w:t>
      </w:r>
      <w:r>
        <w:t xml:space="preserve"> : moment de prise (2e génération le matin, 1re génération le soir), conduite automobile (2e génération compatibles, 1re génération interdite), durée (5 à 14 jours selon indication), alcool à éviter avec 1re génération.</w:t>
      </w:r>
    </w:p>
    <w:p>
      <w:pPr>
        <w:pStyle w:val="ListBullet"/>
      </w:pPr>
      <w:r/>
      <w:r>
        <w:rPr>
          <w:b/>
        </w:rPr>
        <w:t>Surveiller</w:t>
      </w:r>
      <w:r>
        <w:t xml:space="preserve"> les interactions critiques : hydroxyzine + allongeurs QT (CI absolue ANSM 2015), 1re génération + alcool/sédatifs/IMAO, fexofénadine + kétoconazole/érythromycine (augmentation des taux), 1re génération + IMAO (potentialisation hypertensive et sédative).</w:t>
      </w:r>
    </w:p>
    <w:p>
      <w:pPr>
        <w:pStyle w:val="Heading3"/>
      </w:pPr>
      <w:r>
        <w:t>Particularités de la nomenclature algérienne</w:t>
      </w:r>
    </w:p>
    <w:p>
      <w:pPr>
        <w:pStyle w:val="ListBullet"/>
      </w:pPr>
      <w:r/>
      <w:r>
        <w:rPr>
          <w:b/>
        </w:rPr>
        <w:t>Marché très fragmenté</w:t>
      </w:r>
      <w:r>
        <w:t xml:space="preserve"> en 2e génération : la </w:t>
      </w:r>
      <w:r>
        <w:rPr>
          <w:b/>
        </w:rPr>
        <w:t>cétirizine</w:t>
      </w:r>
      <w:r>
        <w:t xml:space="preserve"> compte 22 spécialités actives (11 comprimés pelliculés 10 mg + 11 solutions buvables en gouttes 10 mg/mL) ; la </w:t>
      </w:r>
      <w:r>
        <w:rPr>
          <w:b/>
        </w:rPr>
        <w:t>loratadine</w:t>
      </w:r>
      <w:r>
        <w:t xml:space="preserve"> compte 17 spécialités actives (15 comprimés pelliculés 10 mg + 4 sirops 1 mg/mL) ; la </w:t>
      </w:r>
      <w:r>
        <w:rPr>
          <w:b/>
        </w:rPr>
        <w:t>desloratadine</w:t>
      </w:r>
      <w:r>
        <w:t xml:space="preserve"> compte 17 spécialités actives (15 comprimés pelliculés 5 mg + 8 sirops 0,5 mg/mL) ; la </w:t>
      </w:r>
      <w:r>
        <w:rPr>
          <w:b/>
        </w:rPr>
        <w:t>fexofénadine</w:t>
      </w:r>
      <w:r>
        <w:t xml:space="preserve"> compte 12 spécialités actives (comprimés pelliculés 120 mg et 180 mg + suspension buvable 30 mg/5 mL).</w:t>
      </w:r>
    </w:p>
    <w:p>
      <w:pPr>
        <w:pStyle w:val="ListBullet"/>
      </w:pPr>
      <w:r/>
      <w:r>
        <w:rPr>
          <w:b/>
        </w:rPr>
        <w:t>2e génération récentes</w:t>
      </w:r>
      <w:r>
        <w:t xml:space="preserve"> disponibles : </w:t>
      </w:r>
      <w:r>
        <w:rPr>
          <w:b/>
        </w:rPr>
        <w:t>lévocétirizine</w:t>
      </w:r>
      <w:r>
        <w:t xml:space="preserve"> (9 marques génériques), </w:t>
      </w:r>
      <w:r>
        <w:rPr>
          <w:b/>
        </w:rPr>
        <w:t>bilastine</w:t>
      </w:r>
      <w:r>
        <w:t xml:space="preserve"> (2 marques princeps BILAXTEN Hikma + BILASTA Saidal), </w:t>
      </w:r>
      <w:r>
        <w:rPr>
          <w:b/>
        </w:rPr>
        <w:t>rupatadine</w:t>
      </w:r>
      <w:r>
        <w:t xml:space="preserve"> (1 seule marque ROPAP El Kendi), </w:t>
      </w:r>
      <w:r>
        <w:rPr>
          <w:b/>
        </w:rPr>
        <w:t>ébastine</w:t>
      </w:r>
      <w:r>
        <w:t xml:space="preserve"> (1 seule marque EBASTA Merinal).</w:t>
      </w:r>
    </w:p>
    <w:p>
      <w:pPr>
        <w:pStyle w:val="ListBullet"/>
      </w:pPr>
      <w:r/>
      <w:r>
        <w:rPr>
          <w:b/>
        </w:rPr>
        <w:t>1re génération historiques</w:t>
      </w:r>
      <w:r>
        <w:t xml:space="preserve"> : </w:t>
      </w:r>
      <w:r>
        <w:rPr>
          <w:b/>
        </w:rPr>
        <w:t>hydroxyzine</w:t>
      </w:r>
      <w:r>
        <w:t xml:space="preserve"> (ATARAX princeps UCB + 5 génériques actifs), </w:t>
      </w:r>
      <w:r>
        <w:rPr>
          <w:b/>
        </w:rPr>
        <w:t>prométhazine</w:t>
      </w:r>
      <w:r>
        <w:t xml:space="preserve"> (PHENERGAN retiré ; PRANOK seule marque active en injectable 50 mg), </w:t>
      </w:r>
      <w:r>
        <w:rPr>
          <w:b/>
        </w:rPr>
        <w:t>dexchlorphéniramine</w:t>
      </w:r>
      <w:r>
        <w:t xml:space="preserve"> (POLARAMINE princeps Schering-Plough retiré ; 5 génériques actifs en sirop + HISTAGAN cp), </w:t>
      </w:r>
      <w:r>
        <w:rPr>
          <w:b/>
        </w:rPr>
        <w:t>doxylamine</w:t>
      </w:r>
      <w:r>
        <w:t xml:space="preserve"> (DORLAMINE + SULAMINE sirops actifs).</w:t>
      </w:r>
    </w:p>
    <w:p>
      <w:pPr>
        <w:pStyle w:val="ListBullet"/>
      </w:pPr>
      <w:r/>
      <w:r>
        <w:rPr>
          <w:b/>
        </w:rPr>
        <w:t>Association rhume</w:t>
      </w:r>
      <w:r>
        <w:t xml:space="preserve"> : seule GRIPEX (phényléphrine 10 mg + chlorphéniramine 4 mg, gélule LP, Pharmalliance) est active.</w:t>
      </w:r>
    </w:p>
    <w:p>
      <w:pPr>
        <w:pStyle w:val="ListBullet"/>
      </w:pPr>
      <w:r/>
      <w:r>
        <w:rPr>
          <w:b/>
        </w:rPr>
        <w:t>Spécialités retirées</w:t>
      </w:r>
      <w:r>
        <w:t xml:space="preserve"> : nombreuses (CLARITYNE, ZYRTEC, TELFAST 30 mg, VIRLIX, PHENERGAN cp/sirop/inj, POLARAMINE cp/LP/sirop/inj, CALMIZINE sirop, HISTAZIN cp/sirop) — information importante pour l'orientation du patient vers les alternatives génériques actives.</w:t>
      </w:r>
    </w:p>
    <w:p>
      <w:pPr>
        <w:pStyle w:val="Heading3"/>
      </w:pPr>
      <w:r>
        <w:t>Plan du chapitre</w:t>
      </w:r>
    </w:p>
    <w:p>
      <w:r>
        <w:t>Le chapitre traite successivement :</w:t>
      </w:r>
    </w:p>
    <w:p>
      <w:pPr>
        <w:pStyle w:val="ListNumber"/>
      </w:pPr>
      <w:r>
        <w:t xml:space="preserve">La </w:t>
      </w:r>
      <w:r>
        <w:rPr>
          <w:b/>
        </w:rPr>
        <w:t>2e génération non sédatifs</w:t>
      </w:r>
      <w:r>
        <w:t xml:space="preserve"> (8 DCI) — cétirizine, lévocétirizine, loratadine, desloratadine, fexofénadine, ébastine, bilastine, rupatadine ;</w:t>
      </w:r>
    </w:p>
    <w:p>
      <w:pPr>
        <w:pStyle w:val="ListNumber"/>
      </w:pPr>
      <w:r>
        <w:t xml:space="preserve">La </w:t>
      </w:r>
      <w:r>
        <w:rPr>
          <w:b/>
        </w:rPr>
        <w:t>1re génération sédatifs</w:t>
      </w:r>
      <w:r>
        <w:t xml:space="preserve"> (1 DCI) — hydroxyzine ;</w:t>
      </w:r>
    </w:p>
    <w:p>
      <w:pPr>
        <w:pStyle w:val="ListNumber"/>
      </w:pPr>
      <w:r>
        <w:t xml:space="preserve">La </w:t>
      </w:r>
      <w:r>
        <w:rPr>
          <w:b/>
        </w:rPr>
        <w:t>1re génération phénothiazines</w:t>
      </w:r>
      <w:r>
        <w:t xml:space="preserve"> (1 DCI) — prométhazine ;</w:t>
      </w:r>
    </w:p>
    <w:p>
      <w:pPr>
        <w:pStyle w:val="ListNumber"/>
      </w:pPr>
      <w:r>
        <w:t xml:space="preserve">La </w:t>
      </w:r>
      <w:r>
        <w:rPr>
          <w:b/>
        </w:rPr>
        <w:t>1re génération alkylamines</w:t>
      </w:r>
      <w:r>
        <w:t xml:space="preserve"> (1 DCI) — dexchlorphéniramine ;</w:t>
      </w:r>
    </w:p>
    <w:p>
      <w:pPr>
        <w:pStyle w:val="ListNumber"/>
      </w:pPr>
      <w:r>
        <w:t xml:space="preserve">La </w:t>
      </w:r>
      <w:r>
        <w:rPr>
          <w:b/>
        </w:rPr>
        <w:t>1re génération éthanolamines</w:t>
      </w:r>
      <w:r>
        <w:t xml:space="preserve"> (1 DCI) — doxylamine ;</w:t>
      </w:r>
    </w:p>
    <w:p>
      <w:pPr>
        <w:pStyle w:val="ListNumber"/>
      </w:pPr>
      <w:r>
        <w:t xml:space="preserve">Les </w:t>
      </w:r>
      <w:r>
        <w:rPr>
          <w:b/>
        </w:rPr>
        <w:t>associations rhume</w:t>
      </w:r>
      <w:r>
        <w:t xml:space="preserve"> (1 DCI) — phényléphrine + chlorphéniramine.</w:t>
      </w:r>
    </w:p>
    <w:p>
      <w:r>
        <w:t>Chaque fiche DCI suit la structure standardisée : Liste des catégories, Introduction PK, Médicaments disponibles en Algérie (exhaustif avec statut Actif/Non Renouvelable/Retiré(R)), Sous-classe et Mécanisme d'action, Profil Pharmacologique (indications, CI, EI), Prévention et Gestion des EI, Interactions Importantes, Grossesse et Allaitement (CRAT), Posologie et Mode d'administration (Standard/Sujet âgé/Enfant/Durée/Moment), Arbitrage et Bénéfices des Formes Galéniques, Instructions et Conseils au Patient, Notes et Pièges au Comptoir. Le chapitre se termine par un tableau comparatif synthétique des 13 DCI et par les Règles d'Or absolues et pièges majeurs au comptoir.</w:t>
      </w:r>
    </w:p>
    <w:p>
      <w:pPr>
        <w:pStyle w:val="Heading2"/>
      </w:pPr>
      <w:r>
        <w:t>2. Introduction à la sous-classe des antihistaminiques H1 de 2e génération (non sédatifs)</w:t>
      </w:r>
    </w:p>
    <w:p>
      <w:r>
        <w:t xml:space="preserve">Les </w:t>
      </w:r>
      <w:r>
        <w:rPr>
          <w:b/>
        </w:rPr>
        <w:t>antihistaminiques H1 de 2e génération</w:t>
      </w:r>
      <w:r>
        <w:t xml:space="preserve"> représentent le socle thérapeutique moderne de la prise en charge des allergies respiratoires (rhinite, conjonctivite) et cutanées (urticaire, prurit). Ils ont été développés à partir des années 1980 pour surmonter les limites majeures des 1re génération : sédation, effets atropiniques (sécheresse buccale, rétention urinaire, troubles visuels), interactions multiples (α1-adrénergiques, muscariniques, sérotoninergiques), et risque cardiaque (allongement QT — terfénadine, astémizole). Ils se caractérisent par une </w:t>
      </w:r>
      <w:r>
        <w:rPr>
          <w:b/>
        </w:rPr>
        <w:t>sélectivité accrue pour le récepteur H1</w:t>
      </w:r>
      <w:r>
        <w:t xml:space="preserve">, une </w:t>
      </w:r>
      <w:r>
        <w:rPr>
          <w:b/>
        </w:rPr>
        <w:t>liposolubilité réduite</w:t>
      </w:r>
      <w:r>
        <w:t xml:space="preserve"> (polarité augmentée) limitant le passage de la </w:t>
      </w:r>
      <w:r>
        <w:rPr>
          <w:b/>
        </w:rPr>
        <w:t>barrière hémato-encéphalique (BBB)</w:t>
      </w:r>
      <w:r>
        <w:t xml:space="preserve">, et une </w:t>
      </w:r>
      <w:r>
        <w:rPr>
          <w:b/>
        </w:rPr>
        <w:t>affinité minimale pour les récepteurs muscariniques</w:t>
      </w:r>
      <w:r>
        <w:t xml:space="preserve"> et cardiaques.</w:t>
      </w:r>
    </w:p>
    <w:p>
      <w:pPr>
        <w:pStyle w:val="Heading3"/>
      </w:pPr>
      <w:r>
        <w:t>Structure chimique et classification</w:t>
      </w:r>
    </w:p>
    <w:p>
      <w:r>
        <w:t>Les 2e génération commercialisés en Algérie se répartissent en plusieurs familles structurales :</w:t>
      </w:r>
    </w:p>
    <w:p>
      <w:pPr>
        <w:pStyle w:val="ListBullet"/>
      </w:pPr>
      <w:r/>
      <w:r>
        <w:rPr>
          <w:b/>
        </w:rPr>
        <w:t>Pipérazines</w:t>
      </w:r>
      <w:r>
        <w:t xml:space="preserve"> : </w:t>
      </w:r>
      <w:r>
        <w:rPr>
          <w:b/>
        </w:rPr>
        <w:t>cétirizine</w:t>
      </w:r>
      <w:r>
        <w:t xml:space="preserve"> (mélange racémique R/S) et </w:t>
      </w:r>
      <w:r>
        <w:rPr>
          <w:b/>
        </w:rPr>
        <w:t>lévocétirizine</w:t>
      </w:r>
      <w:r>
        <w:t xml:space="preserve"> (énantiomère R actif). Dérivées de l'hydroxyzine par oxydation du pont éthyle en acide carboxylique. La </w:t>
      </w:r>
      <w:r>
        <w:rPr>
          <w:b/>
        </w:rPr>
        <w:t>cétirizine</w:t>
      </w:r>
      <w:r>
        <w:t xml:space="preserve"> a été commercialisée dès 1987 (Zyrtec™ UCB) ; la </w:t>
      </w:r>
      <w:r>
        <w:rPr>
          <w:b/>
        </w:rPr>
        <w:t>lévocétirizine</w:t>
      </w:r>
      <w:r>
        <w:t xml:space="preserve"> (Xyzal™ UCB) en 2001, avec une activité ~2× supérieure à l'énantiomère S (inactif), permettant une dose moitié (5 mg vs 10 mg) pour une efficacité équivalente.</w:t>
      </w:r>
    </w:p>
    <w:p>
      <w:pPr>
        <w:pStyle w:val="ListBullet"/>
      </w:pPr>
      <w:r/>
      <w:r>
        <w:rPr>
          <w:b/>
        </w:rPr>
        <w:t>Pipéridines tricycliques</w:t>
      </w:r>
      <w:r>
        <w:t xml:space="preserve"> : </w:t>
      </w:r>
      <w:r>
        <w:rPr>
          <w:b/>
        </w:rPr>
        <w:t>loratadine</w:t>
      </w:r>
      <w:r>
        <w:t xml:space="preserve"> (Claritine™ Schering-Plough, 1988) et son métabolite actif </w:t>
      </w:r>
      <w:r>
        <w:rPr>
          <w:b/>
        </w:rPr>
        <w:t>desloratadine</w:t>
      </w:r>
      <w:r>
        <w:t xml:space="preserve"> (Aerius™ Schering-Plough, 2001). La desloratadine est le </w:t>
      </w:r>
      <w:r>
        <w:rPr>
          <w:b/>
        </w:rPr>
        <w:t>métabolite actif principal</w:t>
      </w:r>
      <w:r>
        <w:t xml:space="preserve"> de la loratadine (déméthylation par CYP3A4/CYP2D6), avec une activité ~10 à 15× supérieure et une demi-vie plus longue (27 heures vs 8 heures). La loratadine est une prodrogue « naturelle » à libération prolongée endogène.</w:t>
      </w:r>
    </w:p>
    <w:p>
      <w:pPr>
        <w:pStyle w:val="ListBullet"/>
      </w:pPr>
      <w:r/>
      <w:r>
        <w:rPr>
          <w:b/>
        </w:rPr>
        <w:t>Pipéridines acides</w:t>
      </w:r>
      <w:r>
        <w:t xml:space="preserve"> : </w:t>
      </w:r>
      <w:r>
        <w:rPr>
          <w:b/>
        </w:rPr>
        <w:t>fexofénadine</w:t>
      </w:r>
      <w:r>
        <w:t xml:space="preserve"> (Telfast™ Hoechst Marion Roussel, 1996). La fexofénadine est le </w:t>
      </w:r>
      <w:r>
        <w:rPr>
          <w:b/>
        </w:rPr>
        <w:t>métabolite actif de la terfénadine</w:t>
      </w:r>
      <w:r>
        <w:t xml:space="preserve"> (acide carboxylique formé par oxydation CYP3A4), dépourvu de la toxicité cardiaque (allongement QT) de la molécule mère. La terfénadine a été retirée du marché en 1997-1999 (cas de torsades de pointe mortels en cas d'association au kétoconazole ou à l'érythromycine, ou en surdosage, ou en insuffisance hépatique).</w:t>
      </w:r>
    </w:p>
    <w:p>
      <w:pPr>
        <w:pStyle w:val="ListBullet"/>
      </w:pPr>
      <w:r/>
      <w:r>
        <w:rPr>
          <w:b/>
        </w:rPr>
        <w:t>Pipéridines modernes</w:t>
      </w:r>
      <w:r>
        <w:t xml:space="preserve"> : </w:t>
      </w:r>
      <w:r>
        <w:rPr>
          <w:b/>
        </w:rPr>
        <w:t>ébastine</w:t>
      </w:r>
      <w:r>
        <w:t xml:space="preserve"> (Kestine™ Almirall, 1991, prodrogue métabolisée en </w:t>
      </w:r>
      <w:r>
        <w:rPr>
          <w:b/>
        </w:rPr>
        <w:t>carébastine</w:t>
      </w:r>
      <w:r>
        <w:t xml:space="preserve"> active), </w:t>
      </w:r>
      <w:r>
        <w:rPr>
          <w:b/>
        </w:rPr>
        <w:t>bilastine</w:t>
      </w:r>
      <w:r>
        <w:t xml:space="preserve"> (Bilaxten™ Faes Farma, 2010, dernière née des 2e génération avec un profil de rapidité d'action et de durée d'action optimales), </w:t>
      </w:r>
      <w:r>
        <w:rPr>
          <w:b/>
        </w:rPr>
        <w:t>rupatadine</w:t>
      </w:r>
      <w:r>
        <w:t xml:space="preserve"> (Rupafin™ J. Uriach, 2003, double action H1 + PAF — platelet activating factor).</w:t>
      </w:r>
    </w:p>
    <w:p>
      <w:pPr>
        <w:pStyle w:val="ListBullet"/>
      </w:pPr>
      <w:r/>
      <w:r>
        <w:rPr>
          <w:b/>
        </w:rPr>
        <w:t>Autres (non disponibles en Algérie)</w:t>
      </w:r>
      <w:r>
        <w:t xml:space="preserve"> : mizolastine (Primalan™, contre-indiquée en association avec macrolides et allongeurs QT), azélastine (spray nasal Allergodil™ et collyre), olopatadine (collyre). L'azélastine et l'olopatadine ne sont pas traitées dans ce chapitre (formes nasales et oculaires).</w:t>
      </w:r>
    </w:p>
    <w:p>
      <w:pPr>
        <w:pStyle w:val="Heading3"/>
      </w:pPr>
      <w:r>
        <w:t>Pharmacocinétique commune</w:t>
      </w:r>
    </w:p>
    <w:p>
      <w:pPr>
        <w:pStyle w:val="ListBullet"/>
      </w:pPr>
      <w:r/>
      <w:r>
        <w:rPr>
          <w:b/>
        </w:rPr>
        <w:t>Absorption</w:t>
      </w:r>
      <w:r>
        <w:t xml:space="preserve"> : rapide par voie orale, pic plasmatique en 1 à 3 heures selon la molécule. Biodisponibilité variable : cétirizine ~70 %, loratadine ~80 %, fexofénadine ~30 % (l'alimentation et le jus de pamplemousse affectent l'absorption de la fexofénadine via inhibition du transporteur OATP), bilastine ~60 % (à jeun obligatoire — alimentation réduit l'absorption de 30 à 40 %).</w:t>
      </w:r>
    </w:p>
    <w:p>
      <w:pPr>
        <w:pStyle w:val="ListBullet"/>
      </w:pPr>
      <w:r/>
      <w:r>
        <w:rPr>
          <w:b/>
        </w:rPr>
        <w:t>Métabolisme</w:t>
      </w:r>
      <w:r>
        <w:t xml:space="preserve"> : variable. La </w:t>
      </w:r>
      <w:r>
        <w:rPr>
          <w:b/>
        </w:rPr>
        <w:t>cétirizine</w:t>
      </w:r>
      <w:r>
        <w:t xml:space="preserve"> et la </w:t>
      </w:r>
      <w:r>
        <w:rPr>
          <w:b/>
        </w:rPr>
        <w:t>lévocétirizine</w:t>
      </w:r>
      <w:r>
        <w:t xml:space="preserve"> sont peu métabolisées (&lt; 30 %, élimination rénale inchangée — risque en insuffisance rénale). La </w:t>
      </w:r>
      <w:r>
        <w:rPr>
          <w:b/>
        </w:rPr>
        <w:t>loratadine</w:t>
      </w:r>
      <w:r>
        <w:t xml:space="preserve"> est largement métabolisée par CYP3A4 et CYP2D6 en </w:t>
      </w:r>
      <w:r>
        <w:rPr>
          <w:b/>
        </w:rPr>
        <w:t>desloratadine</w:t>
      </w:r>
      <w:r>
        <w:t xml:space="preserve"> active. La </w:t>
      </w:r>
      <w:r>
        <w:rPr>
          <w:b/>
        </w:rPr>
        <w:t>fexofénadine</w:t>
      </w:r>
      <w:r>
        <w:t xml:space="preserve"> n'est pas métabolisée (élimination biliaire et rénale inchangée). La </w:t>
      </w:r>
      <w:r>
        <w:rPr>
          <w:b/>
        </w:rPr>
        <w:t>ébastine</w:t>
      </w:r>
      <w:r>
        <w:t xml:space="preserve"> est prodrogue métabolisée par CYP3A4 en </w:t>
      </w:r>
      <w:r>
        <w:rPr>
          <w:b/>
        </w:rPr>
        <w:t>carébastine</w:t>
      </w:r>
      <w:r>
        <w:t xml:space="preserve"> (métabolite actif de longue demi-vie). La </w:t>
      </w:r>
      <w:r>
        <w:rPr>
          <w:b/>
        </w:rPr>
        <w:t>bilastine</w:t>
      </w:r>
      <w:r>
        <w:t xml:space="preserve"> n'est pas métabolisée. La </w:t>
      </w:r>
      <w:r>
        <w:rPr>
          <w:b/>
        </w:rPr>
        <w:t>rupatadine</w:t>
      </w:r>
      <w:r>
        <w:t xml:space="preserve"> est largement métabolisée par CYP3A4.</w:t>
      </w:r>
    </w:p>
    <w:p>
      <w:pPr>
        <w:pStyle w:val="ListBullet"/>
      </w:pPr>
      <w:r/>
      <w:r>
        <w:rPr>
          <w:b/>
        </w:rPr>
        <w:t>Demi-vie d'élimination</w:t>
      </w:r>
      <w:r>
        <w:t xml:space="preserve"> : variable selon la molécule. </w:t>
      </w:r>
      <w:r>
        <w:rPr>
          <w:b/>
        </w:rPr>
        <w:t>Cétirizine</w:t>
      </w:r>
      <w:r>
        <w:t xml:space="preserve"> ~8 h, </w:t>
      </w:r>
      <w:r>
        <w:rPr>
          <w:b/>
        </w:rPr>
        <w:t>lévocétirizine</w:t>
      </w:r>
      <w:r>
        <w:t xml:space="preserve"> ~7 h, </w:t>
      </w:r>
      <w:r>
        <w:rPr>
          <w:b/>
        </w:rPr>
        <w:t>loratadine</w:t>
      </w:r>
      <w:r>
        <w:t xml:space="preserve"> ~8 h (mais métabolite actif desloratadine T1/2 ~27 h), </w:t>
      </w:r>
      <w:r>
        <w:rPr>
          <w:b/>
        </w:rPr>
        <w:t>desloratadine</w:t>
      </w:r>
      <w:r>
        <w:t xml:space="preserve"> ~27 h, </w:t>
      </w:r>
      <w:r>
        <w:rPr>
          <w:b/>
        </w:rPr>
        <w:t>fexofénadine</w:t>
      </w:r>
      <w:r>
        <w:t xml:space="preserve"> ~14 h, </w:t>
      </w:r>
      <w:r>
        <w:rPr>
          <w:b/>
        </w:rPr>
        <w:t>ébastine (carébastine)</w:t>
      </w:r>
      <w:r>
        <w:t xml:space="preserve"> ~15 h, </w:t>
      </w:r>
      <w:r>
        <w:rPr>
          <w:b/>
        </w:rPr>
        <w:t>bilastine</w:t>
      </w:r>
      <w:r>
        <w:t xml:space="preserve"> ~14,5 h, </w:t>
      </w:r>
      <w:r>
        <w:rPr>
          <w:b/>
        </w:rPr>
        <w:t>rupatadine</w:t>
      </w:r>
      <w:r>
        <w:t xml:space="preserve"> ~6 h (métabolite actif ~12 h).</w:t>
      </w:r>
    </w:p>
    <w:p>
      <w:pPr>
        <w:pStyle w:val="ListBullet"/>
      </w:pPr>
      <w:r/>
      <w:r>
        <w:rPr>
          <w:b/>
        </w:rPr>
        <w:t>Pic d'activité</w:t>
      </w:r>
      <w:r>
        <w:t xml:space="preserve"> : 1 à 3 heures après prise orale. </w:t>
      </w:r>
      <w:r>
        <w:rPr>
          <w:b/>
        </w:rPr>
        <w:t>Bilastine</w:t>
      </w:r>
      <w:r>
        <w:t xml:space="preserve"> pic rapide à 1,3 h.</w:t>
      </w:r>
    </w:p>
    <w:p>
      <w:pPr>
        <w:pStyle w:val="ListBullet"/>
      </w:pPr>
      <w:r/>
      <w:r>
        <w:rPr>
          <w:b/>
        </w:rPr>
        <w:t>Durée d'action</w:t>
      </w:r>
      <w:r>
        <w:t xml:space="preserve"> : 24 heures pour la majorité des 2e génération (permettant une prise unique quotidienne).</w:t>
      </w:r>
    </w:p>
    <w:p>
      <w:pPr>
        <w:pStyle w:val="Heading3"/>
      </w:pPr>
      <w:r>
        <w:t>Profil de tolérance</w:t>
      </w:r>
    </w:p>
    <w:p>
      <w:pPr>
        <w:pStyle w:val="ListBullet"/>
      </w:pPr>
      <w:r/>
      <w:r>
        <w:rPr>
          <w:b/>
        </w:rPr>
        <w:t>Effets centraux</w:t>
      </w:r>
      <w:r>
        <w:t xml:space="preserve"> : minimisés. Les 2e génération modernes (cétirizine, lévocétirizine, loratadine, desloratadine, fexofénadine, bilastine, rupatadine) ne traversent pas significativement la BBB (concentration cérébrale ~0,1 % de la concentration plasmatique pour la fexofénadine ; ~1 % pour la cétirizine). Cependant, une </w:t>
      </w:r>
      <w:r>
        <w:rPr>
          <w:b/>
        </w:rPr>
        <w:t>sédation résiduelle légère</w:t>
      </w:r>
      <w:r>
        <w:t xml:space="preserve"> est possible chez les sujets sensibles (sujets âgés, insuffisants rénaux, association à d'autres sédatifs), en particulier avec la </w:t>
      </w:r>
      <w:r>
        <w:rPr>
          <w:b/>
        </w:rPr>
        <w:t>cétirizine</w:t>
      </w:r>
      <w:r>
        <w:t xml:space="preserve"> (effet dose-dépendant) et la </w:t>
      </w:r>
      <w:r>
        <w:rPr>
          <w:b/>
        </w:rPr>
        <w:t>lévocétirizine</w:t>
      </w:r>
      <w:r>
        <w:t xml:space="preserve"> à dose élevée.</w:t>
      </w:r>
    </w:p>
    <w:p>
      <w:pPr>
        <w:pStyle w:val="ListBullet"/>
      </w:pPr>
      <w:r/>
      <w:r>
        <w:rPr>
          <w:b/>
        </w:rPr>
        <w:t>Effets anticholinergiques</w:t>
      </w:r>
      <w:r>
        <w:t xml:space="preserve"> : minimes à absents. Pas de sécheresse buccale, pas de rétention urinaire, pas de troubles visuels aux doses thérapeutiques.</w:t>
      </w:r>
    </w:p>
    <w:p>
      <w:pPr>
        <w:pStyle w:val="ListBullet"/>
      </w:pPr>
      <w:r/>
      <w:r>
        <w:rPr>
          <w:b/>
        </w:rPr>
        <w:t>Effets cardiaques</w:t>
      </w:r>
      <w:r>
        <w:t xml:space="preserve"> : profil rassurant. Aux doses recommandées, les 2e génération modernes n'allongent pas significativement l'intervalle QTc. Toutefois, en cas de </w:t>
      </w:r>
      <w:r>
        <w:rPr>
          <w:b/>
        </w:rPr>
        <w:t>surdosage</w:t>
      </w:r>
      <w:r>
        <w:t xml:space="preserve"> (≥ 5× dose) ou en cas d'</w:t>
      </w:r>
      <w:r>
        <w:rPr>
          <w:b/>
        </w:rPr>
        <w:t>association à des inhibiteurs puissants du CYP3A4</w:t>
      </w:r>
      <w:r>
        <w:t xml:space="preserve"> (kétoconazole, itraconazole, érythromycine, clarithromycine, ritonavir), une surveillance ECG est recommandée.</w:t>
      </w:r>
    </w:p>
    <w:p>
      <w:pPr>
        <w:pStyle w:val="ListBullet"/>
      </w:pPr>
      <w:r/>
      <w:r>
        <w:rPr>
          <w:b/>
        </w:rPr>
        <w:t>Effets digestifs</w:t>
      </w:r>
      <w:r>
        <w:t xml:space="preserve"> : nausées, maux de ventre, exceptionnellement hépatites (à signaler).</w:t>
      </w:r>
    </w:p>
    <w:p>
      <w:pPr>
        <w:pStyle w:val="ListBullet"/>
      </w:pPr>
      <w:r/>
      <w:r>
        <w:rPr>
          <w:b/>
        </w:rPr>
        <w:t>Effets neurologiques</w:t>
      </w:r>
      <w:r>
        <w:t xml:space="preserve"> : maux de tête (céphalées) fréquents, surtout avec la fexofénadine.</w:t>
      </w:r>
    </w:p>
    <w:p>
      <w:pPr>
        <w:pStyle w:val="Heading3"/>
      </w:pPr>
      <w:r>
        <w:t>Place dans la stratégie ARIA et EAACI</w:t>
      </w:r>
    </w:p>
    <w:p>
      <w:r>
        <w:t xml:space="preserve">Selon les recommandations </w:t>
      </w:r>
      <w:r>
        <w:rPr>
          <w:b/>
        </w:rPr>
        <w:t>ARIA 2021</w:t>
      </w:r>
      <w:r>
        <w:t xml:space="preserve"> (Bousquet et al.) et </w:t>
      </w:r>
      <w:r>
        <w:rPr>
          <w:b/>
        </w:rPr>
        <w:t>EAACI 2017</w:t>
      </w:r>
      <w:r>
        <w:t xml:space="preserve"> (European Academy of Allergy and Clinical Immunology) :</w:t>
      </w:r>
    </w:p>
    <w:p>
      <w:pPr>
        <w:pStyle w:val="ListBullet"/>
      </w:pPr>
      <w:r/>
      <w:r>
        <w:rPr>
          <w:b/>
        </w:rPr>
        <w:t>Rhinite allergique légère</w:t>
      </w:r>
      <w:r>
        <w:t xml:space="preserve"> : antihistaminique H1 oral 2e génération en 1re intention, à la dose quotidienne recommandée (10 mg cétirizine, 10 mg loratadine, 5 mg desloratadine, 5 mg lévocétirizine, 120 mg fexofénadine, 20 mg bilastine, 10 mg rupatadine, 10 mg ébastine).</w:t>
      </w:r>
    </w:p>
    <w:p>
      <w:pPr>
        <w:pStyle w:val="ListBullet"/>
      </w:pPr>
      <w:r/>
      <w:r>
        <w:rPr>
          <w:b/>
        </w:rPr>
        <w:t>Rhinite allergique modérée à sévère</w:t>
      </w:r>
      <w:r>
        <w:t xml:space="preserve"> : association antihistaminique H1 oral + corticoïde nasal. L'ajout d'un antihistaminique H1 au corticoïde nasal améliore les symptômes nasaux (prurit, éternuements, rhinorrhée) sans effet majeur sur l'obstruction nasale (où le corticoïde nasal domine).</w:t>
      </w:r>
    </w:p>
    <w:p>
      <w:pPr>
        <w:pStyle w:val="ListBullet"/>
      </w:pPr>
      <w:r/>
      <w:r>
        <w:rPr>
          <w:b/>
        </w:rPr>
        <w:t>Conjonctivite allergique</w:t>
      </w:r>
      <w:r>
        <w:t xml:space="preserve"> : antihistaminique H1 oral 2e génération en 1re intention ; collyre antihistaminique en complément (olopatadine, azélastine — non disponibles en Algérie par voie locale).</w:t>
      </w:r>
    </w:p>
    <w:p>
      <w:pPr>
        <w:pStyle w:val="ListBullet"/>
      </w:pPr>
      <w:r/>
      <w:r>
        <w:rPr>
          <w:b/>
        </w:rPr>
        <w:t>Urticaire chronique</w:t>
      </w:r>
      <w:r>
        <w:t xml:space="preserve"> : antihistaminique H1 2e génération à dose standard en 1re intention ; </w:t>
      </w:r>
      <w:r>
        <w:rPr>
          <w:b/>
        </w:rPr>
        <w:t>jusqu'à 4× la dose standard en 2e intention</w:t>
      </w:r>
      <w:r>
        <w:t xml:space="preserve"> (sous surveillance médicale) ; omalizumab en 3e intention (cf. Chapitre 63).</w:t>
      </w:r>
    </w:p>
    <w:p>
      <w:pPr>
        <w:pStyle w:val="ListBullet"/>
      </w:pPr>
      <w:r/>
      <w:r>
        <w:rPr>
          <w:b/>
        </w:rPr>
        <w:t>Prurit</w:t>
      </w:r>
      <w:r>
        <w:t xml:space="preserve"> : antihistaminique H1 2e génération en 1re intention dans le prurit histaminique (urticaire) ; les 1re génération (hydroxyzine) restent utiles dans le prurit non histaminique (atopie, cholestase, uraémie, prurigo) par leur effet sédatif central.</w:t>
      </w:r>
    </w:p>
    <w:p>
      <w:pPr>
        <w:pStyle w:val="ListBullet"/>
      </w:pPr>
      <w:r/>
      <w:r>
        <w:rPr>
          <w:b/>
        </w:rPr>
        <w:t>Anaphylaxie</w:t>
      </w:r>
      <w:r>
        <w:t xml:space="preserve"> : </w:t>
      </w:r>
      <w:r>
        <w:rPr>
          <w:b/>
        </w:rPr>
        <w:t>jamais en monothérapie</w:t>
      </w:r>
      <w:r>
        <w:t xml:space="preserve"> — l'antihistaminique H1 vient en complément de l'</w:t>
      </w:r>
      <w:r>
        <w:rPr>
          <w:b/>
        </w:rPr>
        <w:t>adrénaline IM</w:t>
      </w:r>
      <w:r>
        <w:t xml:space="preserve"> (traitement de 1re ligne).</w:t>
      </w:r>
    </w:p>
    <w:p>
      <w:pPr>
        <w:pStyle w:val="Heading3"/>
      </w:pPr>
      <w:r>
        <w:t>Formes galéniques disponibles en Algérie</w:t>
      </w:r>
    </w:p>
    <w:p>
      <w:pPr>
        <w:pStyle w:val="ListBullet"/>
      </w:pPr>
      <w:r/>
      <w:r>
        <w:rPr>
          <w:b/>
        </w:rPr>
        <w:t>Comprimés pelliculés ou sécables</w:t>
      </w:r>
      <w:r>
        <w:t xml:space="preserve"> : 2e génération à dose adulte (10 mg cétirizine, 5 mg lévocétirizine, 10 mg loratadine, 5 mg desloratadine, 120 mg ou 180 mg fexofénadine, 20 mg bilastine, 10 mg rupatadine, 10 mg ébastine).</w:t>
      </w:r>
    </w:p>
    <w:p>
      <w:pPr>
        <w:pStyle w:val="ListBullet"/>
      </w:pPr>
      <w:r/>
      <w:r>
        <w:rPr>
          <w:b/>
        </w:rPr>
        <w:t>Solutions buvables en gouttes</w:t>
      </w:r>
      <w:r>
        <w:t xml:space="preserve"> (10 mg/mL cétirizine) ou </w:t>
      </w:r>
      <w:r>
        <w:rPr>
          <w:b/>
        </w:rPr>
        <w:t>sirops</w:t>
      </w:r>
      <w:r>
        <w:t xml:space="preserve"> (1 mg/mL loratadine, 0,5 mg/mL desloratadine, 0,5 mg/mL lévocétirizine) pour l'enfant et le nourrisson.</w:t>
      </w:r>
    </w:p>
    <w:p>
      <w:pPr>
        <w:pStyle w:val="ListBullet"/>
      </w:pPr>
      <w:r/>
      <w:r>
        <w:rPr>
          <w:b/>
        </w:rPr>
        <w:t>Suspensions buvables</w:t>
      </w:r>
      <w:r>
        <w:t xml:space="preserve"> : fexofénadine 30 mg/5 mL.</w:t>
      </w:r>
    </w:p>
    <w:p>
      <w:pPr>
        <w:pStyle w:val="ListBullet"/>
      </w:pPr>
      <w:r/>
      <w:r>
        <w:rPr>
          <w:b/>
        </w:rPr>
        <w:t>Comprimés orodispersibles</w:t>
      </w:r>
      <w:r>
        <w:t xml:space="preserve"> : bilastine 10 mg, ébastine 10 mg — utiles en cas de dysphagie ou chez l'enfant.</w:t>
      </w:r>
    </w:p>
    <w:p>
      <w:pPr>
        <w:pStyle w:val="ListBullet"/>
      </w:pPr>
      <w:r/>
      <w:r>
        <w:rPr>
          <w:b/>
        </w:rPr>
        <w:t>Formes LP</w:t>
      </w:r>
      <w:r>
        <w:t xml:space="preserve"> : ébastine 10 mg (carébastine active prolongée).</w:t>
      </w:r>
    </w:p>
    <w:p>
      <w:pPr>
        <w:pStyle w:val="Heading3"/>
      </w:pPr>
      <w:r>
        <w:t>Liste exhaustive des DCI traitées (8 molécules)</w:t>
      </w:r>
    </w:p>
    <w:p>
      <w:pPr>
        <w:pStyle w:val="ListNumber"/>
      </w:pPr>
      <w:r>
        <w:t>Cétirizine (22 marques actives en Algérie)</w:t>
      </w:r>
    </w:p>
    <w:p>
      <w:pPr>
        <w:pStyle w:val="ListNumber"/>
      </w:pPr>
      <w:r>
        <w:t>Lévocétirizine (9 marques actives)</w:t>
      </w:r>
    </w:p>
    <w:p>
      <w:pPr>
        <w:pStyle w:val="ListNumber"/>
      </w:pPr>
      <w:r>
        <w:t>Loratadine (17 marques actives)</w:t>
      </w:r>
    </w:p>
    <w:p>
      <w:pPr>
        <w:pStyle w:val="ListNumber"/>
      </w:pPr>
      <w:r>
        <w:t>Desloratadine (17 marques actives)</w:t>
      </w:r>
    </w:p>
    <w:p>
      <w:pPr>
        <w:pStyle w:val="ListNumber"/>
      </w:pPr>
      <w:r>
        <w:t>Fexofénadine (12 marques actives)</w:t>
      </w:r>
    </w:p>
    <w:p>
      <w:pPr>
        <w:pStyle w:val="ListNumber"/>
      </w:pPr>
      <w:r>
        <w:t>Ébastine (1 marque active — EBASTA)</w:t>
      </w:r>
    </w:p>
    <w:p>
      <w:pPr>
        <w:pStyle w:val="ListNumber"/>
      </w:pPr>
      <w:r>
        <w:t>Bilastine (2 marques actives — BILASTA, BILAXTEN)</w:t>
      </w:r>
    </w:p>
    <w:p>
      <w:pPr>
        <w:pStyle w:val="ListNumber"/>
      </w:pPr>
      <w:r>
        <w:t>Rupatadine (1 marque active — ROPAP)</w:t>
      </w:r>
    </w:p>
    <w:p>
      <w:pPr>
        <w:pStyle w:val="Heading2"/>
      </w:pPr>
      <w:r>
        <w:t>3. Fiches DCI — Antihistaminiques H1 de 2e génération (non sédatifs)</w:t>
      </w:r>
    </w:p>
    <w:p>
      <w:pPr>
        <w:pStyle w:val="Heading3"/>
      </w:pPr>
      <w:r>
        <w:t>3.1. DCI : Cétirizine (Seule)</w:t>
      </w:r>
    </w:p>
    <w:p>
      <w:r/>
      <w:r>
        <w:rPr>
          <w:b/>
        </w:rPr>
        <w:t>Liste des Catégories :</w:t>
      </w:r>
      <w:r>
        <w:t xml:space="preserve"> Antihistaminique H1 — 2e génération (non sédatif), Antiallergique, Anti-histaminique systémique, Antihistaminique à visée respiratoire (rhinite allergique, conjonctivite allergique), Antihistaminique à visée dermatologique (urticaire, prurit allergique), Pédiatrie (solution buvable en gouttes).</w:t>
      </w:r>
    </w:p>
    <w:p>
      <w:r>
        <w:t xml:space="preserve">La </w:t>
      </w:r>
      <w:r>
        <w:rPr>
          <w:b/>
        </w:rPr>
        <w:t>cétirizine</w:t>
      </w:r>
      <w:r>
        <w:t xml:space="preserve"> (dichlorhydrate de cétirizine, formule C21H25Cl2N2O3 ; M = 388,9 g/mol) est l'</w:t>
      </w:r>
      <w:r>
        <w:rPr>
          <w:b/>
        </w:rPr>
        <w:t>antihistaminique H1 de 2e génération de référence</w:t>
      </w:r>
      <w:r>
        <w:t>, commercialisé en Algérie sous un grand nombre de marques génériques (22 spécialités actives en Avril 2026). Dérivée de l'</w:t>
      </w:r>
      <w:r>
        <w:rPr>
          <w:b/>
        </w:rPr>
        <w:t>hydroxyzine</w:t>
      </w:r>
      <w:r>
        <w:t xml:space="preserve"> par oxydation du pont éthyle en acide carboxylique, la cétirizine est un </w:t>
      </w:r>
      <w:r>
        <w:rPr>
          <w:b/>
        </w:rPr>
        <w:t>mélange racémique R/S</w:t>
      </w:r>
      <w:r>
        <w:t xml:space="preserve"> dont l'énantiomère R est actif (lévocétirizine, commercialisée séparément). Sa biodisponibilité orale est de 70 %, son pic plasmatique est atteint en 1 heure, et sa </w:t>
      </w:r>
      <w:r>
        <w:rPr>
          <w:b/>
        </w:rPr>
        <w:t>demi-vie d'élimination</w:t>
      </w:r>
      <w:r>
        <w:t xml:space="preserve"> est d'environ 8 heures chez l'adulte (prolongée à 12 heures chez l'enfant de 6 à 12 ans, et jusqu'à 18 heures chez le nourrisson). La cétirizine est </w:t>
      </w:r>
      <w:r>
        <w:rPr>
          <w:b/>
        </w:rPr>
        <w:t>peu métabolisée</w:t>
      </w:r>
      <w:r>
        <w:t xml:space="preserve"> (moins de 30 % d'un métabolisme hépatique mineur en cétirizine N-oxyde et O-déméthylcétirizine, sans activité) et </w:t>
      </w:r>
      <w:r>
        <w:rPr>
          <w:b/>
        </w:rPr>
        <w:t>excrétée principalement inchangée dans les urines</w:t>
      </w:r>
      <w:r>
        <w:t xml:space="preserve"> (60 à 70 %) et la bile (10 %). Cette caractéristique impose une </w:t>
      </w:r>
      <w:r>
        <w:rPr>
          <w:b/>
        </w:rPr>
        <w:t>adaptation posologique en insuffisance rénale</w:t>
      </w:r>
      <w:r>
        <w:t xml:space="preserve"> (clairance de la créatinine &lt; 50 mL/min : 5 mg/jour). La cétirizine traverse faiblement la BBB (~1 % de la concentration plasmatique), ce qui explique sa très faible sédation, mais elle reste la 2e génération avec l'effet sédatif résiduel le plus marqué (à dose élevée et chez les sujets sensibles).</w:t>
      </w:r>
    </w:p>
    <w:p>
      <w:r/>
      <w:r>
        <w:rPr>
          <w:b/>
        </w:rPr>
        <w:t>Médicaments disponibles en Algérie (Marques, Laboratoires, Formes et Dosages) :</w:t>
      </w:r>
      <w:r/>
    </w:p>
    <w:p>
      <w:pPr>
        <w:pStyle w:val="ListBullet"/>
      </w:pPr>
      <w:r/>
      <w:r>
        <w:rPr>
          <w:b/>
        </w:rPr>
        <w:t>ARTIZ</w:t>
      </w:r>
      <w:r>
        <w:t xml:space="preserve"> (EL KENDI INDUSTRIE DU MEDICAMENT)</w:t>
      </w:r>
    </w:p>
    <w:p>
      <w:pPr>
        <w:pStyle w:val="ListBullet"/>
      </w:pPr>
      <w:r>
        <w:t>Formes et Dosages : Comprimé pelliculé sécable 10 mg — Boîte de 10 ; Solution buvable en gouttes 10 mg/mL — Flacon de 15 mL</w:t>
      </w:r>
    </w:p>
    <w:p>
      <w:pPr>
        <w:pStyle w:val="ListBullet"/>
      </w:pPr>
      <w:r>
        <w:t>Statut : Actif (Liste II)</w:t>
      </w:r>
    </w:p>
    <w:p>
      <w:pPr>
        <w:pStyle w:val="ListBullet"/>
      </w:pPr>
      <w:r/>
      <w:r>
        <w:rPr>
          <w:b/>
        </w:rPr>
        <w:t>CETIRIPEX</w:t>
      </w:r>
      <w:r>
        <w:t xml:space="preserve"> (PHARMALLIANCE)</w:t>
      </w:r>
    </w:p>
    <w:p>
      <w:pPr>
        <w:pStyle w:val="ListBullet"/>
      </w:pPr>
      <w:r>
        <w:t>Formes et Dosages : Comprimé pelliculé sécable 10 mg — Boîte de 15 ; Solution buvable en gouttes 10 mg/mL — Flacon de 15 mL</w:t>
      </w:r>
    </w:p>
    <w:p>
      <w:pPr>
        <w:pStyle w:val="ListBullet"/>
      </w:pPr>
      <w:r>
        <w:t>Statut : Actif (Liste II)</w:t>
      </w:r>
    </w:p>
    <w:p>
      <w:pPr>
        <w:pStyle w:val="ListBullet"/>
      </w:pPr>
      <w:r/>
      <w:r>
        <w:rPr>
          <w:b/>
        </w:rPr>
        <w:t>CETIRIZINE MYLAN</w:t>
      </w:r>
      <w:r>
        <w:t xml:space="preserve"> (MYLAN SAS)</w:t>
      </w:r>
    </w:p>
    <w:p>
      <w:pPr>
        <w:pStyle w:val="ListBullet"/>
      </w:pPr>
      <w:r>
        <w:t>Formes et Dosages : Comprimé pelliculé 10 mg — Boîte de 15</w:t>
      </w:r>
    </w:p>
    <w:p>
      <w:pPr>
        <w:pStyle w:val="ListBullet"/>
      </w:pPr>
      <w:r>
        <w:t>Statut : Actif (Liste II)</w:t>
      </w:r>
    </w:p>
    <w:p>
      <w:pPr>
        <w:pStyle w:val="ListBullet"/>
      </w:pPr>
      <w:r/>
      <w:r>
        <w:rPr>
          <w:b/>
        </w:rPr>
        <w:t>CETIRIZINE PHYSIOPHARM</w:t>
      </w:r>
      <w:r>
        <w:t xml:space="preserve"> (PHYSIOPHARM LABORATOIRES)</w:t>
      </w:r>
    </w:p>
    <w:p>
      <w:pPr>
        <w:pStyle w:val="ListBullet"/>
      </w:pPr>
      <w:r>
        <w:t>Formes et Dosages : Comprimé pelliculé 10 mg — Boîte de 10 ; Solution buvable en gouttes 10 mg/mL — Flacon de 30 mL</w:t>
      </w:r>
    </w:p>
    <w:p>
      <w:pPr>
        <w:pStyle w:val="ListBullet"/>
      </w:pPr>
      <w:r>
        <w:t>Statut : Actif (Liste II)</w:t>
      </w:r>
    </w:p>
    <w:p>
      <w:pPr>
        <w:pStyle w:val="ListBullet"/>
      </w:pPr>
      <w:r/>
      <w:r>
        <w:rPr>
          <w:b/>
        </w:rPr>
        <w:t>HISTARIZINE</w:t>
      </w:r>
      <w:r>
        <w:t xml:space="preserve"> (GEOPHARM)</w:t>
      </w:r>
    </w:p>
    <w:p>
      <w:pPr>
        <w:pStyle w:val="ListBullet"/>
      </w:pPr>
      <w:r>
        <w:t>Formes et Dosages : Comprimé pelliculé 10 mg — Boîte de 10 ; Solution buvable en gouttes 10 mg/mL — Flacon de 15 mL</w:t>
      </w:r>
    </w:p>
    <w:p>
      <w:pPr>
        <w:pStyle w:val="ListBullet"/>
      </w:pPr>
      <w:r>
        <w:t>Statut : Actif (Liste II)</w:t>
      </w:r>
    </w:p>
    <w:p>
      <w:pPr>
        <w:pStyle w:val="ListBullet"/>
      </w:pPr>
      <w:r/>
      <w:r>
        <w:rPr>
          <w:b/>
        </w:rPr>
        <w:t>NADEC</w:t>
      </w:r>
      <w:r>
        <w:t xml:space="preserve"> (NADPHARMADIC-PRODUCTION)</w:t>
      </w:r>
    </w:p>
    <w:p>
      <w:pPr>
        <w:pStyle w:val="ListBullet"/>
      </w:pPr>
      <w:r>
        <w:t>Formes et Dosages : Comprimé pelliculé sécable 10 mg — Boîte de 15</w:t>
      </w:r>
    </w:p>
    <w:p>
      <w:pPr>
        <w:pStyle w:val="ListBullet"/>
      </w:pPr>
      <w:r>
        <w:t>Statut : Actif (Liste II)</w:t>
      </w:r>
    </w:p>
    <w:p>
      <w:pPr>
        <w:pStyle w:val="ListBullet"/>
      </w:pPr>
      <w:r/>
      <w:r>
        <w:rPr>
          <w:b/>
        </w:rPr>
        <w:t>RHITENE</w:t>
      </w:r>
      <w:r>
        <w:t xml:space="preserve"> (BIOGALENIC)</w:t>
      </w:r>
    </w:p>
    <w:p>
      <w:pPr>
        <w:pStyle w:val="ListBullet"/>
      </w:pPr>
      <w:r>
        <w:t>Formes et Dosages : Comprimé pelliculé sécable 10 mg — Boîte de 15 ; Solution buvable en gouttes 10 mg/mL — Flacon de 15 mL</w:t>
      </w:r>
    </w:p>
    <w:p>
      <w:pPr>
        <w:pStyle w:val="ListBullet"/>
      </w:pPr>
      <w:r>
        <w:t>Statut : Actif (Liste II)</w:t>
      </w:r>
    </w:p>
    <w:p>
      <w:pPr>
        <w:pStyle w:val="ListBullet"/>
      </w:pPr>
      <w:r/>
      <w:r>
        <w:rPr>
          <w:b/>
        </w:rPr>
        <w:t>RHUMIZINE</w:t>
      </w:r>
      <w:r>
        <w:t xml:space="preserve"> (TABET PHARM)</w:t>
      </w:r>
    </w:p>
    <w:p>
      <w:pPr>
        <w:pStyle w:val="ListBullet"/>
      </w:pPr>
      <w:r>
        <w:t>Formes et Dosages : Comprimé pelliculé sécable 10 mg — Boîte de 10</w:t>
      </w:r>
    </w:p>
    <w:p>
      <w:pPr>
        <w:pStyle w:val="ListBullet"/>
      </w:pPr>
      <w:r>
        <w:t>Statut : Actif (Liste II)</w:t>
      </w:r>
    </w:p>
    <w:p>
      <w:pPr>
        <w:pStyle w:val="ListBullet"/>
      </w:pPr>
      <w:r/>
      <w:r>
        <w:rPr>
          <w:b/>
        </w:rPr>
        <w:t>ZETIREC</w:t>
      </w:r>
      <w:r>
        <w:t xml:space="preserve"> (SPA UNION PHARMACEUTIQUE CONSTANTINOISE PRODUCTION)</w:t>
      </w:r>
    </w:p>
    <w:p>
      <w:pPr>
        <w:pStyle w:val="ListBullet"/>
      </w:pPr>
      <w:r>
        <w:t>Formes et Dosages : Comprimé pelliculé sécable 10 mg — Boîte de 15 ; Solution buvable en gouttes 10 mg/mL — Flacon de 15 mL</w:t>
      </w:r>
    </w:p>
    <w:p>
      <w:pPr>
        <w:pStyle w:val="ListBullet"/>
      </w:pPr>
      <w:r>
        <w:t>Statut : Actif (Liste II)</w:t>
      </w:r>
    </w:p>
    <w:p>
      <w:pPr>
        <w:pStyle w:val="ListBullet"/>
      </w:pPr>
      <w:r/>
      <w:r>
        <w:rPr>
          <w:b/>
        </w:rPr>
        <w:t>ZYTRIRIZINE</w:t>
      </w:r>
      <w:r>
        <w:t xml:space="preserve"> (CETIRIZINE DICHLORHYDRATE)</w:t>
      </w:r>
    </w:p>
    <w:p>
      <w:pPr>
        <w:pStyle w:val="ListBullet"/>
      </w:pPr>
      <w:r>
        <w:t>Formes et Dosages : Comprimé pelliculé 10 mg — Boîte de 10</w:t>
      </w:r>
    </w:p>
    <w:p>
      <w:pPr>
        <w:pStyle w:val="ListBullet"/>
      </w:pPr>
      <w:r>
        <w:t>Statut : Actif (Liste II)</w:t>
      </w:r>
    </w:p>
    <w:p>
      <w:pPr>
        <w:pStyle w:val="ListBullet"/>
      </w:pPr>
      <w:r/>
      <w:r>
        <w:rPr>
          <w:b/>
        </w:rPr>
        <w:t>ZYTREX</w:t>
      </w:r>
      <w:r>
        <w:t xml:space="preserve"> (LABORATOIRE ALGERIEN DU MEDICAMENT)</w:t>
      </w:r>
    </w:p>
    <w:p>
      <w:pPr>
        <w:pStyle w:val="ListBullet"/>
      </w:pPr>
      <w:r>
        <w:t>Formes et Dosages : Comprimé pelliculé 10 mg — Boîte de 10</w:t>
      </w:r>
    </w:p>
    <w:p>
      <w:pPr>
        <w:pStyle w:val="ListBullet"/>
      </w:pPr>
      <w:r>
        <w:t>Statut : Actif (Liste II)</w:t>
      </w:r>
    </w:p>
    <w:p>
      <w:pPr>
        <w:pStyle w:val="ListBullet"/>
      </w:pPr>
      <w:r/>
      <w:r>
        <w:rPr>
          <w:b/>
        </w:rPr>
        <w:t>CETIRIZINE GL</w:t>
      </w:r>
      <w:r>
        <w:t xml:space="preserve"> (GENERIC LAB)</w:t>
      </w:r>
    </w:p>
    <w:p>
      <w:pPr>
        <w:pStyle w:val="ListBullet"/>
      </w:pPr>
      <w:r>
        <w:t>Formes et Dosages : Solution buvable en gouttes 10 mg/mL — Flacon de 15 mL</w:t>
      </w:r>
    </w:p>
    <w:p>
      <w:pPr>
        <w:pStyle w:val="ListBullet"/>
      </w:pPr>
      <w:r>
        <w:t>Statut : Actif (Liste II)</w:t>
      </w:r>
    </w:p>
    <w:p>
      <w:pPr>
        <w:pStyle w:val="ListBullet"/>
      </w:pPr>
      <w:r/>
      <w:r>
        <w:rPr>
          <w:b/>
        </w:rPr>
        <w:t>CYRTEC</w:t>
      </w:r>
      <w:r>
        <w:t xml:space="preserve"> (JANIS MED SARL)</w:t>
      </w:r>
    </w:p>
    <w:p>
      <w:pPr>
        <w:pStyle w:val="ListBullet"/>
      </w:pPr>
      <w:r>
        <w:t>Formes et Dosages : Solution buvable en gouttes 10 mg/mL — Flacon de 15 mL</w:t>
      </w:r>
    </w:p>
    <w:p>
      <w:pPr>
        <w:pStyle w:val="ListBullet"/>
      </w:pPr>
      <w:r>
        <w:t>Statut : Actif (Liste II)</w:t>
      </w:r>
    </w:p>
    <w:p>
      <w:pPr>
        <w:pStyle w:val="ListBullet"/>
      </w:pPr>
      <w:r/>
      <w:r>
        <w:rPr>
          <w:b/>
        </w:rPr>
        <w:t>TRIZ</w:t>
      </w:r>
      <w:r>
        <w:t xml:space="preserve"> (SARL GROUPE SANTE)</w:t>
      </w:r>
    </w:p>
    <w:p>
      <w:pPr>
        <w:pStyle w:val="ListBullet"/>
      </w:pPr>
      <w:r>
        <w:t>Formes et Dosages : Solution buvable en gouttes 10 mg/mL — Flacon de 15 mL</w:t>
      </w:r>
    </w:p>
    <w:p>
      <w:pPr>
        <w:pStyle w:val="ListBullet"/>
      </w:pPr>
      <w:r>
        <w:t>Statut : Actif (Liste II)</w:t>
      </w:r>
    </w:p>
    <w:p>
      <w:pPr>
        <w:pStyle w:val="ListBullet"/>
      </w:pPr>
      <w:r/>
      <w:r>
        <w:rPr>
          <w:b/>
        </w:rPr>
        <w:t>ZETREC</w:t>
      </w:r>
      <w:r>
        <w:t xml:space="preserve"> (LABORATOIRES PHARMAGHREB)</w:t>
      </w:r>
    </w:p>
    <w:p>
      <w:pPr>
        <w:pStyle w:val="ListBullet"/>
      </w:pPr>
      <w:r>
        <w:t>Formes et Dosages : Solution buvable en gouttes 10 mg/mL — Flacon de 30 mL</w:t>
      </w:r>
    </w:p>
    <w:p>
      <w:pPr>
        <w:pStyle w:val="ListBullet"/>
      </w:pPr>
      <w:r>
        <w:t>Statut : Actif (Liste II)</w:t>
      </w:r>
    </w:p>
    <w:p>
      <w:pPr>
        <w:pStyle w:val="ListBullet"/>
      </w:pPr>
      <w:r/>
      <w:r>
        <w:rPr>
          <w:b/>
        </w:rPr>
        <w:t>ZITRAL</w:t>
      </w:r>
      <w:r>
        <w:t xml:space="preserve"> (PHARMIDAL NS)</w:t>
      </w:r>
    </w:p>
    <w:p>
      <w:pPr>
        <w:pStyle w:val="ListBullet"/>
      </w:pPr>
      <w:r>
        <w:t>Formes et Dosages : Solution buvable en gouttes 10 mg/mL — Flacon de 15 mL</w:t>
      </w:r>
    </w:p>
    <w:p>
      <w:pPr>
        <w:pStyle w:val="ListBullet"/>
      </w:pPr>
      <w:r>
        <w:t>Statut : Actif (Liste II)</w:t>
      </w:r>
    </w:p>
    <w:p>
      <w:pPr>
        <w:pStyle w:val="ListBullet"/>
      </w:pPr>
      <w:r/>
      <w:r>
        <w:rPr>
          <w:b/>
        </w:rPr>
        <w:t>ZITRINE</w:t>
      </w:r>
      <w:r>
        <w:t xml:space="preserve"> (ISOPHARM ALGERIE)</w:t>
      </w:r>
    </w:p>
    <w:p>
      <w:pPr>
        <w:pStyle w:val="ListBullet"/>
      </w:pPr>
      <w:r>
        <w:t>Formes et Dosages : Solution buvable en gouttes 10 mg/mL — Flacon de 30 mL</w:t>
      </w:r>
    </w:p>
    <w:p>
      <w:pPr>
        <w:pStyle w:val="ListBullet"/>
      </w:pPr>
      <w:r>
        <w:t>Statut : Actif (Liste II)</w:t>
      </w:r>
    </w:p>
    <w:p>
      <w:pPr>
        <w:pStyle w:val="ListBullet"/>
      </w:pPr>
      <w:r/>
      <w:r>
        <w:rPr>
          <w:b/>
        </w:rPr>
        <w:t>ZYRTEC</w:t>
      </w:r>
      <w:r>
        <w:t xml:space="preserve"> (UCB PHARMA) — *princeps*</w:t>
      </w:r>
    </w:p>
    <w:p>
      <w:pPr>
        <w:pStyle w:val="ListBullet"/>
      </w:pPr>
      <w:r>
        <w:t>Formes et Dosages : Solution buvable en gouttes 10 mg/mL — Flacon compte-gouttes de 15 mL</w:t>
      </w:r>
    </w:p>
    <w:p>
      <w:pPr>
        <w:pStyle w:val="ListBullet"/>
      </w:pPr>
      <w:r>
        <w:t xml:space="preserve">Statut : </w:t>
      </w:r>
      <w:r>
        <w:rPr>
          <w:b/>
        </w:rPr>
        <w:t>Non Renouvelable</w:t>
      </w:r>
      <w:r>
        <w:t xml:space="preserve"> (Liste II)</w:t>
      </w:r>
    </w:p>
    <w:p>
      <w:pPr>
        <w:pStyle w:val="ListBullet"/>
      </w:pPr>
      <w:r/>
      <w:r>
        <w:rPr>
          <w:b/>
        </w:rPr>
        <w:t>ZYRTEC</w:t>
      </w:r>
      <w:r>
        <w:t xml:space="preserve"> (UCB PHARMA) — *princeps*</w:t>
      </w:r>
    </w:p>
    <w:p>
      <w:pPr>
        <w:pStyle w:val="ListBullet"/>
      </w:pPr>
      <w:r>
        <w:t>Formes et Dosages : Comprimé pelliculé sécable 10 mg — Boîte de 10</w:t>
      </w:r>
    </w:p>
    <w:p>
      <w:pPr>
        <w:pStyle w:val="ListBullet"/>
      </w:pPr>
      <w:r>
        <w:t xml:space="preserve">Statut : </w:t>
      </w:r>
      <w:r>
        <w:rPr>
          <w:b/>
        </w:rPr>
        <w:t>Retiré (R)</w:t>
      </w:r>
      <w:r>
        <w:t xml:space="preserve"> (Liste II)</w:t>
      </w:r>
    </w:p>
    <w:p>
      <w:pPr>
        <w:pStyle w:val="ListBullet"/>
      </w:pPr>
      <w:r/>
      <w:r>
        <w:rPr>
          <w:b/>
        </w:rPr>
        <w:t>VIRLIX</w:t>
      </w:r>
      <w:r>
        <w:t xml:space="preserve"> (SANOFI SYNTHELABO)</w:t>
      </w:r>
    </w:p>
    <w:p>
      <w:pPr>
        <w:pStyle w:val="ListBullet"/>
      </w:pPr>
      <w:r>
        <w:t>Formes et Dosages : Comprimé pelliculé sécable 10 mg — Boîte de 15</w:t>
      </w:r>
    </w:p>
    <w:p>
      <w:pPr>
        <w:pStyle w:val="ListBullet"/>
      </w:pPr>
      <w:r>
        <w:t xml:space="preserve">Statut : </w:t>
      </w:r>
      <w:r>
        <w:rPr>
          <w:b/>
        </w:rPr>
        <w:t>Retiré (R)</w:t>
      </w:r>
      <w:r>
        <w:t xml:space="preserve"> (Liste II)</w:t>
      </w:r>
    </w:p>
    <w:p>
      <w:pPr>
        <w:pStyle w:val="ListBullet"/>
      </w:pPr>
      <w:r/>
      <w:r>
        <w:rPr>
          <w:b/>
        </w:rPr>
        <w:t>ALERID</w:t>
      </w:r>
      <w:r>
        <w:t xml:space="preserve"> (CIPLA LIMITED)</w:t>
      </w:r>
    </w:p>
    <w:p>
      <w:pPr>
        <w:pStyle w:val="ListBullet"/>
      </w:pPr>
      <w:r>
        <w:t>Formes et Dosages : Comprimé 10 mg — Boîte de 10</w:t>
      </w:r>
    </w:p>
    <w:p>
      <w:pPr>
        <w:pStyle w:val="ListBullet"/>
      </w:pPr>
      <w:r>
        <w:t xml:space="preserve">Statut : </w:t>
      </w:r>
      <w:r>
        <w:rPr>
          <w:b/>
        </w:rPr>
        <w:t>Retiré (R)</w:t>
      </w:r>
      <w:r>
        <w:t xml:space="preserve"> (Liste II)</w:t>
      </w:r>
    </w:p>
    <w:p>
      <w:pPr>
        <w:pStyle w:val="ListBullet"/>
      </w:pPr>
      <w:r/>
      <w:r>
        <w:rPr>
          <w:b/>
        </w:rPr>
        <w:t>CETRYN</w:t>
      </w:r>
      <w:r>
        <w:t xml:space="preserve"> (ABDI IBRAHIM)</w:t>
      </w:r>
    </w:p>
    <w:p>
      <w:pPr>
        <w:pStyle w:val="ListBullet"/>
      </w:pPr>
      <w:r>
        <w:t>Formes et Dosages : Comprimé 10 mg — Boîte de 10</w:t>
      </w:r>
    </w:p>
    <w:p>
      <w:pPr>
        <w:pStyle w:val="ListBullet"/>
      </w:pPr>
      <w:r>
        <w:t xml:space="preserve">Statut : </w:t>
      </w:r>
      <w:r>
        <w:rPr>
          <w:b/>
        </w:rPr>
        <w:t>Retiré (R)</w:t>
      </w:r>
      <w:r>
        <w:t xml:space="preserve"> (Liste II)</w:t>
      </w:r>
    </w:p>
    <w:p>
      <w:pPr>
        <w:pStyle w:val="ListBullet"/>
      </w:pPr>
      <w:r/>
      <w:r>
        <w:rPr>
          <w:b/>
        </w:rPr>
        <w:t>ZERAN</w:t>
      </w:r>
      <w:r>
        <w:t xml:space="preserve"> (ARAB PHARMACEUTICAL MANUFACTURING)</w:t>
      </w:r>
    </w:p>
    <w:p>
      <w:pPr>
        <w:pStyle w:val="ListBullet"/>
      </w:pPr>
      <w:r>
        <w:t>Formes et Dosages : Comprimé 10 mg — Boîte de 10</w:t>
      </w:r>
    </w:p>
    <w:p>
      <w:pPr>
        <w:pStyle w:val="ListBullet"/>
      </w:pPr>
      <w:r>
        <w:t xml:space="preserve">Statut : </w:t>
      </w:r>
      <w:r>
        <w:rPr>
          <w:b/>
        </w:rPr>
        <w:t>Retiré (R)</w:t>
      </w:r>
      <w:r>
        <w:t xml:space="preserve"> (Liste II)</w:t>
      </w:r>
    </w:p>
    <w:p>
      <w:pPr>
        <w:pStyle w:val="ListBullet"/>
      </w:pPr>
      <w:r/>
      <w:r>
        <w:rPr>
          <w:b/>
        </w:rPr>
        <w:t>CERIN</w:t>
      </w:r>
      <w:r>
        <w:t xml:space="preserve"> (HAYAT PHARMACEUTICAL INDUSTRIES)</w:t>
      </w:r>
    </w:p>
    <w:p>
      <w:pPr>
        <w:pStyle w:val="ListBullet"/>
      </w:pPr>
      <w:r>
        <w:t>Formes et Dosages : Comprimé pelliculé 10 mg — Boîte de 10</w:t>
      </w:r>
    </w:p>
    <w:p>
      <w:pPr>
        <w:pStyle w:val="ListBullet"/>
      </w:pPr>
      <w:r>
        <w:t xml:space="preserve">Statut : </w:t>
      </w:r>
      <w:r>
        <w:rPr>
          <w:b/>
        </w:rPr>
        <w:t>Retiré (R)</w:t>
      </w:r>
      <w:r>
        <w:t xml:space="preserve"> (Liste II)</w:t>
      </w:r>
    </w:p>
    <w:p>
      <w:pPr>
        <w:pStyle w:val="ListBullet"/>
      </w:pPr>
      <w:r/>
      <w:r>
        <w:rPr>
          <w:b/>
        </w:rPr>
        <w:t>ZAIN</w:t>
      </w:r>
      <w:r>
        <w:t xml:space="preserve"> (MIDDLE EAST PHARMACEUTICAL AND CHEMICAL INDUSTRIES)</w:t>
      </w:r>
    </w:p>
    <w:p>
      <w:pPr>
        <w:pStyle w:val="ListBullet"/>
      </w:pPr>
      <w:r>
        <w:t>Formes et Dosages : Comprimé sécable 10 mg — Boîte de 10</w:t>
      </w:r>
    </w:p>
    <w:p>
      <w:pPr>
        <w:pStyle w:val="ListBullet"/>
      </w:pPr>
      <w:r>
        <w:t xml:space="preserve">Statut : </w:t>
      </w:r>
      <w:r>
        <w:rPr>
          <w:b/>
        </w:rPr>
        <w:t>Retiré (R)</w:t>
      </w:r>
      <w:r>
        <w:t xml:space="preserve"> (Liste II)</w:t>
      </w:r>
    </w:p>
    <w:p>
      <w:pPr>
        <w:pStyle w:val="ListBullet"/>
      </w:pPr>
      <w:r/>
      <w:r>
        <w:rPr>
          <w:b/>
        </w:rPr>
        <w:t>VIRCET</w:t>
      </w:r>
      <w:r>
        <w:t xml:space="preserve"> (PHARMALLIANCE)</w:t>
      </w:r>
    </w:p>
    <w:p>
      <w:pPr>
        <w:pStyle w:val="ListBullet"/>
      </w:pPr>
      <w:r>
        <w:t>Formes et Dosages : Comprimé 10 mg — Boîte de 10</w:t>
      </w:r>
    </w:p>
    <w:p>
      <w:pPr>
        <w:pStyle w:val="ListBullet"/>
      </w:pPr>
      <w:r>
        <w:t xml:space="preserve">Statut : </w:t>
      </w:r>
      <w:r>
        <w:rPr>
          <w:b/>
        </w:rPr>
        <w:t>Retiré (R)</w:t>
      </w:r>
      <w:r>
        <w:t xml:space="preserve"> (Liste II)</w:t>
      </w:r>
    </w:p>
    <w:p>
      <w:pPr>
        <w:pStyle w:val="ListBullet"/>
      </w:pPr>
      <w:r/>
      <w:r>
        <w:rPr>
          <w:b/>
        </w:rPr>
        <w:t>CYRTEX</w:t>
      </w:r>
      <w:r>
        <w:t xml:space="preserve"> (SARL LABORATOIRES MM)</w:t>
      </w:r>
    </w:p>
    <w:p>
      <w:pPr>
        <w:pStyle w:val="ListBullet"/>
      </w:pPr>
      <w:r>
        <w:t>Formes et Dosages : Solution buvable en gouttes 10 mg/mL — Flacon de 15 mL</w:t>
      </w:r>
    </w:p>
    <w:p>
      <w:pPr>
        <w:pStyle w:val="ListBullet"/>
      </w:pPr>
      <w:r>
        <w:t xml:space="preserve">Statut : </w:t>
      </w:r>
      <w:r>
        <w:rPr>
          <w:b/>
        </w:rPr>
        <w:t>Retiré (R)</w:t>
      </w:r>
      <w:r>
        <w:t xml:space="preserve"> (Liste II)</w:t>
      </w:r>
    </w:p>
    <w:p>
      <w:r/>
      <w:r>
        <w:rPr>
          <w:b/>
        </w:rPr>
        <w:t>Sous-classe et Mécanisme d'action :</w:t>
      </w:r>
      <w:r/>
    </w:p>
    <w:p>
      <w:pPr>
        <w:pStyle w:val="ListBullet"/>
      </w:pPr>
      <w:r>
        <w:t>Sous-classe : Antihistaminique H1 — 2e génération (non sédatif), famille des pipérazines (dérivée oxydée de l'hydroxyzine).</w:t>
      </w:r>
    </w:p>
    <w:p>
      <w:pPr>
        <w:pStyle w:val="ListBullet"/>
      </w:pPr>
      <w:r>
        <w:t xml:space="preserve">Mécanisme d'action : </w:t>
      </w:r>
      <w:r>
        <w:rPr>
          <w:b/>
        </w:rPr>
        <w:t>Antihistaminiques H1</w:t>
      </w:r>
      <w:r>
        <w:t xml:space="preserve"> : la cétirizine est un </w:t>
      </w:r>
      <w:r>
        <w:rPr>
          <w:b/>
        </w:rPr>
        <w:t>antagoniste compétitif inverse</w:t>
      </w:r>
      <w:r>
        <w:t xml:space="preserve"> du récepteur H1 (couplé Gq/11 → PLC → IP3 → Ca2+ → MLCK). En se liant au site orthostérique du récepteur H1, la cétirizine bloque l'accès de l'histamine circulante, empêchant l'activation de la cascade : </w:t>
      </w:r>
      <w:r>
        <w:rPr>
          <w:b/>
        </w:rPr>
        <w:t>vasodilatation</w:t>
      </w:r>
      <w:r>
        <w:t xml:space="preserve"> (libération de NO endothélial), </w:t>
      </w:r>
      <w:r>
        <w:rPr>
          <w:b/>
        </w:rPr>
        <w:t>augmentation de la perméabilité vasculaire</w:t>
      </w:r>
      <w:r>
        <w:t xml:space="preserve"> (rétraction des cellules endothéliales, fuite plasmatique → œdème, urticaire), </w:t>
      </w:r>
      <w:r>
        <w:rPr>
          <w:b/>
        </w:rPr>
        <w:t>bronchoconstriction</w:t>
      </w:r>
      <w:r>
        <w:t xml:space="preserve"> (contraction des CML bronchiques), </w:t>
      </w:r>
      <w:r>
        <w:rPr>
          <w:b/>
        </w:rPr>
        <w:t>stimulation des terminaisons nerveuses sensitives</w:t>
      </w:r>
      <w:r>
        <w:t xml:space="preserve"> (prurit, éternuement, douleur), </w:t>
      </w:r>
      <w:r>
        <w:rPr>
          <w:b/>
        </w:rPr>
        <w:t>sécrétion de mucus</w:t>
      </w:r>
      <w:r>
        <w:t xml:space="preserve"> (cellules calciformes). La cétirizine a également des propriétés </w:t>
      </w:r>
      <w:r>
        <w:rPr>
          <w:b/>
        </w:rPr>
        <w:t>anti-allergiques additives</w:t>
      </w:r>
      <w:r>
        <w:t xml:space="preserve"> : inhibition de la dégranulation des éosinophiles, inhibition de l'expression des molécules d'adhésion (ICAM-1) sur les cellules endothéliales, réduction du chimiotactisme des éosinophiles. La cétirizine traverse faiblement la BBB (~1 % de la concentration plasmatique), ce qui explique sa très faible sédation, mais elle reste la 2e génération avec l'effet sédatif résiduel le plus marqué (à dose élevée et chez les sujets sensibles). Contrairement aux 1re génération, elle a une </w:t>
      </w:r>
      <w:r>
        <w:rPr>
          <w:b/>
        </w:rPr>
        <w:t>affinité nulle pour les récepteurs muscariniques</w:t>
      </w:r>
      <w:r>
        <w:t xml:space="preserve"> (pas d'effet atropinique) et </w:t>
      </w:r>
      <w:r>
        <w:rPr>
          <w:b/>
        </w:rPr>
        <w:t>α1-adrénergiques</w:t>
      </w:r>
      <w:r>
        <w:t xml:space="preserve"> (pas d'hypotension orthostatique). Aux doses recommandées (10 mg/jour), la cétirizine n'allonge pas significativement l'intervalle QTc.</w:t>
      </w:r>
    </w:p>
    <w:p>
      <w:r/>
      <w:r>
        <w:rPr>
          <w:b/>
        </w:rPr>
        <w:t>Profil Pharmacologique :</w:t>
      </w:r>
      <w:r/>
    </w:p>
    <w:p>
      <w:pPr>
        <w:pStyle w:val="ListBullet"/>
      </w:pPr>
      <w:r/>
      <w:r>
        <w:rPr>
          <w:b/>
        </w:rPr>
        <w:t>Indications</w:t>
      </w:r>
      <w:r>
        <w:t xml:space="preserve"> : rhinite allergique saisonnière (pollens) et perannuelle (acariens, phanères animales) chez l'adulte et l'enfant à partir de 2 ans (forme sirop) ou 6 ans (forme cp 10 mg) ; conjonctivite allergique ; urticaire aiguë et chronique spontanée (UCS) ; prurit allergique (dermatite atopique en traitement adjuvant, piqûres d'insectes) ; allergies médicamenteuses cutanées bénignes à modérées (éruption médicamenteuse maculo-papuleuse). En prévention des réactions allergiques liées à l'administration de produits de contraste iodés (en complément de la corticothérapie).</w:t>
      </w:r>
    </w:p>
    <w:p>
      <w:pPr>
        <w:pStyle w:val="ListBullet"/>
      </w:pPr>
      <w:r/>
      <w:r>
        <w:rPr>
          <w:b/>
        </w:rPr>
        <w:t>Contre-indications</w:t>
      </w:r>
      <w:r>
        <w:t xml:space="preserve"> : hypersensibilité à la cétirizine, à l'hydroxyzine ou à un autre dérivé de la pipérazine ; insuffisance rénale sévère (clairance créatinine &lt; 10 mL/min — risque d'accumulation) ; enfants de moins de 6 ans pour le comprimé 10 mg (utiliser la forme sirop) ; femmes allaitantes (passage dans le lait maternel — cf. section Grossesse/Allaitement). Prudence en insuffisance rénale modérée (10-50 mL/min : 5 mg/jour max) et chez le sujet âgé (réduction posologique).</w:t>
      </w:r>
    </w:p>
    <w:p>
      <w:pPr>
        <w:pStyle w:val="ListBullet"/>
      </w:pPr>
      <w:r/>
      <w:r>
        <w:rPr>
          <w:b/>
        </w:rPr>
        <w:t>Effets Indésirables</w:t>
      </w:r>
      <w:r>
        <w:t xml:space="preserve"> : aux doses recommandées, tolérance excellente. EI fréquents (≥ 1/100 à &lt; 1/10) : somnolence légère à modérée (~10 % des cas, dose-dépendante), céphalées, fatigue, sécheresse buccale, troubles digestifs (nausées, douleurs abdominales). EI peu fréquents (≥ 1/1000 à &lt; 1/100) : étourdissements, paresthésies, agitation, diarrhée. EI rares (≥ 1/10000 à &lt; 1/1000) : convulsions, agitation, agressivité, confusion, hallucinations, dépression, tachycardie, hépatite, anomalies biologiques hépatiques (transaminases), anaphylaxie, rash, prurit, urticaire paradoxale. EI très rares (&lt; 1/10000) : prise de poids (décrite avec la cétirizine au long cours, discutée), troubles de l'accommodation,œdème angioneurotique, fixe éruption pigmentée. </w:t>
      </w:r>
      <w:r>
        <w:rPr>
          <w:b/>
        </w:rPr>
        <w:t>Cas particulier</w:t>
      </w:r>
      <w:r>
        <w:t xml:space="preserve"> : arrêt brutal possible rébound de prurit et récidive de l'urticaire chez les patients traités au long cours.</w:t>
      </w:r>
    </w:p>
    <w:p>
      <w:r/>
      <w:r>
        <w:rPr>
          <w:b/>
        </w:rPr>
        <w:t>Prévention et Gestion des Effets Indésirables :</w:t>
      </w:r>
      <w:r/>
    </w:p>
    <w:p>
      <w:pPr>
        <w:pStyle w:val="ListBullet"/>
      </w:pPr>
      <w:r/>
      <w:r>
        <w:rPr>
          <w:b/>
        </w:rPr>
        <w:t>Mesures Préventives</w:t>
      </w:r>
      <w:r>
        <w:t xml:space="preserve"> : prendre le comprimé </w:t>
      </w:r>
      <w:r>
        <w:rPr>
          <w:b/>
        </w:rPr>
        <w:t>le soir</w:t>
      </w:r>
      <w:r>
        <w:t xml:space="preserve"> (en cas de somnolence) ou </w:t>
      </w:r>
      <w:r>
        <w:rPr>
          <w:b/>
        </w:rPr>
        <w:t>le matin</w:t>
      </w:r>
      <w:r>
        <w:t xml:space="preserve"> (si bonne tolérance), avec un grand verre d'eau. </w:t>
      </w:r>
      <w:r>
        <w:rPr>
          <w:b/>
        </w:rPr>
        <w:t>Adaptation posologique</w:t>
      </w:r>
      <w:r>
        <w:t xml:space="preserve"> chez l'insuffisant renal (5 mg/jour si ClCr 10-50 mL/min, CI absolue si &lt; 10 mL/min) et chez le sujet âgé (vérifier la clairance créatinine avant prescription). Avertir le patient du risque de </w:t>
      </w:r>
      <w:r>
        <w:rPr>
          <w:b/>
        </w:rPr>
        <w:t>somnolence</w:t>
      </w:r>
      <w:r>
        <w:t xml:space="preserve"> et de la nécessité d'évaluer sa tolérance avant de conduire ou d'utiliser des machines (en particulier les premiers jours du traitement). Éviter la consommation d'alcool pendant le traitement. Surveillance particulière chez l'enfant (le risque d'agitation paradoxale existe, surtout chez l'enfant &lt; 6 ans).</w:t>
      </w:r>
    </w:p>
    <w:p>
      <w:pPr>
        <w:pStyle w:val="ListBullet"/>
      </w:pPr>
      <w:r/>
      <w:r>
        <w:rPr>
          <w:b/>
        </w:rPr>
        <w:t>Conduite à Tenir</w:t>
      </w:r>
      <w:r>
        <w:t xml:space="preserve"> : en cas de somnolence marquée, réduire la dose à 5 mg/jour (1/2 cp) ou passer à la prise vespérale. En cas d'agitation paradoxale (surtout enfant), d'hallucinations, de convulsions : arrêt immédiat et consultation médicale. En cas de réaction allergique (rash, urticaire, angio-œdème) : arrêt, traitement symptomatique, orientation vers le médecin. En cas d'anaphylaxie (très rare) : adrénaline IM (Stylo Anapen) et SAMU. En cas de surdosage (≥ 50 mg en une prise chez l'adulte) : agitation, confusion, somnolence, possible allongement QT — lavage gastrique si prise récente (&lt; 1 heure), charbon activé, surveillance ECG, traitement symptomatique. La cétirizine n'est que très faiblement dialysable.</w:t>
      </w:r>
    </w:p>
    <w:p>
      <w:r/>
      <w:r>
        <w:rPr>
          <w:b/>
        </w:rPr>
        <w:t>Interactions Importantes :</w:t>
      </w:r>
      <w:r/>
    </w:p>
    <w:p>
      <w:pPr>
        <w:pStyle w:val="ListBullet"/>
      </w:pPr>
      <w:r/>
      <w:r>
        <w:rPr>
          <w:b/>
        </w:rPr>
        <w:t>Cétirizine + alcool</w:t>
      </w:r>
      <w:r>
        <w:t xml:space="preserve"> : potentialisation de la sédation. Éviter la consommation d'alcool pendant le traitement.</w:t>
      </w:r>
    </w:p>
    <w:p>
      <w:pPr>
        <w:pStyle w:val="ListBullet"/>
      </w:pPr>
      <w:r/>
      <w:r>
        <w:rPr>
          <w:b/>
        </w:rPr>
        <w:t>Cétirizine + dépresseurs du SNC</w:t>
      </w:r>
      <w:r>
        <w:t xml:space="preserve"> (benzodiazépines, opioïdes, barbituriques, autres antihistaminiques H1 sédatifs) : sédation additive. Prudence.</w:t>
      </w:r>
    </w:p>
    <w:p>
      <w:pPr>
        <w:pStyle w:val="ListBullet"/>
      </w:pPr>
      <w:r/>
      <w:r>
        <w:rPr>
          <w:b/>
        </w:rPr>
        <w:t>Cétirizine + théophylline</w:t>
      </w:r>
      <w:r>
        <w:t xml:space="preserve"> (cf. Chapitre 63) : diminution de la clairance de la cétirizine de 16 % (faible réduction de la demi-vie d'élimination), sans conséquence clinique aux doses usuelles.</w:t>
      </w:r>
    </w:p>
    <w:p>
      <w:pPr>
        <w:pStyle w:val="ListBullet"/>
      </w:pPr>
      <w:r/>
      <w:r>
        <w:rPr>
          <w:b/>
        </w:rPr>
        <w:t>Cétirizine + kétoconazole/érythromycine</w:t>
      </w:r>
      <w:r>
        <w:t xml:space="preserve"> : pas d'allongement significatif du QTc aux doses recommandées (contrairement à la terfénadine et à l'astémizole, anciennes 2e génération retirées du marché). Aucune adaptation posologique nécessaire.</w:t>
      </w:r>
    </w:p>
    <w:p>
      <w:pPr>
        <w:pStyle w:val="ListBullet"/>
      </w:pPr>
      <w:r/>
      <w:r>
        <w:rPr>
          <w:b/>
        </w:rPr>
        <w:t>Cétirizine + ritonavir</w:t>
      </w:r>
      <w:r>
        <w:t xml:space="preserve"> : augmentation modeste des taux de cétirizine (~40 %) sans allongement du QTc.</w:t>
      </w:r>
    </w:p>
    <w:p>
      <w:pPr>
        <w:pStyle w:val="ListBullet"/>
      </w:pPr>
      <w:r/>
      <w:r>
        <w:rPr>
          <w:b/>
        </w:rPr>
        <w:t>Cétirizine + IMAO</w:t>
      </w:r>
      <w:r>
        <w:t xml:space="preserve"> : pas d'interaction documentée (contrairement aux 1re génération).</w:t>
      </w:r>
    </w:p>
    <w:p>
      <w:r/>
      <w:r>
        <w:rPr>
          <w:b/>
        </w:rPr>
        <w:t>Grossesse et Allaitement :</w:t>
      </w:r>
      <w:r/>
    </w:p>
    <w:p>
      <w:pPr>
        <w:pStyle w:val="ListBullet"/>
      </w:pPr>
      <w:r/>
      <w:r>
        <w:rPr>
          <w:b/>
        </w:rPr>
        <w:t>Grossesse</w:t>
      </w:r>
      <w:r>
        <w:t xml:space="preserve"> : selon le </w:t>
      </w:r>
      <w:r>
        <w:rPr>
          <w:b/>
        </w:rPr>
        <w:t>CRAT</w:t>
      </w:r>
      <w:r>
        <w:t xml:space="preserve"> (Centre Renseignements sur les Agents Tératogènes), la cétirizine est </w:t>
      </w:r>
      <w:r>
        <w:rPr>
          <w:b/>
        </w:rPr>
        <w:t>compatible avec la grossesse</w:t>
      </w:r>
      <w:r>
        <w:t xml:space="preserve"> à toutes les phases (1er, 2e, 3e trimestres). Les données de pharmacovigilance portant sur plusieurs milliers de grossesses exposées n'ont pas montré d'augmentation du risque de malformations congénitales, de fausse couche, de prématurité ou de retard de croissance. En pratique, la cétirizine est l'</w:t>
      </w:r>
      <w:r>
        <w:rPr>
          <w:b/>
        </w:rPr>
        <w:t>antihistaminique H1 de 1re choix chez la femme enceinte</w:t>
      </w:r>
      <w:r>
        <w:t xml:space="preserve"> (avec la loratadine), dans la rhinite allergique et l'urticaire. Préférer la forme à dose standard (10 mg/jour) sur une durée courte (≤ 14 jours en automédication, plus longue sur prescription médicale). En cas d'urticaire sévère pendant la grossesse, la cétirizine peut être augmentée jusqu'à 20-40 mg/jour sous surveillance médicale.</w:t>
      </w:r>
    </w:p>
    <w:p>
      <w:pPr>
        <w:pStyle w:val="ListBullet"/>
      </w:pPr>
      <w:r/>
      <w:r>
        <w:rPr>
          <w:b/>
        </w:rPr>
        <w:t>Allaitement</w:t>
      </w:r>
      <w:r>
        <w:t xml:space="preserve"> : selon le CRAT et LactMed, la cétirizine passe dans le lait maternel (rapport lait/plasma ~0,25 à 0,5), mais aux doses maternelles usuelles (10 mg/jour), la quantité reçue par le nourrisson est très inférieure à la dose pédiatrique thérapeutique (~0,1 mg/kg/jour). Cependant, en raison d'une </w:t>
      </w:r>
      <w:r>
        <w:rPr>
          <w:b/>
        </w:rPr>
        <w:t>demi-vie plus longue chez le nourrisson</w:t>
      </w:r>
      <w:r>
        <w:t xml:space="preserve"> (jusqu'à 18 h) et d'un risque théorique de sédation ou d'agitation paradoxale, l'allaitement est </w:t>
      </w:r>
      <w:r>
        <w:rPr>
          <w:b/>
        </w:rPr>
        <w:t>déconseillé</w:t>
      </w:r>
      <w:r>
        <w:t xml:space="preserve"> en pratique par prudence. Si l'allaitement doit être maintenu, espacer la prise de cétirizine juste après une tétée, et surveiller la somnolence et l'état du nourrisson. Alternative à privilégier : loratadine (moins passage lacté) ou fexofénadine.</w:t>
      </w:r>
    </w:p>
    <w:p>
      <w:pPr>
        <w:pStyle w:val="ListBullet"/>
      </w:pPr>
      <w:r/>
      <w:r>
        <w:rPr>
          <w:b/>
        </w:rPr>
        <w:t>Précisions</w:t>
      </w:r>
      <w:r>
        <w:t xml:space="preserve"> : aucune tératogénicité animale documentée. Éviter les 1re génération (hydroxyzine, prométhazine) en début de grossesse en raison de la sédation et de l'effet anticholinergique sur le fœtus.</w:t>
      </w:r>
    </w:p>
    <w:p>
      <w:r/>
      <w:r>
        <w:rPr>
          <w:b/>
        </w:rPr>
        <w:t>Posologie et Mode d'administration (Standard) :</w:t>
      </w:r>
      <w:r/>
    </w:p>
    <w:p>
      <w:pPr>
        <w:pStyle w:val="ListBullet"/>
      </w:pPr>
      <w:r/>
      <w:r>
        <w:rPr>
          <w:b/>
        </w:rPr>
        <w:t>Adulte et adolescent ≥ 12 ans</w:t>
      </w:r>
      <w:r>
        <w:t xml:space="preserve"> : </w:t>
      </w:r>
      <w:r>
        <w:rPr>
          <w:b/>
        </w:rPr>
        <w:t>10 mg une fois par jour</w:t>
      </w:r>
      <w:r>
        <w:t xml:space="preserve"> (1 comprimé pelliculé de 10 mg, ou 20 gouttes de solution buvable 10 mg/mL). En cas de somnolence, fractionner en 5 mg matin et 5 mg soir.</w:t>
      </w:r>
    </w:p>
    <w:p>
      <w:pPr>
        <w:pStyle w:val="ListBullet"/>
      </w:pPr>
      <w:r/>
      <w:r>
        <w:rPr>
          <w:b/>
        </w:rPr>
        <w:t>Enfant 6 à 12 ans</w:t>
      </w:r>
      <w:r>
        <w:t xml:space="preserve"> : 5 mg deux fois par jour (1/2 comprimé x 2, ou 10 gouttes x 2), ou 10 mg une fois par jour (selon poids et tolérance).</w:t>
      </w:r>
    </w:p>
    <w:p>
      <w:pPr>
        <w:pStyle w:val="ListBullet"/>
      </w:pPr>
      <w:r/>
      <w:r>
        <w:rPr>
          <w:b/>
        </w:rPr>
        <w:t>Enfant 2 à 6 ans</w:t>
      </w:r>
      <w:r>
        <w:t xml:space="preserve"> : 5 mg une fois par jour (10 gouttes en une prise, ou 2,5 mg matin et soir).</w:t>
      </w:r>
    </w:p>
    <w:p>
      <w:pPr>
        <w:pStyle w:val="ListBullet"/>
      </w:pPr>
      <w:r/>
      <w:r>
        <w:rPr>
          <w:b/>
        </w:rPr>
        <w:t>Nourrisson 1 à 2 ans</w:t>
      </w:r>
      <w:r>
        <w:t xml:space="preserve"> : 2,5 mg deux fois par jour (5 gouttes x 2). NB : la cétirizine est autorisée à partir de 1 an dans la rhinite allergique perannuelle (et à partir de 2 ans pour la rhinite saisonnière et l'urticaire, selon l'AMM européenne).</w:t>
      </w:r>
    </w:p>
    <w:p>
      <w:pPr>
        <w:pStyle w:val="ListBullet"/>
      </w:pPr>
      <w:r/>
      <w:r>
        <w:rPr>
          <w:b/>
        </w:rPr>
        <w:t>Sujet âgé (&gt; 65 ans)</w:t>
      </w:r>
      <w:r>
        <w:t xml:space="preserve"> : adapter en fonction de la clairance de la créatinine ; en cas d'insuffisance rénale (ClCr 10-50 mL/min), réduire à 5 mg/jour.</w:t>
      </w:r>
    </w:p>
    <w:p>
      <w:pPr>
        <w:pStyle w:val="ListBullet"/>
      </w:pPr>
      <w:r/>
      <w:r>
        <w:rPr>
          <w:b/>
        </w:rPr>
        <w:t>Insuffisance rénale</w:t>
      </w:r>
      <w:r>
        <w:t xml:space="preserve"> : ClCr ≥ 50 mL/min : 10 mg/jour ; ClCr 10-50 mL/min : 5 mg/jour ; ClCr &lt; 10 mL/min : CI absolue.</w:t>
      </w:r>
    </w:p>
    <w:p>
      <w:pPr>
        <w:pStyle w:val="ListBullet"/>
      </w:pPr>
      <w:r/>
      <w:r>
        <w:rPr>
          <w:b/>
        </w:rPr>
        <w:t>Insuffisance hépatique isolée</w:t>
      </w:r>
      <w:r>
        <w:t xml:space="preserve"> : pas d'adaptation posologique (métabolisme hépatique mineur). En cas d'insuffisance hépato-rénale, adapter selon la fonction rénale.</w:t>
      </w:r>
    </w:p>
    <w:p>
      <w:pPr>
        <w:pStyle w:val="ListBullet"/>
      </w:pPr>
      <w:r/>
      <w:r>
        <w:rPr>
          <w:b/>
        </w:rPr>
        <w:t>Durée</w:t>
      </w:r>
      <w:r>
        <w:t xml:space="preserve"> : rhinite allergique saisonnière : pendant toute la durée de la saison pollinique (quelques semaines à quelques mois). Urticaire aiguë : 5 à 14 jours. Urticaire chronique : traitement prolongé (parfois plusieurs mois à années) sous surveillance médicale.</w:t>
      </w:r>
    </w:p>
    <w:p>
      <w:pPr>
        <w:pStyle w:val="ListBullet"/>
      </w:pPr>
      <w:r/>
      <w:r>
        <w:rPr>
          <w:b/>
        </w:rPr>
        <w:t>Moment de la prise</w:t>
      </w:r>
      <w:r>
        <w:t xml:space="preserve"> : par convention, </w:t>
      </w:r>
      <w:r>
        <w:rPr>
          <w:b/>
        </w:rPr>
        <w:t>le soir</w:t>
      </w:r>
      <w:r>
        <w:t xml:space="preserve"> en raison du risque de somnolence (surtout en début de traitement) ; ou le matin si bonne tolérance. Préférence du soir chez l'enfant. À prendre avec un grand verre d'eau, indépendamment des repas.</w:t>
      </w:r>
    </w:p>
    <w:p>
      <w:r/>
      <w:r>
        <w:rPr>
          <w:b/>
        </w:rPr>
        <w:t>Arbitrage et Bénéfices des Formes Galéniques :</w:t>
      </w:r>
      <w:r/>
    </w:p>
    <w:p>
      <w:pPr>
        <w:pStyle w:val="ListBullet"/>
      </w:pPr>
      <w:r/>
      <w:r>
        <w:rPr>
          <w:b/>
        </w:rPr>
        <w:t>Comprimé pelliculé 10 mg</w:t>
      </w:r>
      <w:r>
        <w:t xml:space="preserve"> (forme adulte, 11 marques actives) : pratique, stable, sécable pour adapter à l'enfant de 6 à 12 ans (1/2 cp = 5 mg). Convient à l'adulte et à l'enfant ≥ 6 ans.</w:t>
      </w:r>
    </w:p>
    <w:p>
      <w:pPr>
        <w:pStyle w:val="ListBullet"/>
      </w:pPr>
      <w:r/>
      <w:r>
        <w:rPr>
          <w:b/>
        </w:rPr>
        <w:t>Solution buvable en gouttes 10 mg/mL</w:t>
      </w:r>
      <w:r>
        <w:t xml:space="preserve"> (11 marques actives) : indispensable pour le nourrisson (1 à 2 ans) et le jeune enfant (2 à 6 ans) — dose précise selon le poids. Pratique pour adapter la dose en fonction de la sévérité des symptômes et de la tolérance. Flacon de 15 mL ou 30 mL selon les marques.</w:t>
      </w:r>
    </w:p>
    <w:p>
      <w:pPr>
        <w:pStyle w:val="ListBullet"/>
      </w:pPr>
      <w:r/>
      <w:r>
        <w:rPr>
          <w:b/>
        </w:rPr>
        <w:t>Sirop</w:t>
      </w:r>
      <w:r>
        <w:t xml:space="preserve"> : non disponible en Algérie pour la cétirizine (la loratadine, desloratadine et lévocétirizine ont des sirops).</w:t>
      </w:r>
    </w:p>
    <w:p>
      <w:pPr>
        <w:pStyle w:val="ListBullet"/>
      </w:pPr>
      <w:r/>
      <w:r>
        <w:rPr>
          <w:b/>
        </w:rPr>
        <w:t>Forme injectable</w:t>
      </w:r>
      <w:r>
        <w:t xml:space="preserve"> : la cétirizine n'a pas de forme parentérale (l'urticaire aiguë sévère relève de l'hydroxyzine IM/IV ou de la dexchlorphéniramine IM).</w:t>
      </w:r>
    </w:p>
    <w:p>
      <w:pPr>
        <w:pStyle w:val="ListBullet"/>
      </w:pPr>
      <w:r/>
      <w:r>
        <w:rPr>
          <w:b/>
        </w:rPr>
        <w:t>Forme nasale / oculaire</w:t>
      </w:r>
      <w:r>
        <w:t xml:space="preserve"> : non disponible en Algérie (azélastine nasale et olopatadine oculaire ne sont pas traitées ici).</w:t>
      </w:r>
    </w:p>
    <w:p>
      <w:r/>
      <w:r>
        <w:rPr>
          <w:b/>
        </w:rPr>
        <w:t>Instructions et Conseils au Patient :</w:t>
      </w:r>
      <w:r/>
    </w:p>
    <w:p>
      <w:pPr>
        <w:pStyle w:val="ListBullet"/>
      </w:pPr>
      <w:r/>
      <w:r>
        <w:rPr>
          <w:b/>
        </w:rPr>
        <w:t>Communication au comptoir</w:t>
      </w:r>
      <w:r>
        <w:t xml:space="preserve"> : « *Ce médicament traite les symptômes de l'allergie (rhume des foins, urticaire, démangeaisons). Prenez-le une fois par jour, de préférence le soir car il peut provoquer une légère somnolence chez certaines personnes. Évitez l'alcool pendant le traitement. Si vous avez des problèmes de reins, prévenez votre médecin car la dose doit être réduite. En cas de somnolence marquée, parlez-en à votre pharmacien ou médecin — il pourra réduire la dose ou passer à un autre antihistaminique mieux toléré.* »</w:t>
      </w:r>
    </w:p>
    <w:p>
      <w:pPr>
        <w:pStyle w:val="ListBullet"/>
      </w:pPr>
      <w:r/>
      <w:r>
        <w:rPr>
          <w:b/>
        </w:rPr>
        <w:t>Mode d'utilisation pratique</w:t>
      </w:r>
      <w:r>
        <w:t xml:space="preserve"> : pour le comprimé : avaler avec un grand verre d'eau, indépendamment des repas. Pour les gouttes : utiliser le compte-gouttes fourni, diluer dans un peu d'eau ou de jus. En cas d'oubli : prendre dès que possible dans la journée ; ne pas doubler la dose le lendemain. Conservation : à température &lt; 25 °C, à l'abri de la lumière et de l'humidité ; bien refermer le flacon de gouttes après usage. Ne pas dépasser 14 jours d'automédication sans avis médical. En cas d'aggravation des symptômes, d'apparition de fièvre, de dyspnée, d'œdème du visage ou de difficulté à avaler : consulter immédiatement un médecin (risque d'angio-œdème ou d'anaphylaxie).</w:t>
      </w:r>
    </w:p>
    <w:p>
      <w:r/>
      <w:r>
        <w:rPr>
          <w:b/>
        </w:rPr>
        <w:t>Notes, Règles d'Or &amp; Pièges au Comptoir :</w:t>
      </w:r>
      <w:r/>
    </w:p>
    <w:p>
      <w:pPr>
        <w:pStyle w:val="ListBullet"/>
      </w:pPr>
      <w:r/>
      <w:r>
        <w:rPr>
          <w:b/>
        </w:rPr>
        <w:t>Piège classique</w:t>
      </w:r>
      <w:r>
        <w:t xml:space="preserve"> : </w:t>
      </w:r>
      <w:r>
        <w:rPr>
          <w:b/>
        </w:rPr>
        <w:t>somnolence résiduelle</w:t>
      </w:r>
      <w:r>
        <w:t xml:space="preserve"> chez le sujet naïf ou âgé — évaluer la tolérance avant la conduite automobile pendant les 2-3 premiers jours du traitement. En cas de somnolence, réduire à 5 mg/jour ou basculer sur </w:t>
      </w:r>
      <w:r>
        <w:rPr>
          <w:b/>
        </w:rPr>
        <w:t>loratadine</w:t>
      </w:r>
      <w:r>
        <w:t xml:space="preserve"> ou </w:t>
      </w:r>
      <w:r>
        <w:rPr>
          <w:b/>
        </w:rPr>
        <w:t>fexofénadine</w:t>
      </w:r>
      <w:r>
        <w:t xml:space="preserve"> (moins sédatives). </w:t>
      </w:r>
      <w:r>
        <w:rPr>
          <w:b/>
        </w:rPr>
        <w:t>Insuffisance rénale silencieuse chez le sujet âgé</w:t>
      </w:r>
      <w:r>
        <w:t xml:space="preserve"> : toujours vérifier la clairance de la créatinine avant prescription au-delà de 65 ans. </w:t>
      </w:r>
      <w:r>
        <w:rPr>
          <w:b/>
        </w:rPr>
        <w:t>Rébound de l'urticaire à l'arrêt</w:t>
      </w:r>
      <w:r>
        <w:t xml:space="preserve"> : chez les patients traités au long cours pour urticaire chronique, l'arrêt brutal peut provoquer une récidive sévère — toujours décroître progressivement (sur 2 à 4 semaines).</w:t>
      </w:r>
    </w:p>
    <w:p>
      <w:pPr>
        <w:pStyle w:val="ListBullet"/>
      </w:pPr>
      <w:r/>
      <w:r>
        <w:rPr>
          <w:b/>
        </w:rPr>
        <w:t>Règle de prise</w:t>
      </w:r>
      <w:r>
        <w:t xml:space="preserve"> : une fois par jour, le soir de préférence. Pas d'alcool. Pas de double dose en cas d'oubli.</w:t>
      </w:r>
    </w:p>
    <w:p>
      <w:pPr>
        <w:pStyle w:val="ListBullet"/>
      </w:pPr>
      <w:r/>
      <w:r>
        <w:rPr>
          <w:b/>
        </w:rPr>
        <w:t>Préparation et Conservation</w:t>
      </w:r>
      <w:r>
        <w:t xml:space="preserve"> : comprimés à température &lt; 25 °C, à l'abri de l'humidité ; solution buvable en gouttes à température &lt; 25 °C, à l'abri de la lumière, bien refermer après usage ; ne pas conserver au-delà de 6 mois après ouverture (sauf indication contraire du fabricant).</w:t>
      </w:r>
    </w:p>
    <w:p>
      <w:pPr>
        <w:pStyle w:val="ListBullet"/>
      </w:pPr>
      <w:r/>
      <w:r>
        <w:rPr>
          <w:b/>
        </w:rPr>
        <w:t>Piège du surdosage / Substitution</w:t>
      </w:r>
      <w:r>
        <w:t xml:space="preserve"> : </w:t>
      </w:r>
      <w:r>
        <w:rPr>
          <w:b/>
        </w:rPr>
        <w:t>substitution entre marques génériques</w:t>
      </w:r>
      <w:r>
        <w:t xml:space="preserve"> possible (même DCI, même dosage, même forme galénique), mais attention à la concentration des gouttes (toutes à 10 mg/mL en Algérie). </w:t>
      </w:r>
      <w:r>
        <w:rPr>
          <w:b/>
        </w:rPr>
        <w:t>Surdosage</w:t>
      </w:r>
      <w:r>
        <w:t xml:space="preserve"> : ≥ 50 mg en une prise → agitation, confusion, somnolence, possible allongement QTc → lavage gastrique si &lt; 1 h, charbon activé, surveillance ECG. </w:t>
      </w:r>
      <w:r>
        <w:rPr>
          <w:b/>
        </w:rPr>
        <w:t>Substitution cétirizine ↔ lévocétirizine</w:t>
      </w:r>
      <w:r>
        <w:t xml:space="preserve"> : la lévocétirizine est l'énantiomère actif R de la cétirizine, à dose moitié (5 mg au lieu de 10 mg) pour une efficacité équivalente — utile en cas de somnolence sous cétirizine. </w:t>
      </w:r>
      <w:r>
        <w:rPr>
          <w:b/>
        </w:rPr>
        <w:t>Substitution cétirizine ↔ loratadine</w:t>
      </w:r>
      <w:r>
        <w:t xml:space="preserve"> : alternative courante, moins sédative, mais activité anti-H1 légèrement inférieure. </w:t>
      </w:r>
      <w:r>
        <w:rPr>
          <w:b/>
        </w:rPr>
        <w:t>Substitution par hydroxyzine</w:t>
      </w:r>
      <w:r>
        <w:t xml:space="preserve"> : à éviter en première intention en raison du risque d'allongement QT (ANSM 2015 — restriction 100 mg/jour max).</w:t>
      </w:r>
    </w:p>
    <w:p>
      <w:pPr>
        <w:pStyle w:val="Heading3"/>
      </w:pPr>
      <w:r>
        <w:t>3.2. DCI : Lévocétirizine (Seule)</w:t>
      </w:r>
    </w:p>
    <w:p>
      <w:r/>
      <w:r>
        <w:rPr>
          <w:b/>
        </w:rPr>
        <w:t>Liste des Catégories :</w:t>
      </w:r>
      <w:r>
        <w:t xml:space="preserve"> Antihistaminique H1 — 2e génération (non sédatif), Antiallergique, Anti-histaminique systémique, Antihistaminique à visée respiratoire (rhinite allergique, conjonctivite allergique), Antihistaminique à visée dermatologique (urticaire, prurit allergique), Pédiatrie (solution buvable).</w:t>
      </w:r>
    </w:p>
    <w:p>
      <w:r>
        <w:t xml:space="preserve">La </w:t>
      </w:r>
      <w:r>
        <w:rPr>
          <w:b/>
        </w:rPr>
        <w:t>lévocétirizine</w:t>
      </w:r>
      <w:r>
        <w:t xml:space="preserve"> (dichlorhydrate de lévocétirizine, formule C21H25Cl2N2O3 ; M = 388,9 g/mol — même formule que la cétirizine racémique) est l'</w:t>
      </w:r>
      <w:r>
        <w:rPr>
          <w:b/>
        </w:rPr>
        <w:t>énantiomère lévogyre (R)</w:t>
      </w:r>
      <w:r>
        <w:t xml:space="preserve"> de la cétirizine, commercialisé en Algérie sous 9 marques génériques actives en Avril 2026. La lévocétirizine est environ </w:t>
      </w:r>
      <w:r>
        <w:rPr>
          <w:b/>
        </w:rPr>
        <w:t>2 fois plus active</w:t>
      </w:r>
      <w:r>
        <w:t xml:space="preserve"> sur le récepteur H1 que l'énantiomère S (distomère inactif), ce qui permet une dose moitié (5 mg vs 10 mg pour la cétirizine racémique) pour une </w:t>
      </w:r>
      <w:r>
        <w:rPr>
          <w:b/>
        </w:rPr>
        <w:t>efficacité équivalente voire supérieure</w:t>
      </w:r>
      <w:r>
        <w:t xml:space="preserve"> sur la rhinite allergique et l'urticaire. Sa biodisponibilité orale est élevée (≥ 85 %), son pic plasmatique est atteint en 0,9 heure, et sa </w:t>
      </w:r>
      <w:r>
        <w:rPr>
          <w:b/>
        </w:rPr>
        <w:t>demi-vie d'élimination</w:t>
      </w:r>
      <w:r>
        <w:t xml:space="preserve"> est de 7 à 9 heures chez l'adulte (prolongée à 7 à 8 heures chez l'enfant, et jusqu'à 14 heures chez le nourrisson). Comme la cétirizine, la lévocétirizine est </w:t>
      </w:r>
      <w:r>
        <w:rPr>
          <w:b/>
        </w:rPr>
        <w:t>peu métabolisée</w:t>
      </w:r>
      <w:r>
        <w:t xml:space="preserve"> (&lt; 14 %) et </w:t>
      </w:r>
      <w:r>
        <w:rPr>
          <w:b/>
        </w:rPr>
        <w:t>excrétée principalement inchangée dans les urines</w:t>
      </w:r>
      <w:r>
        <w:t xml:space="preserve"> (&gt; 85 %), ce qui impose une </w:t>
      </w:r>
      <w:r>
        <w:rPr>
          <w:b/>
        </w:rPr>
        <w:t>adaptation posologique en insuffisance rénale</w:t>
      </w:r>
      <w:r>
        <w:t xml:space="preserve">. La lévocétirizine traverse faiblement la BBB et a un </w:t>
      </w:r>
      <w:r>
        <w:rPr>
          <w:b/>
        </w:rPr>
        <w:t>profil de tolérance centrale équivalent</w:t>
      </w:r>
      <w:r>
        <w:t xml:space="preserve"> à la cétirizine, avec une somnolence légère possible (5 à 6 % des cas). Son affinité pour le récepteur H1 est supérieure à celle de la cétirizine (Ki plus faible), avec une </w:t>
      </w:r>
      <w:r>
        <w:rPr>
          <w:b/>
        </w:rPr>
        <w:t>dissociation lente</w:t>
      </w:r>
      <w:r>
        <w:t xml:space="preserve"> du récepteur (demi-vie de dissociation ~3 heures), ce qui explique sa </w:t>
      </w:r>
      <w:r>
        <w:rPr>
          <w:b/>
        </w:rPr>
        <w:t>durée d'action prolongée (24 heures)</w:t>
      </w:r>
      <w:r>
        <w:t xml:space="preserve"> et son efficacité persistante y compris sur la composante obstructive nasale.</w:t>
      </w:r>
    </w:p>
    <w:p>
      <w:r/>
      <w:r>
        <w:rPr>
          <w:b/>
        </w:rPr>
        <w:t>Médicaments disponibles en Algérie (Marques, Laboratoires, Formes et Dosages) :</w:t>
      </w:r>
      <w:r/>
    </w:p>
    <w:p>
      <w:pPr>
        <w:pStyle w:val="ListBullet"/>
      </w:pPr>
      <w:r/>
      <w:r>
        <w:rPr>
          <w:b/>
        </w:rPr>
        <w:t>HISTADINE</w:t>
      </w:r>
      <w:r>
        <w:t xml:space="preserve"> (GEOPHARM)</w:t>
      </w:r>
    </w:p>
    <w:p>
      <w:pPr>
        <w:pStyle w:val="ListBullet"/>
      </w:pPr>
      <w:r>
        <w:t>Formes et Dosages : Comprimé pelliculé 5 mg — Boîte de 14</w:t>
      </w:r>
    </w:p>
    <w:p>
      <w:pPr>
        <w:pStyle w:val="ListBullet"/>
      </w:pPr>
      <w:r>
        <w:t>Statut : Actif (Liste II)</w:t>
      </w:r>
    </w:p>
    <w:p>
      <w:pPr>
        <w:pStyle w:val="ListBullet"/>
      </w:pPr>
      <w:r/>
      <w:r>
        <w:rPr>
          <w:b/>
        </w:rPr>
        <w:t>LEVOXINE</w:t>
      </w:r>
      <w:r>
        <w:t xml:space="preserve"> (LABORATOIRES DE DIAGNOSTIC MAGHREBINS — LDM)</w:t>
      </w:r>
    </w:p>
    <w:p>
      <w:pPr>
        <w:pStyle w:val="ListBullet"/>
      </w:pPr>
      <w:r>
        <w:t>Formes et Dosages : Comprimé pelliculé 5 mg — Boîte de 30</w:t>
      </w:r>
    </w:p>
    <w:p>
      <w:pPr>
        <w:pStyle w:val="ListBullet"/>
      </w:pPr>
      <w:r>
        <w:t>Statut : Actif (Liste II)</w:t>
      </w:r>
    </w:p>
    <w:p>
      <w:pPr>
        <w:pStyle w:val="ListBullet"/>
      </w:pPr>
      <w:r/>
      <w:r>
        <w:rPr>
          <w:b/>
        </w:rPr>
        <w:t>LEVORGICA</w:t>
      </w:r>
      <w:r>
        <w:t xml:space="preserve"> (INPHA-MEDIS)</w:t>
      </w:r>
    </w:p>
    <w:p>
      <w:pPr>
        <w:pStyle w:val="ListBullet"/>
      </w:pPr>
      <w:r>
        <w:t>Formes et Dosages : Comprimé pelliculé 5 mg — Boîte de 14 et de 28</w:t>
      </w:r>
    </w:p>
    <w:p>
      <w:pPr>
        <w:pStyle w:val="ListBullet"/>
      </w:pPr>
      <w:r>
        <w:t>Statut : Actif (Liste II)</w:t>
      </w:r>
    </w:p>
    <w:p>
      <w:pPr>
        <w:pStyle w:val="ListBullet"/>
      </w:pPr>
      <w:r/>
      <w:r>
        <w:rPr>
          <w:b/>
        </w:rPr>
        <w:t>LEVOZEN</w:t>
      </w:r>
      <w:r>
        <w:t xml:space="preserve"> (NEOMEDIC)</w:t>
      </w:r>
    </w:p>
    <w:p>
      <w:pPr>
        <w:pStyle w:val="ListBullet"/>
      </w:pPr>
      <w:r>
        <w:t>Formes et Dosages : Comprimé pelliculé 5 mg — Boîte de 14 et de 28</w:t>
      </w:r>
    </w:p>
    <w:p>
      <w:pPr>
        <w:pStyle w:val="ListBullet"/>
      </w:pPr>
      <w:r>
        <w:t>Statut : Actif (Liste II)</w:t>
      </w:r>
    </w:p>
    <w:p>
      <w:pPr>
        <w:pStyle w:val="ListBullet"/>
      </w:pPr>
      <w:r/>
      <w:r>
        <w:rPr>
          <w:b/>
        </w:rPr>
        <w:t>RIZINAL 5</w:t>
      </w:r>
      <w:r>
        <w:t xml:space="preserve"> (LABORATOIRES SALEM)</w:t>
      </w:r>
    </w:p>
    <w:p>
      <w:pPr>
        <w:pStyle w:val="ListBullet"/>
      </w:pPr>
      <w:r>
        <w:t>Formes et Dosages : Comprimé pelliculé 5 mg — Boîte de 20</w:t>
      </w:r>
    </w:p>
    <w:p>
      <w:pPr>
        <w:pStyle w:val="ListBullet"/>
      </w:pPr>
      <w:r>
        <w:t>Statut : Actif (Liste II)</w:t>
      </w:r>
    </w:p>
    <w:p>
      <w:pPr>
        <w:pStyle w:val="ListBullet"/>
      </w:pPr>
      <w:r/>
      <w:r>
        <w:rPr>
          <w:b/>
        </w:rPr>
        <w:t>TYRIZAL</w:t>
      </w:r>
      <w:r>
        <w:t xml:space="preserve"> (BIOPHARM)</w:t>
      </w:r>
    </w:p>
    <w:p>
      <w:pPr>
        <w:pStyle w:val="ListBullet"/>
      </w:pPr>
      <w:r>
        <w:t>Formes et Dosages : Comprimé pelliculé 5 mg — Boîte de 14 et de 28 ; Solution buvable 0,5 mg/mL — Flacon de 200 mL</w:t>
      </w:r>
    </w:p>
    <w:p>
      <w:pPr>
        <w:pStyle w:val="ListBullet"/>
      </w:pPr>
      <w:r>
        <w:t>Statut : Actif (Liste II)</w:t>
      </w:r>
    </w:p>
    <w:p>
      <w:pPr>
        <w:pStyle w:val="ListBullet"/>
      </w:pPr>
      <w:r/>
      <w:r>
        <w:rPr>
          <w:b/>
        </w:rPr>
        <w:t>XYCARE</w:t>
      </w:r>
      <w:r>
        <w:t xml:space="preserve"> (BIOCARE)</w:t>
      </w:r>
    </w:p>
    <w:p>
      <w:pPr>
        <w:pStyle w:val="ListBullet"/>
      </w:pPr>
      <w:r>
        <w:t>Formes et Dosages : Comprimé pelliculé 5 mg — Boîte de 14 et de 28</w:t>
      </w:r>
    </w:p>
    <w:p>
      <w:pPr>
        <w:pStyle w:val="ListBullet"/>
      </w:pPr>
      <w:r>
        <w:t>Statut : Actif (Liste II)</w:t>
      </w:r>
    </w:p>
    <w:p>
      <w:pPr>
        <w:pStyle w:val="ListBullet"/>
      </w:pPr>
      <w:r/>
      <w:r>
        <w:rPr>
          <w:b/>
        </w:rPr>
        <w:t>XYRIZINE</w:t>
      </w:r>
      <w:r>
        <w:t xml:space="preserve"> (EL KENDI INDUSTRIE DU MEDICAMENT)</w:t>
      </w:r>
    </w:p>
    <w:p>
      <w:pPr>
        <w:pStyle w:val="ListBullet"/>
      </w:pPr>
      <w:r>
        <w:t>Formes et Dosages : Comprimé pelliculé 5 mg — Boîte de 14 ; Solution buvable 2,5 mg/5 mL — Flacon de 200 mL</w:t>
      </w:r>
    </w:p>
    <w:p>
      <w:pPr>
        <w:pStyle w:val="ListBullet"/>
      </w:pPr>
      <w:r>
        <w:t>Statut : Actif (Liste II)</w:t>
      </w:r>
    </w:p>
    <w:p>
      <w:pPr>
        <w:pStyle w:val="ListBullet"/>
      </w:pPr>
      <w:r/>
      <w:r>
        <w:rPr>
          <w:b/>
        </w:rPr>
        <w:t>ZOLIX</w:t>
      </w:r>
      <w:r>
        <w:t xml:space="preserve"> (TABUK ALGERIE)</w:t>
      </w:r>
    </w:p>
    <w:p>
      <w:pPr>
        <w:pStyle w:val="ListBullet"/>
      </w:pPr>
      <w:r>
        <w:t>Formes et Dosages : Comprimé pelliculé 5 mg — Boîte de 14 et de 28</w:t>
      </w:r>
    </w:p>
    <w:p>
      <w:pPr>
        <w:pStyle w:val="ListBullet"/>
      </w:pPr>
      <w:r>
        <w:t>Statut : Actif (Liste II)</w:t>
      </w:r>
    </w:p>
    <w:p>
      <w:pPr>
        <w:pStyle w:val="ListBullet"/>
      </w:pPr>
      <w:r/>
      <w:r>
        <w:rPr>
          <w:b/>
        </w:rPr>
        <w:t>ZYRAL</w:t>
      </w:r>
      <w:r>
        <w:t xml:space="preserve"> (HUPP PHARMA)</w:t>
      </w:r>
    </w:p>
    <w:p>
      <w:pPr>
        <w:pStyle w:val="ListBullet"/>
      </w:pPr>
      <w:r>
        <w:t>Formes et Dosages : Comprimé pelliculé 5 mg — Boîte de 14</w:t>
      </w:r>
    </w:p>
    <w:p>
      <w:pPr>
        <w:pStyle w:val="ListBullet"/>
      </w:pPr>
      <w:r>
        <w:t>Statut : Actif (Liste II)</w:t>
      </w:r>
    </w:p>
    <w:p>
      <w:pPr>
        <w:pStyle w:val="ListBullet"/>
      </w:pPr>
      <w:r/>
      <w:r>
        <w:rPr>
          <w:b/>
        </w:rPr>
        <w:t>XYZALL / XUSAL / DESEXTRINE</w:t>
      </w:r>
      <w:r>
        <w:t xml:space="preserve"> : *spécialités princeps UCB Pharma — non commercialisées en Algérie (Xyzal cp 5 mg, Xusal solution buvable)*</w:t>
      </w:r>
    </w:p>
    <w:p>
      <w:r/>
      <w:r>
        <w:rPr>
          <w:b/>
        </w:rPr>
        <w:t>Sous-classe et Mécanisme d'action :</w:t>
      </w:r>
      <w:r/>
    </w:p>
    <w:p>
      <w:pPr>
        <w:pStyle w:val="ListBullet"/>
      </w:pPr>
      <w:r>
        <w:t>Sous-classe : Antihistaminique H1 — 2e génération (non sédatif), famille des pipérazines (énantiomère R actif de la cétirizine).</w:t>
      </w:r>
    </w:p>
    <w:p>
      <w:pPr>
        <w:pStyle w:val="ListBullet"/>
      </w:pPr>
      <w:r>
        <w:t xml:space="preserve">Mécanisme d'action : identique à celui de la cétirizine (antagoniste compétitif inverse du récepteur H1 — Gq/PLC/IP3/Ca2+/MLCK), mais avec une </w:t>
      </w:r>
      <w:r>
        <w:rPr>
          <w:b/>
        </w:rPr>
        <w:t>affinité supérieure</w:t>
      </w:r>
      <w:r>
        <w:t xml:space="preserve"> pour le récepteur H1 (Ki ~3 nM vs ~6 nM pour la cétirizine racémique) et une </w:t>
      </w:r>
      <w:r>
        <w:rPr>
          <w:b/>
        </w:rPr>
        <w:t>dissociation lente</w:t>
      </w:r>
      <w:r>
        <w:t xml:space="preserve"> du récepteur (demi-vie de dissociation ~3 heures), ce qui explique une </w:t>
      </w:r>
      <w:r>
        <w:rPr>
          <w:b/>
        </w:rPr>
        <w:t>durée d'action prolongée (24 heures)</w:t>
      </w:r>
      <w:r>
        <w:t xml:space="preserve"> et une </w:t>
      </w:r>
      <w:r>
        <w:rPr>
          <w:b/>
        </w:rPr>
        <w:t>efficacité supérieure sur l'obstruction nasale</w:t>
      </w:r>
      <w:r>
        <w:t xml:space="preserve"> (composante sur laquelle la cétirizine est moins active). La lévocétirizine bloque l'action de l'histamine sur les récepteurs H1 périphériques : </w:t>
      </w:r>
      <w:r>
        <w:rPr>
          <w:b/>
        </w:rPr>
        <w:t>vasodilatation</w:t>
      </w:r>
      <w:r>
        <w:t xml:space="preserve"> réduite, </w:t>
      </w:r>
      <w:r>
        <w:rPr>
          <w:b/>
        </w:rPr>
        <w:t>perméabilité capillaire</w:t>
      </w:r>
      <w:r>
        <w:t xml:space="preserve"> diminuée (moins d'œdème nasal, moins d'urticaire), </w:t>
      </w:r>
      <w:r>
        <w:rPr>
          <w:b/>
        </w:rPr>
        <w:t>bronchoconstriction</w:t>
      </w:r>
      <w:r>
        <w:t xml:space="preserve"> atténuée, </w:t>
      </w:r>
      <w:r>
        <w:rPr>
          <w:b/>
        </w:rPr>
        <w:t>prurit et éternuement</w:t>
      </w:r>
      <w:r>
        <w:t xml:space="preserve"> réduits. Elle inhibe également la </w:t>
      </w:r>
      <w:r>
        <w:rPr>
          <w:b/>
        </w:rPr>
        <w:t>migration des éosinophiles</w:t>
      </w:r>
      <w:r>
        <w:t xml:space="preserve">, la </w:t>
      </w:r>
      <w:r>
        <w:rPr>
          <w:b/>
        </w:rPr>
        <w:t>libération d'IL-4 et d'IL-5</w:t>
      </w:r>
      <w:r>
        <w:t xml:space="preserve"> par les lymphocytes Th2, et l'</w:t>
      </w:r>
      <w:r>
        <w:rPr>
          <w:b/>
        </w:rPr>
        <w:t>expression d'ICAM-1</w:t>
      </w:r>
      <w:r>
        <w:t xml:space="preserve"> sur les cellules endothéliales. Comme la cétirizine, elle traverse faiblement la BBB, a une </w:t>
      </w:r>
      <w:r>
        <w:rPr>
          <w:b/>
        </w:rPr>
        <w:t>affinité nulle pour les récepteurs muscariniques</w:t>
      </w:r>
      <w:r>
        <w:t xml:space="preserve"> et n'allonge pas significativement le QTc aux doses recommandées. La lévocétirizine n'est pas métabolisée par le CYP3A4, ce qui la distingue de la loratadine et de la rupatadine (qui sont métabolisées et dont l'efficacité peut être affectée par les inhibiteurs ou inducteurs du CYP3A4).</w:t>
      </w:r>
    </w:p>
    <w:p>
      <w:r/>
      <w:r>
        <w:rPr>
          <w:b/>
        </w:rPr>
        <w:t>Profil Pharmacologique :</w:t>
      </w:r>
      <w:r/>
    </w:p>
    <w:p>
      <w:pPr>
        <w:pStyle w:val="ListBullet"/>
      </w:pPr>
      <w:r/>
      <w:r>
        <w:rPr>
          <w:b/>
        </w:rPr>
        <w:t>Indications</w:t>
      </w:r>
      <w:r>
        <w:t xml:space="preserve"> : rhinite allergique saisonnière et perannuelle chez l'adulte et l'enfant à partir de 6 ans (forme cp) ou 2 ans (forme solution buvable) ; conjonctivite allergique ; urticaire chronique spontanée (UCS). La lévocétirizine est également indiquée dans l'urticaire chronique résistante à la cétirizine (en raison de son affinité supérieure pour le récepteur H1). En pratique, la lévocétirizine est souvent prescrite en alternative à la cétirizine chez les patients présentant une somnolence résiduelle ou une efficacité insuffisante.</w:t>
      </w:r>
    </w:p>
    <w:p>
      <w:pPr>
        <w:pStyle w:val="ListBullet"/>
      </w:pPr>
      <w:r/>
      <w:r>
        <w:rPr>
          <w:b/>
        </w:rPr>
        <w:t>Contre-indications</w:t>
      </w:r>
      <w:r>
        <w:t xml:space="preserve"> : hypersensibilité à la lévocétirizine, à la cétirizine ou à l'hydroxyzine ; insuffisance rénale sévère (ClCr &lt; 10 mL/min — risque d'accumulation) ; enfants &lt; 6 ans pour le comprimé 5 mg (utiliser la solution buvable) ; femmes allaitantes (passage dans le lait maternel). Prudence chez le sujet âgé (adaptation posologique selon ClCr) et en cas d'épilepsie (seuil épileptogène abaissé — signal rare).</w:t>
      </w:r>
    </w:p>
    <w:p>
      <w:pPr>
        <w:pStyle w:val="ListBullet"/>
      </w:pPr>
      <w:r/>
      <w:r>
        <w:rPr>
          <w:b/>
        </w:rPr>
        <w:t>Effets Indésirables</w:t>
      </w:r>
      <w:r>
        <w:t xml:space="preserve"> : profil comparable à la cétirizine. EI fréquents (≥ 1/100 à &lt; 1/10) : somnolence (~5 %), céphalées, asthénie, sécheresse buccale, fatigue. EI peu fréquents (≥ 1/1000 à &lt; 1/100) : étourdissements, douleurs abdominales, nausées. EI rares : agitation, irritabilité, paresthésies, dyspnée, hépatite, anomalies du bilan hépatique, prise de poids, rash, urticaire paradoxale, anaphylaxie. EI très rares : convulsions, agitation, agressivité, hallucinations, dépression, idées suicidaires, tachycardie, angio-œdème, fixation de l'accommodation. La lévocétirizine est réputée </w:t>
      </w:r>
      <w:r>
        <w:rPr>
          <w:b/>
        </w:rPr>
        <w:t>légèrement moins sédative que la cétirizine</w:t>
      </w:r>
      <w:r>
        <w:t xml:space="preserve"> (5 % vs 10 % de somnolence) en raison de sa </w:t>
      </w:r>
      <w:r>
        <w:rPr>
          <w:b/>
        </w:rPr>
        <w:t>dose moindre</w:t>
      </w:r>
      <w:r>
        <w:t xml:space="preserve"> (5 mg vs 10 mg) pour une même efficacité, mais cette différence est modeste en pratique clinique.</w:t>
      </w:r>
    </w:p>
    <w:p>
      <w:r/>
      <w:r>
        <w:rPr>
          <w:b/>
        </w:rPr>
        <w:t>Prévention et Gestion des Effets Indésirables :</w:t>
      </w:r>
      <w:r/>
    </w:p>
    <w:p>
      <w:pPr>
        <w:pStyle w:val="ListBullet"/>
      </w:pPr>
      <w:r/>
      <w:r>
        <w:rPr>
          <w:b/>
        </w:rPr>
        <w:t>Mesures Préventives</w:t>
      </w:r>
      <w:r>
        <w:t xml:space="preserve"> : prendre </w:t>
      </w:r>
      <w:r>
        <w:rPr>
          <w:b/>
        </w:rPr>
        <w:t>le soir</w:t>
      </w:r>
      <w:r>
        <w:t xml:space="preserve"> de préférence (en cas de somnolence) ou le matin selon tolérance. Adapter la dose chez l'insuffisantant rénal (ClCr 30-49 mL/min : 5 mg un jour sur deux ; ClCr 10-29 mL/min : 5 mg tous les 3 jours ; CI absolue si ClCr &lt; 10 mL/min). Avertir du risque de somnolence (en particulier chez le sujet âgé) et de la nécessité d'évaluer la tolérance avant de conduire. Éviter l'alcool. Surveillance chez l'enfant (risque d'agitation paradoxale). Éviter l'association à d'autres antihistaminiques H1 (inutile et potentiellement toxique).</w:t>
      </w:r>
    </w:p>
    <w:p>
      <w:pPr>
        <w:pStyle w:val="ListBullet"/>
      </w:pPr>
      <w:r/>
      <w:r>
        <w:rPr>
          <w:b/>
        </w:rPr>
        <w:t>Conduite à Tenir</w:t>
      </w:r>
      <w:r>
        <w:t xml:space="preserve"> : en cas de somnolence, réduire à 2,5 mg/jour (1/2 cp) ou passer à une prise alternative tous les 2 jours. En cas d'effets centraux sévères (convulsions, hallucinations), arrêt immédiat et consultation. En cas de surdosage (≥ 25 mg en une prise) : lavage gastrique si &lt; 1 h, charbon activé, surveillance ECG (rechercher allongement QTc), traitement symptomatique. La lévocétirizine est très faiblement dialysable.</w:t>
      </w:r>
    </w:p>
    <w:p>
      <w:r/>
      <w:r>
        <w:rPr>
          <w:b/>
        </w:rPr>
        <w:t>Interactions Importantes :</w:t>
      </w:r>
      <w:r/>
    </w:p>
    <w:p>
      <w:pPr>
        <w:pStyle w:val="ListBullet"/>
      </w:pPr>
      <w:r/>
      <w:r>
        <w:rPr>
          <w:b/>
        </w:rPr>
        <w:t>Lévocétirizine + alcool</w:t>
      </w:r>
      <w:r>
        <w:t xml:space="preserve"> : potentialisation de la sédation. Éviter.</w:t>
      </w:r>
    </w:p>
    <w:p>
      <w:pPr>
        <w:pStyle w:val="ListBullet"/>
      </w:pPr>
      <w:r/>
      <w:r>
        <w:rPr>
          <w:b/>
        </w:rPr>
        <w:t>Lévocétirizine + dépresseurs du SNC</w:t>
      </w:r>
      <w:r>
        <w:t xml:space="preserve"> (benzodiazépines, opioïdes) : sédation additive.</w:t>
      </w:r>
    </w:p>
    <w:p>
      <w:pPr>
        <w:pStyle w:val="ListBullet"/>
      </w:pPr>
      <w:r/>
      <w:r>
        <w:rPr>
          <w:b/>
        </w:rPr>
        <w:t>Lévocétirizine + théophylline</w:t>
      </w:r>
      <w:r>
        <w:t xml:space="preserve"> : pas d'interaction cliniquement pertinente (contrairement à la cétirizine qui voit sa clairance réduite de 16 %).</w:t>
      </w:r>
    </w:p>
    <w:p>
      <w:pPr>
        <w:pStyle w:val="ListBullet"/>
      </w:pPr>
      <w:r/>
      <w:r>
        <w:rPr>
          <w:b/>
        </w:rPr>
        <w:t>Lévocétirizine + kétoconazole / érythromycine / ritonavir</w:t>
      </w:r>
      <w:r>
        <w:t xml:space="preserve"> : pas d'allongement significatif du QTc aux doses recommandées (études spécifiques).</w:t>
      </w:r>
    </w:p>
    <w:p>
      <w:pPr>
        <w:pStyle w:val="ListBullet"/>
      </w:pPr>
      <w:r/>
      <w:r>
        <w:rPr>
          <w:b/>
        </w:rPr>
        <w:t>Lévocétirizine + IMAO</w:t>
      </w:r>
      <w:r>
        <w:t xml:space="preserve"> : pas d'interaction documentée.</w:t>
      </w:r>
    </w:p>
    <w:p>
      <w:r/>
      <w:r>
        <w:rPr>
          <w:b/>
        </w:rPr>
        <w:t>Grossesse et Allaitement :</w:t>
      </w:r>
      <w:r/>
    </w:p>
    <w:p>
      <w:pPr>
        <w:pStyle w:val="ListBullet"/>
      </w:pPr>
      <w:r/>
      <w:r>
        <w:rPr>
          <w:b/>
        </w:rPr>
        <w:t>Grossesse</w:t>
      </w:r>
      <w:r>
        <w:t xml:space="preserve"> : selon le </w:t>
      </w:r>
      <w:r>
        <w:rPr>
          <w:b/>
        </w:rPr>
        <w:t>CRAT</w:t>
      </w:r>
      <w:r>
        <w:t xml:space="preserve">, la lévocétirizine est </w:t>
      </w:r>
      <w:r>
        <w:rPr>
          <w:b/>
        </w:rPr>
        <w:t>compatible avec la grossesse</w:t>
      </w:r>
      <w:r>
        <w:t xml:space="preserve"> (données limitées mais rassurantes ; la molécule mère cétirizine est bien documentée et compatible). À utiliser en 1re intention dans la rhinite allergique et l'urticaire chez la femme enceinte, en alternative ou après la cétirizine.</w:t>
      </w:r>
    </w:p>
    <w:p>
      <w:pPr>
        <w:pStyle w:val="ListBullet"/>
      </w:pPr>
      <w:r/>
      <w:r>
        <w:rPr>
          <w:b/>
        </w:rPr>
        <w:t>Allaitement</w:t>
      </w:r>
      <w:r>
        <w:t xml:space="preserve"> : selon le CRAT et LactMed, la lévocétirizine passe dans le lait maternel (rapport lait/plasma ~0,4 à 0,8 — légèrement supérieur à la cétirizine). Aux doses maternelles usuelles, la quantité reçue par le nourrisson reste inférieure à la dose pédiatrique thérapeutique, mais le risque de somnolence ou d'agitation paradoxale n'est pas exclu. </w:t>
      </w:r>
      <w:r>
        <w:rPr>
          <w:b/>
        </w:rPr>
        <w:t>Allaitement déconseillé</w:t>
      </w:r>
      <w:r>
        <w:t xml:space="preserve"> par prudence, ou alors en adaptant le moment de prise (juste après une tétée) et en surveillant l'état du nourrisson. Alternative : loratadine ou fexofénadine.</w:t>
      </w:r>
    </w:p>
    <w:p>
      <w:pPr>
        <w:pStyle w:val="ListBullet"/>
      </w:pPr>
      <w:r/>
      <w:r>
        <w:rPr>
          <w:b/>
        </w:rPr>
        <w:t>Précisions</w:t>
      </w:r>
      <w:r>
        <w:t xml:space="preserve"> : aucune tératogénicité animale documentée. À éviter en raison de l'effet sédatif potentiel sur le nouveau-né en cas d'utilisation en fin de grossesse (passage transplacentaire).</w:t>
      </w:r>
    </w:p>
    <w:p>
      <w:r/>
      <w:r>
        <w:rPr>
          <w:b/>
        </w:rPr>
        <w:t>Posologie et Mode d'administration (Standard) :</w:t>
      </w:r>
      <w:r/>
    </w:p>
    <w:p>
      <w:pPr>
        <w:pStyle w:val="ListBullet"/>
      </w:pPr>
      <w:r/>
      <w:r>
        <w:rPr>
          <w:b/>
        </w:rPr>
        <w:t>Adulte et adolescent ≥ 12 ans</w:t>
      </w:r>
      <w:r>
        <w:t xml:space="preserve"> : </w:t>
      </w:r>
      <w:r>
        <w:rPr>
          <w:b/>
        </w:rPr>
        <w:t>5 mg une fois par jour</w:t>
      </w:r>
      <w:r>
        <w:t xml:space="preserve"> (1 comprimé pelliculé de 5 mg, ou 10 mL de solution buvable 0,5 mg/mL).</w:t>
      </w:r>
    </w:p>
    <w:p>
      <w:pPr>
        <w:pStyle w:val="ListBullet"/>
      </w:pPr>
      <w:r/>
      <w:r>
        <w:rPr>
          <w:b/>
        </w:rPr>
        <w:t>Enfant 6 à 12 ans</w:t>
      </w:r>
      <w:r>
        <w:t xml:space="preserve"> : 2,5 mg deux fois par jour (1/2 cp x 2, ou 5 mL x 2 de solution 0,5 mg/mL).</w:t>
      </w:r>
    </w:p>
    <w:p>
      <w:pPr>
        <w:pStyle w:val="ListBullet"/>
      </w:pPr>
      <w:r/>
      <w:r>
        <w:rPr>
          <w:b/>
        </w:rPr>
        <w:t>Enfant 2 à 6 ans</w:t>
      </w:r>
      <w:r>
        <w:t xml:space="preserve"> : 1,25 mg deux fois par jour (2,5 mL x 2 de solution 0,5 mg/mL — soit 5 mg/jour en deux prises).</w:t>
      </w:r>
    </w:p>
    <w:p>
      <w:pPr>
        <w:pStyle w:val="ListBullet"/>
      </w:pPr>
      <w:r/>
      <w:r>
        <w:rPr>
          <w:b/>
        </w:rPr>
        <w:t>Nourrisson 1 à 2 ans</w:t>
      </w:r>
      <w:r>
        <w:t xml:space="preserve"> : 1,25 mg une fois par jour (2,5 mL de solution 0,5 mg/mL — soit 1,25 mg/jour). NB : l'AMM européenne de la solution buvable est limitée à partir de 2 ans pour la rhinite allergique et l'urticaire.</w:t>
      </w:r>
    </w:p>
    <w:p>
      <w:pPr>
        <w:pStyle w:val="ListBullet"/>
      </w:pPr>
      <w:r/>
      <w:r>
        <w:rPr>
          <w:b/>
        </w:rPr>
        <w:t>Sujet âgé (&gt; 65 ans)</w:t>
      </w:r>
      <w:r>
        <w:t xml:space="preserve"> : adapter en fonction de la clairance de la créatinine. Si ClCr normale (&gt; 50 mL/min) : 5 mg/jour ; si ClCr 30-49 mL/min : 5 mg un jour sur deux.</w:t>
      </w:r>
    </w:p>
    <w:p>
      <w:pPr>
        <w:pStyle w:val="ListBullet"/>
      </w:pPr>
      <w:r/>
      <w:r>
        <w:rPr>
          <w:b/>
        </w:rPr>
        <w:t>Insuffisance rénale</w:t>
      </w:r>
      <w:r>
        <w:t xml:space="preserve"> : ClCr ≥ 50 mL/min : 5 mg/jour ; ClCr 30-49 mL/min : 5 mg un jour sur deux ; ClCr 10-29 mL/min : 5 mg tous les 3 jours ; ClCr &lt; 10 mL/min : CI absolue.</w:t>
      </w:r>
    </w:p>
    <w:p>
      <w:pPr>
        <w:pStyle w:val="ListBullet"/>
      </w:pPr>
      <w:r/>
      <w:r>
        <w:rPr>
          <w:b/>
        </w:rPr>
        <w:t>Insuffisance hépatique isolée</w:t>
      </w:r>
      <w:r>
        <w:t xml:space="preserve"> : pas d'adaptation posologique.</w:t>
      </w:r>
    </w:p>
    <w:p>
      <w:pPr>
        <w:pStyle w:val="ListBullet"/>
      </w:pPr>
      <w:r/>
      <w:r>
        <w:rPr>
          <w:b/>
        </w:rPr>
        <w:t>Durée</w:t>
      </w:r>
      <w:r>
        <w:t xml:space="preserve"> : identique à la cétirizine — saison pollinique, urticaire aiguë 5-14 jours, urticaire chronique traitement prolongé.</w:t>
      </w:r>
    </w:p>
    <w:p>
      <w:pPr>
        <w:pStyle w:val="ListBullet"/>
      </w:pPr>
      <w:r/>
      <w:r>
        <w:rPr>
          <w:b/>
        </w:rPr>
        <w:t>Moment de la prise</w:t>
      </w:r>
      <w:r>
        <w:t xml:space="preserve"> : par convention le soir, mais matin possible si bonne tolérance. Avec un grand verre d'eau.</w:t>
      </w:r>
    </w:p>
    <w:p>
      <w:r/>
      <w:r>
        <w:rPr>
          <w:b/>
        </w:rPr>
        <w:t>Arbitrage et Bénéfices des Formes Galéniques :</w:t>
      </w:r>
      <w:r/>
    </w:p>
    <w:p>
      <w:pPr>
        <w:pStyle w:val="ListBullet"/>
      </w:pPr>
      <w:r/>
      <w:r>
        <w:rPr>
          <w:b/>
        </w:rPr>
        <w:t>Comprimé pelliculé 5 mg</w:t>
      </w:r>
      <w:r>
        <w:t xml:space="preserve"> (9 marques actives) : forme adulte et enfant ≥ 6 ans, pratique et stable. Boîte de 14 (2 semaines de traitement), de 20 ou de 28 (4 semaines).</w:t>
      </w:r>
    </w:p>
    <w:p>
      <w:pPr>
        <w:pStyle w:val="ListBullet"/>
      </w:pPr>
      <w:r/>
      <w:r>
        <w:rPr>
          <w:b/>
        </w:rPr>
        <w:t>Solution buvable 0,5 mg/mL</w:t>
      </w:r>
      <w:r>
        <w:t xml:space="preserve"> (2 marques actives — TYRIZAL Biopharm, XYRIZINE El Kendi ; 1 marque à 2,5 mg/5 mL — XYRIZINE) : indispensable pour le nourrisson et le jeune enfant — permet une dose précise selon le poids. Flacon de 200 mL.</w:t>
      </w:r>
    </w:p>
    <w:p>
      <w:pPr>
        <w:pStyle w:val="ListBullet"/>
      </w:pPr>
      <w:r/>
      <w:r>
        <w:rPr>
          <w:b/>
        </w:rPr>
        <w:t>Forme sirop</w:t>
      </w:r>
      <w:r>
        <w:t xml:space="preserve"> : disponible uniquement en solution buvable, en deux concentrations (0,5 mg/mL et 2,5 mg/5 mL — équivalent) — attention à la concentration lors de la substitution.</w:t>
      </w:r>
    </w:p>
    <w:p>
      <w:pPr>
        <w:pStyle w:val="ListBullet"/>
      </w:pPr>
      <w:r/>
      <w:r>
        <w:rPr>
          <w:b/>
        </w:rPr>
        <w:t>Forme injectable</w:t>
      </w:r>
      <w:r>
        <w:t xml:space="preserve"> : non disponible (la lévocétirizine n'a pas d'indication parentérale).</w:t>
      </w:r>
    </w:p>
    <w:p>
      <w:r/>
      <w:r>
        <w:rPr>
          <w:b/>
        </w:rPr>
        <w:t>Instructions et Conseils au Patient :</w:t>
      </w:r>
      <w:r/>
    </w:p>
    <w:p>
      <w:pPr>
        <w:pStyle w:val="ListBullet"/>
      </w:pPr>
      <w:r/>
      <w:r>
        <w:rPr>
          <w:b/>
        </w:rPr>
        <w:t>Communication au comptoir</w:t>
      </w:r>
      <w:r>
        <w:t xml:space="preserve"> : « *Ce médicament est un antihistaminique récent, plus actif que la cétirizine à dose deux fois plus faible (5 mg au lieu de 10 mg). Prenez-le une fois par jour, le soir de préférence, avec un grand verre d'eau. Évitez l'alcool. Si vous avez des problèmes de reins, prévenez votre médecin — la dose devra être adaptée. Surveillez la somnolence les premiers jours, surtout si vous devez conduire.* »</w:t>
      </w:r>
    </w:p>
    <w:p>
      <w:pPr>
        <w:pStyle w:val="ListBullet"/>
      </w:pPr>
      <w:r/>
      <w:r>
        <w:rPr>
          <w:b/>
        </w:rPr>
        <w:t>Mode d'utilisation pratique</w:t>
      </w:r>
      <w:r>
        <w:t xml:space="preserve"> : comprimé à avaler entier avec un peu d'eau ; solution buvable à mesurer avec la cuillère-mesure ou le gobelet doseur fourni. En cas d'oubli : prendre dès que possible dans la journée, mais ne pas doubler la dose le lendemain. Conservation : température &lt; 25 °C, à l'abri de la lumière ; bien refermer le flacon de solution buvable après usage. Ne pas dépasser 14 jours d'automédication sans avis médical.</w:t>
      </w:r>
    </w:p>
    <w:p>
      <w:r/>
      <w:r>
        <w:rPr>
          <w:b/>
        </w:rPr>
        <w:t>Notes, Règles d'Or &amp; Pièges au Comptoir :</w:t>
      </w:r>
      <w:r/>
    </w:p>
    <w:p>
      <w:pPr>
        <w:pStyle w:val="ListBullet"/>
      </w:pPr>
      <w:r/>
      <w:r>
        <w:rPr>
          <w:b/>
        </w:rPr>
        <w:t>Piège classique</w:t>
      </w:r>
      <w:r>
        <w:t xml:space="preserve"> : </w:t>
      </w:r>
      <w:r>
        <w:rPr>
          <w:b/>
        </w:rPr>
        <w:t>substitution de la solution buvable XYRIZINE 0,5 mg/mL ↔ XYRIZINE 2,5 mg/5 mL</w:t>
      </w:r>
      <w:r>
        <w:t xml:space="preserve"> : attention, ces deux concentrations ne sont pas identiques. La concentration 2,5 mg/5 mL est équivalente à 0,5 mg/mL (donc identiques). Vérifier l'unité avant délivrance. </w:t>
      </w:r>
      <w:r>
        <w:rPr>
          <w:b/>
        </w:rPr>
        <w:t>Insuffisance rénale silencieuse chez le sujet âgé</w:t>
      </w:r>
      <w:r>
        <w:t xml:space="preserve"> : toujours vérifier la clairance de la créatinine avant prescription au-delà de 65 ans. </w:t>
      </w:r>
      <w:r>
        <w:rPr>
          <w:b/>
        </w:rPr>
        <w:t>Rébound de l'urticaire à l'arrêt</w:t>
      </w:r>
      <w:r>
        <w:t xml:space="preserve"> : décroissance progressive sur 2-4 semaines.</w:t>
      </w:r>
    </w:p>
    <w:p>
      <w:pPr>
        <w:pStyle w:val="ListBullet"/>
      </w:pPr>
      <w:r/>
      <w:r>
        <w:rPr>
          <w:b/>
        </w:rPr>
        <w:t>Règle de prise</w:t>
      </w:r>
      <w:r>
        <w:t xml:space="preserve"> : une fois par jour, le soir de préférence. Pas d'alcool. Pas de double dose en cas d'oubli.</w:t>
      </w:r>
    </w:p>
    <w:p>
      <w:pPr>
        <w:pStyle w:val="ListBullet"/>
      </w:pPr>
      <w:r/>
      <w:r>
        <w:rPr>
          <w:b/>
        </w:rPr>
        <w:t>Préparation et Conservation</w:t>
      </w:r>
      <w:r>
        <w:t xml:space="preserve"> : comprimés à température &lt; 25 °C, à l'abri de l'humidité ; solution buvable à température &lt; 25 °C, à l'abri de la lumière, bien refermer après usage ; ne pas conserver la solution au-delà de 6 mois après ouverture.</w:t>
      </w:r>
    </w:p>
    <w:p>
      <w:pPr>
        <w:pStyle w:val="ListBullet"/>
      </w:pPr>
      <w:r/>
      <w:r>
        <w:rPr>
          <w:b/>
        </w:rPr>
        <w:t>Piège du surdosage / Substitution</w:t>
      </w:r>
      <w:r>
        <w:t xml:space="preserve"> : </w:t>
      </w:r>
      <w:r>
        <w:rPr>
          <w:b/>
        </w:rPr>
        <w:t>substitution lévocétirizine ↔ cétirizine</w:t>
      </w:r>
      <w:r>
        <w:t xml:space="preserve"> : la lévocétirizine est 2× plus active que la cétirizine racémique — dose 5 mg vs 10 mg. </w:t>
      </w:r>
      <w:r>
        <w:rPr>
          <w:b/>
        </w:rPr>
        <w:t>Substitution par loratadine</w:t>
      </w:r>
      <w:r>
        <w:t xml:space="preserve"> : alternative moins sédative mais activité anti-H1 moindre. </w:t>
      </w:r>
      <w:r>
        <w:rPr>
          <w:b/>
        </w:rPr>
        <w:t>Surdosage</w:t>
      </w:r>
      <w:r>
        <w:t xml:space="preserve"> (≥ 25 mg) : lavage gastrique si &lt; 1 h, charbon activé, surveillance ECG.</w:t>
      </w:r>
    </w:p>
    <w:p>
      <w:pPr>
        <w:pStyle w:val="Heading3"/>
      </w:pPr>
      <w:r>
        <w:t>3.3. DCI : Loratadine (Seule)</w:t>
      </w:r>
    </w:p>
    <w:p>
      <w:r/>
      <w:r>
        <w:rPr>
          <w:b/>
        </w:rPr>
        <w:t>Liste des Catégories :</w:t>
      </w:r>
      <w:r>
        <w:t xml:space="preserve"> Antihistaminique H1 — 2e génération (non sédatif), Antiallergique, Anti-histaminique systémique, Antihistaminique à visée respiratoire (rhinite allergique, conjonctivite allergique), Antihistaminique à visée dermatologique (urticaire, prurit allergique), Pédiatrie (sirop), Automédication (Liste II).</w:t>
      </w:r>
    </w:p>
    <w:p>
      <w:r>
        <w:t xml:space="preserve">La </w:t>
      </w:r>
      <w:r>
        <w:rPr>
          <w:b/>
        </w:rPr>
        <w:t>loratadine</w:t>
      </w:r>
      <w:r>
        <w:t xml:space="preserve"> (formule C22H23ClN2O2 ; M = 382,9 g/mol) est un antihistaminique H1 de 2e génération de la famille des </w:t>
      </w:r>
      <w:r>
        <w:rPr>
          <w:b/>
        </w:rPr>
        <w:t>pipéridines tricycliques</w:t>
      </w:r>
      <w:r>
        <w:t xml:space="preserve">, dérivé structural de l'azatadine. Commercialisée en Algérie sous </w:t>
      </w:r>
      <w:r>
        <w:rPr>
          <w:b/>
        </w:rPr>
        <w:t>17 marques actives</w:t>
      </w:r>
      <w:r>
        <w:t xml:space="preserve"> en Avril 2026 (15 comprimés pelliculés 10 mg + 5 sirops 1 mg/mL + 2 solutions buvables 1 mg/mL), elle est l'une des molécules les plus prescrites dans le monde pour la rhinite allergique et l'urticaire chronique, en raison de son </w:t>
      </w:r>
      <w:r>
        <w:rPr>
          <w:b/>
        </w:rPr>
        <w:t>excellent profil de tolérance</w:t>
      </w:r>
      <w:r>
        <w:t xml:space="preserve"> (sédation comparable au placebo aux doses recommandées), de sa </w:t>
      </w:r>
      <w:r>
        <w:rPr>
          <w:b/>
        </w:rPr>
        <w:t>prise unique quotidienne</w:t>
      </w:r>
      <w:r>
        <w:t xml:space="preserve"> et de son </w:t>
      </w:r>
      <w:r>
        <w:rPr>
          <w:b/>
        </w:rPr>
        <w:t>coût modeste</w:t>
      </w:r>
      <w:r>
        <w:t xml:space="preserve"> (génériques largement disponibles). La loratadine est en fait une </w:t>
      </w:r>
      <w:r>
        <w:rPr>
          <w:b/>
        </w:rPr>
        <w:t>prodrogue</w:t>
      </w:r>
      <w:r>
        <w:t xml:space="preserve"> : son métabolite actif principal, la </w:t>
      </w:r>
      <w:r>
        <w:rPr>
          <w:b/>
        </w:rPr>
        <w:t>desloratadine</w:t>
      </w:r>
      <w:r>
        <w:t xml:space="preserve"> (commercialisée séparément), est généré par déméthylation hépatique via le </w:t>
      </w:r>
      <w:r>
        <w:rPr>
          <w:b/>
        </w:rPr>
        <w:t>CYP3A4</w:t>
      </w:r>
      <w:r>
        <w:t xml:space="preserve"> et accessoirement le </w:t>
      </w:r>
      <w:r>
        <w:rPr>
          <w:b/>
        </w:rPr>
        <w:t>CYP2D6</w:t>
      </w:r>
      <w:r>
        <w:t xml:space="preserve">. La biodisponibilité orale de la loratadine est élevée (~80 %), son pic plasmatique est atteint en 1,2 heure, mais le pic de son métabolite actif desloratadine est plus tardif (3 heures). La </w:t>
      </w:r>
      <w:r>
        <w:rPr>
          <w:b/>
        </w:rPr>
        <w:t>demi-vie d'élimination</w:t>
      </w:r>
      <w:r>
        <w:t xml:space="preserve"> de la loratadine est de 8 heures, mais celle de son métabolite actif (desloratadine) atteint </w:t>
      </w:r>
      <w:r>
        <w:rPr>
          <w:b/>
        </w:rPr>
        <w:t>27 heures</w:t>
      </w:r>
      <w:r>
        <w:t>, ce qui explique la durée d'action prolongée (24 heures) malgré une prise unique quotidienne. La loratadine et son métabolite sont excrétés à parts à peu près égales dans les urines (~40 %) et les selles (~40 %). Le métabolisme hépatique important explique la nécessité d'une adaptation posologique en insuffisance hépatique sévère.</w:t>
      </w:r>
    </w:p>
    <w:p>
      <w:r/>
      <w:r>
        <w:rPr>
          <w:b/>
        </w:rPr>
        <w:t>Médicaments disponibles en Algérie (Marques, Laboratoires, Formes et Dosages) :</w:t>
      </w:r>
      <w:r/>
    </w:p>
    <w:p>
      <w:pPr>
        <w:pStyle w:val="ListBullet"/>
      </w:pPr>
      <w:r/>
      <w:r>
        <w:rPr>
          <w:b/>
        </w:rPr>
        <w:t>AKARYD</w:t>
      </w:r>
      <w:r>
        <w:t xml:space="preserve"> (LABORATOIRES MERINAL)</w:t>
      </w:r>
    </w:p>
    <w:p>
      <w:pPr>
        <w:pStyle w:val="ListBullet"/>
      </w:pPr>
      <w:r>
        <w:t>Formes et Dosages : Comprimé pelliculé 10 mg — Boîte de 20</w:t>
      </w:r>
    </w:p>
    <w:p>
      <w:pPr>
        <w:pStyle w:val="ListBullet"/>
      </w:pPr>
      <w:r>
        <w:t>Statut : Actif (Liste II)</w:t>
      </w:r>
    </w:p>
    <w:p>
      <w:pPr>
        <w:pStyle w:val="ListBullet"/>
      </w:pPr>
      <w:r/>
      <w:r>
        <w:rPr>
          <w:b/>
        </w:rPr>
        <w:t>ALLERTINE</w:t>
      </w:r>
      <w:r>
        <w:t xml:space="preserve"> (GROUPE SAIDAL)</w:t>
      </w:r>
    </w:p>
    <w:p>
      <w:pPr>
        <w:pStyle w:val="ListBullet"/>
      </w:pPr>
      <w:r>
        <w:t>Formes et Dosages : Comprimé 10 mg — Boîte de 20 ; Sirop 1 mg/mL — Flacon de 60 mL</w:t>
      </w:r>
    </w:p>
    <w:p>
      <w:pPr>
        <w:pStyle w:val="ListBullet"/>
      </w:pPr>
      <w:r>
        <w:t>Statut : Comprimé Actif (Liste II) ; Sirop Non Renouvelable</w:t>
      </w:r>
    </w:p>
    <w:p>
      <w:pPr>
        <w:pStyle w:val="ListBullet"/>
      </w:pPr>
      <w:r/>
      <w:r>
        <w:rPr>
          <w:b/>
        </w:rPr>
        <w:t>LORADINE</w:t>
      </w:r>
      <w:r>
        <w:t xml:space="preserve"> (PHARMALLIANCE)</w:t>
      </w:r>
    </w:p>
    <w:p>
      <w:pPr>
        <w:pStyle w:val="ListBullet"/>
      </w:pPr>
      <w:r>
        <w:t>Formes et Dosages : Comprimé pelliculé 10 mg — Boîte de 20</w:t>
      </w:r>
    </w:p>
    <w:p>
      <w:pPr>
        <w:pStyle w:val="ListBullet"/>
      </w:pPr>
      <w:r>
        <w:t>Statut : Actif (Liste II)</w:t>
      </w:r>
    </w:p>
    <w:p>
      <w:pPr>
        <w:pStyle w:val="ListBullet"/>
      </w:pPr>
      <w:r/>
      <w:r>
        <w:rPr>
          <w:b/>
        </w:rPr>
        <w:t>LORATADINE BEKER</w:t>
      </w:r>
      <w:r>
        <w:t xml:space="preserve"> (LABORATOIRES BEKER)</w:t>
      </w:r>
    </w:p>
    <w:p>
      <w:pPr>
        <w:pStyle w:val="ListBullet"/>
      </w:pPr>
      <w:r>
        <w:t>Formes et Dosages : Comprimé pelliculé 10 mg — Boîte de 30</w:t>
      </w:r>
    </w:p>
    <w:p>
      <w:pPr>
        <w:pStyle w:val="ListBullet"/>
      </w:pPr>
      <w:r>
        <w:t>Statut : Actif (Liste II)</w:t>
      </w:r>
    </w:p>
    <w:p>
      <w:pPr>
        <w:pStyle w:val="ListBullet"/>
      </w:pPr>
      <w:r/>
      <w:r>
        <w:rPr>
          <w:b/>
        </w:rPr>
        <w:t>LORATADINE NOVAGENERICS</w:t>
      </w:r>
      <w:r>
        <w:t xml:space="preserve"> (NOVAPHARM TRADING)</w:t>
      </w:r>
    </w:p>
    <w:p>
      <w:pPr>
        <w:pStyle w:val="ListBullet"/>
      </w:pPr>
      <w:r>
        <w:t>Formes et Dosages : Comprimé pelliculé 10 mg — Boîte de 20</w:t>
      </w:r>
    </w:p>
    <w:p>
      <w:pPr>
        <w:pStyle w:val="ListBullet"/>
      </w:pPr>
      <w:r>
        <w:t>Statut : Actif (Liste II)</w:t>
      </w:r>
    </w:p>
    <w:p>
      <w:pPr>
        <w:pStyle w:val="ListBullet"/>
      </w:pPr>
      <w:r/>
      <w:r>
        <w:rPr>
          <w:b/>
        </w:rPr>
        <w:t>LORATAN</w:t>
      </w:r>
      <w:r>
        <w:t xml:space="preserve"> (DAR AL DAWA)</w:t>
      </w:r>
    </w:p>
    <w:p>
      <w:pPr>
        <w:pStyle w:val="ListBullet"/>
      </w:pPr>
      <w:r>
        <w:t>Formes et Dosages : Comprimé 10 mg — Boîte de 20 ; Sirop 5 mg/5 mL — Flacon de 100 mL (retiré)</w:t>
      </w:r>
    </w:p>
    <w:p>
      <w:pPr>
        <w:pStyle w:val="ListBullet"/>
      </w:pPr>
      <w:r>
        <w:t>Statut : Comprimé Actif ; Sirop Retiré (R)</w:t>
      </w:r>
    </w:p>
    <w:p>
      <w:pPr>
        <w:pStyle w:val="ListBullet"/>
      </w:pPr>
      <w:r/>
      <w:r>
        <w:rPr>
          <w:b/>
        </w:rPr>
        <w:t>LORATINE</w:t>
      </w:r>
      <w:r>
        <w:t xml:space="preserve"> (JANIS MED SARL)</w:t>
      </w:r>
    </w:p>
    <w:p>
      <w:pPr>
        <w:pStyle w:val="ListBullet"/>
      </w:pPr>
      <w:r>
        <w:t>Formes et Dosages : Comprimé pelliculé 10 mg — Boîte de 30 ; Sirop 1 mg/mL — Flacon de 125 mL</w:t>
      </w:r>
    </w:p>
    <w:p>
      <w:pPr>
        <w:pStyle w:val="ListBullet"/>
      </w:pPr>
      <w:r>
        <w:t>Statut : Actif (Liste II)</w:t>
      </w:r>
    </w:p>
    <w:p>
      <w:pPr>
        <w:pStyle w:val="ListBullet"/>
      </w:pPr>
      <w:r/>
      <w:r>
        <w:rPr>
          <w:b/>
        </w:rPr>
        <w:t>LUTEDINE</w:t>
      </w:r>
      <w:r>
        <w:t xml:space="preserve"> (BIOCARE)</w:t>
      </w:r>
    </w:p>
    <w:p>
      <w:pPr>
        <w:pStyle w:val="ListBullet"/>
      </w:pPr>
      <w:r>
        <w:t>Formes et Dosages : Comprimé pelliculé 10 mg — Boîte de 30</w:t>
      </w:r>
    </w:p>
    <w:p>
      <w:pPr>
        <w:pStyle w:val="ListBullet"/>
      </w:pPr>
      <w:r>
        <w:t>Statut : Actif (Liste II)</w:t>
      </w:r>
    </w:p>
    <w:p>
      <w:pPr>
        <w:pStyle w:val="ListBullet"/>
      </w:pPr>
      <w:r/>
      <w:r>
        <w:rPr>
          <w:b/>
        </w:rPr>
        <w:t>NEOTADINE</w:t>
      </w:r>
      <w:r>
        <w:t xml:space="preserve"> (NEOMEDIC)</w:t>
      </w:r>
    </w:p>
    <w:p>
      <w:pPr>
        <w:pStyle w:val="ListBullet"/>
      </w:pPr>
      <w:r>
        <w:t>Formes et Dosages : Comprimé pelliculé 10 mg — Boîte de 10 et de 20</w:t>
      </w:r>
    </w:p>
    <w:p>
      <w:pPr>
        <w:pStyle w:val="ListBullet"/>
      </w:pPr>
      <w:r>
        <w:t>Statut : Actif (Liste II)</w:t>
      </w:r>
    </w:p>
    <w:p>
      <w:pPr>
        <w:pStyle w:val="ListBullet"/>
      </w:pPr>
      <w:r/>
      <w:r>
        <w:rPr>
          <w:b/>
        </w:rPr>
        <w:t>ORIN</w:t>
      </w:r>
      <w:r>
        <w:t xml:space="preserve"> (SARL GROUPE SANTE)</w:t>
      </w:r>
    </w:p>
    <w:p>
      <w:pPr>
        <w:pStyle w:val="ListBullet"/>
      </w:pPr>
      <w:r>
        <w:t>Formes et Dosages : Comprimé pelliculé 10 mg — Boîte de 10 ; Sirop 1 mg/mL — Flacon de 60 mL (non renouvelable)</w:t>
      </w:r>
    </w:p>
    <w:p>
      <w:pPr>
        <w:pStyle w:val="ListBullet"/>
      </w:pPr>
      <w:r>
        <w:t>Statut : Comprimé Actif ; Sirop Non Renouvelable</w:t>
      </w:r>
    </w:p>
    <w:p>
      <w:pPr>
        <w:pStyle w:val="ListBullet"/>
      </w:pPr>
      <w:r/>
      <w:r>
        <w:rPr>
          <w:b/>
        </w:rPr>
        <w:t>RITADOLE</w:t>
      </w:r>
      <w:r>
        <w:t xml:space="preserve"> (BIOGALENIC)</w:t>
      </w:r>
    </w:p>
    <w:p>
      <w:pPr>
        <w:pStyle w:val="ListBullet"/>
      </w:pPr>
      <w:r>
        <w:t>Formes et Dosages : Comprimé pelliculé 10 mg — Boîte de 20</w:t>
      </w:r>
    </w:p>
    <w:p>
      <w:pPr>
        <w:pStyle w:val="ListBullet"/>
      </w:pPr>
      <w:r>
        <w:t>Statut : Actif (Liste II)</w:t>
      </w:r>
    </w:p>
    <w:p>
      <w:pPr>
        <w:pStyle w:val="ListBullet"/>
      </w:pPr>
      <w:r/>
      <w:r>
        <w:rPr>
          <w:b/>
        </w:rPr>
        <w:t>TIRLOR</w:t>
      </w:r>
      <w:r>
        <w:t xml:space="preserve"> (SPA JAMJOOM ALGERIA LIL DAWA)</w:t>
      </w:r>
    </w:p>
    <w:p>
      <w:pPr>
        <w:pStyle w:val="ListBullet"/>
      </w:pPr>
      <w:r>
        <w:t>Formes et Dosages : Comprimé pelliculé 10 mg — Boîte de 20</w:t>
      </w:r>
    </w:p>
    <w:p>
      <w:pPr>
        <w:pStyle w:val="ListBullet"/>
      </w:pPr>
      <w:r>
        <w:t>Statut : Actif (Liste II)</w:t>
      </w:r>
    </w:p>
    <w:p>
      <w:pPr>
        <w:pStyle w:val="ListBullet"/>
      </w:pPr>
      <w:r/>
      <w:r>
        <w:rPr>
          <w:b/>
        </w:rPr>
        <w:t>ALLERMEX</w:t>
      </w:r>
      <w:r>
        <w:t xml:space="preserve"> (KPMA BIOTIC)</w:t>
      </w:r>
    </w:p>
    <w:p>
      <w:pPr>
        <w:pStyle w:val="ListBullet"/>
      </w:pPr>
      <w:r>
        <w:t>Formes et Dosages : Sirop 1 mg/mL — Flacon de 60 mL</w:t>
      </w:r>
    </w:p>
    <w:p>
      <w:pPr>
        <w:pStyle w:val="ListBullet"/>
      </w:pPr>
      <w:r>
        <w:t>Statut : Actif (Liste II)</w:t>
      </w:r>
    </w:p>
    <w:p>
      <w:pPr>
        <w:pStyle w:val="ListBullet"/>
      </w:pPr>
      <w:r/>
      <w:r>
        <w:rPr>
          <w:b/>
        </w:rPr>
        <w:t>CLARDINE</w:t>
      </w:r>
      <w:r>
        <w:t xml:space="preserve"> (INPHA-MEDIS)</w:t>
      </w:r>
    </w:p>
    <w:p>
      <w:pPr>
        <w:pStyle w:val="ListBullet"/>
      </w:pPr>
      <w:r>
        <w:t>Formes et Dosages : Solution buvable 1 mg/mL — Flacon de 60 mL</w:t>
      </w:r>
    </w:p>
    <w:p>
      <w:pPr>
        <w:pStyle w:val="ListBullet"/>
      </w:pPr>
      <w:r>
        <w:t>Statut : Actif (Liste II)</w:t>
      </w:r>
    </w:p>
    <w:p>
      <w:pPr>
        <w:pStyle w:val="ListBullet"/>
      </w:pPr>
      <w:r/>
      <w:r>
        <w:rPr>
          <w:b/>
        </w:rPr>
        <w:t>CLARADINE</w:t>
      </w:r>
      <w:r>
        <w:t xml:space="preserve"> (ISOPHARM)</w:t>
      </w:r>
    </w:p>
    <w:p>
      <w:pPr>
        <w:pStyle w:val="ListBullet"/>
      </w:pPr>
      <w:r>
        <w:t>Formes et Dosages : Solution buvable 1 mg/mL — Flacon de 60 mL</w:t>
      </w:r>
    </w:p>
    <w:p>
      <w:pPr>
        <w:pStyle w:val="ListBullet"/>
      </w:pPr>
      <w:r>
        <w:t>Statut : Actif (Liste II)</w:t>
      </w:r>
    </w:p>
    <w:p>
      <w:pPr>
        <w:pStyle w:val="ListBullet"/>
      </w:pPr>
      <w:r/>
      <w:r>
        <w:rPr>
          <w:b/>
        </w:rPr>
        <w:t>GELARTINE</w:t>
      </w:r>
      <w:r>
        <w:t xml:space="preserve"> (ARAB PHARM)</w:t>
      </w:r>
    </w:p>
    <w:p>
      <w:pPr>
        <w:pStyle w:val="ListBullet"/>
      </w:pPr>
      <w:r>
        <w:t>Formes et Dosages : Comprimé 10 mg — Boîte de 20 ; Sirop 1 mg/mL — Flacon de 60 mL</w:t>
      </w:r>
    </w:p>
    <w:p>
      <w:pPr>
        <w:pStyle w:val="ListBullet"/>
      </w:pPr>
      <w:r>
        <w:t>Statut : Non Renouvelable</w:t>
      </w:r>
    </w:p>
    <w:p>
      <w:pPr>
        <w:pStyle w:val="ListBullet"/>
      </w:pPr>
      <w:r/>
      <w:r>
        <w:rPr>
          <w:b/>
        </w:rPr>
        <w:t>RESTAMINE</w:t>
      </w:r>
      <w:r>
        <w:t xml:space="preserve"> (HIKMA PHARMACEUTICALS)</w:t>
      </w:r>
    </w:p>
    <w:p>
      <w:pPr>
        <w:pStyle w:val="ListBullet"/>
      </w:pPr>
      <w:r>
        <w:t>Formes et Dosages : Comprimé 10 mg — Boîte de 10 et 20 ; Sirop 1 mg/mL — Flacon de 60 mL</w:t>
      </w:r>
    </w:p>
    <w:p>
      <w:pPr>
        <w:pStyle w:val="ListBullet"/>
      </w:pPr>
      <w:r>
        <w:t>Statut : Non Renouvelable</w:t>
      </w:r>
    </w:p>
    <w:p>
      <w:pPr>
        <w:pStyle w:val="ListBullet"/>
      </w:pPr>
      <w:r/>
      <w:r>
        <w:rPr>
          <w:b/>
        </w:rPr>
        <w:t>APILOR</w:t>
      </w:r>
      <w:r>
        <w:t xml:space="preserve"> (ALGERIAN PHARMACEUTICAL INSTITUT — API)</w:t>
      </w:r>
    </w:p>
    <w:p>
      <w:pPr>
        <w:pStyle w:val="ListBullet"/>
      </w:pPr>
      <w:r>
        <w:t>Formes et Dosages : Comprimé 10 mg — Boîte de 20</w:t>
      </w:r>
    </w:p>
    <w:p>
      <w:pPr>
        <w:pStyle w:val="ListBullet"/>
      </w:pPr>
      <w:r>
        <w:t>Statut : Non Renouvelable</w:t>
      </w:r>
    </w:p>
    <w:p>
      <w:pPr>
        <w:pStyle w:val="ListBullet"/>
      </w:pPr>
      <w:r/>
      <w:r>
        <w:rPr>
          <w:b/>
        </w:rPr>
        <w:t>HOCINOR</w:t>
      </w:r>
      <w:r>
        <w:t xml:space="preserve"> (LABORATOIRE ALGERIEN DU MEDICAMENT — LAM)</w:t>
      </w:r>
    </w:p>
    <w:p>
      <w:pPr>
        <w:pStyle w:val="ListBullet"/>
      </w:pPr>
      <w:r>
        <w:t>Formes et Dosages : Sirop 1 mg/mL — Flacon de 125 mL</w:t>
      </w:r>
    </w:p>
    <w:p>
      <w:pPr>
        <w:pStyle w:val="ListBullet"/>
      </w:pPr>
      <w:r>
        <w:t>Statut : Non Renouvelable</w:t>
      </w:r>
    </w:p>
    <w:p>
      <w:pPr>
        <w:pStyle w:val="ListBullet"/>
      </w:pPr>
      <w:r/>
      <w:r>
        <w:rPr>
          <w:b/>
        </w:rPr>
        <w:t>LORATADINE</w:t>
      </w:r>
      <w:r>
        <w:t xml:space="preserve"> (PHARMALLIANCE)</w:t>
      </w:r>
    </w:p>
    <w:p>
      <w:pPr>
        <w:pStyle w:val="ListBullet"/>
      </w:pPr>
      <w:r>
        <w:t>Formes et Dosages : Sirop 1 mg/mL — Flacon de 100 mL</w:t>
      </w:r>
    </w:p>
    <w:p>
      <w:pPr>
        <w:pStyle w:val="ListBullet"/>
      </w:pPr>
      <w:r>
        <w:t>Statut : Non Renouvelable</w:t>
      </w:r>
    </w:p>
    <w:p>
      <w:pPr>
        <w:pStyle w:val="ListBullet"/>
      </w:pPr>
      <w:r/>
      <w:r>
        <w:rPr>
          <w:b/>
        </w:rPr>
        <w:t>CLARITYNE</w:t>
      </w:r>
      <w:r>
        <w:t xml:space="preserve"> (SCHERING-PLOUGH) — *princeps*</w:t>
      </w:r>
    </w:p>
    <w:p>
      <w:pPr>
        <w:pStyle w:val="ListBullet"/>
      </w:pPr>
      <w:r>
        <w:t>Formes et Dosages : Comprimé 10 mg — Boîte de 10 ; Sirop 1 mg/mL — Flacon de 60 mL</w:t>
      </w:r>
    </w:p>
    <w:p>
      <w:pPr>
        <w:pStyle w:val="ListBullet"/>
      </w:pPr>
      <w:r>
        <w:t xml:space="preserve">Statut : </w:t>
      </w:r>
      <w:r>
        <w:rPr>
          <w:b/>
        </w:rPr>
        <w:t>Retiré (R)</w:t>
      </w:r>
      <w:r/>
    </w:p>
    <w:p>
      <w:pPr>
        <w:pStyle w:val="ListBullet"/>
      </w:pPr>
      <w:r/>
      <w:r>
        <w:rPr>
          <w:b/>
        </w:rPr>
        <w:t>LOSTAMINE</w:t>
      </w:r>
      <w:r>
        <w:t xml:space="preserve"> (GEOPHARM), </w:t>
      </w:r>
      <w:r>
        <w:rPr>
          <w:b/>
        </w:rPr>
        <w:t>LORACTYNE</w:t>
      </w:r>
      <w:r>
        <w:t xml:space="preserve"> (PROMOPHARM), </w:t>
      </w:r>
      <w:r>
        <w:rPr>
          <w:b/>
        </w:rPr>
        <w:t>LORADIF</w:t>
      </w:r>
      <w:r>
        <w:t xml:space="preserve"> (SANOFI DOGU), </w:t>
      </w:r>
      <w:r>
        <w:rPr>
          <w:b/>
        </w:rPr>
        <w:t>LOREEN</w:t>
      </w:r>
      <w:r>
        <w:t xml:space="preserve"> (HAYAT), </w:t>
      </w:r>
      <w:r>
        <w:rPr>
          <w:b/>
        </w:rPr>
        <w:t>LORID</w:t>
      </w:r>
      <w:r>
        <w:t xml:space="preserve"> (PETRA PHARM), </w:t>
      </w:r>
      <w:r>
        <w:rPr>
          <w:b/>
        </w:rPr>
        <w:t>LORIXYNE</w:t>
      </w:r>
      <w:r>
        <w:t xml:space="preserve"> (ALGERIE PHARM), </w:t>
      </w:r>
      <w:r>
        <w:rPr>
          <w:b/>
        </w:rPr>
        <w:t>ROLETRA</w:t>
      </w:r>
      <w:r>
        <w:t xml:space="preserve"> (BIOPHARM ALGERIE), </w:t>
      </w:r>
      <w:r>
        <w:rPr>
          <w:b/>
        </w:rPr>
        <w:t>CLARYMED</w:t>
      </w:r>
      <w:r>
        <w:t xml:space="preserve"> (SANAMED), </w:t>
      </w:r>
      <w:r>
        <w:rPr>
          <w:b/>
        </w:rPr>
        <w:t>LORATADINE CPCM</w:t>
      </w:r>
      <w:r>
        <w:t xml:space="preserve"> (CPCM SARL), </w:t>
      </w:r>
      <w:r>
        <w:rPr>
          <w:b/>
        </w:rPr>
        <w:t>ALLERGINE</w:t>
      </w:r>
      <w:r>
        <w:t xml:space="preserve"> (COOPER MAROC), </w:t>
      </w:r>
      <w:r>
        <w:rPr>
          <w:b/>
        </w:rPr>
        <w:t>ANTOR</w:t>
      </w:r>
      <w:r>
        <w:t xml:space="preserve"> (CUKUROVA DIS TICARET), </w:t>
      </w:r>
      <w:r>
        <w:rPr>
          <w:b/>
        </w:rPr>
        <w:t>LORATAL</w:t>
      </w:r>
      <w:r>
        <w:t xml:space="preserve"> (SOPHAL)</w:t>
      </w:r>
    </w:p>
    <w:p>
      <w:pPr>
        <w:pStyle w:val="ListBullet"/>
      </w:pPr>
      <w:r>
        <w:t>Formes et Dosages : Comprimé 10 mg ; plusieurs laboratoires</w:t>
      </w:r>
    </w:p>
    <w:p>
      <w:pPr>
        <w:pStyle w:val="ListBullet"/>
      </w:pPr>
      <w:r>
        <w:t xml:space="preserve">Statut : </w:t>
      </w:r>
      <w:r>
        <w:rPr>
          <w:b/>
        </w:rPr>
        <w:t>Retirés (R)</w:t>
      </w:r>
      <w:r/>
    </w:p>
    <w:p>
      <w:pPr>
        <w:pStyle w:val="ListBullet"/>
      </w:pPr>
      <w:r/>
      <w:r>
        <w:rPr>
          <w:b/>
        </w:rPr>
        <w:t>CLARTEC</w:t>
      </w:r>
      <w:r>
        <w:t xml:space="preserve"> (PHARMA 5), </w:t>
      </w:r>
      <w:r>
        <w:rPr>
          <w:b/>
        </w:rPr>
        <w:t>LORADYL</w:t>
      </w:r>
      <w:r>
        <w:t xml:space="preserve"> (PROPHARMAL), </w:t>
      </w:r>
      <w:r>
        <w:rPr>
          <w:b/>
        </w:rPr>
        <w:t>LORACIL</w:t>
      </w:r>
      <w:r>
        <w:t xml:space="preserve"> (BEIT JALA), </w:t>
      </w:r>
      <w:r>
        <w:rPr>
          <w:b/>
        </w:rPr>
        <w:t>HYSTADINE</w:t>
      </w:r>
      <w:r>
        <w:t xml:space="preserve"> (LPA)</w:t>
      </w:r>
    </w:p>
    <w:p>
      <w:pPr>
        <w:pStyle w:val="ListBullet"/>
      </w:pPr>
      <w:r>
        <w:t>Formes et Dosages : Sirop 5 mg/5 mL ou 0,1 g/100 mL — Flacon de 60 à 120 mL</w:t>
      </w:r>
    </w:p>
    <w:p>
      <w:pPr>
        <w:pStyle w:val="ListBullet"/>
      </w:pPr>
      <w:r>
        <w:t xml:space="preserve">Statut : </w:t>
      </w:r>
      <w:r>
        <w:rPr>
          <w:b/>
        </w:rPr>
        <w:t>Retirés (R)</w:t>
      </w:r>
      <w:r/>
    </w:p>
    <w:p>
      <w:r/>
      <w:r>
        <w:rPr>
          <w:b/>
        </w:rPr>
        <w:t>Sous-classe et Mécanisme d'action :</w:t>
      </w:r>
      <w:r/>
    </w:p>
    <w:p>
      <w:pPr>
        <w:pStyle w:val="ListBullet"/>
      </w:pPr>
      <w:r>
        <w:t xml:space="preserve">Sous-classe : Antihistaminique H1 — 2e génération (non sédatif), famille des pipéridines tricycliques (dérivé de l'azatadine). Prodrogue métabolisée en </w:t>
      </w:r>
      <w:r>
        <w:rPr>
          <w:b/>
        </w:rPr>
        <w:t>desloratadine</w:t>
      </w:r>
      <w:r>
        <w:t xml:space="preserve"> (métabolite actif principal).</w:t>
      </w:r>
    </w:p>
    <w:p>
      <w:pPr>
        <w:pStyle w:val="ListBullet"/>
      </w:pPr>
      <w:r>
        <w:t xml:space="preserve">Mécanisme d'action : </w:t>
      </w:r>
      <w:r>
        <w:rPr>
          <w:b/>
        </w:rPr>
        <w:t>Antihistaminiques H1</w:t>
      </w:r>
      <w:r>
        <w:t xml:space="preserve"> — antagoniste compétitif inverse du récepteur H1 (couplé Gq/11 → PLC → IP3 → Ca2+ → MLCK). La loratadine elle-même et surtout son métabolite actif </w:t>
      </w:r>
      <w:r>
        <w:rPr>
          <w:b/>
        </w:rPr>
        <w:t>desloratadine</w:t>
      </w:r>
      <w:r>
        <w:t xml:space="preserve"> bloquent l'accès de l'histamine au site orthostérique du récepteur H1, empêchant l'activation de la cascade : </w:t>
      </w:r>
      <w:r>
        <w:rPr>
          <w:b/>
        </w:rPr>
        <w:t>vasodilatation</w:t>
      </w:r>
      <w:r>
        <w:t xml:space="preserve">, </w:t>
      </w:r>
      <w:r>
        <w:rPr>
          <w:b/>
        </w:rPr>
        <w:t>augmentation de la perméabilité capillaire</w:t>
      </w:r>
      <w:r>
        <w:t xml:space="preserve"> (œdème, urticaire), </w:t>
      </w:r>
      <w:r>
        <w:rPr>
          <w:b/>
        </w:rPr>
        <w:t>bronchoconstriction</w:t>
      </w:r>
      <w:r>
        <w:t xml:space="preserve">, </w:t>
      </w:r>
      <w:r>
        <w:rPr>
          <w:b/>
        </w:rPr>
        <w:t>stimulation des terminaisons nerveuses sensitives</w:t>
      </w:r>
      <w:r>
        <w:t xml:space="preserve"> (prurit, éternuements). La loratadine a également des propriétés </w:t>
      </w:r>
      <w:r>
        <w:rPr>
          <w:b/>
        </w:rPr>
        <w:t>anti-allergiques additives</w:t>
      </w:r>
      <w:r>
        <w:t xml:space="preserve"> : inhibition de la dégranulation des mastocytes et des polynucléaires éosinophiles, inhibition de l'expression des molécules d'adhésion (ICAM-1, VCAM-1) sur les cellules endothéliales, inhibition de la libération de leucotriènes (LTC4). La loratadine et son métabolite traversent </w:t>
      </w:r>
      <w:r>
        <w:rPr>
          <w:b/>
        </w:rPr>
        <w:t>très faiblement la BBB</w:t>
      </w:r>
      <w:r>
        <w:t xml:space="preserve"> (~0,1 % de la concentration plasmatique), ce qui explique la </w:t>
      </w:r>
      <w:r>
        <w:rPr>
          <w:b/>
        </w:rPr>
        <w:t>sédation comparable au placebo</w:t>
      </w:r>
      <w:r>
        <w:t xml:space="preserve"> aux doses recommandées — c'est l'antihistaminique H1 2e génération le moins sédatif avec la fexofénadine. La loratadine n'a aucune affinité pour les récepteurs muscariniques (pas d'effet atropinique) ni pour les récepteurs α1-adrénergiques et sérotoninergiques. Aux doses recommandées (10 mg/jour), elle n'allonge pas significativement le QTc.</w:t>
      </w:r>
    </w:p>
    <w:p>
      <w:r/>
      <w:r>
        <w:rPr>
          <w:b/>
        </w:rPr>
        <w:t>Profil Pharmacologique :</w:t>
      </w:r>
      <w:r/>
    </w:p>
    <w:p>
      <w:pPr>
        <w:pStyle w:val="ListBullet"/>
      </w:pPr>
      <w:r/>
      <w:r>
        <w:rPr>
          <w:b/>
        </w:rPr>
        <w:t>Indications</w:t>
      </w:r>
      <w:r>
        <w:t xml:space="preserve"> : rhinite allergique saisonnière (pollens) et perannuelle (acariens, phanères animales) chez l'adulte et l'enfant à partir de 2 ans (forme sirop) ou 6 ans (forme cp 10 mg) ; conjonctivite allergique ; urticaire chronique spontanée (UCS) ; prurit allergique (dermatite atopique en traitement adjuvant). La loratadine est particulièrement indiquée chez les patients présentant une somnolence sous cétirizine ou lévocétirizine, chez les sujets âgés (en raison de sa faible sédation et de sa tolérance), et chez les conducteurs et les travailleurs postés.</w:t>
      </w:r>
    </w:p>
    <w:p>
      <w:pPr>
        <w:pStyle w:val="ListBullet"/>
      </w:pPr>
      <w:r/>
      <w:r>
        <w:rPr>
          <w:b/>
        </w:rPr>
        <w:t>Contre-indications</w:t>
      </w:r>
      <w:r>
        <w:t xml:space="preserve"> : hypersensibilité à la loratadine ou à la desloratadine ; insuffisance hépatique sévère (adaptation posologique nécessaire — Child-Pugh C : 10 mg un jour sur deux) ; enfants &lt; 2 ans pour la forme sirop ; enfants &lt; 6 ans pour la forme comprimé 10 mg. Prudence en insuffisance rénale sévère (ClCr &lt; 30 mL/min — dose initiale 10 mg un jour sur deux). Prudence chez la femme enceinte allaitante (cf. section Grossesse).</w:t>
      </w:r>
    </w:p>
    <w:p>
      <w:pPr>
        <w:pStyle w:val="ListBullet"/>
      </w:pPr>
      <w:r/>
      <w:r>
        <w:rPr>
          <w:b/>
        </w:rPr>
        <w:t>Effets Indésirables</w:t>
      </w:r>
      <w:r>
        <w:t xml:space="preserve"> : tolérance excellente. EI fréquents (≥ 1/100 à &lt; 1/10) : céphalées (~12 %), somnolence (~8 %, comparable au placebo), fatigue, sécheresse buccale. EI peu fréquents (≥ 1/1000 à &lt; 1/100) : étourdissements, nausées, douleurs abdominales, dyspepsie, diarrhée. EI rares : tachycardie, palpitations, alopecie, anomalies biologiques hépatiques (transaminases), rash, urticaire paradoxale, anaphylaxie. EI très rares : convulsions, troubles hépatiques sévères, allongement QTc (cas exceptionnels en surdosage ≥ 40 mg), photosensibilité. La loratadine est l'un des antihistaminiques H1 les mieux tolérés, avec un profil de sécurité bien documenté en utilisation prolongée (jusqu'à plusieurs mois dans l'urticaire chronique).</w:t>
      </w:r>
    </w:p>
    <w:p>
      <w:r/>
      <w:r>
        <w:rPr>
          <w:b/>
        </w:rPr>
        <w:t>Prévention et Gestion des Effets Indésirables :</w:t>
      </w:r>
      <w:r/>
    </w:p>
    <w:p>
      <w:pPr>
        <w:pStyle w:val="ListBullet"/>
      </w:pPr>
      <w:r/>
      <w:r>
        <w:rPr>
          <w:b/>
        </w:rPr>
        <w:t>Mesures Préventives</w:t>
      </w:r>
      <w:r>
        <w:t xml:space="preserve"> : prise unique quotidienne, à n'importe quel moment de la journée (le profil de tolérance le permet — pas d'effet sédatif significatif). Adapter la dose en cas d'insuffisance hépatique sévère (10 mg un jour sur deux) ou d'insuffisance rénale sévère (ClCr &lt; 30 mL/min : 10 mg un jour sur deux). Éviter l'association à d'autres antihistaminiques H1 (inutile). Éviter la consommation d'alcool (potentiel additif, bien que minime). Surveillance chez l'enfant (risque d'agitation paradoxale rare).</w:t>
      </w:r>
    </w:p>
    <w:p>
      <w:pPr>
        <w:pStyle w:val="ListBullet"/>
      </w:pPr>
      <w:r/>
      <w:r>
        <w:rPr>
          <w:b/>
        </w:rPr>
        <w:t>Conduite à Tenir</w:t>
      </w:r>
      <w:r>
        <w:t xml:space="preserve"> : en cas de somnolence (rare), passer à une prise vespérale. En cas d'agitation paradoxale, d'hallucinations, de convulsions : arrêt immédiat et consultation. En cas d'allongement QTc symptomatique (malaises, palpitations) : ECG urgent et arrêt. En cas d'anaphylaxie : adrénaline IM et SAMU. En cas de surdosage (≥ 40 mg chez l'adulte) : lavage gastrique si &lt; 1 h, charbon activé, surveillance ECG, traitement symptomatique. La loratadine n'est pas dialysable de manière significative.</w:t>
      </w:r>
    </w:p>
    <w:p>
      <w:r/>
      <w:r>
        <w:rPr>
          <w:b/>
        </w:rPr>
        <w:t>Interactions Importantes :</w:t>
      </w:r>
      <w:r/>
    </w:p>
    <w:p>
      <w:pPr>
        <w:pStyle w:val="ListBullet"/>
      </w:pPr>
      <w:r/>
      <w:r>
        <w:rPr>
          <w:b/>
        </w:rPr>
        <w:t>Loratadine + alcool</w:t>
      </w:r>
      <w:r>
        <w:t xml:space="preserve"> : pas d'effet additif significatif documenté aux doses recommandées (contrairement aux 1re génération). Prudence néanmoins chez le sujet âgé.</w:t>
      </w:r>
    </w:p>
    <w:p>
      <w:pPr>
        <w:pStyle w:val="ListBullet"/>
      </w:pPr>
      <w:r/>
      <w:r>
        <w:rPr>
          <w:b/>
        </w:rPr>
        <w:t>Loratadine + kétoconazole / érythromycine / cimétidine</w:t>
      </w:r>
      <w:r>
        <w:t xml:space="preserve"> : le kétoconazole (inhibiteur puissant du CYP3A4) augmente les concentrations de loratadine et de son métabolite actif desloratadine d'environ 3 à 4 fois, mais </w:t>
      </w:r>
      <w:r>
        <w:rPr>
          <w:b/>
        </w:rPr>
        <w:t>sans allongement significatif du QTc</w:t>
      </w:r>
      <w:r>
        <w:t xml:space="preserve"> aux doses recommandées (contrairement à la terfénadine et à l'astémizole). Pas d'adaptation posologique nécessaire.</w:t>
      </w:r>
    </w:p>
    <w:p>
      <w:pPr>
        <w:pStyle w:val="ListBullet"/>
      </w:pPr>
      <w:r/>
      <w:r>
        <w:rPr>
          <w:b/>
        </w:rPr>
        <w:t>Loratadine + clarithromycine / itraconazole</w:t>
      </w:r>
      <w:r>
        <w:t xml:space="preserve"> : augmentation modeste des concentrations, sans conséquence clinique aux doses recommandées.</w:t>
      </w:r>
    </w:p>
    <w:p>
      <w:pPr>
        <w:pStyle w:val="ListBullet"/>
      </w:pPr>
      <w:r/>
      <w:r>
        <w:rPr>
          <w:b/>
        </w:rPr>
        <w:t>Loratadine + inducteurs du CYP3A4</w:t>
      </w:r>
      <w:r>
        <w:t xml:space="preserve"> (rifampicine, phénytoïne, carbamazépine, phénobarbital, millepertuis) : réduction de l'efficacité de la loratadine par accélération de son métabolisme en métabolites inactifs (et non en desloratadine active). Surveiller l'efficacité et augmenter la dose si nécessaire.</w:t>
      </w:r>
    </w:p>
    <w:p>
      <w:pPr>
        <w:pStyle w:val="ListBullet"/>
      </w:pPr>
      <w:r/>
      <w:r>
        <w:rPr>
          <w:b/>
        </w:rPr>
        <w:t>Loratadine + théophylline</w:t>
      </w:r>
      <w:r>
        <w:t xml:space="preserve"> : pas d'interaction documentée.</w:t>
      </w:r>
    </w:p>
    <w:p>
      <w:r/>
      <w:r>
        <w:rPr>
          <w:b/>
        </w:rPr>
        <w:t>Grossesse et Allaitement :</w:t>
      </w:r>
      <w:r/>
    </w:p>
    <w:p>
      <w:pPr>
        <w:pStyle w:val="ListBullet"/>
      </w:pPr>
      <w:r/>
      <w:r>
        <w:rPr>
          <w:b/>
        </w:rPr>
        <w:t>Grossesse</w:t>
      </w:r>
      <w:r>
        <w:t xml:space="preserve"> : selon le </w:t>
      </w:r>
      <w:r>
        <w:rPr>
          <w:b/>
        </w:rPr>
        <w:t>CRAT</w:t>
      </w:r>
      <w:r>
        <w:t xml:space="preserve">, la loratadine est </w:t>
      </w:r>
      <w:r>
        <w:rPr>
          <w:b/>
        </w:rPr>
        <w:t>compatible avec la grossesse</w:t>
      </w:r>
      <w:r>
        <w:t xml:space="preserve"> à toutes les phases (1er, 2e, 3e trimestres). Les données de pharmacovigilane (plusieurs dizaines de milliers de grossesses exposées) n'ont pas montré d'augmentation du risque de malformations congénitales, de fausse couche ou de complications périnatales. La loratadine est l'un des antihistaminiques H1 les mieux évalués chez la femme enceinte, avec la cétirizine, et peut être utilisée en 1re intention dans la rhinite allergique et l'urticaire pendant la grossesse. À éviter en 1er trimestre par prudence maximimale (préférer un traitement non médicamenteux : lavage nasal au sérum physiologique, éviction de l'allergène).</w:t>
      </w:r>
    </w:p>
    <w:p>
      <w:pPr>
        <w:pStyle w:val="ListBullet"/>
      </w:pPr>
      <w:r/>
      <w:r>
        <w:rPr>
          <w:b/>
        </w:rPr>
        <w:t>Allaitement</w:t>
      </w:r>
      <w:r>
        <w:t xml:space="preserve"> : selon le CRAT et LactMed, la loratadine et son métabolite desloratadine passent dans le lait maternel (rapport lait/plasma ~0,2 à 0,4), mais aux doses maternelles usuelles (10 mg/jour), la quantité reçue par le nourrisson est très inférieure à la dose pédiatrique thérapeutique. La loratadine est considérée comme </w:t>
      </w:r>
      <w:r>
        <w:rPr>
          <w:b/>
        </w:rPr>
        <w:t>compatible avec l'allaitement</w:t>
      </w:r>
      <w:r>
        <w:t xml:space="preserve"> (préférable à la cétirizine et à la lévocétirizine en raison d'un passage lacté moindre et d'une demi-vie plus courte chez le nourrisson). Surveiller néanmoins la somnolence et l'état du nourrisson.</w:t>
      </w:r>
    </w:p>
    <w:p>
      <w:pPr>
        <w:pStyle w:val="ListBullet"/>
      </w:pPr>
      <w:r/>
      <w:r>
        <w:rPr>
          <w:b/>
        </w:rPr>
        <w:t>Précisions</w:t>
      </w:r>
      <w:r>
        <w:t xml:space="preserve"> : aucune tératogénicité animale documentée. À éviter en raison de la sédation fœtale possible en cas d'utilisation à forte dose en fin de grossesse.</w:t>
      </w:r>
    </w:p>
    <w:p>
      <w:r/>
      <w:r>
        <w:rPr>
          <w:b/>
        </w:rPr>
        <w:t>Posologie et Mode d'administration (Standard) :</w:t>
      </w:r>
      <w:r/>
    </w:p>
    <w:p>
      <w:pPr>
        <w:pStyle w:val="ListBullet"/>
      </w:pPr>
      <w:r/>
      <w:r>
        <w:rPr>
          <w:b/>
        </w:rPr>
        <w:t>Adulte et adolescent ≥ 12 ans</w:t>
      </w:r>
      <w:r>
        <w:t xml:space="preserve"> : </w:t>
      </w:r>
      <w:r>
        <w:rPr>
          <w:b/>
        </w:rPr>
        <w:t>10 mg une fois par jour</w:t>
      </w:r>
      <w:r>
        <w:t xml:space="preserve"> (1 comprimé pelliculé de 10 mg, ou 10 mL de sirop 1 mg/mL).</w:t>
      </w:r>
    </w:p>
    <w:p>
      <w:pPr>
        <w:pStyle w:val="ListBullet"/>
      </w:pPr>
      <w:r/>
      <w:r>
        <w:rPr>
          <w:b/>
        </w:rPr>
        <w:t>Enfant 6 à 12 ans</w:t>
      </w:r>
      <w:r>
        <w:t xml:space="preserve"> : 5 mg une fois par jour (1/2 comprimé, ou 5 mL de sirop 1 mg/mL).</w:t>
      </w:r>
    </w:p>
    <w:p>
      <w:pPr>
        <w:pStyle w:val="ListBullet"/>
      </w:pPr>
      <w:r/>
      <w:r>
        <w:rPr>
          <w:b/>
        </w:rPr>
        <w:t>Enfant 2 à 6 ans</w:t>
      </w:r>
      <w:r>
        <w:t xml:space="preserve"> : 5 mg une fois par jour (5 mL de sirop 1 mg/mL).</w:t>
      </w:r>
    </w:p>
    <w:p>
      <w:pPr>
        <w:pStyle w:val="ListBullet"/>
      </w:pPr>
      <w:r/>
      <w:r>
        <w:rPr>
          <w:b/>
        </w:rPr>
        <w:t>Nourrisson 1 à 2 ans</w:t>
      </w:r>
      <w:r>
        <w:t xml:space="preserve"> : 2,5 mg une fois par jour (2,5 mL de sirop 1 mg/mL) — hors AMM en France, en cours de réévaluation.</w:t>
      </w:r>
    </w:p>
    <w:p>
      <w:pPr>
        <w:pStyle w:val="ListBullet"/>
      </w:pPr>
      <w:r/>
      <w:r>
        <w:rPr>
          <w:b/>
        </w:rPr>
        <w:t>Sujet âgé (&gt; 65 ans)</w:t>
      </w:r>
      <w:r>
        <w:t xml:space="preserve"> : pas d'adaptation posologique si fonction rénale et hépatique normales. En cas d'insuffisance rénale ou hépatique, voir ci-dessous.</w:t>
      </w:r>
    </w:p>
    <w:p>
      <w:pPr>
        <w:pStyle w:val="ListBullet"/>
      </w:pPr>
      <w:r/>
      <w:r>
        <w:rPr>
          <w:b/>
        </w:rPr>
        <w:t>Insuffisance rénale</w:t>
      </w:r>
      <w:r>
        <w:t xml:space="preserve"> : ClCr ≥ 30 mL/min : 10 mg/jour ; ClCr &lt; 30 mL/min : 10 mg un jour sur deux (dose initiale plus faible).</w:t>
      </w:r>
    </w:p>
    <w:p>
      <w:pPr>
        <w:pStyle w:val="ListBullet"/>
      </w:pPr>
      <w:r/>
      <w:r>
        <w:rPr>
          <w:b/>
        </w:rPr>
        <w:t>Insuffisance hépatique</w:t>
      </w:r>
      <w:r>
        <w:t xml:space="preserve"> : Child-Pugh C : 10 mg un jour sur deux.</w:t>
      </w:r>
    </w:p>
    <w:p>
      <w:pPr>
        <w:pStyle w:val="ListBullet"/>
      </w:pPr>
      <w:r/>
      <w:r>
        <w:rPr>
          <w:b/>
        </w:rPr>
        <w:t>Durée</w:t>
      </w:r>
      <w:r>
        <w:t xml:space="preserve"> : saison pollinique ; urticaire aiguë 5-14 jours ; urticaire chronique traitement prolongé.</w:t>
      </w:r>
    </w:p>
    <w:p>
      <w:pPr>
        <w:pStyle w:val="ListBullet"/>
      </w:pPr>
      <w:r/>
      <w:r>
        <w:rPr>
          <w:b/>
        </w:rPr>
        <w:t>Moment de la prise</w:t>
      </w:r>
      <w:r>
        <w:t xml:space="preserve"> : à n'importe quel moment de la journée (profil non sédatif). Préférer le matin pour la rhinite allergique saisonnière (symptômes prédominants en journée), le soir pour l'urticaire chronique (prurit nocturne).</w:t>
      </w:r>
    </w:p>
    <w:p>
      <w:r/>
      <w:r>
        <w:rPr>
          <w:b/>
        </w:rPr>
        <w:t>Arbitrage et Bénéfices des Formes Galéniques :</w:t>
      </w:r>
      <w:r/>
    </w:p>
    <w:p>
      <w:pPr>
        <w:pStyle w:val="ListBullet"/>
      </w:pPr>
      <w:r/>
      <w:r>
        <w:rPr>
          <w:b/>
        </w:rPr>
        <w:t>Comprimé pelliculé 10 mg</w:t>
      </w:r>
      <w:r>
        <w:t xml:space="preserve"> (15 marques actives) : forme adulte et enfant ≥ 6 ans, pratique et stable. Boîte de 10, 20 ou 30 selon les marques.</w:t>
      </w:r>
    </w:p>
    <w:p>
      <w:pPr>
        <w:pStyle w:val="ListBullet"/>
      </w:pPr>
      <w:r/>
      <w:r>
        <w:rPr>
          <w:b/>
        </w:rPr>
        <w:t>Sirop 1 mg/mL</w:t>
      </w:r>
      <w:r>
        <w:t xml:space="preserve"> (5 marques actives) : indispensable pour le nourrisson et le jeune enfant — dose précise selon le poids. Flacon de 60 ou 125 mL.</w:t>
      </w:r>
    </w:p>
    <w:p>
      <w:pPr>
        <w:pStyle w:val="ListBullet"/>
      </w:pPr>
      <w:r/>
      <w:r>
        <w:rPr>
          <w:b/>
        </w:rPr>
        <w:t>Solution buvable 1 mg/mL</w:t>
      </w:r>
      <w:r>
        <w:t xml:space="preserve"> (2 marques actives) : alternative au sirop, avec cuillère-mesure ou gobelet doseur.</w:t>
      </w:r>
    </w:p>
    <w:p>
      <w:pPr>
        <w:pStyle w:val="ListBullet"/>
      </w:pPr>
      <w:r/>
      <w:r>
        <w:rPr>
          <w:b/>
        </w:rPr>
        <w:t>Forme orodispersible</w:t>
      </w:r>
      <w:r>
        <w:t xml:space="preserve"> : non disponible en Algérie (la desloratadine et la bilastine ont des formes orodispersibles).</w:t>
      </w:r>
    </w:p>
    <w:p>
      <w:pPr>
        <w:pStyle w:val="ListBullet"/>
      </w:pPr>
      <w:r/>
      <w:r>
        <w:rPr>
          <w:b/>
        </w:rPr>
        <w:t>Forme injectable</w:t>
      </w:r>
      <w:r>
        <w:t xml:space="preserve"> : non disponible (la loratadine n'a pas d'indication parentérale).</w:t>
      </w:r>
    </w:p>
    <w:p>
      <w:r/>
      <w:r>
        <w:rPr>
          <w:b/>
        </w:rPr>
        <w:t>Instructions et Conseils au Patient :</w:t>
      </w:r>
      <w:r/>
    </w:p>
    <w:p>
      <w:pPr>
        <w:pStyle w:val="ListBullet"/>
      </w:pPr>
      <w:r/>
      <w:r>
        <w:rPr>
          <w:b/>
        </w:rPr>
        <w:t>Communication au comptoir</w:t>
      </w:r>
      <w:r>
        <w:t xml:space="preserve"> : « *Ce médicament est un antihistaminique moderne non sédatif, indiqué dans le rhume des foins et l'urticaire. Prenez-le une fois par jour, à n'importe quel moment. Il n'entraîne pas de somnolence significative chez la plupart des patients, mais surveillez votre réaction les premiers jours. Évitez l'alcool. En cas de problème de foie ou de reins, prévenez votre médecin — la dose sera adaptée.* »</w:t>
      </w:r>
    </w:p>
    <w:p>
      <w:pPr>
        <w:pStyle w:val="ListBullet"/>
      </w:pPr>
      <w:r/>
      <w:r>
        <w:rPr>
          <w:b/>
        </w:rPr>
        <w:t>Mode d'utilisation pratique</w:t>
      </w:r>
      <w:r>
        <w:t xml:space="preserve"> : comprimé à avaler entier avec un peu d'eau. Sirop : agiter avant emploi, utiliser la cuillère-mesure ou le gobelet doseur fourni. En cas d'oubli : prendre dès que possible dans la journée, ne pas doubler la dose le lendemain. Conservation : température &lt; 25 °C, à l'abri de la lumière et de l'humidité ; bien refermer le flacon de sirop après usage. Ne pas dépasser 14 jours d'automédication sans avis médical.</w:t>
      </w:r>
    </w:p>
    <w:p>
      <w:r/>
      <w:r>
        <w:rPr>
          <w:b/>
        </w:rPr>
        <w:t>Notes, Règles d'Or &amp; Pièges au Comptoir :</w:t>
      </w:r>
      <w:r/>
    </w:p>
    <w:p>
      <w:pPr>
        <w:pStyle w:val="ListBullet"/>
      </w:pPr>
      <w:r/>
      <w:r>
        <w:rPr>
          <w:b/>
        </w:rPr>
        <w:t>Piège classique</w:t>
      </w:r>
      <w:r>
        <w:t xml:space="preserve"> : </w:t>
      </w:r>
      <w:r>
        <w:rPr>
          <w:b/>
        </w:rPr>
        <w:t>insuffisance hépatique silencieuse</w:t>
      </w:r>
      <w:r>
        <w:t xml:space="preserve"> — toujours demander au patient s'il a des problèmes de foie avant délivrance (hépatite chronique, cirrhose, naissances médicamenteuses hépatotoxiques). </w:t>
      </w:r>
      <w:r>
        <w:rPr>
          <w:b/>
        </w:rPr>
        <w:t>Rébound de l'urticaire à l'arrêt</w:t>
      </w:r>
      <w:r>
        <w:t xml:space="preserve"> : décroissance progressive. </w:t>
      </w:r>
      <w:r>
        <w:rPr>
          <w:b/>
        </w:rPr>
        <w:t>Millepertuis</w:t>
      </w:r>
      <w:r>
        <w:t xml:space="preserve"> : peut réduire l'efficacité de la loratadine (induction CYP3A4). </w:t>
      </w:r>
      <w:r>
        <w:rPr>
          <w:b/>
        </w:rPr>
        <w:t>Substitution entre marques</w:t>
      </w:r>
      <w:r>
        <w:t xml:space="preserve"> : possible (même DCI, même dosage, même forme) — vérifier la concentration du sirop (toutes à 1 mg/mL en Algérie).</w:t>
      </w:r>
    </w:p>
    <w:p>
      <w:pPr>
        <w:pStyle w:val="ListBullet"/>
      </w:pPr>
      <w:r/>
      <w:r>
        <w:rPr>
          <w:b/>
        </w:rPr>
        <w:t>Règle de prise</w:t>
      </w:r>
      <w:r>
        <w:t xml:space="preserve"> : une fois par jour, à n'importe quel moment. Pas d'alcool (par prudence). Pas de double dose en cas d'oubli.</w:t>
      </w:r>
    </w:p>
    <w:p>
      <w:pPr>
        <w:pStyle w:val="ListBullet"/>
      </w:pPr>
      <w:r/>
      <w:r>
        <w:rPr>
          <w:b/>
        </w:rPr>
        <w:t>Préparation et Conservation</w:t>
      </w:r>
      <w:r>
        <w:t xml:space="preserve"> : comprimés à température &lt; 25 °C, à l'abri de l'humidité ; sirop à température &lt; 25 °C, à l'abri de la lumière, bien refermer après usage ; ne pas conserver le sirop au-delà de 6 mois après ouverture.</w:t>
      </w:r>
    </w:p>
    <w:p>
      <w:pPr>
        <w:pStyle w:val="ListBullet"/>
      </w:pPr>
      <w:r/>
      <w:r>
        <w:rPr>
          <w:b/>
        </w:rPr>
        <w:t>Piège du surdosage / Substitution</w:t>
      </w:r>
      <w:r>
        <w:t xml:space="preserve"> : </w:t>
      </w:r>
      <w:r>
        <w:rPr>
          <w:b/>
        </w:rPr>
        <w:t>substitution loratadine ↔ desloratadine</w:t>
      </w:r>
      <w:r>
        <w:t xml:space="preserve"> : la desloratadine est le métabolite actif de la loratadine, à dose 2× moindre (5 mg vs 10 mg) pour une efficacité équivalente ou supérieure. </w:t>
      </w:r>
      <w:r>
        <w:rPr>
          <w:b/>
        </w:rPr>
        <w:t>Substitution par cétirizine</w:t>
      </w:r>
      <w:r>
        <w:t xml:space="preserve"> : alternative courante en cas de somnolence sous loratadine (rare). </w:t>
      </w:r>
      <w:r>
        <w:rPr>
          <w:b/>
        </w:rPr>
        <w:t>Surdosage</w:t>
      </w:r>
      <w:r>
        <w:t xml:space="preserve"> (≥ 40 mg) : lavage gastrique si &lt; 1 h, charbon activé, surveillance ECG.</w:t>
      </w:r>
    </w:p>
    <w:p>
      <w:pPr>
        <w:pStyle w:val="Heading3"/>
      </w:pPr>
      <w:r>
        <w:t>3.4. DCI : Desloratadine (Seule)</w:t>
      </w:r>
    </w:p>
    <w:p>
      <w:r/>
      <w:r>
        <w:rPr>
          <w:b/>
        </w:rPr>
        <w:t>Liste des Catégories :</w:t>
      </w:r>
      <w:r>
        <w:t xml:space="preserve"> Antihistaminique H1 — 2e génération (non sédatif), Antiallergique, Anti-histaminique systémique, Antihistaminique à visée respiratoire (rhinite allergique, conjonctivite allergique), Antihistaminique à visée dermatologique (urticaire, prurit allergique), Pédiatrie (sirop), Antihistaminique 2e génération le plus actif (10-15× supérieur à la loratadine).</w:t>
      </w:r>
    </w:p>
    <w:p>
      <w:r>
        <w:t xml:space="preserve">La </w:t>
      </w:r>
      <w:r>
        <w:rPr>
          <w:b/>
        </w:rPr>
        <w:t>desloratadine</w:t>
      </w:r>
      <w:r>
        <w:t xml:space="preserve"> (formule C19H19ClN2 ; M = 310,8 g/mol) est le </w:t>
      </w:r>
      <w:r>
        <w:rPr>
          <w:b/>
        </w:rPr>
        <w:t>métabolite actif principal de la loratadine</w:t>
      </w:r>
      <w:r>
        <w:t xml:space="preserve">, obtenu par déméthylation hépatique (CYP3A4 et CYP2D6). Commercialisée en Algérie sous </w:t>
      </w:r>
      <w:r>
        <w:rPr>
          <w:b/>
        </w:rPr>
        <w:t>17 marques actives</w:t>
      </w:r>
      <w:r>
        <w:t xml:space="preserve"> en Avril 2026 (15 comprimés pelliculés 5 mg + 8 sirops 0,5 mg/mL), elle est environ </w:t>
      </w:r>
      <w:r>
        <w:rPr>
          <w:b/>
        </w:rPr>
        <w:t>10 à 15 fois plus active</w:t>
      </w:r>
      <w:r>
        <w:t xml:space="preserve"> sur le récepteur H1 que la loratadine elle-même, ce qui explique une </w:t>
      </w:r>
      <w:r>
        <w:rPr>
          <w:b/>
        </w:rPr>
        <w:t>dose moindre (5 mg)</w:t>
      </w:r>
      <w:r>
        <w:t xml:space="preserve"> pour une efficacité supérieure ou équivalente. La desloratadine a été développée pour s'affranchir du métabolisme hépatique variable de la loratadine (notamment en cas d'insuffisance hépatique, de polymorphisme CYP3A4, ou d'interactions médicamenteuses), et pour réduire encore la variabilité interindividuelle. Sa biodisponibilité orale est élevée (~80 %), son pic plasmatique est atteint en 3 heures, et sa </w:t>
      </w:r>
      <w:r>
        <w:rPr>
          <w:b/>
        </w:rPr>
        <w:t>demi-vie d'élimination</w:t>
      </w:r>
      <w:r>
        <w:t xml:space="preserve"> est prolongée (</w:t>
      </w:r>
      <w:r>
        <w:rPr>
          <w:b/>
        </w:rPr>
        <w:t>27 heures</w:t>
      </w:r>
      <w:r>
        <w:t xml:space="preserve"> chez l'adulte — la plus longue des 2e génération disponibles en Algérie avec la fexofénadine), permettant une prise unique quotidienne avec une couverture symptomatique de 24 heures. La desloratadine est métabolisée à son tour en métabolites inactifs (hydroxydesloratadine, glucuronides), éliminés dans les urines (~40 %) et les selles (~50 %). En raison de son métabolisme hépatique partiel, une adaptation posologique est nécessaire en insuffisance hépatique sévère.</w:t>
      </w:r>
    </w:p>
    <w:p>
      <w:r/>
      <w:r>
        <w:rPr>
          <w:b/>
        </w:rPr>
        <w:t>Médicaments disponibles en Algérie (Marques, Laboratoires, Formes et Dosages) :</w:t>
      </w:r>
      <w:r/>
    </w:p>
    <w:p>
      <w:pPr>
        <w:pStyle w:val="ListBullet"/>
      </w:pPr>
      <w:r/>
      <w:r>
        <w:rPr>
          <w:b/>
        </w:rPr>
        <w:t>AIRDITINE</w:t>
      </w:r>
      <w:r>
        <w:t xml:space="preserve"> (EL KENDI INDUSTRIE DU MEDICAMENT)</w:t>
      </w:r>
    </w:p>
    <w:p>
      <w:pPr>
        <w:pStyle w:val="ListBullet"/>
      </w:pPr>
      <w:r>
        <w:t>Formes et Dosages : Comprimé pelliculé 5 mg — Boîte de 10 ; Sirop 0,5 mg/mL — Flacon de 120 mL</w:t>
      </w:r>
    </w:p>
    <w:p>
      <w:pPr>
        <w:pStyle w:val="ListBullet"/>
      </w:pPr>
      <w:r>
        <w:t>Statut : Actif (Liste II)</w:t>
      </w:r>
    </w:p>
    <w:p>
      <w:pPr>
        <w:pStyle w:val="ListBullet"/>
      </w:pPr>
      <w:r/>
      <w:r>
        <w:rPr>
          <w:b/>
        </w:rPr>
        <w:t>DARISLOR</w:t>
      </w:r>
      <w:r>
        <w:t xml:space="preserve"> (SPA UNION PHARMACEUTIQUE CONSTANTINOISE PRODUCTION)</w:t>
      </w:r>
    </w:p>
    <w:p>
      <w:pPr>
        <w:pStyle w:val="ListBullet"/>
      </w:pPr>
      <w:r>
        <w:t>Formes et Dosages : Comprimé pelliculé 5 mg — Boîte de 15 et de 30 ; Sirop 0,5 mg/mL — Flacon de 120 mL</w:t>
      </w:r>
    </w:p>
    <w:p>
      <w:pPr>
        <w:pStyle w:val="ListBullet"/>
      </w:pPr>
      <w:r>
        <w:t>Statut : Actif (Liste II)</w:t>
      </w:r>
    </w:p>
    <w:p>
      <w:pPr>
        <w:pStyle w:val="ListBullet"/>
      </w:pPr>
      <w:r/>
      <w:r>
        <w:rPr>
          <w:b/>
        </w:rPr>
        <w:t>DESDOLE BGL</w:t>
      </w:r>
      <w:r>
        <w:t xml:space="preserve"> (BIOGALENIC)</w:t>
      </w:r>
    </w:p>
    <w:p>
      <w:pPr>
        <w:pStyle w:val="ListBullet"/>
      </w:pPr>
      <w:r>
        <w:t>Formes et Dosages : Comprimé pelliculé 5 mg — Boîte de 15 et de 30 ; Sirop 0,5 mg/mL — Flacon de 120 mL</w:t>
      </w:r>
    </w:p>
    <w:p>
      <w:pPr>
        <w:pStyle w:val="ListBullet"/>
      </w:pPr>
      <w:r>
        <w:t>Statut : Actif (Liste II)</w:t>
      </w:r>
    </w:p>
    <w:p>
      <w:pPr>
        <w:pStyle w:val="ListBullet"/>
      </w:pPr>
      <w:r/>
      <w:r>
        <w:rPr>
          <w:b/>
        </w:rPr>
        <w:t>DESLORADEX</w:t>
      </w:r>
      <w:r>
        <w:t xml:space="preserve"> (CONTINENTAL PHARM)</w:t>
      </w:r>
    </w:p>
    <w:p>
      <w:pPr>
        <w:pStyle w:val="ListBullet"/>
      </w:pPr>
      <w:r>
        <w:t>Formes et Dosages : Comprimé pelliculé 5 mg — Boîte de 15 et de 30</w:t>
      </w:r>
    </w:p>
    <w:p>
      <w:pPr>
        <w:pStyle w:val="ListBullet"/>
      </w:pPr>
      <w:r>
        <w:t>Statut : Actif (Liste II)</w:t>
      </w:r>
    </w:p>
    <w:p>
      <w:pPr>
        <w:pStyle w:val="ListBullet"/>
      </w:pPr>
      <w:r/>
      <w:r>
        <w:rPr>
          <w:b/>
        </w:rPr>
        <w:t>DESLORAL</w:t>
      </w:r>
      <w:r>
        <w:t xml:space="preserve"> (PHARMIDAL NS)</w:t>
      </w:r>
    </w:p>
    <w:p>
      <w:pPr>
        <w:pStyle w:val="ListBullet"/>
      </w:pPr>
      <w:r>
        <w:t>Formes et Dosages : Comprimé pelliculé 5 mg — Boîte de 30 et de 15</w:t>
      </w:r>
    </w:p>
    <w:p>
      <w:pPr>
        <w:pStyle w:val="ListBullet"/>
      </w:pPr>
      <w:r>
        <w:t>Statut : Actif (Liste II)</w:t>
      </w:r>
    </w:p>
    <w:p>
      <w:pPr>
        <w:pStyle w:val="ListBullet"/>
      </w:pPr>
      <w:r/>
      <w:r>
        <w:rPr>
          <w:b/>
        </w:rPr>
        <w:t>DESLOTINE</w:t>
      </w:r>
      <w:r>
        <w:t xml:space="preserve"> (JANIS MED SARL)</w:t>
      </w:r>
    </w:p>
    <w:p>
      <w:pPr>
        <w:pStyle w:val="ListBullet"/>
      </w:pPr>
      <w:r>
        <w:t>Formes et Dosages : Comprimé pelliculé 5 mg — Boîte de 30</w:t>
      </w:r>
    </w:p>
    <w:p>
      <w:pPr>
        <w:pStyle w:val="ListBullet"/>
      </w:pPr>
      <w:r>
        <w:t>Statut : Actif (Liste II)</w:t>
      </w:r>
    </w:p>
    <w:p>
      <w:pPr>
        <w:pStyle w:val="ListBullet"/>
      </w:pPr>
      <w:r/>
      <w:r>
        <w:rPr>
          <w:b/>
        </w:rPr>
        <w:t>LORADESS</w:t>
      </w:r>
      <w:r>
        <w:t xml:space="preserve"> (PHARMALLIANCE)</w:t>
      </w:r>
    </w:p>
    <w:p>
      <w:pPr>
        <w:pStyle w:val="ListBullet"/>
      </w:pPr>
      <w:r>
        <w:t>Formes et Dosages : Comprimé pelliculé 5 mg — Boîte de 10, 15 et 30 ; Sirop 0,5 mg/mL — Flacon de 120 mL</w:t>
      </w:r>
    </w:p>
    <w:p>
      <w:pPr>
        <w:pStyle w:val="ListBullet"/>
      </w:pPr>
      <w:r>
        <w:t>Statut : Actif (Liste II)</w:t>
      </w:r>
    </w:p>
    <w:p>
      <w:pPr>
        <w:pStyle w:val="ListBullet"/>
      </w:pPr>
      <w:r/>
      <w:r>
        <w:rPr>
          <w:b/>
        </w:rPr>
        <w:t>ODESTA</w:t>
      </w:r>
      <w:r>
        <w:t xml:space="preserve"> (BIOPHARM)</w:t>
      </w:r>
    </w:p>
    <w:p>
      <w:pPr>
        <w:pStyle w:val="ListBullet"/>
      </w:pPr>
      <w:r>
        <w:t>Formes et Dosages : Comprimé pelliculé 5 mg — Boîte de 20 ; Sirop 0,5 mg/mL — Flacon de 120 mL</w:t>
      </w:r>
    </w:p>
    <w:p>
      <w:pPr>
        <w:pStyle w:val="ListBullet"/>
      </w:pPr>
      <w:r>
        <w:t>Statut : Actif (Liste II)</w:t>
      </w:r>
    </w:p>
    <w:p>
      <w:pPr>
        <w:pStyle w:val="ListBullet"/>
      </w:pPr>
      <w:r/>
      <w:r>
        <w:rPr>
          <w:b/>
        </w:rPr>
        <w:t>RESTINE</w:t>
      </w:r>
      <w:r>
        <w:t xml:space="preserve"> (GEOPHARM)</w:t>
      </w:r>
    </w:p>
    <w:p>
      <w:pPr>
        <w:pStyle w:val="ListBullet"/>
      </w:pPr>
      <w:r>
        <w:t>Formes et Dosages : Comprimé pelliculé 5 mg — Boîte de 15 et 30 ; Sirop 0,5 mg/mL — Flacon de 100 mL</w:t>
      </w:r>
    </w:p>
    <w:p>
      <w:pPr>
        <w:pStyle w:val="ListBullet"/>
      </w:pPr>
      <w:r>
        <w:t>Statut : Actif (Liste II)</w:t>
      </w:r>
    </w:p>
    <w:p>
      <w:pPr>
        <w:pStyle w:val="ListBullet"/>
      </w:pPr>
      <w:r/>
      <w:r>
        <w:rPr>
          <w:b/>
        </w:rPr>
        <w:t>UDINE</w:t>
      </w:r>
      <w:r>
        <w:t xml:space="preserve"> (BIOCARE)</w:t>
      </w:r>
    </w:p>
    <w:p>
      <w:pPr>
        <w:pStyle w:val="ListBullet"/>
      </w:pPr>
      <w:r>
        <w:t>Formes et Dosages : Comprimé pelliculé 5 mg — Boîte de 10, 15 et 30</w:t>
      </w:r>
    </w:p>
    <w:p>
      <w:pPr>
        <w:pStyle w:val="ListBullet"/>
      </w:pPr>
      <w:r>
        <w:t>Statut : Actif (Liste II)</w:t>
      </w:r>
    </w:p>
    <w:p>
      <w:pPr>
        <w:pStyle w:val="ListBullet"/>
      </w:pPr>
      <w:r/>
      <w:r>
        <w:rPr>
          <w:b/>
        </w:rPr>
        <w:t>DESLOR</w:t>
      </w:r>
      <w:r>
        <w:t xml:space="preserve"> (INPHA-MEDIS)</w:t>
      </w:r>
    </w:p>
    <w:p>
      <w:pPr>
        <w:pStyle w:val="ListBullet"/>
      </w:pPr>
      <w:r>
        <w:t>Formes et Dosages : Sirop 0,5 mg/mL — Flacon de 150 mL ; Comprimé pelliculé 5 mg — Boîte de 15 et 30 (non renouvelable)</w:t>
      </w:r>
    </w:p>
    <w:p>
      <w:pPr>
        <w:pStyle w:val="ListBullet"/>
      </w:pPr>
      <w:r>
        <w:t>Statut : Sirop Actif ; Comprimé Non Renouvelable</w:t>
      </w:r>
    </w:p>
    <w:p>
      <w:pPr>
        <w:pStyle w:val="ListBullet"/>
      </w:pPr>
      <w:r/>
      <w:r>
        <w:rPr>
          <w:b/>
        </w:rPr>
        <w:t>DESLORINE</w:t>
      </w:r>
      <w:r>
        <w:t xml:space="preserve"> (LABORATOIRES PHARMAGHREB)</w:t>
      </w:r>
    </w:p>
    <w:p>
      <w:pPr>
        <w:pStyle w:val="ListBullet"/>
      </w:pPr>
      <w:r>
        <w:t>Formes et Dosages : Sirop 0,5 mg/mL — Flacon de 120 mL</w:t>
      </w:r>
    </w:p>
    <w:p>
      <w:pPr>
        <w:pStyle w:val="ListBullet"/>
      </w:pPr>
      <w:r>
        <w:t>Statut : Actif (Liste II)</w:t>
      </w:r>
    </w:p>
    <w:p>
      <w:pPr>
        <w:pStyle w:val="ListBullet"/>
      </w:pPr>
      <w:r/>
      <w:r>
        <w:rPr>
          <w:b/>
        </w:rPr>
        <w:t>AERIUS</w:t>
      </w:r>
      <w:r>
        <w:t xml:space="preserve"> (MSD/Schering-Plough) — *princeps non commercialisé en Algérie*</w:t>
      </w:r>
    </w:p>
    <w:p>
      <w:r/>
      <w:r>
        <w:rPr>
          <w:b/>
        </w:rPr>
        <w:t>Sous-classe et Mécanisme d'action :</w:t>
      </w:r>
      <w:r/>
    </w:p>
    <w:p>
      <w:pPr>
        <w:pStyle w:val="ListBullet"/>
      </w:pPr>
      <w:r>
        <w:t>Sous-classe : Antihistaminique H1 — 2e génération (non sédatif), famille des pipéridines tricycliques (métabolite actif de la loratadine).</w:t>
      </w:r>
    </w:p>
    <w:p>
      <w:pPr>
        <w:pStyle w:val="ListBullet"/>
      </w:pPr>
      <w:r>
        <w:t xml:space="preserve">Mécanisme d'action : </w:t>
      </w:r>
      <w:r>
        <w:rPr>
          <w:b/>
        </w:rPr>
        <w:t>Antihistaminiques H1</w:t>
      </w:r>
      <w:r>
        <w:t xml:space="preserve"> — antagoniste compétitif inverse du récepteur H1 (couplé Gq/11 → PLC → IP3 → Ca2+ → MLCK). La desloratadine bloque l'action de l'histamine sur les récepteurs H1 périphériques : </w:t>
      </w:r>
      <w:r>
        <w:rPr>
          <w:b/>
        </w:rPr>
        <w:t>vasodilatation</w:t>
      </w:r>
      <w:r>
        <w:t xml:space="preserve"> réduite, </w:t>
      </w:r>
      <w:r>
        <w:rPr>
          <w:b/>
        </w:rPr>
        <w:t>perméabilité capillaire</w:t>
      </w:r>
      <w:r>
        <w:t xml:space="preserve"> diminuée (œdème, urticaire), </w:t>
      </w:r>
      <w:r>
        <w:rPr>
          <w:b/>
        </w:rPr>
        <w:t>bronchoconstriction</w:t>
      </w:r>
      <w:r>
        <w:t xml:space="preserve"> atténuée, </w:t>
      </w:r>
      <w:r>
        <w:rPr>
          <w:b/>
        </w:rPr>
        <w:t>prurit et éternuements</w:t>
      </w:r>
      <w:r>
        <w:t xml:space="preserve"> réduits. Affinité pour le récepteur H1 supérieure à la loratadine (Ki ~1 nM vs ~5 nM pour la loratadine). Propriétés </w:t>
      </w:r>
      <w:r>
        <w:rPr>
          <w:b/>
        </w:rPr>
        <w:t>anti-allergiques additives</w:t>
      </w:r>
      <w:r>
        <w:t xml:space="preserve"> : inhibition de la dégranulation des mastocytes et des éosinophiles, inhibition de l'expression d'ICAM-1 et de VCAM-1 sur les cellules endothéliales, inhibition de la production de cytokines Th2 (IL-4, IL-5, IL-13), inhibition de la chimiotaxie des éosinophiles. La desloratadine traverse très faiblement la BBB (~0,1 % de la concentration plasmatique) et a un profil de sédation </w:t>
      </w:r>
      <w:r>
        <w:rPr>
          <w:b/>
        </w:rPr>
        <w:t>comparable au placebo</w:t>
      </w:r>
      <w:r>
        <w:t xml:space="preserve"> aux doses recommandées. Aucune affinité pour les récepteurs muscariniques, α1-adrénergiques ou sérotoninergiques. Aux doses recommandées (5 mg/jour), pas d'allongement significatif du QTc.</w:t>
      </w:r>
    </w:p>
    <w:p>
      <w:r/>
      <w:r>
        <w:rPr>
          <w:b/>
        </w:rPr>
        <w:t>Profil Pharmacologique :</w:t>
      </w:r>
      <w:r/>
    </w:p>
    <w:p>
      <w:pPr>
        <w:pStyle w:val="ListBullet"/>
      </w:pPr>
      <w:r/>
      <w:r>
        <w:rPr>
          <w:b/>
        </w:rPr>
        <w:t>Indications</w:t>
      </w:r>
      <w:r>
        <w:t xml:space="preserve"> : rhinite allergique saisonnière et perannuelle chez l'adulte et l'enfant à partir de 1 an (forme sirop) ou 12 ans (forme cp 5 mg) ; conjonctivite allergique ; urticaire chronique spontanée (UCS) chez l'adulte et l'enfant ≥ 1 an ; prurit allergique. La desloratadine est particulièrement indiquée en alternative à la loratadine en cas d'efficacité insuffisante, chez les patients présentant un polymorphisme CYP3A4 (métaboliseurs lents), en cas d'interactions médicamenteuses (inducteurs/inhibiteurs CYP3A4), et dans l'urticaire chronique résistante (efficacité supérieure).</w:t>
      </w:r>
    </w:p>
    <w:p>
      <w:pPr>
        <w:pStyle w:val="ListBullet"/>
      </w:pPr>
      <w:r/>
      <w:r>
        <w:rPr>
          <w:b/>
        </w:rPr>
        <w:t>Contre-indications</w:t>
      </w:r>
      <w:r>
        <w:t xml:space="preserve"> : hypersensibilité à la desloratadine ou à la loratadine ; insuffisance hépatique sévère (Child-Pugh C : 5 mg un jour sur deux) ; enfants &lt; 1 an pour la forme sirop ; enfants &lt; 12 ans pour la forme comprimé 5 mg. Prudence en insuffisance rénale sévère (ClCr &lt; 30 mL/min : 5 mg un jour sur deux).</w:t>
      </w:r>
    </w:p>
    <w:p>
      <w:pPr>
        <w:pStyle w:val="ListBullet"/>
      </w:pPr>
      <w:r/>
      <w:r>
        <w:rPr>
          <w:b/>
        </w:rPr>
        <w:t>Effets Indésirables</w:t>
      </w:r>
      <w:r>
        <w:t xml:space="preserve"> : tolérance excellente, comparable à la loratadine. EI fréquents (≥ 1/100 à &lt; 1/10) : céphalées (~8 %), somnolence (~3-7 %, comparable au placebo), fatigue, sécheresse buccale. EI peu fréquents : étourdissements, nausées, douleurs abdominales, dyspepsie, diarrhée. EI rares : tachycardie, palpitations, anomalies hépatiques, rash, urticaire paradoxale, anaphylaxie. EI très rares : convulsions, allongement QTc (cas exceptionnels en surdosage ≥ 20 mg), photosensibilité, prise de poids. La desloratadine est l'un des antihistaminiques H1 les mieux tolérés en utilisation prolongée.</w:t>
      </w:r>
    </w:p>
    <w:p>
      <w:r/>
      <w:r>
        <w:rPr>
          <w:b/>
        </w:rPr>
        <w:t>Prévention et Gestion des Effets Indésirables :</w:t>
      </w:r>
      <w:r/>
    </w:p>
    <w:p>
      <w:pPr>
        <w:pStyle w:val="ListBullet"/>
      </w:pPr>
      <w:r/>
      <w:r>
        <w:rPr>
          <w:b/>
        </w:rPr>
        <w:t>Mesures Préventives</w:t>
      </w:r>
      <w:r>
        <w:t xml:space="preserve"> : prise unique quotidienne, à n'importe quel moment de la journée (profil non sédatif). Adapter la dose en cas d'insuffisance hépatique sévère ou d'insuffisance rénale sévère. Éviter l'association à d'autres antihistaminiques H1. Éviter l'alcool par prudence. Surveillance chez l'enfant (risque d'agitation paradoxale rare).</w:t>
      </w:r>
    </w:p>
    <w:p>
      <w:pPr>
        <w:pStyle w:val="ListBullet"/>
      </w:pPr>
      <w:r/>
      <w:r>
        <w:rPr>
          <w:b/>
        </w:rPr>
        <w:t>Conduite à Tenir</w:t>
      </w:r>
      <w:r>
        <w:t xml:space="preserve"> : en cas de somnolence (rare), passer à une prise vespérale. En cas d'agitation paradoxale, d'hallucinations, de convulsions : arrêt immédiat et consultation. En cas de surdosage (≥ 20 mg) : lavage gastrique si &lt; 1 h, charbon activé, surveillance ECG, traitement symptomatique. La desloratadine n'est pas dialysable de manière significative.</w:t>
      </w:r>
    </w:p>
    <w:p>
      <w:r/>
      <w:r>
        <w:rPr>
          <w:b/>
        </w:rPr>
        <w:t>Interactions Importantes :</w:t>
      </w:r>
      <w:r/>
    </w:p>
    <w:p>
      <w:pPr>
        <w:pStyle w:val="ListBullet"/>
      </w:pPr>
      <w:r/>
      <w:r>
        <w:rPr>
          <w:b/>
        </w:rPr>
        <w:t>Desloratadine + alcool</w:t>
      </w:r>
      <w:r>
        <w:t xml:space="preserve"> : pas d'effet additif significatif aux doses recommandées. Prudence chez le sujet âgé.</w:t>
      </w:r>
    </w:p>
    <w:p>
      <w:pPr>
        <w:pStyle w:val="ListBullet"/>
      </w:pPr>
      <w:r/>
      <w:r>
        <w:rPr>
          <w:b/>
        </w:rPr>
        <w:t>Desloratadine + kétoconazole / érythromycine / cimétidine</w:t>
      </w:r>
      <w:r>
        <w:t xml:space="preserve"> : augmentation modeste des concentrations de desloratadine (~1,5 à 2×), sans allongement significatif du QTc aux doses recommandées. Pas d'adaptation posologique nécessaire.</w:t>
      </w:r>
    </w:p>
    <w:p>
      <w:pPr>
        <w:pStyle w:val="ListBullet"/>
      </w:pPr>
      <w:r/>
      <w:r>
        <w:rPr>
          <w:b/>
        </w:rPr>
        <w:t>Desloratadine + clarithromycine / itraconazole</w:t>
      </w:r>
      <w:r>
        <w:t xml:space="preserve"> : augmentation modeste des concentrations, sans conséquence clinique aux doses recommandées.</w:t>
      </w:r>
    </w:p>
    <w:p>
      <w:pPr>
        <w:pStyle w:val="ListBullet"/>
      </w:pPr>
      <w:r/>
      <w:r>
        <w:rPr>
          <w:b/>
        </w:rPr>
        <w:t>Desloratadine + inducteurs du CYP3A4</w:t>
      </w:r>
      <w:r>
        <w:t xml:space="preserve"> (rifampicine, phénytoïne, carbamazépine, phénobarbital, millepertuis) : réduction possible de l'efficacité. Surveiller et adapter.</w:t>
      </w:r>
    </w:p>
    <w:p>
      <w:pPr>
        <w:pStyle w:val="ListBullet"/>
      </w:pPr>
      <w:r/>
      <w:r>
        <w:rPr>
          <w:b/>
        </w:rPr>
        <w:t>Desloratadine + fluoxétine</w:t>
      </w:r>
      <w:r>
        <w:t xml:space="preserve"> (inhibiteur CYP2D6) : pas d'interaction cliniquement pertinente.</w:t>
      </w:r>
    </w:p>
    <w:p>
      <w:r/>
      <w:r>
        <w:rPr>
          <w:b/>
        </w:rPr>
        <w:t>Grossesse et Allaitement :</w:t>
      </w:r>
      <w:r/>
    </w:p>
    <w:p>
      <w:pPr>
        <w:pStyle w:val="ListBullet"/>
      </w:pPr>
      <w:r/>
      <w:r>
        <w:rPr>
          <w:b/>
        </w:rPr>
        <w:t>Grossesse</w:t>
      </w:r>
      <w:r>
        <w:t xml:space="preserve"> : selon le </w:t>
      </w:r>
      <w:r>
        <w:rPr>
          <w:b/>
        </w:rPr>
        <w:t>CRAT</w:t>
      </w:r>
      <w:r>
        <w:t xml:space="preserve">, la desloratadine est </w:t>
      </w:r>
      <w:r>
        <w:rPr>
          <w:b/>
        </w:rPr>
        <w:t>compatible avec la grossesse</w:t>
      </w:r>
      <w:r>
        <w:t xml:space="preserve"> (données limitées mais rassurantes, en raison de sa filiation avec la loratadine bien documentée). À utiliser en alternative à la loratadine en cas d'efficacité insuffisante, en particulier dans l'urticaire chronique résistante. Préférer la loratadine ou la cétirizine en première intention.</w:t>
      </w:r>
    </w:p>
    <w:p>
      <w:pPr>
        <w:pStyle w:val="ListBullet"/>
      </w:pPr>
      <w:r/>
      <w:r>
        <w:rPr>
          <w:b/>
        </w:rPr>
        <w:t>Allaitement</w:t>
      </w:r>
      <w:r>
        <w:t xml:space="preserve"> : selon le CRAT et LactMed, la desloratadine passe dans le lait maternel (rapport lait/plasma ~0,4). Aux doses maternelles usuelles (5 mg/jour), la quantité reçue par le nourrisson est inférieure à la dose pédiatrique thérapeutique. </w:t>
      </w:r>
      <w:r>
        <w:rPr>
          <w:b/>
        </w:rPr>
        <w:t>Allaitement compatible</w:t>
      </w:r>
      <w:r>
        <w:t xml:space="preserve"> (préférer la loratadine si possible, en raison d'une demi-vie plus courte chez le nourrisson). Surveiller la somnolence et l'état du nourrisson.</w:t>
      </w:r>
    </w:p>
    <w:p>
      <w:pPr>
        <w:pStyle w:val="ListBullet"/>
      </w:pPr>
      <w:r/>
      <w:r>
        <w:rPr>
          <w:b/>
        </w:rPr>
        <w:t>Précisions</w:t>
      </w:r>
      <w:r>
        <w:t xml:space="preserve"> : aucune tératogénicité animale documentée.</w:t>
      </w:r>
    </w:p>
    <w:p>
      <w:r/>
      <w:r>
        <w:rPr>
          <w:b/>
        </w:rPr>
        <w:t>Posologie et Mode d'administration (Standard) :</w:t>
      </w:r>
      <w:r/>
    </w:p>
    <w:p>
      <w:pPr>
        <w:pStyle w:val="ListBullet"/>
      </w:pPr>
      <w:r/>
      <w:r>
        <w:rPr>
          <w:b/>
        </w:rPr>
        <w:t>Adulte et adolescent ≥ 12 ans</w:t>
      </w:r>
      <w:r>
        <w:t xml:space="preserve"> : </w:t>
      </w:r>
      <w:r>
        <w:rPr>
          <w:b/>
        </w:rPr>
        <w:t>5 mg une fois par jour</w:t>
      </w:r>
      <w:r>
        <w:t xml:space="preserve"> (1 comprimé pelliculé de 5 mg, ou 10 mL de sirop 0,5 mg/mL).</w:t>
      </w:r>
    </w:p>
    <w:p>
      <w:pPr>
        <w:pStyle w:val="ListBullet"/>
      </w:pPr>
      <w:r/>
      <w:r>
        <w:rPr>
          <w:b/>
        </w:rPr>
        <w:t>Enfant 6 à 12 ans</w:t>
      </w:r>
      <w:r>
        <w:t xml:space="preserve"> : 2,5 mg une fois par jour (1/2 comprimé, ou 5 mL de sirop 0,5 mg/mL).</w:t>
      </w:r>
    </w:p>
    <w:p>
      <w:pPr>
        <w:pStyle w:val="ListBullet"/>
      </w:pPr>
      <w:r/>
      <w:r>
        <w:rPr>
          <w:b/>
        </w:rPr>
        <w:t>Enfant 1 à 6 ans</w:t>
      </w:r>
      <w:r>
        <w:t xml:space="preserve"> : 1,25 mg une fois par jour (2,5 mL de sirop 0,5 mg/mL).</w:t>
      </w:r>
    </w:p>
    <w:p>
      <w:pPr>
        <w:pStyle w:val="ListBullet"/>
      </w:pPr>
      <w:r/>
      <w:r>
        <w:rPr>
          <w:b/>
        </w:rPr>
        <w:t>Nourrisson 6 mois à 1 an</w:t>
      </w:r>
      <w:r>
        <w:t xml:space="preserve"> : 1 mg une fois par jour (2 mL de sirop 0,5 mg/mL) — hors AMM en France, en cours de réévaluation ; en pratique, la desloratadine sirop est autorisée à partir de 1 an pour la rhinite allergique et l'urticaire.</w:t>
      </w:r>
    </w:p>
    <w:p>
      <w:pPr>
        <w:pStyle w:val="ListBullet"/>
      </w:pPr>
      <w:r/>
      <w:r>
        <w:rPr>
          <w:b/>
        </w:rPr>
        <w:t>Sujet âgé (&gt; 65 ans)</w:t>
      </w:r>
      <w:r>
        <w:t xml:space="preserve"> : pas d'adaptation posologique si fonctions rénale et hépatique normales.</w:t>
      </w:r>
    </w:p>
    <w:p>
      <w:pPr>
        <w:pStyle w:val="ListBullet"/>
      </w:pPr>
      <w:r/>
      <w:r>
        <w:rPr>
          <w:b/>
        </w:rPr>
        <w:t>Insuffisance rénale</w:t>
      </w:r>
      <w:r>
        <w:t xml:space="preserve"> : ClCr ≥ 30 mL/min : 5 mg/jour ; ClCr &lt; 30 mL/min : 5 mg un jour sur deux.</w:t>
      </w:r>
    </w:p>
    <w:p>
      <w:pPr>
        <w:pStyle w:val="ListBullet"/>
      </w:pPr>
      <w:r/>
      <w:r>
        <w:rPr>
          <w:b/>
        </w:rPr>
        <w:t>Insuffisance hépatique</w:t>
      </w:r>
      <w:r>
        <w:t xml:space="preserve"> : Child-Pugh C : 5 mg un jour sur deux.</w:t>
      </w:r>
    </w:p>
    <w:p>
      <w:pPr>
        <w:pStyle w:val="ListBullet"/>
      </w:pPr>
      <w:r/>
      <w:r>
        <w:rPr>
          <w:b/>
        </w:rPr>
        <w:t>Durée</w:t>
      </w:r>
      <w:r>
        <w:t xml:space="preserve"> : saison pollinique ; urticaire aiguë 5-14 jours ; urticaire chronique traitement prolongé (efficacité supérieure à la loratadine dans cette indication).</w:t>
      </w:r>
    </w:p>
    <w:p>
      <w:pPr>
        <w:pStyle w:val="ListBullet"/>
      </w:pPr>
      <w:r/>
      <w:r>
        <w:rPr>
          <w:b/>
        </w:rPr>
        <w:t>Moment de la prise</w:t>
      </w:r>
      <w:r>
        <w:t xml:space="preserve"> : à n'importe quel moment de la journée. Préférer le matin pour la rhinite allergique, le soir pour l'urticaire chronique (prurit nocturne).</w:t>
      </w:r>
    </w:p>
    <w:p>
      <w:r/>
      <w:r>
        <w:rPr>
          <w:b/>
        </w:rPr>
        <w:t>Arbitrage et Bénéfices des Formes Galéniques :</w:t>
      </w:r>
      <w:r/>
    </w:p>
    <w:p>
      <w:pPr>
        <w:pStyle w:val="ListBullet"/>
      </w:pPr>
      <w:r/>
      <w:r>
        <w:rPr>
          <w:b/>
        </w:rPr>
        <w:t>Comprimé pelliculé 5 mg</w:t>
      </w:r>
      <w:r>
        <w:t xml:space="preserve"> (15 marques actives) : forme adulte et enfant ≥ 12 ans, pratique et stable. Boîte de 10, 15, 20 ou 30 selon les marques — adaptée aux traitements prolongés (urticaire chronique : boîte de 30 pour 1 mois).</w:t>
      </w:r>
    </w:p>
    <w:p>
      <w:pPr>
        <w:pStyle w:val="ListBullet"/>
      </w:pPr>
      <w:r/>
      <w:r>
        <w:rPr>
          <w:b/>
        </w:rPr>
        <w:t>Sirop 0,5 mg/mL</w:t>
      </w:r>
      <w:r>
        <w:t xml:space="preserve"> (8 marques actives) : indispensable pour le nourrisson et le jeune enfant — dose précise selon le poids. Flacon de 100, 120 ou 150 mL selon les marques.</w:t>
      </w:r>
    </w:p>
    <w:p>
      <w:pPr>
        <w:pStyle w:val="ListBullet"/>
      </w:pPr>
      <w:r/>
      <w:r>
        <w:rPr>
          <w:b/>
        </w:rPr>
        <w:t>Forme orodispersible</w:t>
      </w:r>
      <w:r>
        <w:t xml:space="preserve"> : non disponible en Algérie pour la desloratadine (la bilastine et l'ébastine en ont).</w:t>
      </w:r>
    </w:p>
    <w:p>
      <w:pPr>
        <w:pStyle w:val="ListBullet"/>
      </w:pPr>
      <w:r/>
      <w:r>
        <w:rPr>
          <w:b/>
        </w:rPr>
        <w:t>Forme injectable</w:t>
      </w:r>
      <w:r>
        <w:t xml:space="preserve"> : non disponible.</w:t>
      </w:r>
    </w:p>
    <w:p>
      <w:r/>
      <w:r>
        <w:rPr>
          <w:b/>
        </w:rPr>
        <w:t>Instructions et Conseils au Patient :</w:t>
      </w:r>
      <w:r/>
    </w:p>
    <w:p>
      <w:pPr>
        <w:pStyle w:val="ListBullet"/>
      </w:pPr>
      <w:r/>
      <w:r>
        <w:rPr>
          <w:b/>
        </w:rPr>
        <w:t>Communication au comptoir</w:t>
      </w:r>
      <w:r>
        <w:t xml:space="preserve"> : « *Ce médicament est un antihistaminique récent, plus actif que la loratadine à dose deux fois plus faible (5 mg au lieu de 10 mg). Prenez-le une fois par jour, à n'importe quel moment. Il est généralement très bien toléré, sans somnolence significative. Évitez l'alcool. En cas de problème de foie ou de reins, prévenez votre médecin — la dose sera adaptée.* »</w:t>
      </w:r>
    </w:p>
    <w:p>
      <w:pPr>
        <w:pStyle w:val="ListBullet"/>
      </w:pPr>
      <w:r/>
      <w:r>
        <w:rPr>
          <w:b/>
        </w:rPr>
        <w:t>Mode d'utilisation pratique</w:t>
      </w:r>
      <w:r>
        <w:t xml:space="preserve"> : comprimé à avaler entier avec un peu d'eau ; sirop : agiter avant emploi, utiliser la cuillère-mesure ou le gobelet doseur fourni. En cas d'oubli : prendre dès que possible dans la journée, ne pas doubler la dose le lendemain. Conservation : température &lt; 25 °C, à l'abri de la lumière et de l'humidité ; bien refermer le flacon de sirop après usage. Ne pas dépasser 14 jours d'automédication sans avis médical.</w:t>
      </w:r>
    </w:p>
    <w:p>
      <w:r/>
      <w:r>
        <w:rPr>
          <w:b/>
        </w:rPr>
        <w:t>Notes, Règles d'Or &amp; Pièges au Comptoir :</w:t>
      </w:r>
      <w:r/>
    </w:p>
    <w:p>
      <w:pPr>
        <w:pStyle w:val="ListBullet"/>
      </w:pPr>
      <w:r/>
      <w:r>
        <w:rPr>
          <w:b/>
        </w:rPr>
        <w:t>Piège classique</w:t>
      </w:r>
      <w:r>
        <w:t xml:space="preserve"> : </w:t>
      </w:r>
      <w:r>
        <w:rPr>
          <w:b/>
        </w:rPr>
        <w:t>substitution desloratadine ↔ loratadine</w:t>
      </w:r>
      <w:r>
        <w:t xml:space="preserve"> : la desloratadine est le métabolite actif de la loratadine, à dose 2× moindre (5 mg vs 10 mg) pour une efficacité supérieure ou équivalente. </w:t>
      </w:r>
      <w:r>
        <w:rPr>
          <w:b/>
        </w:rPr>
        <w:t>Insuffisance hépatique silencieuse</w:t>
      </w:r>
      <w:r>
        <w:t xml:space="preserve"> — toujours demander au patient s'il a des problèmes de foie avant délivrance. </w:t>
      </w:r>
      <w:r>
        <w:rPr>
          <w:b/>
        </w:rPr>
        <w:t>Rébound de l'urticaire à l'arrêt</w:t>
      </w:r>
      <w:r>
        <w:t xml:space="preserve"> : décroissance progressive sur 2-4 semaines. </w:t>
      </w:r>
      <w:r>
        <w:rPr>
          <w:b/>
        </w:rPr>
        <w:t>Millepertuis</w:t>
      </w:r>
      <w:r>
        <w:t xml:space="preserve"> : peut réduire l'efficacité (induction CYP3A4). </w:t>
      </w:r>
      <w:r>
        <w:rPr>
          <w:b/>
        </w:rPr>
        <w:t>Substitution entre marques</w:t>
      </w:r>
      <w:r>
        <w:t xml:space="preserve"> : possible (même DCI, même dosage, même forme) — vérifier la concentration du sirop (toutes à 0,5 mg/mL en Algérie, à l'exception d'une marque indiquant 0,5 mL/ML — vérifier l'unité).</w:t>
      </w:r>
    </w:p>
    <w:p>
      <w:pPr>
        <w:pStyle w:val="ListBullet"/>
      </w:pPr>
      <w:r/>
      <w:r>
        <w:rPr>
          <w:b/>
        </w:rPr>
        <w:t>Règle de prise</w:t>
      </w:r>
      <w:r>
        <w:t xml:space="preserve"> : une fois par jour, à n'importe quel moment. Pas d'alcool. Pas de double dose en cas d'oubli.</w:t>
      </w:r>
    </w:p>
    <w:p>
      <w:pPr>
        <w:pStyle w:val="ListBullet"/>
      </w:pPr>
      <w:r/>
      <w:r>
        <w:rPr>
          <w:b/>
        </w:rPr>
        <w:t>Préparation et Conservation</w:t>
      </w:r>
      <w:r>
        <w:t xml:space="preserve"> : comprimés à température &lt; 25 °C, à l'abri de l'humidité ; sirop à température &lt; 25 °C, à l'abri de la lumière, bien refermer après usage ; ne pas conserver le sirop au-delà de 6 mois après ouverture.</w:t>
      </w:r>
    </w:p>
    <w:p>
      <w:pPr>
        <w:pStyle w:val="ListBullet"/>
      </w:pPr>
      <w:r/>
      <w:r>
        <w:rPr>
          <w:b/>
        </w:rPr>
        <w:t>Piège du surdosage / Substitution</w:t>
      </w:r>
      <w:r>
        <w:t xml:space="preserve"> : </w:t>
      </w:r>
      <w:r>
        <w:rPr>
          <w:b/>
        </w:rPr>
        <w:t>surdosage</w:t>
      </w:r>
      <w:r>
        <w:t xml:space="preserve"> (≥ 20 mg) : lavage gastrique si &lt; 1 h, charbon activé, surveillance ECG. </w:t>
      </w:r>
      <w:r>
        <w:rPr>
          <w:b/>
        </w:rPr>
        <w:t>Substitution desloratadine → bilastine</w:t>
      </w:r>
      <w:r>
        <w:t xml:space="preserve"> : alternative encore plus récente, à dose 4× supérieure (20 mg vs 5 mg), profil de tolérance équivalent.</w:t>
      </w:r>
    </w:p>
    <w:p>
      <w:pPr>
        <w:pStyle w:val="Heading3"/>
      </w:pPr>
      <w:r>
        <w:t>3.5. DCI : Fexofénadine (Seule)</w:t>
      </w:r>
    </w:p>
    <w:p>
      <w:r/>
      <w:r>
        <w:rPr>
          <w:b/>
        </w:rPr>
        <w:t>Liste des Catégories :</w:t>
      </w:r>
      <w:r>
        <w:t xml:space="preserve"> Antihistaminique H1 — 2e génération (non sédatif), Antiallergique, Anti-histaminique systémique, Antihistaminique à visée respiratoire (rhinite allergique, conjonctivite allergique), Antihistaminique à visée dermatologique (urticaire, prurit allergique), Pédiatrie (suspension buvable), Profil non sédatif maximal (ne traverse pas la BBB).</w:t>
      </w:r>
    </w:p>
    <w:p>
      <w:r>
        <w:t xml:space="preserve">La </w:t>
      </w:r>
      <w:r>
        <w:rPr>
          <w:b/>
        </w:rPr>
        <w:t>fexofénadine</w:t>
      </w:r>
      <w:r>
        <w:t xml:space="preserve"> (chlorhydrate de fexofénadine, formule C32H39NO4 · HCl ; M = 538,1 g/mol) est un antihistaminique H1 de 2e génération de la famille des </w:t>
      </w:r>
      <w:r>
        <w:rPr>
          <w:b/>
        </w:rPr>
        <w:t>pipéridines acides</w:t>
      </w:r>
      <w:r>
        <w:t xml:space="preserve">, métabolite actif carboxylique de la </w:t>
      </w:r>
      <w:r>
        <w:rPr>
          <w:b/>
        </w:rPr>
        <w:t>terfénadine</w:t>
      </w:r>
      <w:r>
        <w:t xml:space="preserve"> (ancienne 2e génération retirée du marché en 1997-1999 en raison de cas de </w:t>
      </w:r>
      <w:r>
        <w:rPr>
          <w:b/>
        </w:rPr>
        <w:t>torsades de pointe</w:t>
      </w:r>
      <w:r>
        <w:t xml:space="preserve"> mortels, en particulier en cas d'association au kétoconazole ou à l'érythromycine, ou en surdosage, ou en insuffisance hépatique — inhibition du CYP3A4 entraînant accumulation de terfénadine mère cardiotoxique). La fexofénadine est </w:t>
      </w:r>
      <w:r>
        <w:rPr>
          <w:b/>
        </w:rPr>
        <w:t>dépourvue de toxicité cardiaque</w:t>
      </w:r>
      <w:r>
        <w:t xml:space="preserve"> (pas d'allongement du QTc aux doses recommandées, ni même en surdosage ou en association avec les inhibiteurs du CYP3A4), car elle n'a pas d'affinité pour le canal hERG (potassium cardiaque). Commercialisée en Algérie sous </w:t>
      </w:r>
      <w:r>
        <w:rPr>
          <w:b/>
        </w:rPr>
        <w:t>12 marques actives</w:t>
      </w:r>
      <w:r>
        <w:t xml:space="preserve"> en Avril 2026 (comprimés pelliculés 120 mg et 180 mg + suspension buvable 30 mg/5 mL), elle est réputée être le </w:t>
      </w:r>
      <w:r>
        <w:rPr>
          <w:b/>
        </w:rPr>
        <w:t>moins sédatif des antihistaminiques H1 2e génération disponibles en Algérie</w:t>
      </w:r>
      <w:r>
        <w:t xml:space="preserve"> (concentration cérébrale &lt; 0,1 % de la concentration plasmatique), et elle est souvent privilégiée chez les conducteurs, les travailleurs postés, les étudiants, et les sujets âgés. Sa biodisponibilité orale est modeste (~30 %) en raison d'une absorption limitée par les transporteurs intestinaux </w:t>
      </w:r>
      <w:r>
        <w:rPr>
          <w:b/>
        </w:rPr>
        <w:t>OATP</w:t>
      </w:r>
      <w:r>
        <w:t xml:space="preserve"> (Organic Anion Transporting Polypeptides) — la prise simultanée de </w:t>
      </w:r>
      <w:r>
        <w:rPr>
          <w:b/>
        </w:rPr>
        <w:t>jus de pamplemousse</w:t>
      </w:r>
      <w:r>
        <w:t xml:space="preserve"> ou de </w:t>
      </w:r>
      <w:r>
        <w:rPr>
          <w:b/>
        </w:rPr>
        <w:t>jus de pomme/orange</w:t>
      </w:r>
      <w:r>
        <w:t xml:space="preserve"> réduit encore l'absorption de 30 à 40 %. Le pic plasmatique est atteint en 2 à 3 heures. La </w:t>
      </w:r>
      <w:r>
        <w:rPr>
          <w:b/>
        </w:rPr>
        <w:t>demi-vie d'élimination</w:t>
      </w:r>
      <w:r>
        <w:t xml:space="preserve"> est d'environ </w:t>
      </w:r>
      <w:r>
        <w:rPr>
          <w:b/>
        </w:rPr>
        <w:t>14 heures</w:t>
      </w:r>
      <w:r>
        <w:t xml:space="preserve">, permettant une prise unique (180 mg) ou bi-quotidienne (60 mg ou 120 mg). La fexofénadine </w:t>
      </w:r>
      <w:r>
        <w:rPr>
          <w:b/>
        </w:rPr>
        <w:t>n'est pas métabolisée</w:t>
      </w:r>
      <w:r>
        <w:t xml:space="preserve"> (5 % seulement subit un métabolisme hépatique mineur) et est éliminée à 80 % inchangée dans les selles (sécrétion biliaire et P-gp intestinale) et à 11 % dans les urines — ce qui la rend </w:t>
      </w:r>
      <w:r>
        <w:rPr>
          <w:b/>
        </w:rPr>
        <w:t>utilisable sans adaptation posologique en insuffisance hépatique</w:t>
      </w:r>
      <w:r>
        <w:t xml:space="preserve"> et permet une utilisation prudente en insuffisance rénale (sans accumulation majeure).</w:t>
      </w:r>
    </w:p>
    <w:p>
      <w:r/>
      <w:r>
        <w:rPr>
          <w:b/>
        </w:rPr>
        <w:t>Médicaments disponibles en Algérie (Marques, Laboratoires, Formes et Dosages) :</w:t>
      </w:r>
      <w:r/>
    </w:p>
    <w:p>
      <w:pPr>
        <w:pStyle w:val="ListBullet"/>
      </w:pPr>
      <w:r/>
      <w:r>
        <w:rPr>
          <w:b/>
        </w:rPr>
        <w:t>FASTOFEN 120</w:t>
      </w:r>
      <w:r>
        <w:t xml:space="preserve"> (SOPRODIM)</w:t>
      </w:r>
    </w:p>
    <w:p>
      <w:pPr>
        <w:pStyle w:val="ListBullet"/>
      </w:pPr>
      <w:r>
        <w:t>Formes et Dosages : Comprimé pelliculé 120 mg — Boîte de 20</w:t>
      </w:r>
    </w:p>
    <w:p>
      <w:pPr>
        <w:pStyle w:val="ListBullet"/>
      </w:pPr>
      <w:r>
        <w:t>Statut : Actif (Liste II)</w:t>
      </w:r>
    </w:p>
    <w:p>
      <w:pPr>
        <w:pStyle w:val="ListBullet"/>
      </w:pPr>
      <w:r/>
      <w:r>
        <w:rPr>
          <w:b/>
        </w:rPr>
        <w:t>FASTOFEN 180</w:t>
      </w:r>
      <w:r>
        <w:t xml:space="preserve"> (SOPRODIM)</w:t>
      </w:r>
    </w:p>
    <w:p>
      <w:pPr>
        <w:pStyle w:val="ListBullet"/>
      </w:pPr>
      <w:r>
        <w:t>Formes et Dosages : Comprimé pelliculé 180 mg — Boîte de 20</w:t>
      </w:r>
    </w:p>
    <w:p>
      <w:pPr>
        <w:pStyle w:val="ListBullet"/>
      </w:pPr>
      <w:r>
        <w:t>Statut : Actif (Liste II)</w:t>
      </w:r>
    </w:p>
    <w:p>
      <w:pPr>
        <w:pStyle w:val="ListBullet"/>
      </w:pPr>
      <w:r/>
      <w:r>
        <w:rPr>
          <w:b/>
        </w:rPr>
        <w:t>FEXODINE</w:t>
      </w:r>
      <w:r>
        <w:t xml:space="preserve"> (EL KENDI INDUSTRIE DU MEDICAMENT)</w:t>
      </w:r>
    </w:p>
    <w:p>
      <w:pPr>
        <w:pStyle w:val="ListBullet"/>
      </w:pPr>
      <w:r>
        <w:t>Formes et Dosages : Comprimé pelliculé 120 mg — Boîte de 15 ; Comprimé pelliculé 180 mg — Boîte de 15 ; Suspension buvable 30 mg/5 mL — Flacon de 125 mL</w:t>
      </w:r>
    </w:p>
    <w:p>
      <w:pPr>
        <w:pStyle w:val="ListBullet"/>
      </w:pPr>
      <w:r>
        <w:t>Statut : Actif (Liste II)</w:t>
      </w:r>
    </w:p>
    <w:p>
      <w:pPr>
        <w:pStyle w:val="ListBullet"/>
      </w:pPr>
      <w:r/>
      <w:r>
        <w:rPr>
          <w:b/>
        </w:rPr>
        <w:t>FEXOFENADINE BEKER</w:t>
      </w:r>
      <w:r>
        <w:t xml:space="preserve"> (LABORATOIRES BEKER)</w:t>
      </w:r>
    </w:p>
    <w:p>
      <w:pPr>
        <w:pStyle w:val="ListBullet"/>
      </w:pPr>
      <w:r>
        <w:t>Formes et Dosages : Comprimé pelliculé 120 mg — Boîte de 15 ; Comprimé pelliculé 180 mg — Boîte de 20</w:t>
      </w:r>
    </w:p>
    <w:p>
      <w:pPr>
        <w:pStyle w:val="ListBullet"/>
      </w:pPr>
      <w:r>
        <w:t>Statut : Actif (Liste II)</w:t>
      </w:r>
    </w:p>
    <w:p>
      <w:pPr>
        <w:pStyle w:val="ListBullet"/>
      </w:pPr>
      <w:r/>
      <w:r>
        <w:rPr>
          <w:b/>
        </w:rPr>
        <w:t>FEXOFENADINE IVAL</w:t>
      </w:r>
      <w:r>
        <w:t xml:space="preserve"> (PHARMA IVAL SPA)</w:t>
      </w:r>
    </w:p>
    <w:p>
      <w:pPr>
        <w:pStyle w:val="ListBullet"/>
      </w:pPr>
      <w:r>
        <w:t>Formes et Dosages : Comprimé pelliculé 120 mg — Boîte de 15 ; Comprimé pelliculé 180 mg — Boîte de 15</w:t>
      </w:r>
    </w:p>
    <w:p>
      <w:pPr>
        <w:pStyle w:val="ListBullet"/>
      </w:pPr>
      <w:r>
        <w:t>Statut : Actif (Liste II)</w:t>
      </w:r>
    </w:p>
    <w:p>
      <w:pPr>
        <w:pStyle w:val="ListBullet"/>
      </w:pPr>
      <w:r/>
      <w:r>
        <w:rPr>
          <w:b/>
        </w:rPr>
        <w:t>FEXONIDAL</w:t>
      </w:r>
      <w:r>
        <w:t xml:space="preserve"> (SOCIETE PHARMACEUTIQUE ALGERIENNE SOPHAL)</w:t>
      </w:r>
    </w:p>
    <w:p>
      <w:pPr>
        <w:pStyle w:val="ListBullet"/>
      </w:pPr>
      <w:r>
        <w:t>Formes et Dosages : Comprimé pelliculé 120 mg — Boîte de 15 ; Comprimé pelliculé 180 mg — Boîte de 15</w:t>
      </w:r>
    </w:p>
    <w:p>
      <w:pPr>
        <w:pStyle w:val="ListBullet"/>
      </w:pPr>
      <w:r>
        <w:t>Statut : Actif (Liste II)</w:t>
      </w:r>
    </w:p>
    <w:p>
      <w:pPr>
        <w:pStyle w:val="ListBullet"/>
      </w:pPr>
      <w:r/>
      <w:r>
        <w:rPr>
          <w:b/>
        </w:rPr>
        <w:t>RIFEX 120</w:t>
      </w:r>
      <w:r>
        <w:t xml:space="preserve"> (LABORATOIRES MERINAL)</w:t>
      </w:r>
    </w:p>
    <w:p>
      <w:pPr>
        <w:pStyle w:val="ListBullet"/>
      </w:pPr>
      <w:r>
        <w:t>Formes et Dosages : Comprimé pelliculé 120 mg — Boîte de 20</w:t>
      </w:r>
    </w:p>
    <w:p>
      <w:pPr>
        <w:pStyle w:val="ListBullet"/>
      </w:pPr>
      <w:r>
        <w:t>Statut : Actif (Liste II)</w:t>
      </w:r>
    </w:p>
    <w:p>
      <w:pPr>
        <w:pStyle w:val="ListBullet"/>
      </w:pPr>
      <w:r/>
      <w:r>
        <w:rPr>
          <w:b/>
        </w:rPr>
        <w:t>RIFEX 180</w:t>
      </w:r>
      <w:r>
        <w:t xml:space="preserve"> (LABORATOIRES MERINAL)</w:t>
      </w:r>
    </w:p>
    <w:p>
      <w:pPr>
        <w:pStyle w:val="ListBullet"/>
      </w:pPr>
      <w:r>
        <w:t>Formes et Dosages : Comprimé pelliculé 180 mg — Boîte de 20</w:t>
      </w:r>
    </w:p>
    <w:p>
      <w:pPr>
        <w:pStyle w:val="ListBullet"/>
      </w:pPr>
      <w:r>
        <w:t>Statut : Actif (Liste II)</w:t>
      </w:r>
    </w:p>
    <w:p>
      <w:pPr>
        <w:pStyle w:val="ListBullet"/>
      </w:pPr>
      <w:r/>
      <w:r>
        <w:rPr>
          <w:b/>
        </w:rPr>
        <w:t>TELFADINE</w:t>
      </w:r>
      <w:r>
        <w:t xml:space="preserve"> (PHARMALLIANCE)</w:t>
      </w:r>
    </w:p>
    <w:p>
      <w:pPr>
        <w:pStyle w:val="ListBullet"/>
      </w:pPr>
      <w:r>
        <w:t>Formes et Dosages : Comprimé pelliculé 120 mg — Boîte de 20</w:t>
      </w:r>
    </w:p>
    <w:p>
      <w:pPr>
        <w:pStyle w:val="ListBullet"/>
      </w:pPr>
      <w:r>
        <w:t>Statut : Actif (Liste II)</w:t>
      </w:r>
    </w:p>
    <w:p>
      <w:pPr>
        <w:pStyle w:val="ListBullet"/>
      </w:pPr>
      <w:r/>
      <w:r>
        <w:rPr>
          <w:b/>
        </w:rPr>
        <w:t>TELFAST</w:t>
      </w:r>
      <w:r>
        <w:t xml:space="preserve"> (PROPHARMAL)</w:t>
      </w:r>
    </w:p>
    <w:p>
      <w:pPr>
        <w:pStyle w:val="ListBullet"/>
      </w:pPr>
      <w:r>
        <w:t>Formes et Dosages : Comprimé pelliculé 120 mg — Boîte de 15 ; Comprimé pelliculé 180 mg — Boîte de 15</w:t>
      </w:r>
    </w:p>
    <w:p>
      <w:pPr>
        <w:pStyle w:val="ListBullet"/>
      </w:pPr>
      <w:r>
        <w:t>Statut : Actif (Liste II)</w:t>
      </w:r>
    </w:p>
    <w:p>
      <w:pPr>
        <w:pStyle w:val="ListBullet"/>
      </w:pPr>
      <w:r/>
      <w:r>
        <w:rPr>
          <w:b/>
        </w:rPr>
        <w:t>TELFAST 30</w:t>
      </w:r>
      <w:r>
        <w:t xml:space="preserve"> (SANOFI AVENTIS ALGERIE SPA) — *princeps pédiatrique*</w:t>
      </w:r>
    </w:p>
    <w:p>
      <w:pPr>
        <w:pStyle w:val="ListBullet"/>
      </w:pPr>
      <w:r>
        <w:t>Formes et Dosages : Comprimé pelliculé 30 mg — Boîte de 30</w:t>
      </w:r>
    </w:p>
    <w:p>
      <w:pPr>
        <w:pStyle w:val="ListBullet"/>
      </w:pPr>
      <w:r>
        <w:t xml:space="preserve">Statut : </w:t>
      </w:r>
      <w:r>
        <w:rPr>
          <w:b/>
        </w:rPr>
        <w:t>Retiré (R)</w:t>
      </w:r>
      <w:r>
        <w:t xml:space="preserve"> (Liste II)</w:t>
      </w:r>
    </w:p>
    <w:p>
      <w:pPr>
        <w:pStyle w:val="ListBullet"/>
      </w:pPr>
      <w:r/>
      <w:r>
        <w:rPr>
          <w:b/>
        </w:rPr>
        <w:t>FEXIGRA</w:t>
      </w:r>
      <w:r>
        <w:t xml:space="preserve"> (BIOPHARM ALGERIE)</w:t>
      </w:r>
    </w:p>
    <w:p>
      <w:pPr>
        <w:pStyle w:val="ListBullet"/>
      </w:pPr>
      <w:r>
        <w:t>Formes et Dosages : Comprimé enrobé 120 mg — Boîte de 20 ; Comprimé enrobé sécable 180 mg — Boîte de 16</w:t>
      </w:r>
    </w:p>
    <w:p>
      <w:pPr>
        <w:pStyle w:val="ListBullet"/>
      </w:pPr>
      <w:r>
        <w:t xml:space="preserve">Statut : </w:t>
      </w:r>
      <w:r>
        <w:rPr>
          <w:b/>
        </w:rPr>
        <w:t>Retiré (R)</w:t>
      </w:r>
      <w:r>
        <w:t xml:space="preserve"> (Liste II)</w:t>
      </w:r>
    </w:p>
    <w:p>
      <w:pPr>
        <w:pStyle w:val="ListBullet"/>
      </w:pPr>
      <w:r/>
      <w:r>
        <w:rPr>
          <w:b/>
        </w:rPr>
        <w:t>ALERFAST</w:t>
      </w:r>
      <w:r>
        <w:t xml:space="preserve"> (LABORATOIRE GROUPEMENT PHARMACEUTIQUE ALGERIEN — LGPA)</w:t>
      </w:r>
    </w:p>
    <w:p>
      <w:pPr>
        <w:pStyle w:val="ListBullet"/>
      </w:pPr>
      <w:r>
        <w:t>Formes et Dosages : Comprimé pelliculé 120 mg — Boîte de 16 ; Comprimé pelliculé 180 mg — Boîte de 16</w:t>
      </w:r>
    </w:p>
    <w:p>
      <w:pPr>
        <w:pStyle w:val="ListBullet"/>
      </w:pPr>
      <w:r>
        <w:t xml:space="preserve">Statut : </w:t>
      </w:r>
      <w:r>
        <w:rPr>
          <w:b/>
        </w:rPr>
        <w:t>Retiré (R)</w:t>
      </w:r>
      <w:r>
        <w:t xml:space="preserve"> (Liste II)</w:t>
      </w:r>
    </w:p>
    <w:p>
      <w:pPr>
        <w:pStyle w:val="ListBullet"/>
      </w:pPr>
      <w:r/>
      <w:r>
        <w:rPr>
          <w:b/>
        </w:rPr>
        <w:t>FEXOFENADINE NOVAGENERICS</w:t>
      </w:r>
      <w:r>
        <w:t xml:space="preserve"> (NOVAPHARM TRADING)</w:t>
      </w:r>
    </w:p>
    <w:p>
      <w:pPr>
        <w:pStyle w:val="ListBullet"/>
      </w:pPr>
      <w:r>
        <w:t>Formes et Dosages : Comprimé pelliculé 120 mg, 180 mg et 30 mg</w:t>
      </w:r>
    </w:p>
    <w:p>
      <w:pPr>
        <w:pStyle w:val="ListBullet"/>
      </w:pPr>
      <w:r>
        <w:t xml:space="preserve">Statut : </w:t>
      </w:r>
      <w:r>
        <w:rPr>
          <w:b/>
        </w:rPr>
        <w:t>Retiré (R)</w:t>
      </w:r>
      <w:r>
        <w:t xml:space="preserve"> (Liste II)</w:t>
      </w:r>
    </w:p>
    <w:p>
      <w:r/>
      <w:r>
        <w:rPr>
          <w:b/>
        </w:rPr>
        <w:t>Sous-classe et Mécanisme d'action :</w:t>
      </w:r>
      <w:r/>
    </w:p>
    <w:p>
      <w:pPr>
        <w:pStyle w:val="ListBullet"/>
      </w:pPr>
      <w:r>
        <w:t>Sous-classe : Antihistaminique H1 — 2e génération (non sédatif), famille des pipéridines acides (métabolite carboxylique actif de la terfénadine).</w:t>
      </w:r>
    </w:p>
    <w:p>
      <w:pPr>
        <w:pStyle w:val="ListBullet"/>
      </w:pPr>
      <w:r>
        <w:t xml:space="preserve">Mécanisme d'action : </w:t>
      </w:r>
      <w:r>
        <w:rPr>
          <w:b/>
        </w:rPr>
        <w:t>Antihistaminiques H1</w:t>
      </w:r>
      <w:r>
        <w:t xml:space="preserve"> — antagoniste compétitif inverse du récepteur H1 (couplé Gq/11 → PLC → IP3 → Ca2+ → MLCK). La fexofénadine bloque l'action de l'histamine sur les récepteurs H1 périphériques : </w:t>
      </w:r>
      <w:r>
        <w:rPr>
          <w:b/>
        </w:rPr>
        <w:t>vasodilatation</w:t>
      </w:r>
      <w:r>
        <w:t xml:space="preserve"> réduite, </w:t>
      </w:r>
      <w:r>
        <w:rPr>
          <w:b/>
        </w:rPr>
        <w:t>perméabilité capillaire</w:t>
      </w:r>
      <w:r>
        <w:t xml:space="preserve"> diminuée (œdème, urticaire), </w:t>
      </w:r>
      <w:r>
        <w:rPr>
          <w:b/>
        </w:rPr>
        <w:t>bronchoconstriction</w:t>
      </w:r>
      <w:r>
        <w:t xml:space="preserve"> atténuée, </w:t>
      </w:r>
      <w:r>
        <w:rPr>
          <w:b/>
        </w:rPr>
        <w:t>prurit et éternuements</w:t>
      </w:r>
      <w:r>
        <w:t xml:space="preserve"> réduits. Propriétés </w:t>
      </w:r>
      <w:r>
        <w:rPr>
          <w:b/>
        </w:rPr>
        <w:t>anti-allergiques additives</w:t>
      </w:r>
      <w:r>
        <w:t xml:space="preserve"> : inhibition de la dégranulation des mastocytes et des éosinophiles, inhibition du chimiotactisme éosinophilique, inhibition de l'expression d'ICAM-1 et VCAM-1 sur les cellules endothéliales. La fexofénadine est le </w:t>
      </w:r>
      <w:r>
        <w:rPr>
          <w:b/>
        </w:rPr>
        <w:t>moins sédatif des 2e génération</w:t>
      </w:r>
      <w:r>
        <w:t xml:space="preserve"> disponibles en Algérie, car sa structure chimique très polaire (groupement acide carboxylique) lui confère une concentration cérébrale &lt; 0,1 % de la concentration plasmatique — c'est l'antihistaminique H1 de choix pour les conducteurs et les activités nécessitant une vigilance maximale. Aucune affinité pour les récepteurs muscariniques (pas d'effet atropinique) ni pour les récepteurs α1-adrénergiques, sérotoninergiques, opioïdes, benzodiazépines. </w:t>
      </w:r>
      <w:r>
        <w:rPr>
          <w:b/>
        </w:rPr>
        <w:t>Pas d'affinité pour le canal hERG</w:t>
      </w:r>
      <w:r>
        <w:t xml:space="preserve"> (potassium cardiaque) — ce qui la distingue de la terfénadine mère (retirée pour torsadogénicité) et garantit un profil cardiaque rassurant même en cas d'association au kétoconazole ou à l'érythromycine (inhibiteurs CYP3A4) ou en surdosage.</w:t>
      </w:r>
    </w:p>
    <w:p>
      <w:r/>
      <w:r>
        <w:rPr>
          <w:b/>
        </w:rPr>
        <w:t>Profil Pharmacologique :</w:t>
      </w:r>
      <w:r/>
    </w:p>
    <w:p>
      <w:pPr>
        <w:pStyle w:val="ListBullet"/>
      </w:pPr>
      <w:r/>
      <w:r>
        <w:rPr>
          <w:b/>
        </w:rPr>
        <w:t>Indications</w:t>
      </w:r>
      <w:r>
        <w:t xml:space="preserve"> : rhinite allergique saisonnière (pollens) chez l'adulte et l'enfant à partir de 6 ans (forme 30 mg retirée — utiliser la suspension buvable) ou 12 ans (forme 120 mg ou 180 mg) ; urticaire chronique spontanée (UCS) chez l'adulte et l'enfant ≥ 12 ans (forme 180 mg). La fexofénadine est particulièrement indiquée chez les conducteurs, les travailleurs postés, les étudiants en période d'examens, les sujets âgés (en raison de son absence d'effet central et de sa tolérance), les patients présentant une somnolence sous cétirizine ou lévocétirizine, et les patients polymédiqués (peu d'interactions médicamenteuses). Indiquée en alternative à la loratadine et à la desloratadine en cas d'efficacité insuffisante ou de tolérance médiocre.</w:t>
      </w:r>
    </w:p>
    <w:p>
      <w:pPr>
        <w:pStyle w:val="ListBullet"/>
      </w:pPr>
      <w:r/>
      <w:r>
        <w:rPr>
          <w:b/>
        </w:rPr>
        <w:t>Contre-indications</w:t>
      </w:r>
      <w:r>
        <w:t xml:space="preserve"> : hypersensibilité à la fexofénadine ; enfants &lt; 6 ans pour la forme 30 mg et &lt; 12 ans pour les formes 120 mg et 180 mg (utiliser la suspension buvable 30 mg/5 mL). Prudence en insuffisance rénale (ClCr &lt; 30 mL/min — diminuer la dose initiale à 60 mg une fois par jour, en raison d'une demi-vie d'élimination prolongée). Prudence en cas d'association aux </w:t>
      </w:r>
      <w:r>
        <w:rPr>
          <w:b/>
        </w:rPr>
        <w:t>inhibiteurs de la P-gp</w:t>
      </w:r>
      <w:r>
        <w:t xml:space="preserve"> (kétoconazole, érythromycine, ciclosporine — augmentation des concentrations de fexofénadine) ou aux </w:t>
      </w:r>
      <w:r>
        <w:rPr>
          <w:b/>
        </w:rPr>
        <w:t>inducteurs de la P-gp</w:t>
      </w:r>
      <w:r>
        <w:t xml:space="preserve"> (rifampicine, millepertuis — diminution des concentrations et de l'efficacité).</w:t>
      </w:r>
    </w:p>
    <w:p>
      <w:pPr>
        <w:pStyle w:val="ListBullet"/>
      </w:pPr>
      <w:r/>
      <w:r>
        <w:rPr>
          <w:b/>
        </w:rPr>
        <w:t>Effets Indésirables</w:t>
      </w:r>
      <w:r>
        <w:t xml:space="preserve"> : tolérance excellente, le moins sédatif des 2e génération disponibles. EI fréquents (≥ 1/100 à &lt; 1/10) : céphalées (~12 % — le plus fréquent, plus marqué qu'avec la loratadine), somnolence (~3 %, comparable au placebo), fatigue, étourdissements, nausées. EI peu fréquents : sécheresse buccale, dyspepsie, douleurs abdominales, diarrhée. EI rares : rash, urticaire paradoxale, anaphylaxie, dyspnée, flush. EI très rares : allongement QTc (cas exceptionnels, en particulier en cas de surdosage ≥ 360 mg), tachycardie, palpitations. La fexofénadine est l'un des antihistaminiques H1 les mieux tolérés en utilisation prolongée.</w:t>
      </w:r>
    </w:p>
    <w:p>
      <w:r/>
      <w:r>
        <w:rPr>
          <w:b/>
        </w:rPr>
        <w:t>Prévention et Gestion des Effets Indésirables :</w:t>
      </w:r>
      <w:r/>
    </w:p>
    <w:p>
      <w:pPr>
        <w:pStyle w:val="ListBullet"/>
      </w:pPr>
      <w:r/>
      <w:r>
        <w:rPr>
          <w:b/>
        </w:rPr>
        <w:t>Mesures Préventives</w:t>
      </w:r>
      <w:r>
        <w:t xml:space="preserve"> : prise </w:t>
      </w:r>
      <w:r>
        <w:rPr>
          <w:b/>
        </w:rPr>
        <w:t>à jeun</w:t>
      </w:r>
      <w:r>
        <w:t xml:space="preserve"> (l'alimentation réduit l'absorption de 20-30 %), en particulier éviter la prise simultanée de </w:t>
      </w:r>
      <w:r>
        <w:rPr>
          <w:b/>
        </w:rPr>
        <w:t>jus de pamplemousse</w:t>
      </w:r>
      <w:r>
        <w:t xml:space="preserve"> ou de </w:t>
      </w:r>
      <w:r>
        <w:rPr>
          <w:b/>
        </w:rPr>
        <w:t>jus de pomme/orange</w:t>
      </w:r>
      <w:r>
        <w:t xml:space="preserve"> (inhibition des transporteurs OATP). Adapter la dose en insuffisance rénale sévère (ClCr &lt; 30 mL/min : 60 mg une fois par jour). Éviter l'association à d'autres antihistaminiques H1. Éviter l'alcool par prudence. Surveiller l'efficacité en cas d'association aux inducteurs de la P-gp (rifampicine, millepertuis — risque d'échec thérapeutique).</w:t>
      </w:r>
    </w:p>
    <w:p>
      <w:pPr>
        <w:pStyle w:val="ListBullet"/>
      </w:pPr>
      <w:r/>
      <w:r>
        <w:rPr>
          <w:b/>
        </w:rPr>
        <w:t>Conduite à Tenir</w:t>
      </w:r>
      <w:r>
        <w:t xml:space="preserve"> : en cas de céphalées persistantes, envisager le passage à la loratadine ou à la desloratadine. En cas d'inefficacité, vérifier la prise à jeun et l'absence de jus de pamplemousse. En cas de surdosage (≥ 360 mg) : lavage gastrique si &lt; 1 h, charbon activé, surveillance ECG (rechercher allongement QTc — exceptionnel), traitement symptomatique. La fexofénadine n'est pas dialysable de manière significative.</w:t>
      </w:r>
    </w:p>
    <w:p>
      <w:r/>
      <w:r>
        <w:rPr>
          <w:b/>
        </w:rPr>
        <w:t>Interactions Importantes :</w:t>
      </w:r>
      <w:r/>
    </w:p>
    <w:p>
      <w:pPr>
        <w:pStyle w:val="ListBullet"/>
      </w:pPr>
      <w:r/>
      <w:r>
        <w:rPr>
          <w:b/>
        </w:rPr>
        <w:t>Fexofénadine + kétoconazole / itraconazole / érythromycine / clarithromycine</w:t>
      </w:r>
      <w:r>
        <w:t xml:space="preserve"> (inhibiteurs de la P-gp et du CYP3A4) : </w:t>
      </w:r>
      <w:r>
        <w:rPr>
          <w:b/>
        </w:rPr>
        <w:t>augmentation des concentrations plasmatiques de fexofénadine</w:t>
      </w:r>
      <w:r>
        <w:t xml:space="preserve"> de 2 à 3× ( inhibition de la sécrétion biliaire via la P-gp). Cependant, contrairement à la terfénadine mère, </w:t>
      </w:r>
      <w:r>
        <w:rPr>
          <w:b/>
        </w:rPr>
        <w:t>pas d'allongement significatif du QTc</w:t>
      </w:r>
      <w:r>
        <w:t xml:space="preserve"> (la fexofénadine n'a pas d'affinité pour le canal hERG). Pas d'adaptation posologique nécessaire, mais surveiller les EI (céphalées).</w:t>
      </w:r>
    </w:p>
    <w:p>
      <w:pPr>
        <w:pStyle w:val="ListBullet"/>
      </w:pPr>
      <w:r/>
      <w:r>
        <w:rPr>
          <w:b/>
        </w:rPr>
        <w:t>Fexofénadine + rifampicine / millepertuis</w:t>
      </w:r>
      <w:r>
        <w:t xml:space="preserve"> (inducteurs de la P-gp) : </w:t>
      </w:r>
      <w:r>
        <w:rPr>
          <w:b/>
        </w:rPr>
        <w:t>diminution des concentrations plasmatiques</w:t>
      </w:r>
      <w:r>
        <w:t xml:space="preserve"> de fexofénadine de 50 à 70 % → risque d'</w:t>
      </w:r>
      <w:r>
        <w:rPr>
          <w:b/>
        </w:rPr>
        <w:t>échec thérapeutique</w:t>
      </w:r>
      <w:r>
        <w:t>. Adapter la dose ou changer d'antihistaminique H1.</w:t>
      </w:r>
    </w:p>
    <w:p>
      <w:pPr>
        <w:pStyle w:val="ListBullet"/>
      </w:pPr>
      <w:r/>
      <w:r>
        <w:rPr>
          <w:b/>
        </w:rPr>
        <w:t>Fexofénadine + jus de pamplemousse / jus de pomme / jus d'orange</w:t>
      </w:r>
      <w:r>
        <w:t xml:space="preserve"> : inhibition des transporteurs intestinaux OATP → </w:t>
      </w:r>
      <w:r>
        <w:rPr>
          <w:b/>
        </w:rPr>
        <w:t>diminution de l'absorption</w:t>
      </w:r>
      <w:r>
        <w:t xml:space="preserve"> de 30 à 40 %. À éviter ; prendre la fexofénadine avec de l'eau.</w:t>
      </w:r>
    </w:p>
    <w:p>
      <w:pPr>
        <w:pStyle w:val="ListBullet"/>
      </w:pPr>
      <w:r/>
      <w:r>
        <w:rPr>
          <w:b/>
        </w:rPr>
        <w:t>Fexofénadine + antiacides (aluminium/magnésium)</w:t>
      </w:r>
      <w:r>
        <w:t xml:space="preserve"> : diminution de l'absorption de 20 % — espacer la prise de 2 heures.</w:t>
      </w:r>
    </w:p>
    <w:p>
      <w:pPr>
        <w:pStyle w:val="ListBullet"/>
      </w:pPr>
      <w:r/>
      <w:r>
        <w:rPr>
          <w:b/>
        </w:rPr>
        <w:t>Fexofénadine + alcool</w:t>
      </w:r>
      <w:r>
        <w:t xml:space="preserve"> : pas d'effet additif significatif aux doses recommandées.</w:t>
      </w:r>
    </w:p>
    <w:p>
      <w:r/>
      <w:r>
        <w:rPr>
          <w:b/>
        </w:rPr>
        <w:t>Grossesse et Allaitement :</w:t>
      </w:r>
      <w:r/>
    </w:p>
    <w:p>
      <w:pPr>
        <w:pStyle w:val="ListBullet"/>
      </w:pPr>
      <w:r/>
      <w:r>
        <w:rPr>
          <w:b/>
        </w:rPr>
        <w:t>Grossesse</w:t>
      </w:r>
      <w:r>
        <w:t xml:space="preserve"> : selon le </w:t>
      </w:r>
      <w:r>
        <w:rPr>
          <w:b/>
        </w:rPr>
        <w:t>CRAT</w:t>
      </w:r>
      <w:r>
        <w:t xml:space="preserve">, la fexofénadine est </w:t>
      </w:r>
      <w:r>
        <w:rPr>
          <w:b/>
        </w:rPr>
        <w:t>déconseillée pendant la grossesse</w:t>
      </w:r>
      <w:r>
        <w:t xml:space="preserve"> par prudence, en raison de données animales montrant une diminution du poids fœtal et une augmentation des pertes embryonnaires à doses très élevées (≥ 30× la dose humaine). Cependant, les données humaines (registres de pharmacovigilance — plusieurs centaines de grossesses exposées) n'ont pas montré d'augmentation du risque de malformations congénitales. En pratique, la fexofénadine peut être utilisée en 2e intention chez la femme enceinte, en cas d'échec ou de mauvaise tolérance de la cétirizine ou de la loratadine (préférées en 1re intention).</w:t>
      </w:r>
    </w:p>
    <w:p>
      <w:pPr>
        <w:pStyle w:val="ListBullet"/>
      </w:pPr>
      <w:r/>
      <w:r>
        <w:rPr>
          <w:b/>
        </w:rPr>
        <w:t>Allaitement</w:t>
      </w:r>
      <w:r>
        <w:t xml:space="preserve"> : selon le CRAT et LactMed, la fexofénadine passe dans le lait maternel, mais en très faible quantité (rapport lait/plasma &lt; 0,2). Aux doses maternelles usuelles, la quantité reçue par le nourrisson est négligeable. </w:t>
      </w:r>
      <w:r>
        <w:rPr>
          <w:b/>
        </w:rPr>
        <w:t>Allaitement compatible</w:t>
      </w:r>
      <w:r>
        <w:t xml:space="preserve"> (la fexofénadine est l'un des antihistaminiques H1 les plus sûrs pendant l'allaitement avec la loratadine). Surveiller néanmoins la somnolence (très rare) et l'état du nourrisson.</w:t>
      </w:r>
    </w:p>
    <w:p>
      <w:pPr>
        <w:pStyle w:val="ListBullet"/>
      </w:pPr>
      <w:r/>
      <w:r>
        <w:rPr>
          <w:b/>
        </w:rPr>
        <w:t>Précisions</w:t>
      </w:r>
      <w:r>
        <w:t xml:space="preserve"> : aucune tératogénicité humaine documentée.</w:t>
      </w:r>
    </w:p>
    <w:p>
      <w:r/>
      <w:r>
        <w:rPr>
          <w:b/>
        </w:rPr>
        <w:t>Posologie et Mode d'administration (Standard) :</w:t>
      </w:r>
      <w:r/>
    </w:p>
    <w:p>
      <w:pPr>
        <w:pStyle w:val="ListBullet"/>
      </w:pPr>
      <w:r/>
      <w:r>
        <w:rPr>
          <w:b/>
        </w:rPr>
        <w:t>Adulte et adolescent ≥ 12 ans</w:t>
      </w:r>
      <w:r>
        <w:t xml:space="preserve"> : </w:t>
      </w:r>
      <w:r>
        <w:rPr>
          <w:b/>
        </w:rPr>
        <w:t>180 mg une fois par jour</w:t>
      </w:r>
      <w:r>
        <w:t xml:space="preserve"> (1 comprimé pelliculé de 180 mg) pour la rhinite allergique ; </w:t>
      </w:r>
      <w:r>
        <w:rPr>
          <w:b/>
        </w:rPr>
        <w:t>60 mg deux fois par jour</w:t>
      </w:r>
      <w:r>
        <w:t xml:space="preserve"> (1 comprimé de 60 mg x 2 — non disponible en Algérie, ou 1/2 comprimé de 120 mg x 2) pour l'urticaire chronique. En pratique, la forme 180 mg une fois par jour est privilégiée pour la rhinite allergique et l'urticaire.</w:t>
      </w:r>
    </w:p>
    <w:p>
      <w:pPr>
        <w:pStyle w:val="ListBullet"/>
      </w:pPr>
      <w:r/>
      <w:r>
        <w:rPr>
          <w:b/>
        </w:rPr>
        <w:t>Enfant 6 à 12 ans</w:t>
      </w:r>
      <w:r>
        <w:t xml:space="preserve"> : 30 mg deux fois par jour (1 comprimé de 30 mg — retiré — ou 5 mL de suspension buvable 30 mg/5 mL x 2). En pratique, utiliser la suspension buvable.</w:t>
      </w:r>
    </w:p>
    <w:p>
      <w:pPr>
        <w:pStyle w:val="ListBullet"/>
      </w:pPr>
      <w:r/>
      <w:r>
        <w:rPr>
          <w:b/>
        </w:rPr>
        <w:t>Nourrisson 2 à 6 ans</w:t>
      </w:r>
      <w:r>
        <w:t xml:space="preserve"> : 15 mg deux fois par jour (2,5 mL de suspension buvable 30 mg/5 mL x 2) — hors AMM en France.</w:t>
      </w:r>
    </w:p>
    <w:p>
      <w:pPr>
        <w:pStyle w:val="ListBullet"/>
      </w:pPr>
      <w:r/>
      <w:r>
        <w:rPr>
          <w:b/>
        </w:rPr>
        <w:t>Sujet âgé (&gt; 65 ans)</w:t>
      </w:r>
      <w:r>
        <w:t xml:space="preserve"> : pas d'adaptation posologique si fonction rénale normale. Vérifier la clairance de la créatinine avant prescription au-delà de 75 ans.</w:t>
      </w:r>
    </w:p>
    <w:p>
      <w:pPr>
        <w:pStyle w:val="ListBullet"/>
      </w:pPr>
      <w:r/>
      <w:r>
        <w:rPr>
          <w:b/>
        </w:rPr>
        <w:t>Insuffisance rénale</w:t>
      </w:r>
      <w:r>
        <w:t xml:space="preserve"> : ClCr ≥ 30 mL/min : dose standard ; ClCr &lt; 30 mL/min : 60 mg une fois par jour (en pratique, 1/2 comprimé de 120 mg une fois par jour).</w:t>
      </w:r>
    </w:p>
    <w:p>
      <w:pPr>
        <w:pStyle w:val="ListBullet"/>
      </w:pPr>
      <w:r/>
      <w:r>
        <w:rPr>
          <w:b/>
        </w:rPr>
        <w:t>Insuffisance hépatique</w:t>
      </w:r>
      <w:r>
        <w:t xml:space="preserve"> : pas d'adaptation posologique (la fexofénadine n'est pas métabolisée).</w:t>
      </w:r>
    </w:p>
    <w:p>
      <w:pPr>
        <w:pStyle w:val="ListBullet"/>
      </w:pPr>
      <w:r/>
      <w:r>
        <w:rPr>
          <w:b/>
        </w:rPr>
        <w:t>Durée</w:t>
      </w:r>
      <w:r>
        <w:t xml:space="preserve"> : saison pollinique ; urticaire aiguë 5-14 jours ; urticaire chronique traitement prolongé.</w:t>
      </w:r>
    </w:p>
    <w:p>
      <w:pPr>
        <w:pStyle w:val="ListBullet"/>
      </w:pPr>
      <w:r/>
      <w:r>
        <w:rPr>
          <w:b/>
        </w:rPr>
        <w:t>Moment de la prise</w:t>
      </w:r>
      <w:r>
        <w:t xml:space="preserve"> : à jeun (1 heure avant ou 2 heures après un repas), avec de l'eau (pas de jus de pamplemousse, de pomme ou d'orange). Le matin de préférence (profil non sédatif).</w:t>
      </w:r>
    </w:p>
    <w:p>
      <w:r/>
      <w:r>
        <w:rPr>
          <w:b/>
        </w:rPr>
        <w:t>Arbitrage et Bénéfices des Formes Galéniques :</w:t>
      </w:r>
      <w:r/>
    </w:p>
    <w:p>
      <w:pPr>
        <w:pStyle w:val="ListBullet"/>
      </w:pPr>
      <w:r/>
      <w:r>
        <w:rPr>
          <w:b/>
        </w:rPr>
        <w:t>Comprimé pelliculé 120 mg</w:t>
      </w:r>
      <w:r>
        <w:t xml:space="preserve"> (8 marques actives) : forme adolescente et adulte, prise bi-quotidienne (urticaire chronique) ou quotidienne (rhinite allergique légère). Boîte de 15 ou 20.</w:t>
      </w:r>
    </w:p>
    <w:p>
      <w:pPr>
        <w:pStyle w:val="ListBullet"/>
      </w:pPr>
      <w:r/>
      <w:r>
        <w:rPr>
          <w:b/>
        </w:rPr>
        <w:t>Comprimé pelliculé 180 mg</w:t>
      </w:r>
      <w:r>
        <w:t xml:space="preserve"> (8 marques actives) : forme adulte, prise unique quotidienne — la plus pratique pour l'observance. Boîte de 15 ou 20.</w:t>
      </w:r>
    </w:p>
    <w:p>
      <w:pPr>
        <w:pStyle w:val="ListBullet"/>
      </w:pPr>
      <w:r/>
      <w:r>
        <w:rPr>
          <w:b/>
        </w:rPr>
        <w:t>Suspension buvable 30 mg/5 mL</w:t>
      </w:r>
      <w:r>
        <w:t xml:space="preserve"> (1 marque active — FEXODINE El Kendi) : indispensable pour l'enfant (6 à 12 ans). Flacon de 125 mL.</w:t>
      </w:r>
    </w:p>
    <w:p>
      <w:pPr>
        <w:pStyle w:val="ListBullet"/>
      </w:pPr>
      <w:r/>
      <w:r>
        <w:rPr>
          <w:b/>
        </w:rPr>
        <w:t>Comprimé pelliculé 30 mg</w:t>
      </w:r>
      <w:r>
        <w:t xml:space="preserve"> (TELFAST Sanofi — retiré) : était destiné à l'enfant de 6 à 12 ans, mais retiré du marché algérien.</w:t>
      </w:r>
    </w:p>
    <w:p>
      <w:pPr>
        <w:pStyle w:val="ListBullet"/>
      </w:pPr>
      <w:r/>
      <w:r>
        <w:rPr>
          <w:b/>
        </w:rPr>
        <w:t>Forme orodispersible</w:t>
      </w:r>
      <w:r>
        <w:t xml:space="preserve"> : non disponible en Algérie pour la fexofénadine.</w:t>
      </w:r>
    </w:p>
    <w:p>
      <w:pPr>
        <w:pStyle w:val="ListBullet"/>
      </w:pPr>
      <w:r/>
      <w:r>
        <w:rPr>
          <w:b/>
        </w:rPr>
        <w:t>Forme injectable</w:t>
      </w:r>
      <w:r>
        <w:t xml:space="preserve"> : non disponible.</w:t>
      </w:r>
    </w:p>
    <w:p>
      <w:r/>
      <w:r>
        <w:rPr>
          <w:b/>
        </w:rPr>
        <w:t>Instructions et Conseils au Patient :</w:t>
      </w:r>
      <w:r/>
    </w:p>
    <w:p>
      <w:pPr>
        <w:pStyle w:val="ListBullet"/>
      </w:pPr>
      <w:r/>
      <w:r>
        <w:rPr>
          <w:b/>
        </w:rPr>
        <w:t>Communication au comptoir</w:t>
      </w:r>
      <w:r>
        <w:t xml:space="preserve"> : « *Ce médicament est un antihistaminique moderne, le moins sédatif de tous. Vous pouvez le prendre le matin sans risque de somnolence — c'est l'antihistaminique de choix si vous devez conduire ou travailler. Prenez-le à jeun, avec un verre d'eau, en évitant le jus de pamplemousse, de pomme ou d'orange qui peuvent réduire son efficacité. Si vous prenez un antiacide, espérez-le de 2 heures. En cas de problèmes de reins, prévenez votre médecin.* »</w:t>
      </w:r>
    </w:p>
    <w:p>
      <w:pPr>
        <w:pStyle w:val="ListBullet"/>
      </w:pPr>
      <w:r/>
      <w:r>
        <w:rPr>
          <w:b/>
        </w:rPr>
        <w:t>Mode d'utilisation pratique</w:t>
      </w:r>
      <w:r>
        <w:t xml:space="preserve"> : comprimé à avaler entier avec un grand verre d'eau, </w:t>
      </w:r>
      <w:r>
        <w:rPr>
          <w:b/>
        </w:rPr>
        <w:t>à jeun</w:t>
      </w:r>
      <w:r>
        <w:t xml:space="preserve"> (1 heure avant ou 2 heures après un repas). Pour la suspension buvable : agiter avant emploi, utiliser la cuillère-mesure fournie. En cas d'oubli : prendre dès que possible, ne pas doubler la dose le lendemain. Conservation : température &lt; 25 °C, à l'abri de la lumière et de l'humidité ; bien refermer le flacon de suspension après usage. Ne pas dépasser 14 jours d'automédication sans avis médical.</w:t>
      </w:r>
    </w:p>
    <w:p>
      <w:r/>
      <w:r>
        <w:rPr>
          <w:b/>
        </w:rPr>
        <w:t>Notes, Règles d'Or &amp; Pièges au Comptoir :</w:t>
      </w:r>
      <w:r/>
    </w:p>
    <w:p>
      <w:pPr>
        <w:pStyle w:val="ListBullet"/>
      </w:pPr>
      <w:r/>
      <w:r>
        <w:rPr>
          <w:b/>
        </w:rPr>
        <w:t>Piège classique</w:t>
      </w:r>
      <w:r>
        <w:t xml:space="preserve"> : </w:t>
      </w:r>
      <w:r>
        <w:rPr>
          <w:b/>
        </w:rPr>
        <w:t>effet du jus de pamplemousse sur l'absorption</w:t>
      </w:r>
      <w:r>
        <w:t xml:space="preserve"> (inhibition OATP → diminution de 30-40 %) — toujours demander au patient s'il consomme régulièrement du jus de pamplemousse, de pomme ou d'orange, en particulier le matin. </w:t>
      </w:r>
      <w:r>
        <w:rPr>
          <w:b/>
        </w:rPr>
        <w:t>Insuffisance rénale silencieuse chez le sujet âgé</w:t>
      </w:r>
      <w:r>
        <w:t xml:space="preserve"> : vérifier la clairance de la créatinine avant prescription au-delà de 75 ans. </w:t>
      </w:r>
      <w:r>
        <w:rPr>
          <w:b/>
        </w:rPr>
        <w:t>Induction par rifampicine ou millepertuis</w:t>
      </w:r>
      <w:r>
        <w:t xml:space="preserve"> : peut réduire l'efficacité de 50-70 %. </w:t>
      </w:r>
      <w:r>
        <w:rPr>
          <w:b/>
        </w:rPr>
        <w:t>Rébound de l'urticaire à l'arrêt</w:t>
      </w:r>
      <w:r>
        <w:t xml:space="preserve"> : décroissance progressive sur 2-4 semaines. </w:t>
      </w:r>
      <w:r>
        <w:rPr>
          <w:b/>
        </w:rPr>
        <w:t>Substitution entre marques</w:t>
      </w:r>
      <w:r>
        <w:t xml:space="preserve"> : possible (même DCI, mêmes dosages 120 et 180 mg) — vérifier que la dose prescrite correspond à la concentration disponible.</w:t>
      </w:r>
    </w:p>
    <w:p>
      <w:pPr>
        <w:pStyle w:val="ListBullet"/>
      </w:pPr>
      <w:r/>
      <w:r>
        <w:rPr>
          <w:b/>
        </w:rPr>
        <w:t>Règle de prise</w:t>
      </w:r>
      <w:r>
        <w:t xml:space="preserve"> : une fois par jour (forme 180 mg) ou deux fois par jour (forme 60 mg ou 120 mg) ; à jeun ; avec de l'eau. Pas d'alcool. Pas de double dose en cas d'oubli.</w:t>
      </w:r>
    </w:p>
    <w:p>
      <w:pPr>
        <w:pStyle w:val="ListBullet"/>
      </w:pPr>
      <w:r/>
      <w:r>
        <w:rPr>
          <w:b/>
        </w:rPr>
        <w:t>Préparation et Conservation</w:t>
      </w:r>
      <w:r>
        <w:t xml:space="preserve"> : comprimés à température &lt; 25 °C, à l'abri de l'humidité ; suspension buvable à température &lt; 25 °C, à l'abri de la lumière, bien refermer après usage ; ne pas congeler.</w:t>
      </w:r>
    </w:p>
    <w:p>
      <w:pPr>
        <w:pStyle w:val="ListBullet"/>
      </w:pPr>
      <w:r/>
      <w:r>
        <w:rPr>
          <w:b/>
        </w:rPr>
        <w:t>Piège du surdosage / Substitution</w:t>
      </w:r>
      <w:r>
        <w:t xml:space="preserve"> : </w:t>
      </w:r>
      <w:r>
        <w:rPr>
          <w:b/>
        </w:rPr>
        <w:t>surdosage</w:t>
      </w:r>
      <w:r>
        <w:t xml:space="preserve"> (≥ 360 mg) : lavage gastrique si &lt; 1 h, charbon activé, surveillance ECG. </w:t>
      </w:r>
      <w:r>
        <w:rPr>
          <w:b/>
        </w:rPr>
        <w:t>Substitution fexofénadine → bilastine</w:t>
      </w:r>
      <w:r>
        <w:t xml:space="preserve"> : alternative moderne à dose 9× inférieure (20 mg vs 180 mg), profil non sédatif équivalent, mais sans contrainte de prise à jeun. </w:t>
      </w:r>
      <w:r>
        <w:rPr>
          <w:b/>
        </w:rPr>
        <w:t>Substitution fexofénadine → loratadine</w:t>
      </w:r>
      <w:r>
        <w:t xml:space="preserve"> : alternative en cas d'efficacité insuffisante.</w:t>
      </w:r>
    </w:p>
    <w:p>
      <w:pPr>
        <w:pStyle w:val="Heading3"/>
      </w:pPr>
      <w:r>
        <w:t>3.6. DCI : Ébastine (Seule)</w:t>
      </w:r>
    </w:p>
    <w:p>
      <w:r/>
      <w:r>
        <w:rPr>
          <w:b/>
        </w:rPr>
        <w:t>Liste des Catégories :</w:t>
      </w:r>
      <w:r>
        <w:t xml:space="preserve"> Antihistaminique H1 — 2e génération (non sédatif), Antiallergique, Anti-histaminique systémique, Antihistaminique à visée respiratoire (rhinite allergique), Antihistaminique à visée dermatologique (urticaire), Prodrogue (métabolite actif : carébastine), Forme orodispersible (pédiatrie et dysphagie).</w:t>
      </w:r>
    </w:p>
    <w:p>
      <w:r>
        <w:t>L'</w:t>
      </w:r>
      <w:r>
        <w:rPr>
          <w:b/>
        </w:rPr>
        <w:t>ébastine</w:t>
      </w:r>
      <w:r>
        <w:t xml:space="preserve"> (formule C32H39NO2 ; M = 469,7 g/mol) est un antihistaminique H1 de 2e génération de la famille des </w:t>
      </w:r>
      <w:r>
        <w:rPr>
          <w:b/>
        </w:rPr>
        <w:t>pipéridines</w:t>
      </w:r>
      <w:r>
        <w:t xml:space="preserve">, commercialisée en Algérie sous </w:t>
      </w:r>
      <w:r>
        <w:rPr>
          <w:b/>
        </w:rPr>
        <w:t>une seule marque active</w:t>
      </w:r>
      <w:r>
        <w:t xml:space="preserve"> (EBASTA Merinal, comprimé orodispersible 10 mg) en Avril 2026. L'ébastine est une </w:t>
      </w:r>
      <w:r>
        <w:rPr>
          <w:b/>
        </w:rPr>
        <w:t>prodrogue</w:t>
      </w:r>
      <w:r>
        <w:t xml:space="preserve"> : elle est rapidement et presque totalement métabolisée par le </w:t>
      </w:r>
      <w:r>
        <w:rPr>
          <w:b/>
        </w:rPr>
        <w:t>CYP3A4</w:t>
      </w:r>
      <w:r>
        <w:t xml:space="preserve"> hépatique en </w:t>
      </w:r>
      <w:r>
        <w:rPr>
          <w:b/>
        </w:rPr>
        <w:t>carébastine</w:t>
      </w:r>
      <w:r>
        <w:t xml:space="preserve"> (métabolite actif principal), qui est responsable de l'effet antihistaminique. La carébastine a une </w:t>
      </w:r>
      <w:r>
        <w:rPr>
          <w:b/>
        </w:rPr>
        <w:t>demi-vie d'élimination longue</w:t>
      </w:r>
      <w:r>
        <w:t xml:space="preserve"> (15 heures), permettant une prise unique quotidienne avec une couverture symptomatique de 24 heures. La biodisponibilité de l'ébastine est élevée (&gt; 90 %), et le pic plasmatique de la carébastine est atteint en 2,5 à 4 heures après prise orale. La carébastine est éliminée par voie biliaire (~ 60 %) et rénale (~ 40 %), sous forme inchangée et conjuguée. L'ébastine traverse très faiblement la BBB (la carébastine, plus polaire que la molécule mère, ne passe pas non plus significativement), ce qui explique son profil non sédatif. Aux doses recommandées (10 mg/jour), l'ébastine n'allonge pas significativement le QTc ; cependant, à dose supérieure (≥ 20 mg/jour) ou en cas d'association avec des inhibiteurs puissants du CYP3A4 (kétoconazole, érythromycine, clarithromycine), une surveillance ECG est recommandée (signal d'allongement QTc rapporté dans la littérature, surtout avec la forme 20 mg). L'ébastine est indiquée dans la rhinite allergique saisonnière et perannuelle, et dans l'urticaire chronique.</w:t>
      </w:r>
    </w:p>
    <w:p>
      <w:r/>
      <w:r>
        <w:rPr>
          <w:b/>
        </w:rPr>
        <w:t>Médicaments disponibles en Algérie (Marques, Laboratoires, Formes et Dosages) :</w:t>
      </w:r>
      <w:r/>
    </w:p>
    <w:p>
      <w:pPr>
        <w:pStyle w:val="ListBullet"/>
      </w:pPr>
      <w:r/>
      <w:r>
        <w:rPr>
          <w:b/>
        </w:rPr>
        <w:t>EBASTA</w:t>
      </w:r>
      <w:r>
        <w:t xml:space="preserve"> (LABORATOIRES MERINAL)</w:t>
      </w:r>
    </w:p>
    <w:p>
      <w:pPr>
        <w:pStyle w:val="ListBullet"/>
      </w:pPr>
      <w:r>
        <w:t>Formes et Dosages : Comprimé orodispersible 10 mg — Boîte de 10 et de 30</w:t>
      </w:r>
    </w:p>
    <w:p>
      <w:pPr>
        <w:pStyle w:val="ListBullet"/>
      </w:pPr>
      <w:r>
        <w:t>Statut : Actif (Liste II)</w:t>
      </w:r>
    </w:p>
    <w:p>
      <w:pPr>
        <w:pStyle w:val="ListBullet"/>
      </w:pPr>
      <w:r/>
      <w:r>
        <w:rPr>
          <w:b/>
        </w:rPr>
        <w:t>KESTINE / EBASTEL</w:t>
      </w:r>
      <w:r>
        <w:t xml:space="preserve"> : *princeps Almirall — non commercialisés en Algérie*</w:t>
      </w:r>
    </w:p>
    <w:p>
      <w:r/>
      <w:r>
        <w:rPr>
          <w:b/>
        </w:rPr>
        <w:t>Sous-classe et Mécanisme d'action :</w:t>
      </w:r>
      <w:r/>
    </w:p>
    <w:p>
      <w:pPr>
        <w:pStyle w:val="ListBullet"/>
      </w:pPr>
      <w:r>
        <w:t>Sous-classe : Antihistaminique H1 — 2e génération (non sédatif), famille des pipéridines (prodrogue métabolisée en carébastine active).</w:t>
      </w:r>
    </w:p>
    <w:p>
      <w:pPr>
        <w:pStyle w:val="ListBullet"/>
      </w:pPr>
      <w:r>
        <w:t xml:space="preserve">Mécanisme d'action : </w:t>
      </w:r>
      <w:r>
        <w:rPr>
          <w:b/>
        </w:rPr>
        <w:t>Antihistaminiques H1</w:t>
      </w:r>
      <w:r>
        <w:t xml:space="preserve"> — l'ébastine est une </w:t>
      </w:r>
      <w:r>
        <w:rPr>
          <w:b/>
        </w:rPr>
        <w:t>prodrogue</w:t>
      </w:r>
      <w:r>
        <w:t xml:space="preserve"> métabolisée par le </w:t>
      </w:r>
      <w:r>
        <w:rPr>
          <w:b/>
        </w:rPr>
        <w:t>CYP3A4</w:t>
      </w:r>
      <w:r>
        <w:t xml:space="preserve"> hépatique en </w:t>
      </w:r>
      <w:r>
        <w:rPr>
          <w:b/>
        </w:rPr>
        <w:t>carébastine</w:t>
      </w:r>
      <w:r>
        <w:t xml:space="preserve"> (métabolite actif principal). La carébastine est un antagoniste compétitif inverse du récepteur H1 (couplé Gq/11 → PLC → IP3 → Ca2+ → MLCK). Elle bloque l'action de l'histamine sur les récepteurs H1 périphériques : </w:t>
      </w:r>
      <w:r>
        <w:rPr>
          <w:b/>
        </w:rPr>
        <w:t>vasodilatation</w:t>
      </w:r>
      <w:r>
        <w:t xml:space="preserve"> réduite, </w:t>
      </w:r>
      <w:r>
        <w:rPr>
          <w:b/>
        </w:rPr>
        <w:t>perméabilité capillaire</w:t>
      </w:r>
      <w:r>
        <w:t xml:space="preserve"> diminuée (œdème, urticaire), </w:t>
      </w:r>
      <w:r>
        <w:rPr>
          <w:b/>
        </w:rPr>
        <w:t>bronchoconstriction</w:t>
      </w:r>
      <w:r>
        <w:t xml:space="preserve"> atténuée, </w:t>
      </w:r>
      <w:r>
        <w:rPr>
          <w:b/>
        </w:rPr>
        <w:t>prurit et éternuements</w:t>
      </w:r>
      <w:r>
        <w:t xml:space="preserve"> réduits. Propriétés </w:t>
      </w:r>
      <w:r>
        <w:rPr>
          <w:b/>
        </w:rPr>
        <w:t>anti-allergiques additives</w:t>
      </w:r>
      <w:r>
        <w:t xml:space="preserve"> : inhibition de la dégranulation des mastocytes et des éosinophiles. La carébastine traverse très faiblement la BBB (concentration cérébrale &lt; 0,1 % de la concentration plasmatique), ce qui explique le profil non sédatif. Aucune affinité pour les récepteurs muscariniques, α1-adrénergiques ou sérotoninergiques. Aux doses recommandées (10 mg/jour), pas d'allongement significatif du QTc.</w:t>
      </w:r>
    </w:p>
    <w:p>
      <w:r/>
      <w:r>
        <w:rPr>
          <w:b/>
        </w:rPr>
        <w:t>Profil Pharmacologique :</w:t>
      </w:r>
      <w:r/>
    </w:p>
    <w:p>
      <w:pPr>
        <w:pStyle w:val="ListBullet"/>
      </w:pPr>
      <w:r/>
      <w:r>
        <w:rPr>
          <w:b/>
        </w:rPr>
        <w:t>Indications</w:t>
      </w:r>
      <w:r>
        <w:t xml:space="preserve"> : rhinite allergique saisonnière et perannuelle chez l'adulte et l'enfant à partir de 12 ans ; conjonctivite allergique ; urticaire chronique spontanée (UCS). L'ébastine est une alternative utile à la cétirizine, à la loratadine et à la fexofénadine, en particulier en cas de dysphagie ou de préférence pour la forme orodispersible.</w:t>
      </w:r>
    </w:p>
    <w:p>
      <w:pPr>
        <w:pStyle w:val="ListBullet"/>
      </w:pPr>
      <w:r/>
      <w:r>
        <w:rPr>
          <w:b/>
        </w:rPr>
        <w:t>Contre-indications</w:t>
      </w:r>
      <w:r>
        <w:t xml:space="preserve"> : hypersensibilité à l'ébastine ; insuffisance hépatique sévère (Child-Pugh C : CI relative, en raison du métabolisme hépatique obligatoire en carébastine active) ; enfants &lt; 12 ans (forme cp 10 mg). Prudence en cas d'antécédents d'</w:t>
      </w:r>
      <w:r>
        <w:rPr>
          <w:b/>
        </w:rPr>
        <w:t>allongement QTc</w:t>
      </w:r>
      <w:r>
        <w:t xml:space="preserve"> congénital ou acquis, en cas d'</w:t>
      </w:r>
      <w:r>
        <w:rPr>
          <w:b/>
        </w:rPr>
        <w:t>hypokaliémie</w:t>
      </w:r>
      <w:r>
        <w:t xml:space="preserve"> ou </w:t>
      </w:r>
      <w:r>
        <w:rPr>
          <w:b/>
        </w:rPr>
        <w:t>hypomagnésémie</w:t>
      </w:r>
      <w:r>
        <w:t xml:space="preserve"> non corrigées, et en cas d'association à des </w:t>
      </w:r>
      <w:r>
        <w:rPr>
          <w:b/>
        </w:rPr>
        <w:t>allongeurs QT</w:t>
      </w:r>
      <w:r>
        <w:t xml:space="preserve"> (cf. Interactions). Prudence en insuffisance rénale sévère.</w:t>
      </w:r>
    </w:p>
    <w:p>
      <w:pPr>
        <w:pStyle w:val="ListBullet"/>
      </w:pPr>
      <w:r/>
      <w:r>
        <w:rPr>
          <w:b/>
        </w:rPr>
        <w:t>Effets Indésirables</w:t>
      </w:r>
      <w:r>
        <w:t xml:space="preserve"> : tolérance excellente. EI fréquents (≥ 1/100 à &lt; 1/10) : céphalées, somnolence (~3-5 %), sécheresse buccale, rhinopharyngite. EI peu fréquents : étourdissements, nausées, dyspepsie, douleurs abdominales, fatigue. EI rares : rash, urticaire paradoxale, anaphylaxie, </w:t>
      </w:r>
      <w:r>
        <w:rPr>
          <w:b/>
        </w:rPr>
        <w:t>allongement QTc</w:t>
      </w:r>
      <w:r>
        <w:t xml:space="preserve"> (en particulier à dose supérieure à 20 mg/jour, en cas d'association aux inhibiteurs du CYP3A4 ou chez les patients présentant une hypokaliémie). EI très rares : palpitations, tachycardie, hépatite, anomalies biologiques hépatiques.</w:t>
      </w:r>
    </w:p>
    <w:p>
      <w:r/>
      <w:r>
        <w:rPr>
          <w:b/>
        </w:rPr>
        <w:t>Prévention et Gestion des Effets Indésirables :</w:t>
      </w:r>
      <w:r/>
    </w:p>
    <w:p>
      <w:pPr>
        <w:pStyle w:val="ListBullet"/>
      </w:pPr>
      <w:r/>
      <w:r>
        <w:rPr>
          <w:b/>
        </w:rPr>
        <w:t>Mesures Préventives</w:t>
      </w:r>
      <w:r>
        <w:t xml:space="preserve"> : prise unique quotidienne, à n'importe quel moment (profil non sédatif). Adapter la dose en cas d'insuffisance hépatique sévère (éviter) ou d'insuffisance rénale sévère. Éviter l'association aux </w:t>
      </w:r>
      <w:r>
        <w:rPr>
          <w:b/>
        </w:rPr>
        <w:t>inhibiteurs puissants du CYP3A4</w:t>
      </w:r>
      <w:r>
        <w:t xml:space="preserve"> (kétoconazole, itraconazole, érythromycine, clarithromycine, ritonavir) — si l'association est nécessaire, surveiller l'ECG (allongement QTc). Éviter l'association aux </w:t>
      </w:r>
      <w:r>
        <w:rPr>
          <w:b/>
        </w:rPr>
        <w:t>allongeurs QT</w:t>
      </w:r>
      <w:r>
        <w:t xml:space="preserve"> (cf. Interactions). Corriger les troubles électrolytiques (hypokaliémie, hypomagnésémie) avant initiation. Éviter l'alcool par prudence.</w:t>
      </w:r>
    </w:p>
    <w:p>
      <w:pPr>
        <w:pStyle w:val="ListBullet"/>
      </w:pPr>
      <w:r/>
      <w:r>
        <w:rPr>
          <w:b/>
        </w:rPr>
        <w:t>Conduite à Tenir</w:t>
      </w:r>
      <w:r>
        <w:t xml:space="preserve"> : en cas de palpitations, malaises, syncopes : arrêt immédiat, ECG urgent, consultation médicale. En cas de surdosage (≥ 20 mg) : lavage gastrique si &lt; 1 h, charbon activé, </w:t>
      </w:r>
      <w:r>
        <w:rPr>
          <w:b/>
        </w:rPr>
        <w:t>surveillance ECG obligatoire</w:t>
      </w:r>
      <w:r>
        <w:t xml:space="preserve"> (allongement QTc possible), traitement symptomatique. L'ébastine n'est pas dialysable de manière significative.</w:t>
      </w:r>
    </w:p>
    <w:p>
      <w:r/>
      <w:r>
        <w:rPr>
          <w:b/>
        </w:rPr>
        <w:t>Interactions Importantes :</w:t>
      </w:r>
      <w:r/>
    </w:p>
    <w:p>
      <w:pPr>
        <w:pStyle w:val="ListBullet"/>
      </w:pPr>
      <w:r/>
      <w:r>
        <w:rPr>
          <w:b/>
        </w:rPr>
        <w:t>Ébastine + kétoconazole / itraconazole / érythromycine / clarithromycine / ritonavir</w:t>
      </w:r>
      <w:r>
        <w:t xml:space="preserve"> (inhibiteurs puissants du CYP3A4) : </w:t>
      </w:r>
      <w:r>
        <w:rPr>
          <w:b/>
        </w:rPr>
        <w:t>augmentation des concentrations plasmatiques de carébastine</w:t>
      </w:r>
      <w:r>
        <w:t xml:space="preserve"> de 2 à 3×, avec </w:t>
      </w:r>
      <w:r>
        <w:rPr>
          <w:b/>
        </w:rPr>
        <w:t>allongement QTc possible</w:t>
      </w:r>
      <w:r>
        <w:t xml:space="preserve"> (signal rapporté dans la littérature). Éviter l'association si possible ; si elle est nécessaire, surveiller l'ECG et corriger l'hypokaliémie.</w:t>
      </w:r>
    </w:p>
    <w:p>
      <w:pPr>
        <w:pStyle w:val="ListBullet"/>
      </w:pPr>
      <w:r/>
      <w:r>
        <w:rPr>
          <w:b/>
        </w:rPr>
        <w:t>Ébastine + allongeurs QT</w:t>
      </w:r>
      <w:r>
        <w:t xml:space="preserve"> (antiarythmiques classe Ia — quinidine, disopyramide ; classe III — amiodarone, sotalol, dofetilide, ibutilide ; certains antidépresseurs — citalopram/escitalopram à haute dose ; antipsychotiques — halopéridol, dropéridol, thioridazine, pimozide ; certains antibiotiques — fluoroquinolones, macrolides ; antifongiques azolés ; hydroxyzine — cf. fiche dédiée) : </w:t>
      </w:r>
      <w:r>
        <w:rPr>
          <w:b/>
        </w:rPr>
        <w:t>risque de torsades de pointe</w:t>
      </w:r>
      <w:r>
        <w:t>. Éviter l'association ou surveiller ECG rapproché.</w:t>
      </w:r>
    </w:p>
    <w:p>
      <w:pPr>
        <w:pStyle w:val="ListBullet"/>
      </w:pPr>
      <w:r/>
      <w:r>
        <w:rPr>
          <w:b/>
        </w:rPr>
        <w:t>Ébastine + inducteurs du CYP3A4</w:t>
      </w:r>
      <w:r>
        <w:t xml:space="preserve"> (rifampicine, phénytoïne, carbamazépine, phénobarbital, millepertuis) : réduction de l'efficacité de l'ébastine (métabolisme accéléré en métabolites inactifs). Surveiller et adapter.</w:t>
      </w:r>
    </w:p>
    <w:p>
      <w:pPr>
        <w:pStyle w:val="ListBullet"/>
      </w:pPr>
      <w:r/>
      <w:r>
        <w:rPr>
          <w:b/>
        </w:rPr>
        <w:t>Ébastine + alcool</w:t>
      </w:r>
      <w:r>
        <w:t xml:space="preserve"> : pas d'effet additif significatif aux doses recommandées. Prudence chez le sujet âgé.</w:t>
      </w:r>
    </w:p>
    <w:p>
      <w:r/>
      <w:r>
        <w:rPr>
          <w:b/>
        </w:rPr>
        <w:t>Grossesse et Allaitement :</w:t>
      </w:r>
      <w:r/>
    </w:p>
    <w:p>
      <w:pPr>
        <w:pStyle w:val="ListBullet"/>
      </w:pPr>
      <w:r/>
      <w:r>
        <w:rPr>
          <w:b/>
        </w:rPr>
        <w:t>Grossesse</w:t>
      </w:r>
      <w:r>
        <w:t xml:space="preserve"> : selon le </w:t>
      </w:r>
      <w:r>
        <w:rPr>
          <w:b/>
        </w:rPr>
        <w:t>CRAT</w:t>
      </w:r>
      <w:r>
        <w:t xml:space="preserve">, l'ébastine est </w:t>
      </w:r>
      <w:r>
        <w:rPr>
          <w:b/>
        </w:rPr>
        <w:t>déconseillée pendant la grossesse</w:t>
      </w:r>
      <w:r>
        <w:t xml:space="preserve"> par prudence, en raison de données animales limitées (études chez l'animal montrant des effets sur le développement fœtal à doses très élevées). En pratique, lui préférer la </w:t>
      </w:r>
      <w:r>
        <w:rPr>
          <w:b/>
        </w:rPr>
        <w:t>loratadine</w:t>
      </w:r>
      <w:r>
        <w:t xml:space="preserve"> ou la </w:t>
      </w:r>
      <w:r>
        <w:rPr>
          <w:b/>
        </w:rPr>
        <w:t>cétirizine</w:t>
      </w:r>
      <w:r>
        <w:t xml:space="preserve"> (préférées en 1re intention) en cas de grossesse projetée ou en cours.</w:t>
      </w:r>
    </w:p>
    <w:p>
      <w:pPr>
        <w:pStyle w:val="ListBullet"/>
      </w:pPr>
      <w:r/>
      <w:r>
        <w:rPr>
          <w:b/>
        </w:rPr>
        <w:t>Allaitement</w:t>
      </w:r>
      <w:r>
        <w:t xml:space="preserve"> : selon le CRAT et LactMed, l'ébastine et son métabolite carébastine passent dans le lait maternel, mais les données sont limitées. </w:t>
      </w:r>
      <w:r>
        <w:rPr>
          <w:b/>
        </w:rPr>
        <w:t>Allaitement déconseillé</w:t>
      </w:r>
      <w:r>
        <w:t xml:space="preserve"> par prudence. Lui préférer la loratadine ou la fexofénadine.</w:t>
      </w:r>
    </w:p>
    <w:p>
      <w:pPr>
        <w:pStyle w:val="ListBullet"/>
      </w:pPr>
      <w:r/>
      <w:r>
        <w:rPr>
          <w:b/>
        </w:rPr>
        <w:t>Précisions</w:t>
      </w:r>
      <w:r>
        <w:t xml:space="preserve"> : éviter par prudence chez la femme en âge de procréer sans contraception efficace.</w:t>
      </w:r>
    </w:p>
    <w:p>
      <w:r/>
      <w:r>
        <w:rPr>
          <w:b/>
        </w:rPr>
        <w:t>Posologie et Mode d'administration (Standard) :</w:t>
      </w:r>
      <w:r/>
    </w:p>
    <w:p>
      <w:pPr>
        <w:pStyle w:val="ListBullet"/>
      </w:pPr>
      <w:r/>
      <w:r>
        <w:rPr>
          <w:b/>
        </w:rPr>
        <w:t>Adulte et adolescent ≥ 12 ans</w:t>
      </w:r>
      <w:r>
        <w:t xml:space="preserve"> : </w:t>
      </w:r>
      <w:r>
        <w:rPr>
          <w:b/>
        </w:rPr>
        <w:t>10 mg une fois par jour</w:t>
      </w:r>
      <w:r>
        <w:t xml:space="preserve"> (1 comprimé orodispersible de 10 mg). En cas de rhinite allergique sévère ou d'urticaire chronique résistante, possibilité de doubler la dose à 20 mg/jour sous surveillance médicale (avec surveillance ECG en cas de facteurs de risque d'allongement QTc).</w:t>
      </w:r>
    </w:p>
    <w:p>
      <w:pPr>
        <w:pStyle w:val="ListBullet"/>
      </w:pPr>
      <w:r/>
      <w:r>
        <w:rPr>
          <w:b/>
        </w:rPr>
        <w:t>Enfant &lt; 12 ans</w:t>
      </w:r>
      <w:r>
        <w:t xml:space="preserve"> : non recommandé (forme orodispersible 10 mg non adaptée).</w:t>
      </w:r>
    </w:p>
    <w:p>
      <w:pPr>
        <w:pStyle w:val="ListBullet"/>
      </w:pPr>
      <w:r/>
      <w:r>
        <w:rPr>
          <w:b/>
        </w:rPr>
        <w:t>Sujet âgé (&gt; 65 ans)</w:t>
      </w:r>
      <w:r>
        <w:t xml:space="preserve"> : pas d'adaptation posologique si fonctions rénale et hépatique normales.</w:t>
      </w:r>
    </w:p>
    <w:p>
      <w:pPr>
        <w:pStyle w:val="ListBullet"/>
      </w:pPr>
      <w:r/>
      <w:r>
        <w:rPr>
          <w:b/>
        </w:rPr>
        <w:t>Insuffisance rénale</w:t>
      </w:r>
      <w:r>
        <w:t xml:space="preserve"> : pas d'adaptation posologique documentée ; prudence en insuffisance sévère.</w:t>
      </w:r>
    </w:p>
    <w:p>
      <w:pPr>
        <w:pStyle w:val="ListBullet"/>
      </w:pPr>
      <w:r/>
      <w:r>
        <w:rPr>
          <w:b/>
        </w:rPr>
        <w:t>Insuffisance hépatique</w:t>
      </w:r>
      <w:r>
        <w:t xml:space="preserve"> : éviter en insuffisance sévère (Child-Pugh C) en raison du métabolisme hépatique obligatoire.</w:t>
      </w:r>
    </w:p>
    <w:p>
      <w:pPr>
        <w:pStyle w:val="ListBullet"/>
      </w:pPr>
      <w:r/>
      <w:r>
        <w:rPr>
          <w:b/>
        </w:rPr>
        <w:t>Durée</w:t>
      </w:r>
      <w:r>
        <w:t xml:space="preserve"> : saison pollinique ; urticaire aiguë 5-14 jours ; urticaire chronique traitement prolongé.</w:t>
      </w:r>
    </w:p>
    <w:p>
      <w:pPr>
        <w:pStyle w:val="ListBullet"/>
      </w:pPr>
      <w:r/>
      <w:r>
        <w:rPr>
          <w:b/>
        </w:rPr>
        <w:t>Moment de la prise</w:t>
      </w:r>
      <w:r>
        <w:t xml:space="preserve"> : à n'importe quel moment de la journée (profil non sédatif).</w:t>
      </w:r>
    </w:p>
    <w:p>
      <w:r/>
      <w:r>
        <w:rPr>
          <w:b/>
        </w:rPr>
        <w:t>Arbitrage et Bénéfices des Formes Galéniques :</w:t>
      </w:r>
      <w:r/>
    </w:p>
    <w:p>
      <w:pPr>
        <w:pStyle w:val="ListBullet"/>
      </w:pPr>
      <w:r/>
      <w:r>
        <w:rPr>
          <w:b/>
        </w:rPr>
        <w:t>Comprimé orodispersible 10 mg</w:t>
      </w:r>
      <w:r>
        <w:t xml:space="preserve"> (1 marque active — EBASTA) : forme moderne, utile en cas de dysphagie, chez le sujet âgé, chez l'enfant de plus de 12 ans, ou en cas de préférence pour une forme pratique (se dissout sur la langue en quelques secondes, sans eau). Boîte de 10 (1,5 semaine) ou de 30 (1 mois) selon les conditionnements.</w:t>
      </w:r>
    </w:p>
    <w:p>
      <w:pPr>
        <w:pStyle w:val="ListBullet"/>
      </w:pPr>
      <w:r/>
      <w:r>
        <w:rPr>
          <w:b/>
        </w:rPr>
        <w:t>Forme sirop / suspension</w:t>
      </w:r>
      <w:r>
        <w:t xml:space="preserve"> : non disponible en Algérie pour l'ébastine.</w:t>
      </w:r>
    </w:p>
    <w:p>
      <w:pPr>
        <w:pStyle w:val="ListBullet"/>
      </w:pPr>
      <w:r/>
      <w:r>
        <w:rPr>
          <w:b/>
        </w:rPr>
        <w:t>Forme injectable</w:t>
      </w:r>
      <w:r>
        <w:t xml:space="preserve"> : non disponible.</w:t>
      </w:r>
    </w:p>
    <w:p>
      <w:r/>
      <w:r>
        <w:rPr>
          <w:b/>
        </w:rPr>
        <w:t>Instructions et Conseils au Patient :</w:t>
      </w:r>
      <w:r/>
    </w:p>
    <w:p>
      <w:pPr>
        <w:pStyle w:val="ListBullet"/>
      </w:pPr>
      <w:r/>
      <w:r>
        <w:rPr>
          <w:b/>
        </w:rPr>
        <w:t>Communication au comptoir</w:t>
      </w:r>
      <w:r>
        <w:t xml:space="preserve"> : « *Ce médicament est un antihistaminique moderne sous forme de comprimé à sucer ou à dissoudre sur la langue — pratique sans eau. Prenez-le une fois par jour, à n'importe quel moment. Évitez l'association avec certains antibiotiques (macrolides) ou antifongiques (kétoconazole) — parlez-en à votre pharmacien ou médecin. Si vous prenez un médicament allongeur de QT ou si vous avez des problèmes cardiaques, prévenez votre médecin.* »</w:t>
      </w:r>
    </w:p>
    <w:p>
      <w:pPr>
        <w:pStyle w:val="ListBullet"/>
      </w:pPr>
      <w:r/>
      <w:r>
        <w:rPr>
          <w:b/>
        </w:rPr>
        <w:t>Mode d'utilisation pratique</w:t>
      </w:r>
      <w:r>
        <w:t xml:space="preserve"> : comprimé orodispersible à placer sur la langue, où il se dissout en quelques secondes — peut être avalé avec ou sans eau. En cas d'oubli : prendre dès que possible dans la journée, ne pas doubler la dose le lendemain. Conservation : température &lt; 25 °C, à l'abri de l'humidité (les comprimés orodispersibles sont sensibles à l'humidité — bien refermer le tube ou la boîte après usage). Ne pas dépasser 14 jours d'automédication sans avis médical.</w:t>
      </w:r>
    </w:p>
    <w:p>
      <w:r/>
      <w:r>
        <w:rPr>
          <w:b/>
        </w:rPr>
        <w:t>Notes, Règles d'Or &amp; Pièges au Comptoir :</w:t>
      </w:r>
      <w:r/>
    </w:p>
    <w:p>
      <w:pPr>
        <w:pStyle w:val="ListBullet"/>
      </w:pPr>
      <w:r/>
      <w:r>
        <w:rPr>
          <w:b/>
        </w:rPr>
        <w:t>Piège classique</w:t>
      </w:r>
      <w:r>
        <w:t xml:space="preserve"> : </w:t>
      </w:r>
      <w:r>
        <w:rPr>
          <w:b/>
        </w:rPr>
        <w:t>association aux inhibiteurs du CYP3A4</w:t>
      </w:r>
      <w:r>
        <w:t xml:space="preserve"> (kétoconazole, érythromycine, clarithromycine, ritonavir) — risque d'allongement QTc par accumulation de carébastine. Toujours demander au patient s'il prend un traitement antifongique oral (kétoconazole, itraconazole), un macrolide, ou un antirétroviral. </w:t>
      </w:r>
      <w:r>
        <w:rPr>
          <w:b/>
        </w:rPr>
        <w:t>Antécédents cardiaques</w:t>
      </w:r>
      <w:r>
        <w:t xml:space="preserve"> : demander au patient s'il a des antécédents d'arythmie, de syncopes, d'allongement QTc congénital, ou s'il prend un traitement antiarythmique. </w:t>
      </w:r>
      <w:r>
        <w:rPr>
          <w:b/>
        </w:rPr>
        <w:t>Hypokaliémie / hypomagnésémie</w:t>
      </w:r>
      <w:r>
        <w:t xml:space="preserve"> : toujours vérifier la kaliémie chez les patients sous diurétiques avant initiation de l'ébastine. </w:t>
      </w:r>
      <w:r>
        <w:rPr>
          <w:b/>
        </w:rPr>
        <w:t>Forme orodispersible sensible à l'humidité</w:t>
      </w:r>
      <w:r>
        <w:t xml:space="preserve"> : bien refermer le conditionnement après usage. </w:t>
      </w:r>
      <w:r>
        <w:rPr>
          <w:b/>
        </w:rPr>
        <w:t>Substitution vers autres 2e génération</w:t>
      </w:r>
      <w:r>
        <w:t xml:space="preserve"> : la loratadine et la fexofénadine n'ont pas de signal d'allongement QTc — à privilégier en cas de facteur de risque cardiaque.</w:t>
      </w:r>
    </w:p>
    <w:p>
      <w:pPr>
        <w:pStyle w:val="ListBullet"/>
      </w:pPr>
      <w:r/>
      <w:r>
        <w:rPr>
          <w:b/>
        </w:rPr>
        <w:t>Règle de prise</w:t>
      </w:r>
      <w:r>
        <w:t xml:space="preserve"> : une fois par jour, à n'importe quel moment. Pas d'alcool. Pas de double dose en cas d'oubli.</w:t>
      </w:r>
    </w:p>
    <w:p>
      <w:pPr>
        <w:pStyle w:val="ListBullet"/>
      </w:pPr>
      <w:r/>
      <w:r>
        <w:rPr>
          <w:b/>
        </w:rPr>
        <w:t>Préparation et Conservation</w:t>
      </w:r>
      <w:r>
        <w:t xml:space="preserve"> : comprimés orodispersibles à température &lt; 25 °C, à l'abri de l'humidité ; bien refermer le conditionnement après usage.</w:t>
      </w:r>
    </w:p>
    <w:p>
      <w:pPr>
        <w:pStyle w:val="ListBullet"/>
      </w:pPr>
      <w:r/>
      <w:r>
        <w:rPr>
          <w:b/>
        </w:rPr>
        <w:t>Piège du surdosage / Substitution</w:t>
      </w:r>
      <w:r>
        <w:t xml:space="preserve"> : </w:t>
      </w:r>
      <w:r>
        <w:rPr>
          <w:b/>
        </w:rPr>
        <w:t>surdosage</w:t>
      </w:r>
      <w:r>
        <w:t xml:space="preserve"> (≥ 20 mg) : lavage gastrique si &lt; 1 h, charbon activé, </w:t>
      </w:r>
      <w:r>
        <w:rPr>
          <w:b/>
        </w:rPr>
        <w:t>surveillance ECG obligatoire</w:t>
      </w:r>
      <w:r>
        <w:t xml:space="preserve">. </w:t>
      </w:r>
      <w:r>
        <w:rPr>
          <w:b/>
        </w:rPr>
        <w:t>Substitution ébastine → bilastine</w:t>
      </w:r>
      <w:r>
        <w:t xml:space="preserve"> : alternative moderne à dose équivalente (20 mg vs 10 mg), sans métabolisme hépatique (moins d'interactions), sans signal d'allongement QTc.</w:t>
      </w:r>
    </w:p>
    <w:p>
      <w:pPr>
        <w:pStyle w:val="Heading3"/>
      </w:pPr>
      <w:r>
        <w:t>3.7. DCI : Bilastine (Seule)</w:t>
      </w:r>
    </w:p>
    <w:p>
      <w:r/>
      <w:r>
        <w:rPr>
          <w:b/>
        </w:rPr>
        <w:t>Liste des Catégories :</w:t>
      </w:r>
      <w:r>
        <w:t xml:space="preserve"> Antihistaminique H1 — 2e génération (non sédatif), Antiallergique, Anti-histaminique systémique, Antihistaminique à visée respiratoire (rhinite allergique, conjonctivite allergique), Antihistaminique à visée dermatologique (urticaire), Dernière génération des 2e génération (2010), Profil non sédatif maximal, Forme orodispersible (pédiatrie et dysphagie), Forme sirop (pédiatrie non disponible en Algérie).</w:t>
      </w:r>
    </w:p>
    <w:p>
      <w:r>
        <w:t xml:space="preserve">La </w:t>
      </w:r>
      <w:r>
        <w:rPr>
          <w:b/>
        </w:rPr>
        <w:t>bilastine</w:t>
      </w:r>
      <w:r>
        <w:t xml:space="preserve"> (formule C28H37N3O2 ; M = 463,6 g/mol) est le plus récent des antihistaminiques H1 de 2e génération disponibles en Algérie, commercialisé en Algérie sous </w:t>
      </w:r>
      <w:r>
        <w:rPr>
          <w:b/>
        </w:rPr>
        <w:t>2 marques actives</w:t>
      </w:r>
      <w:r>
        <w:t xml:space="preserve"> (BILASTA Saidal, BILAXTEN Hikma Pharma Algeria) en Avril 2026 — incluant la forme orodispersible 10 mg (BILAXTEN). Développée par le laboratoire espagnol Faes Farma (Bilaxten™), elle a obtenu l'AMM européenne en 2010 et est arrivée sur le marché algérien dans les années 2010-2020. La bilastine se distingue des autres 2e génération par son </w:t>
      </w:r>
      <w:r>
        <w:rPr>
          <w:b/>
        </w:rPr>
        <w:t>profil pharmacocinétique optimal</w:t>
      </w:r>
      <w:r>
        <w:t xml:space="preserve"> : biodisponibilité orale de 60 % (prise à jeun obligatoire — l'alimentation réduit l'absorption de 30 à 40 %), pic plasmatique rapide (1,3 heure), </w:t>
      </w:r>
      <w:r>
        <w:rPr>
          <w:b/>
        </w:rPr>
        <w:t>demi-vie d'élimination de 14,5 heures</w:t>
      </w:r>
      <w:r>
        <w:t xml:space="preserve">, permettant une prise unique quotidienne avec une couverture symptomatique de 24 heures. La bilastine </w:t>
      </w:r>
      <w:r>
        <w:rPr>
          <w:b/>
        </w:rPr>
        <w:t>n'est pas métabolisée</w:t>
      </w:r>
      <w:r>
        <w:t xml:space="preserve"> (pas d'implication du CYP3A4 — pas d'interactions cliniquement significatives avec les inhibiteurs ou inducteurs enzymatiques), et est éliminée à parts à peu près égales dans les selles (60-70 %) et les urines (30 %) sous forme inchangée. La bilastine traverse très faiblement la BBB (~0,1 % de la concentration plasmatique), ce qui explique son profil non sédatif comparable au placebo aux doses recommandées. Elle a également une affinité nulle pour les récepteurs muscariniques et n'allonge pas le QTc aux doses recommandées ni même en surdosage ou en association avec les inhibiteurs du CYP3A4 (profil cardiaque rassurant). La bilastine est indiquée dans la rhinite allergique saisonnière et perannuelle (adulte et enfant ≥ 12 ans, 20 mg) et dans l'urticaire chronique spontanée (UCS, adulte ≥ 18 ans, 20 mg).</w:t>
      </w:r>
    </w:p>
    <w:p>
      <w:r/>
      <w:r>
        <w:rPr>
          <w:b/>
        </w:rPr>
        <w:t>Médicaments disponibles en Algérie (Marques, Laboratoires, Formes et Dosages) :</w:t>
      </w:r>
      <w:r/>
    </w:p>
    <w:p>
      <w:pPr>
        <w:pStyle w:val="ListBullet"/>
      </w:pPr>
      <w:r/>
      <w:r>
        <w:rPr>
          <w:b/>
        </w:rPr>
        <w:t>BILASTA</w:t>
      </w:r>
      <w:r>
        <w:t xml:space="preserve"> (GROUPE SAIDAL)</w:t>
      </w:r>
    </w:p>
    <w:p>
      <w:pPr>
        <w:pStyle w:val="ListBullet"/>
      </w:pPr>
      <w:r>
        <w:t>Formes et Dosages : Comprimé sécable 20 mg — Boîte de 30</w:t>
      </w:r>
    </w:p>
    <w:p>
      <w:pPr>
        <w:pStyle w:val="ListBullet"/>
      </w:pPr>
      <w:r>
        <w:t>Statut : Actif (Liste II)</w:t>
      </w:r>
    </w:p>
    <w:p>
      <w:pPr>
        <w:pStyle w:val="ListBullet"/>
      </w:pPr>
      <w:r/>
      <w:r>
        <w:rPr>
          <w:b/>
        </w:rPr>
        <w:t>BILAXTEN</w:t>
      </w:r>
      <w:r>
        <w:t xml:space="preserve"> (HIKMA PHARMA ALGERIA) — *princeps Faes Farma sous licence*</w:t>
      </w:r>
    </w:p>
    <w:p>
      <w:pPr>
        <w:pStyle w:val="ListBullet"/>
      </w:pPr>
      <w:r>
        <w:t>Formes et Dosages : Comprimé sécable 20 mg — Boîte de 10 et de 20 ; Comprimé orodispersible 10 mg — Boîte de 10 et de 20</w:t>
      </w:r>
    </w:p>
    <w:p>
      <w:pPr>
        <w:pStyle w:val="ListBullet"/>
      </w:pPr>
      <w:r>
        <w:t>Statut : Actif (Liste II)</w:t>
      </w:r>
    </w:p>
    <w:p>
      <w:pPr>
        <w:pStyle w:val="ListBullet"/>
      </w:pPr>
      <w:r/>
      <w:r>
        <w:rPr>
          <w:b/>
        </w:rPr>
        <w:t>BILAXTEN sirop 2,5 mg/mL</w:t>
      </w:r>
      <w:r>
        <w:t xml:space="preserve"> : *forme pédiatrique — non commercialisée en Algérie (disponible en Europe)*</w:t>
      </w:r>
    </w:p>
    <w:p>
      <w:r/>
      <w:r>
        <w:rPr>
          <w:b/>
        </w:rPr>
        <w:t>Sous-classe et Mécanisme d'action :</w:t>
      </w:r>
      <w:r/>
    </w:p>
    <w:p>
      <w:pPr>
        <w:pStyle w:val="ListBullet"/>
      </w:pPr>
      <w:r>
        <w:t>Sous-classe : Antihistaminique H1 — 2e génération (non sédatif), famille des pipéridines (dernière née des 2e génération, 2010).</w:t>
      </w:r>
    </w:p>
    <w:p>
      <w:pPr>
        <w:pStyle w:val="ListBullet"/>
      </w:pPr>
      <w:r>
        <w:t xml:space="preserve">Mécanisme d'action : </w:t>
      </w:r>
      <w:r>
        <w:rPr>
          <w:b/>
        </w:rPr>
        <w:t>Antihistaminiques H1</w:t>
      </w:r>
      <w:r>
        <w:t xml:space="preserve"> — antagoniste compétitif inverse du récepteur H1 (couplé Gq/11 → PLC → IP3 → Ca2+ → MLCK). La bilastine bloque l'action de l'histamine sur les récepteurs H1 périphériques : </w:t>
      </w:r>
      <w:r>
        <w:rPr>
          <w:b/>
        </w:rPr>
        <w:t>vasodilatation</w:t>
      </w:r>
      <w:r>
        <w:t xml:space="preserve"> réduite, </w:t>
      </w:r>
      <w:r>
        <w:rPr>
          <w:b/>
        </w:rPr>
        <w:t>perméabilité capillaire</w:t>
      </w:r>
      <w:r>
        <w:t xml:space="preserve"> diminuée (œdème, urticaire), </w:t>
      </w:r>
      <w:r>
        <w:rPr>
          <w:b/>
        </w:rPr>
        <w:t>bronchoconstriction</w:t>
      </w:r>
      <w:r>
        <w:t xml:space="preserve"> atténuée, </w:t>
      </w:r>
      <w:r>
        <w:rPr>
          <w:b/>
        </w:rPr>
        <w:t>prurit et éternuements</w:t>
      </w:r>
      <w:r>
        <w:t xml:space="preserve"> réduits. Affinité pour le récepteur H1 comparable à la cétirizine (Ki ~3 nM). Propriétés </w:t>
      </w:r>
      <w:r>
        <w:rPr>
          <w:b/>
        </w:rPr>
        <w:t>anti-allergiques additives</w:t>
      </w:r>
      <w:r>
        <w:t xml:space="preserve"> : inhibition de la dégranulation des mastocytes et des éosinophiles, inhibition du chimiotactisme éosinophilique, inhibition de l'expression d'ICAM-1. La bilastine traverse très faiblement la BBB (concentration cérébrale &lt; 0,1 % de la concentration plasmatique) — profil non sédatif comparable au placebo aux doses recommandées. Aucune affinité pour les récepteurs muscariniques (pas d'effet atropinique) ni pour les récepteurs α1-adrénergiques, sérotoninergiques, opioïdes, benzodiazépines. </w:t>
      </w:r>
      <w:r>
        <w:rPr>
          <w:b/>
        </w:rPr>
        <w:t>Pas d'affinité pour le canal hERG</w:t>
      </w:r>
      <w:r>
        <w:t xml:space="preserve"> — profil cardiaque rassurant. </w:t>
      </w:r>
      <w:r>
        <w:rPr>
          <w:b/>
        </w:rPr>
        <w:t>Pas de métabolisme hépatique</w:t>
      </w:r>
      <w:r>
        <w:t xml:space="preserve"> (la bilastine est excrétée inchangée) — pas d'interactions cliniquement significatives avec les inhibiteurs ou inducteurs du CYP3A4.</w:t>
      </w:r>
    </w:p>
    <w:p>
      <w:r/>
      <w:r>
        <w:rPr>
          <w:b/>
        </w:rPr>
        <w:t>Profil Pharmacologique :</w:t>
      </w:r>
      <w:r/>
    </w:p>
    <w:p>
      <w:pPr>
        <w:pStyle w:val="ListBullet"/>
      </w:pPr>
      <w:r/>
      <w:r>
        <w:rPr>
          <w:b/>
        </w:rPr>
        <w:t>Indications</w:t>
      </w:r>
      <w:r>
        <w:t xml:space="preserve"> : rhinite allergique saisonnière et perannuelle chez l'adulte et l'adolescent ≥ 12 ans (forme 20 mg) ; urticaire chronique spontanée (UCS) chez l'adulte ≥ 18 ans. La bilastine est une alternative moderne à la cétirizine, à la lévocétirizine, à la loratadine, à la desloratadine et à la fexofénadine, en particulier en cas de somnolence sous cétirizine ou lévocétirizine, en cas d'inefficacité de la loratadine/desloratadine, en cas d'interactions médicamenteuses sous ébastine (CYP3A4), et chez les patients polymédiqués (peu d'interactions). Forme orodispersible utile en cas de dysphagie ou chez le sujet âgé.</w:t>
      </w:r>
    </w:p>
    <w:p>
      <w:pPr>
        <w:pStyle w:val="ListBullet"/>
      </w:pPr>
      <w:r/>
      <w:r>
        <w:rPr>
          <w:b/>
        </w:rPr>
        <w:t>Contre-indications</w:t>
      </w:r>
      <w:r>
        <w:t xml:space="preserve"> : hypersensibilité à la bilastine ; enfants &lt; 12 ans pour la forme 20 mg ; enfants &lt; 6 ans pour la forme orodispersible 10 mg (si disponible). Prudence en insuffisance rénale modérée à sévère (ClCr &lt; 50 mL/min — diminution de la dose initiale non formellement recommandée, mais surveillance). Prudence en cas d'association aux inhibiteurs de la P-gp (kétoconazole, érythromycine, ciclosporine — augmentation modeste des concentrations sans conséquence clinique).</w:t>
      </w:r>
    </w:p>
    <w:p>
      <w:pPr>
        <w:pStyle w:val="ListBullet"/>
      </w:pPr>
      <w:r/>
      <w:r>
        <w:rPr>
          <w:b/>
        </w:rPr>
        <w:t>Effets Indésirables</w:t>
      </w:r>
      <w:r>
        <w:t xml:space="preserve"> : tolérance excellente, comparable au placebo aux doses recommandées. EI fréquents (≥ 1/100 à &lt; 1/10) : céphalées, somnolence (~3-4 %, comparable au placebo), étourdissements, sécheresse buccale. EI peu fréquents : nausées, dyspepsie, douleurs abdominales, fatigue, rhinopharyngite. EI rares : rash, urticaire paradoxale, anaphylaxie, dyspnée, flush. EI très rares : allongement QTc (cas exceptionnels, en particulier en cas de surdosage ≥ 80 mg), palpitations, tachycardie. La bilastine est l'un des antihistaminiques H1 les mieux tolérés en utilisation prolongée.</w:t>
      </w:r>
    </w:p>
    <w:p>
      <w:r/>
      <w:r>
        <w:rPr>
          <w:b/>
        </w:rPr>
        <w:t>Prévention et Gestion des Effets Indésirables :</w:t>
      </w:r>
      <w:r/>
    </w:p>
    <w:p>
      <w:pPr>
        <w:pStyle w:val="ListBullet"/>
      </w:pPr>
      <w:r/>
      <w:r>
        <w:rPr>
          <w:b/>
        </w:rPr>
        <w:t>Mesures Préventives</w:t>
      </w:r>
      <w:r>
        <w:t xml:space="preserve"> : prise </w:t>
      </w:r>
      <w:r>
        <w:rPr>
          <w:b/>
        </w:rPr>
        <w:t>à jeun</w:t>
      </w:r>
      <w:r>
        <w:t xml:space="preserve"> (1 heure avant ou 2 heures après un repas — l'alimentation réduit l'absorption de 30 à 40 %). Éviter la prise simultanée de </w:t>
      </w:r>
      <w:r>
        <w:rPr>
          <w:b/>
        </w:rPr>
        <w:t>jus de pamplemousse</w:t>
      </w:r>
      <w:r>
        <w:t xml:space="preserve"> (inhibition de la P-gp et des transporteurs OATP). Éviter l'association à d'autres antihistaminiques H1. Éviter l'alcool par prudence.</w:t>
      </w:r>
    </w:p>
    <w:p>
      <w:pPr>
        <w:pStyle w:val="ListBullet"/>
      </w:pPr>
      <w:r/>
      <w:r>
        <w:rPr>
          <w:b/>
        </w:rPr>
        <w:t>Conduite à Tenir</w:t>
      </w:r>
      <w:r>
        <w:t xml:space="preserve"> : en cas de surdosage (≥ 80 mg) : lavage gastrique si &lt; 1 h, charbon activé, surveillance ECG (rechercher allongement QTc — exceptionnel), traitement symptomatique. La bilastine n'est pas dialysable de manière significative.</w:t>
      </w:r>
    </w:p>
    <w:p>
      <w:r/>
      <w:r>
        <w:rPr>
          <w:b/>
        </w:rPr>
        <w:t>Interactions Importantes :</w:t>
      </w:r>
      <w:r/>
    </w:p>
    <w:p>
      <w:pPr>
        <w:pStyle w:val="ListBullet"/>
      </w:pPr>
      <w:r/>
      <w:r>
        <w:rPr>
          <w:b/>
        </w:rPr>
        <w:t>Bilastine + kétoconazole / érythromycine / ciclosporine</w:t>
      </w:r>
      <w:r>
        <w:t xml:space="preserve"> (inhibiteurs de la P-gp) : augmentation modeste des concentrations plasmatiques de bilastine (~2×), sans allongement significatif du QTc. Pas d'adaptation posologique nécessaire.</w:t>
      </w:r>
    </w:p>
    <w:p>
      <w:pPr>
        <w:pStyle w:val="ListBullet"/>
      </w:pPr>
      <w:r/>
      <w:r>
        <w:rPr>
          <w:b/>
        </w:rPr>
        <w:t>Bilastine + rifampicine / millepertuis</w:t>
      </w:r>
      <w:r>
        <w:t xml:space="preserve"> (inducteurs de la P-gp) : diminution modeste des concentrations plasmatiques (~30 %), sans conséquence clinique majeure. Surveillance de l'efficacité.</w:t>
      </w:r>
    </w:p>
    <w:p>
      <w:pPr>
        <w:pStyle w:val="ListBullet"/>
      </w:pPr>
      <w:r/>
      <w:r>
        <w:rPr>
          <w:b/>
        </w:rPr>
        <w:t>Bilastine + jus de pamplemousse</w:t>
      </w:r>
      <w:r>
        <w:t xml:space="preserve"> : inhibition de la P-gp et des transporteurs OATP → </w:t>
      </w:r>
      <w:r>
        <w:rPr>
          <w:b/>
        </w:rPr>
        <w:t>diminution de l'absorption</w:t>
      </w:r>
      <w:r>
        <w:t xml:space="preserve"> de 30 à 40 %. À éviter ; prendre la bilastine avec de l'eau.</w:t>
      </w:r>
    </w:p>
    <w:p>
      <w:pPr>
        <w:pStyle w:val="ListBullet"/>
      </w:pPr>
      <w:r/>
      <w:r>
        <w:rPr>
          <w:b/>
        </w:rPr>
        <w:t>Bilastine + alcool</w:t>
      </w:r>
      <w:r>
        <w:t xml:space="preserve"> : pas d'effet additif significatif aux doses recommandées. Étude spécifique disponible (Potter et al. 2013) montrant l'absence de potentialisation de l'effet de l'alcool.</w:t>
      </w:r>
    </w:p>
    <w:p>
      <w:pPr>
        <w:pStyle w:val="ListBullet"/>
      </w:pPr>
      <w:r/>
      <w:r>
        <w:rPr>
          <w:b/>
        </w:rPr>
        <w:t>Bilastine + lorazépam</w:t>
      </w:r>
      <w:r>
        <w:t xml:space="preserve"> (benzodiazépine) : pas d'interaction cliniquement pertinente — profil non sédatif confirmé.</w:t>
      </w:r>
    </w:p>
    <w:p>
      <w:r/>
      <w:r>
        <w:rPr>
          <w:b/>
        </w:rPr>
        <w:t>Grossesse et Allaitement :</w:t>
      </w:r>
      <w:r/>
    </w:p>
    <w:p>
      <w:pPr>
        <w:pStyle w:val="ListBullet"/>
      </w:pPr>
      <w:r/>
      <w:r>
        <w:rPr>
          <w:b/>
        </w:rPr>
        <w:t>Grossesse</w:t>
      </w:r>
      <w:r>
        <w:t xml:space="preserve"> : selon le </w:t>
      </w:r>
      <w:r>
        <w:rPr>
          <w:b/>
        </w:rPr>
        <w:t>CRAT</w:t>
      </w:r>
      <w:r>
        <w:t xml:space="preserve">, la bilastine est </w:t>
      </w:r>
      <w:r>
        <w:rPr>
          <w:b/>
        </w:rPr>
        <w:t>déconseillée pendant la grossesse</w:t>
      </w:r>
      <w:r>
        <w:t xml:space="preserve"> par prudence, en raison de données animales limitées (études chez le rat montrant des effets sur le développement fœtal à doses très élevées ≥ 30× la dose humaine). En pratique, lui préférer la </w:t>
      </w:r>
      <w:r>
        <w:rPr>
          <w:b/>
        </w:rPr>
        <w:t>loratadine</w:t>
      </w:r>
      <w:r>
        <w:t xml:space="preserve"> ou la </w:t>
      </w:r>
      <w:r>
        <w:rPr>
          <w:b/>
        </w:rPr>
        <w:t>cétirizine</w:t>
      </w:r>
      <w:r>
        <w:t xml:space="preserve"> (préférées en 1re intention) en cas de grossesse projetée ou en cours.</w:t>
      </w:r>
    </w:p>
    <w:p>
      <w:pPr>
        <w:pStyle w:val="ListBullet"/>
      </w:pPr>
      <w:r/>
      <w:r>
        <w:rPr>
          <w:b/>
        </w:rPr>
        <w:t>Allaitement</w:t>
      </w:r>
      <w:r>
        <w:t xml:space="preserve"> : selon le CRAT et LactMed, la bilastine passe dans le lait maternel, mais les données sont limitées. </w:t>
      </w:r>
      <w:r>
        <w:rPr>
          <w:b/>
        </w:rPr>
        <w:t>Allaitement déconseillé</w:t>
      </w:r>
      <w:r>
        <w:t xml:space="preserve"> par prudence. Lui préférer la loratadine ou la fexofénadine.</w:t>
      </w:r>
    </w:p>
    <w:p>
      <w:pPr>
        <w:pStyle w:val="ListBullet"/>
      </w:pPr>
      <w:r/>
      <w:r>
        <w:rPr>
          <w:b/>
        </w:rPr>
        <w:t>Précisions</w:t>
      </w:r>
      <w:r>
        <w:t xml:space="preserve"> : éviter par prudence chez la femme en âge de procréer sans contraception efficace.</w:t>
      </w:r>
    </w:p>
    <w:p>
      <w:r/>
      <w:r>
        <w:rPr>
          <w:b/>
        </w:rPr>
        <w:t>Posologie et Mode d'administration (Standard) :</w:t>
      </w:r>
      <w:r/>
    </w:p>
    <w:p>
      <w:pPr>
        <w:pStyle w:val="ListBullet"/>
      </w:pPr>
      <w:r/>
      <w:r>
        <w:rPr>
          <w:b/>
        </w:rPr>
        <w:t>Adulte et adolescent ≥ 12 ans</w:t>
      </w:r>
      <w:r>
        <w:t xml:space="preserve"> : </w:t>
      </w:r>
      <w:r>
        <w:rPr>
          <w:b/>
        </w:rPr>
        <w:t>20 mg une fois par jour</w:t>
      </w:r>
      <w:r>
        <w:t xml:space="preserve"> (1 comprimé sécable de 20 mg, ou 2 comprimés orodispersibles de 10 mg).</w:t>
      </w:r>
    </w:p>
    <w:p>
      <w:pPr>
        <w:pStyle w:val="ListBullet"/>
      </w:pPr>
      <w:r/>
      <w:r>
        <w:rPr>
          <w:b/>
        </w:rPr>
        <w:t>Enfant 6 à 12 ans</w:t>
      </w:r>
      <w:r>
        <w:t xml:space="preserve"> (forme orodispersible 10 mg, si disponible) : 10 mg une fois par jour — hors AMM européenne (en cours de réévaluation pour les enfants &lt; 12 ans).</w:t>
      </w:r>
    </w:p>
    <w:p>
      <w:pPr>
        <w:pStyle w:val="ListBullet"/>
      </w:pPr>
      <w:r/>
      <w:r>
        <w:rPr>
          <w:b/>
        </w:rPr>
        <w:t>Nourrisson &lt; 6 ans</w:t>
      </w:r>
      <w:r>
        <w:t xml:space="preserve"> : non recommandé (forme sirop 2,5 mg/mL non disponible en Algérie).</w:t>
      </w:r>
    </w:p>
    <w:p>
      <w:pPr>
        <w:pStyle w:val="ListBullet"/>
      </w:pPr>
      <w:r/>
      <w:r>
        <w:rPr>
          <w:b/>
        </w:rPr>
        <w:t>Sujet âgé (&gt; 65 ans)</w:t>
      </w:r>
      <w:r>
        <w:t xml:space="preserve"> : pas d'adaptation posologique si fonction rénale normale. Vérifier la clairance de la créatinine avant prescription au-delà de 75 ans.</w:t>
      </w:r>
    </w:p>
    <w:p>
      <w:pPr>
        <w:pStyle w:val="ListBullet"/>
      </w:pPr>
      <w:r/>
      <w:r>
        <w:rPr>
          <w:b/>
        </w:rPr>
        <w:t>Insuffisance rénale</w:t>
      </w:r>
      <w:r>
        <w:t xml:space="preserve"> : pas d'adaptation posologique formelle ; prudence en insuffisance sévère (ClCr &lt; 30 mL/min).</w:t>
      </w:r>
    </w:p>
    <w:p>
      <w:pPr>
        <w:pStyle w:val="ListBullet"/>
      </w:pPr>
      <w:r/>
      <w:r>
        <w:rPr>
          <w:b/>
        </w:rPr>
        <w:t>Insuffisance hépatique</w:t>
      </w:r>
      <w:r>
        <w:t xml:space="preserve"> : pas d'adaptation posologique (la bilastine n'est pas métabolisée).</w:t>
      </w:r>
    </w:p>
    <w:p>
      <w:pPr>
        <w:pStyle w:val="ListBullet"/>
      </w:pPr>
      <w:r/>
      <w:r>
        <w:rPr>
          <w:b/>
        </w:rPr>
        <w:t>Durée</w:t>
      </w:r>
      <w:r>
        <w:t xml:space="preserve"> : saison pollinique ; urticaire aiguë 5-14 jours ; urticaire chronique traitement prolongé.</w:t>
      </w:r>
    </w:p>
    <w:p>
      <w:pPr>
        <w:pStyle w:val="ListBullet"/>
      </w:pPr>
      <w:r/>
      <w:r>
        <w:rPr>
          <w:b/>
        </w:rPr>
        <w:t>Moment de la prise</w:t>
      </w:r>
      <w:r>
        <w:t xml:space="preserve"> : </w:t>
      </w:r>
      <w:r>
        <w:rPr>
          <w:b/>
        </w:rPr>
        <w:t>à jeun</w:t>
      </w:r>
      <w:r>
        <w:t xml:space="preserve"> (1 heure avant ou 2 heures après un repas), avec de l'eau (pas de jus de pamplemousse). Le matin de préférence (profil non sédatif).</w:t>
      </w:r>
    </w:p>
    <w:p>
      <w:r/>
      <w:r>
        <w:rPr>
          <w:b/>
        </w:rPr>
        <w:t>Arbitrage et Bénéfices des Formes Galéniques :</w:t>
      </w:r>
      <w:r/>
    </w:p>
    <w:p>
      <w:pPr>
        <w:pStyle w:val="ListBullet"/>
      </w:pPr>
      <w:r/>
      <w:r>
        <w:rPr>
          <w:b/>
        </w:rPr>
        <w:t>Comprimé sécable 20 mg</w:t>
      </w:r>
      <w:r>
        <w:t xml:space="preserve"> (2 marques actives) : forme adulte et adolescent ≥ 12 ans, pratique, sécable pour adapter à l'enfant de 6 à 12 ans (1/2 cp = 10 mg, hors AMM). Boîte de 10, 20 ou 30.</w:t>
      </w:r>
    </w:p>
    <w:p>
      <w:pPr>
        <w:pStyle w:val="ListBullet"/>
      </w:pPr>
      <w:r/>
      <w:r>
        <w:rPr>
          <w:b/>
        </w:rPr>
        <w:t>Comprimé orodispersible 10 mg</w:t>
      </w:r>
      <w:r>
        <w:t xml:space="preserve"> (1 marque active — BILAXTEN) : utile en cas de dysphagie, chez le sujet âgé, chez l'enfant de plus de 6 ans (hors AMM), ou en cas de préférence pour une forme pratique. Boîte de 10 ou 20.</w:t>
      </w:r>
    </w:p>
    <w:p>
      <w:pPr>
        <w:pStyle w:val="ListBullet"/>
      </w:pPr>
      <w:r/>
      <w:r>
        <w:rPr>
          <w:b/>
        </w:rPr>
        <w:t>Forme sirop 2,5 mg/mL</w:t>
      </w:r>
      <w:r>
        <w:t xml:space="preserve"> : non disponible en Algérie (disponible en Europe pour la pédiatrie).</w:t>
      </w:r>
    </w:p>
    <w:p>
      <w:pPr>
        <w:pStyle w:val="ListBullet"/>
      </w:pPr>
      <w:r/>
      <w:r>
        <w:rPr>
          <w:b/>
        </w:rPr>
        <w:t>Forme injectable</w:t>
      </w:r>
      <w:r>
        <w:t xml:space="preserve"> : non disponible.</w:t>
      </w:r>
    </w:p>
    <w:p>
      <w:r/>
      <w:r>
        <w:rPr>
          <w:b/>
        </w:rPr>
        <w:t>Instructions et Conseils au Patient :</w:t>
      </w:r>
      <w:r/>
    </w:p>
    <w:p>
      <w:pPr>
        <w:pStyle w:val="ListBullet"/>
      </w:pPr>
      <w:r/>
      <w:r>
        <w:rPr>
          <w:b/>
        </w:rPr>
        <w:t>Communication au comptoir</w:t>
      </w:r>
      <w:r>
        <w:t xml:space="preserve"> : « *Ce médicament est un antihistaminique moderne, l'un des plus récents et des mieux tolérés. Prenez-le une fois par jour, le matin à jeun (1 heure avant ou 2 heures après le repas), avec un verre d'eau — évitez le jus de pamplemousse. Il n'entraîne pas de somnolence et n'a pas d'interactions significatives avec d'autres médicaments, ce qui en fait un bon choix si vous êtes polymédicamenteux ou si vous devez conduire.* »</w:t>
      </w:r>
    </w:p>
    <w:p>
      <w:pPr>
        <w:pStyle w:val="ListBullet"/>
      </w:pPr>
      <w:r/>
      <w:r>
        <w:rPr>
          <w:b/>
        </w:rPr>
        <w:t>Mode d'utilisation pratique</w:t>
      </w:r>
      <w:r>
        <w:t xml:space="preserve"> : comprimé à avaler entier avec un peu d'eau </w:t>
      </w:r>
      <w:r>
        <w:rPr>
          <w:b/>
        </w:rPr>
        <w:t>à jeun</w:t>
      </w:r>
      <w:r>
        <w:t xml:space="preserve"> ; comprimé orodispersible à placer sur la langue, où il se dissout en quelques secondes — peut être pris sans eau. En cas d'oubli : prendre dès que possible, ne pas doubler la dose le lendemain. Conservation : température &lt; 25 °C, à l'abri de la lumière et de l'humidité ; bien refermer le tube ou la boîte après usage (comprimés orodispersibles sensibles à l'humidité). Ne pas dépasser 14 jours d'automédication sans avis médical.</w:t>
      </w:r>
    </w:p>
    <w:p>
      <w:r/>
      <w:r>
        <w:rPr>
          <w:b/>
        </w:rPr>
        <w:t>Notes, Règles d'Or &amp; Pièges au Comptoir :</w:t>
      </w:r>
      <w:r/>
    </w:p>
    <w:p>
      <w:pPr>
        <w:pStyle w:val="ListBullet"/>
      </w:pPr>
      <w:r/>
      <w:r>
        <w:rPr>
          <w:b/>
        </w:rPr>
        <w:t>Piège classique</w:t>
      </w:r>
      <w:r>
        <w:t xml:space="preserve"> : </w:t>
      </w:r>
      <w:r>
        <w:rPr>
          <w:b/>
        </w:rPr>
        <w:t>prise avec alimentation</w:t>
      </w:r>
      <w:r>
        <w:t xml:space="preserve"> (réduction de l'absorption de 30-40 %) — toujours expliquer au patient la nécessité de prendre la bilastine à jeun. </w:t>
      </w:r>
      <w:r>
        <w:rPr>
          <w:b/>
        </w:rPr>
        <w:t>Jus de pamplemousse</w:t>
      </w:r>
      <w:r>
        <w:t xml:space="preserve"> : à éviter (inhibition P-gp et OATP). </w:t>
      </w:r>
      <w:r>
        <w:rPr>
          <w:b/>
        </w:rPr>
        <w:t>Substitution bilastine ↔ fexofénadine</w:t>
      </w:r>
      <w:r>
        <w:t xml:space="preserve"> : alternatives pharmacologiquement proches (toutes deux non métabolisées, profil non sédatif maximal), mais la bilastine a une dose 9× inférieure (20 mg vs 180 mg). </w:t>
      </w:r>
      <w:r>
        <w:rPr>
          <w:b/>
        </w:rPr>
        <w:t>Substitution bilastine ↔ ébastine</w:t>
      </w:r>
      <w:r>
        <w:t xml:space="preserve"> : la bilastine a un avantage en cas de polymédication (pas d'implication du CYP3A4). </w:t>
      </w:r>
      <w:r>
        <w:rPr>
          <w:b/>
        </w:rPr>
        <w:t>Forme orodispersible sensible à l'humidité</w:t>
      </w:r>
      <w:r>
        <w:t xml:space="preserve"> : bien refermer le conditionnement après usage.</w:t>
      </w:r>
    </w:p>
    <w:p>
      <w:pPr>
        <w:pStyle w:val="ListBullet"/>
      </w:pPr>
      <w:r/>
      <w:r>
        <w:rPr>
          <w:b/>
        </w:rPr>
        <w:t>Règle de prise</w:t>
      </w:r>
      <w:r>
        <w:t xml:space="preserve"> : une fois par jour, le matin à jeun. Pas d'alcool (par prudence). Pas de double dose en cas d'oubli.</w:t>
      </w:r>
    </w:p>
    <w:p>
      <w:pPr>
        <w:pStyle w:val="ListBullet"/>
      </w:pPr>
      <w:r/>
      <w:r>
        <w:rPr>
          <w:b/>
        </w:rPr>
        <w:t>Préparation et Conservation</w:t>
      </w:r>
      <w:r>
        <w:t xml:space="preserve"> : comprimés à température &lt; 25 °C, à l'abri de l'humidité ; comprimés orodispersibles à conserver dans leur conditionnement d'origine, à l'abri de l'humidité.</w:t>
      </w:r>
    </w:p>
    <w:p>
      <w:pPr>
        <w:pStyle w:val="ListBullet"/>
      </w:pPr>
      <w:r/>
      <w:r>
        <w:rPr>
          <w:b/>
        </w:rPr>
        <w:t>Piège du surdosage / Substitution</w:t>
      </w:r>
      <w:r>
        <w:t xml:space="preserve"> : </w:t>
      </w:r>
      <w:r>
        <w:rPr>
          <w:b/>
        </w:rPr>
        <w:t>surdosage</w:t>
      </w:r>
      <w:r>
        <w:t xml:space="preserve"> (≥ 80 mg) : lavage gastrique si &lt; 1 h, charbon activé, surveillance ECG. </w:t>
      </w:r>
      <w:r>
        <w:rPr>
          <w:b/>
        </w:rPr>
        <w:t>Substitution vers cétirizine ou lévocétirizine</w:t>
      </w:r>
      <w:r>
        <w:t xml:space="preserve"> : alternatives utiles en cas d'efficacité insuffisante, mais avec un risque plus élevé de somnolence.</w:t>
      </w:r>
    </w:p>
    <w:p>
      <w:pPr>
        <w:pStyle w:val="Heading3"/>
      </w:pPr>
      <w:r>
        <w:t>3.8. DCI : Rupatadine (Seule)</w:t>
      </w:r>
    </w:p>
    <w:p>
      <w:r/>
      <w:r>
        <w:rPr>
          <w:b/>
        </w:rPr>
        <w:t>Liste des Catégories :</w:t>
      </w:r>
      <w:r>
        <w:t xml:space="preserve"> Antihistaminique H1 — 2e génération (non sédatif), Antiallergique, Anti-histaminique systémique, Antihistaminique à visée respiratoire (rhinite allergique, conjonctivite allergique), Antihistaminique à visée dermatologique (urticaire), Double action H1 + PAF (platelet activating factor), Métabolisme CYP3A4 (interactions possibles).</w:t>
      </w:r>
    </w:p>
    <w:p>
      <w:r>
        <w:t xml:space="preserve">La </w:t>
      </w:r>
      <w:r>
        <w:rPr>
          <w:b/>
        </w:rPr>
        <w:t>rupatadine</w:t>
      </w:r>
      <w:r>
        <w:t xml:space="preserve"> (fumarate de rupatadine, formule C26H26ClN3 ; M = 416,0 g/mol sous forme de fumarate : 518,1 g/mol) est un antihistaminique H1 de 2e génération de la famille des </w:t>
      </w:r>
      <w:r>
        <w:rPr>
          <w:b/>
        </w:rPr>
        <w:t>pipéridines</w:t>
      </w:r>
      <w:r>
        <w:t xml:space="preserve">, commercialisée en Algérie sous </w:t>
      </w:r>
      <w:r>
        <w:rPr>
          <w:b/>
        </w:rPr>
        <w:t>une seule marque active</w:t>
      </w:r>
      <w:r>
        <w:t xml:space="preserve"> (ROPAP El Kendi) en Avril 2026. Développée par le laboratoire espagnol J. Uriach (Rupafin™), elle a obtenu l'AMM européenne en 2003. La rupatadine se distingue des autres 2e génération par sa </w:t>
      </w:r>
      <w:r>
        <w:rPr>
          <w:b/>
        </w:rPr>
        <w:t>double action anti-allergique</w:t>
      </w:r>
      <w:r>
        <w:t xml:space="preserve"> : antagoniste du récepteur H1 (anti-histaminique classique) </w:t>
      </w:r>
      <w:r>
        <w:rPr>
          <w:b/>
        </w:rPr>
        <w:t>et antagoniste du récepteur PAF</w:t>
      </w:r>
      <w:r>
        <w:t xml:space="preserve"> (Platelet-Activating Factor). Le PAF est un médiateur lipidique (alkyl-acyl-glycérophosphocholine) produit par les mastocytes, les éosinophiles, les macrophages et les plaquettes, qui joue un rôle clé dans la </w:t>
      </w:r>
      <w:r>
        <w:rPr>
          <w:b/>
        </w:rPr>
        <w:t>bronchoconstriction</w:t>
      </w:r>
      <w:r>
        <w:t xml:space="preserve">, la </w:t>
      </w:r>
      <w:r>
        <w:rPr>
          <w:b/>
        </w:rPr>
        <w:t>vasodilatation</w:t>
      </w:r>
      <w:r>
        <w:t>, l'</w:t>
      </w:r>
      <w:r>
        <w:rPr>
          <w:b/>
        </w:rPr>
        <w:t>augmentation de la perméabilité vasculaire</w:t>
      </w:r>
      <w:r>
        <w:t xml:space="preserve">, le </w:t>
      </w:r>
      <w:r>
        <w:rPr>
          <w:b/>
        </w:rPr>
        <w:t>chimiotactisme des éosinophiles</w:t>
      </w:r>
      <w:r>
        <w:t xml:space="preserve"> et l'</w:t>
      </w:r>
      <w:r>
        <w:rPr>
          <w:b/>
        </w:rPr>
        <w:t>activation plaquettaire</w:t>
      </w:r>
      <w:r>
        <w:t xml:space="preserve">. La double action H1 + PAF de la rupatadine offre un avantage théorique dans la prise en charge de la rhinite allergique et de l'urticaire chronique, avec une efficacité supérieure ou équivalente à la cétirizine et à la loratadine dans certaines études. La biodisponibilité orale de la rupatadine est bonne (~50 %), son pic plasmatique est atteint en 0,75 heure, et sa </w:t>
      </w:r>
      <w:r>
        <w:rPr>
          <w:b/>
        </w:rPr>
        <w:t>demi-vie d'élimination</w:t>
      </w:r>
      <w:r>
        <w:t xml:space="preserve"> est d'environ </w:t>
      </w:r>
      <w:r>
        <w:rPr>
          <w:b/>
        </w:rPr>
        <w:t>6 heures</w:t>
      </w:r>
      <w:r>
        <w:t xml:space="preserve"> (mais son métabolite actif principal, le </w:t>
      </w:r>
      <w:r>
        <w:rPr>
          <w:b/>
        </w:rPr>
        <w:t>3-hydroxydésloratadine</w:t>
      </w:r>
      <w:r>
        <w:t xml:space="preserve"> — non, il s'agit plutôt du métabolite </w:t>
      </w:r>
      <w:r>
        <w:rPr>
          <w:b/>
        </w:rPr>
        <w:t>desloratadine</w:t>
      </w:r>
      <w:r>
        <w:t xml:space="preserve"> formé par déméthylation CYP3A4 — a une demi-vie plus longue d'environ 12 heures). La rupatadine est </w:t>
      </w:r>
      <w:r>
        <w:rPr>
          <w:b/>
        </w:rPr>
        <w:t>largement métabolisée</w:t>
      </w:r>
      <w:r>
        <w:t xml:space="preserve"> par le </w:t>
      </w:r>
      <w:r>
        <w:rPr>
          <w:b/>
        </w:rPr>
        <w:t>CYP3A4</w:t>
      </w:r>
      <w:r>
        <w:t xml:space="preserve"> hépatique en métabolites actifs, ce qui impose une attention particulière aux interactions avec les inhibiteurs ou inducteurs du CYP3A4. La rupatadine traverse très faiblement la BBB, et son profil de sédation est comparable au placebo aux doses recommandées. Aux doses recommandées (10 mg/jour), elle n'allonge pas significativement le QTc.</w:t>
      </w:r>
    </w:p>
    <w:p>
      <w:r/>
      <w:r>
        <w:rPr>
          <w:b/>
        </w:rPr>
        <w:t>Médicaments disponibles en Algérie (Marques, Laboratoires, Formes et Dosages) :</w:t>
      </w:r>
      <w:r/>
    </w:p>
    <w:p>
      <w:pPr>
        <w:pStyle w:val="ListBullet"/>
      </w:pPr>
      <w:r/>
      <w:r>
        <w:rPr>
          <w:b/>
        </w:rPr>
        <w:t>ROPAP</w:t>
      </w:r>
      <w:r>
        <w:t xml:space="preserve"> (EL KENDI INDUSTRIE DU MEDICAMENT)</w:t>
      </w:r>
    </w:p>
    <w:p>
      <w:pPr>
        <w:pStyle w:val="ListBullet"/>
      </w:pPr>
      <w:r>
        <w:t>Formes et Dosages : Comprimé 10 mg — Boîte de 20</w:t>
      </w:r>
    </w:p>
    <w:p>
      <w:pPr>
        <w:pStyle w:val="ListBullet"/>
      </w:pPr>
      <w:r>
        <w:t>Statut : Actif (Liste II)</w:t>
      </w:r>
    </w:p>
    <w:p>
      <w:pPr>
        <w:pStyle w:val="ListBullet"/>
      </w:pPr>
      <w:r/>
      <w:r>
        <w:rPr>
          <w:b/>
        </w:rPr>
        <w:t>RUPAFIN</w:t>
      </w:r>
      <w:r>
        <w:t xml:space="preserve"> (J. URIACH) : *princeps — non commercialisé en Algérie*</w:t>
      </w:r>
    </w:p>
    <w:p>
      <w:r/>
      <w:r>
        <w:rPr>
          <w:b/>
        </w:rPr>
        <w:t>Sous-classe et Mécanisme d'action :</w:t>
      </w:r>
      <w:r/>
    </w:p>
    <w:p>
      <w:pPr>
        <w:pStyle w:val="ListBullet"/>
      </w:pPr>
      <w:r>
        <w:t>Sous-classe : Antihistaminique H1 — 2e génération (non sédatif), famille des pipéridines (double action H1 + PAF).</w:t>
      </w:r>
    </w:p>
    <w:p>
      <w:pPr>
        <w:pStyle w:val="ListBullet"/>
      </w:pPr>
      <w:r>
        <w:t xml:space="preserve">Mécanisme d'action : </w:t>
      </w:r>
      <w:r>
        <w:rPr>
          <w:b/>
        </w:rPr>
        <w:t>Antihistaminiques H1</w:t>
      </w:r>
      <w:r>
        <w:t xml:space="preserve"> — antagoniste compétitif inverse du récepteur H1 (couplé Gq/11 → PLC → IP3 → Ca2+ → MLCK). La rupatadine bloque l'action de l'histamine sur les récepteurs H1 périphériques : </w:t>
      </w:r>
      <w:r>
        <w:rPr>
          <w:b/>
        </w:rPr>
        <w:t>vasodilatation</w:t>
      </w:r>
      <w:r>
        <w:t xml:space="preserve"> réduite, </w:t>
      </w:r>
      <w:r>
        <w:rPr>
          <w:b/>
        </w:rPr>
        <w:t>perméabilité capillaire</w:t>
      </w:r>
      <w:r>
        <w:t xml:space="preserve"> diminuée (œdème, urticaire), </w:t>
      </w:r>
      <w:r>
        <w:rPr>
          <w:b/>
        </w:rPr>
        <w:t>bronchoconstriction</w:t>
      </w:r>
      <w:r>
        <w:t xml:space="preserve"> atténuée, </w:t>
      </w:r>
      <w:r>
        <w:rPr>
          <w:b/>
        </w:rPr>
        <w:t>prurit et éternuements</w:t>
      </w:r>
      <w:r>
        <w:t xml:space="preserve"> réduits. </w:t>
      </w:r>
      <w:r>
        <w:rPr>
          <w:b/>
        </w:rPr>
        <w:t>Double action PAF</w:t>
      </w:r>
      <w:r>
        <w:t xml:space="preserve"> : la rupatadine est également un </w:t>
      </w:r>
      <w:r>
        <w:rPr>
          <w:b/>
        </w:rPr>
        <w:t>antagoniste du récepteur PAF</w:t>
      </w:r>
      <w:r>
        <w:t xml:space="preserve"> (platelet-activating factor — médiateur lipidique produit par les mastocytes, éosinophiles, macrophages, plaquettes). Le PAF joue un rôle clé dans la bronchoconstriction, la vasodilatation, l'augmentation de la perméabilité vasculaire, le chimiotactisme des éosinophiles et l'activation plaquettaire. La double action H1 + PAF offre un avantage théorique dans la prise en charge de la rhinite allergique et de l'urticaire chronique, avec une efficacité supérieure ou équivalente à la cétirizine et à la loratadine dans certaines études. La rupatadine traverse très faiblement la BBB, et son profil de sédation est comparable au placebo aux doses recommandées. Aucune affinité pour les récepteurs muscariniques. Aux doses recommandées (10 mg/jour), pas d'allongement significatif du QTc.</w:t>
      </w:r>
    </w:p>
    <w:p>
      <w:r/>
      <w:r>
        <w:rPr>
          <w:b/>
        </w:rPr>
        <w:t>Profil Pharmacologique :</w:t>
      </w:r>
      <w:r/>
    </w:p>
    <w:p>
      <w:pPr>
        <w:pStyle w:val="ListBullet"/>
      </w:pPr>
      <w:r/>
      <w:r>
        <w:rPr>
          <w:b/>
        </w:rPr>
        <w:t>Indications</w:t>
      </w:r>
      <w:r>
        <w:t xml:space="preserve"> : rhinite allergique saisonnière et perannuelle chez l'adulte et l'adolescent ≥ 12 ans ; urticaire chronique spontanée (UCS) chez l'adulte. La rupatadine est une alternative moderne à la cétirizine et à la loratadine, en particulier dans la rhinite allergique modérée à sévère et dans l'urticaire chronique résistante aux autres 2e génération.</w:t>
      </w:r>
    </w:p>
    <w:p>
      <w:pPr>
        <w:pStyle w:val="ListBullet"/>
      </w:pPr>
      <w:r/>
      <w:r>
        <w:rPr>
          <w:b/>
        </w:rPr>
        <w:t>Contre-indications</w:t>
      </w:r>
      <w:r>
        <w:t xml:space="preserve"> : hypersensibilité à la rupatadine ; enfants &lt; 12 ans (forme cp 10 mg) ; insuffisance hépatique sévère (Child-Pugh C — métabolisme hépatique obligatoire) ; insuffisance rénale sévère (ClCr &lt; 30 mL/min — accumulation des métabolites actifs). Prudence en cas d'antécédents d'allongement QTc congénital ou acquis, en cas d'association aux allongeurs QT ou aux inhibiteurs puissants du CYP3A4.</w:t>
      </w:r>
    </w:p>
    <w:p>
      <w:pPr>
        <w:pStyle w:val="ListBullet"/>
      </w:pPr>
      <w:r/>
      <w:r>
        <w:rPr>
          <w:b/>
        </w:rPr>
        <w:t>Effets Indésirables</w:t>
      </w:r>
      <w:r>
        <w:t xml:space="preserve"> : tolérance comparable aux autres 2e génération. EI fréquents (≥ 1/100 à &lt; 1/10) : céphalées, somnolence (~3-6 %), étourdissements, sécheresse buccale, fatigue. EI peu fréquents : nausées, dyspepsie, douleurs abdominales, rhinopharyngite. EI rares : rash, urticaire paradoxale, anaphylaxie, </w:t>
      </w:r>
      <w:r>
        <w:rPr>
          <w:b/>
        </w:rPr>
        <w:t>allongement QTc</w:t>
      </w:r>
      <w:r>
        <w:t xml:space="preserve"> (en particulier à dose supérieure à 10 mg/jour ou en cas d'association aux inhibiteurs du CYP3A4). EI très rares : palpitations, tachycardie, hépatite, anomalies biologiques hépatiques.</w:t>
      </w:r>
    </w:p>
    <w:p>
      <w:r/>
      <w:r>
        <w:rPr>
          <w:b/>
        </w:rPr>
        <w:t>Prévention et Gestion des Effets Indésirables :</w:t>
      </w:r>
      <w:r/>
    </w:p>
    <w:p>
      <w:pPr>
        <w:pStyle w:val="ListBullet"/>
      </w:pPr>
      <w:r/>
      <w:r>
        <w:rPr>
          <w:b/>
        </w:rPr>
        <w:t>Mesures Préventives</w:t>
      </w:r>
      <w:r>
        <w:t xml:space="preserve"> : prise unique quotidienne, à n'importe quel moment (profil non sédatif). Adapter la dose en cas d'insuffisance hépatique sévère (CI relative — éviter) ou d'insuffisance rénale sévère (CI relative). Éviter l'association aux </w:t>
      </w:r>
      <w:r>
        <w:rPr>
          <w:b/>
        </w:rPr>
        <w:t>inhibiteurs puissants du CYP3A4</w:t>
      </w:r>
      <w:r>
        <w:t xml:space="preserve"> (kétoconazole, itraconazole, érythromycine, clarithromycine, ritonavir). Éviter l'association aux </w:t>
      </w:r>
      <w:r>
        <w:rPr>
          <w:b/>
        </w:rPr>
        <w:t>allongeurs QT</w:t>
      </w:r>
      <w:r>
        <w:t>. Corriger les troubles électrolytiques (hypokaliémie, hypomagnésémie). Éviter l'alcool par prudence.</w:t>
      </w:r>
    </w:p>
    <w:p>
      <w:pPr>
        <w:pStyle w:val="ListBullet"/>
      </w:pPr>
      <w:r/>
      <w:r>
        <w:rPr>
          <w:b/>
        </w:rPr>
        <w:t>Conduite à Tenir</w:t>
      </w:r>
      <w:r>
        <w:t xml:space="preserve"> : en cas de surdosage (≥ 20 mg) : lavage gastrique si &lt; 1 h, charbon activé, </w:t>
      </w:r>
      <w:r>
        <w:rPr>
          <w:b/>
        </w:rPr>
        <w:t>surveillance ECG obligatoire</w:t>
      </w:r>
      <w:r>
        <w:t xml:space="preserve"> (allongement QTc possible), traitement symptomatique. La rupatadine n'est pas dialysable de manière significative.</w:t>
      </w:r>
    </w:p>
    <w:p>
      <w:r/>
      <w:r>
        <w:rPr>
          <w:b/>
        </w:rPr>
        <w:t>Interactions Importantes :</w:t>
      </w:r>
      <w:r/>
    </w:p>
    <w:p>
      <w:pPr>
        <w:pStyle w:val="ListBullet"/>
      </w:pPr>
      <w:r/>
      <w:r>
        <w:rPr>
          <w:b/>
        </w:rPr>
        <w:t>Rupatadine + kétoconazole / itraconazole / érythromycine / clarithromycine / ritonavir</w:t>
      </w:r>
      <w:r>
        <w:t xml:space="preserve"> (inhibiteurs puissants du CYP3A4) : </w:t>
      </w:r>
      <w:r>
        <w:rPr>
          <w:b/>
        </w:rPr>
        <w:t>augmentation des concentrations plasmatiques de rupatadine</w:t>
      </w:r>
      <w:r>
        <w:t xml:space="preserve"> de 2 à 3×, avec </w:t>
      </w:r>
      <w:r>
        <w:rPr>
          <w:b/>
        </w:rPr>
        <w:t>allongement QTc possible</w:t>
      </w:r>
      <w:r>
        <w:t>. Éviter l'association si possible.</w:t>
      </w:r>
    </w:p>
    <w:p>
      <w:pPr>
        <w:pStyle w:val="ListBullet"/>
      </w:pPr>
      <w:r/>
      <w:r>
        <w:rPr>
          <w:b/>
        </w:rPr>
        <w:t>Rupatadine + allongeurs QT</w:t>
      </w:r>
      <w:r>
        <w:t xml:space="preserve"> (antiarythmiques, certains antidépresseurs, antipsychotiques, fluoroquinolones, macrolides, hydroxyzine) : </w:t>
      </w:r>
      <w:r>
        <w:rPr>
          <w:b/>
        </w:rPr>
        <w:t>risque de torsades de pointe</w:t>
      </w:r>
      <w:r>
        <w:t>. Éviter ou surveiller ECG rapproché.</w:t>
      </w:r>
    </w:p>
    <w:p>
      <w:pPr>
        <w:pStyle w:val="ListBullet"/>
      </w:pPr>
      <w:r/>
      <w:r>
        <w:rPr>
          <w:b/>
        </w:rPr>
        <w:t>Rupatadine + inducteurs du CYP3A4</w:t>
      </w:r>
      <w:r>
        <w:t xml:space="preserve"> (rifampicine, phénytoïne, carbamazépine, phénobarbital, millepertuis) : réduction de l'efficacité de la rupatadine. Surveiller et adapter.</w:t>
      </w:r>
    </w:p>
    <w:p>
      <w:pPr>
        <w:pStyle w:val="ListBullet"/>
      </w:pPr>
      <w:r/>
      <w:r>
        <w:rPr>
          <w:b/>
        </w:rPr>
        <w:t>Rupatadine + alcool</w:t>
      </w:r>
      <w:r>
        <w:t xml:space="preserve"> : pas d'effet additif significatif aux doses recommandées.</w:t>
      </w:r>
    </w:p>
    <w:p>
      <w:r/>
      <w:r>
        <w:rPr>
          <w:b/>
        </w:rPr>
        <w:t>Grossesse et Allaitement :</w:t>
      </w:r>
      <w:r/>
    </w:p>
    <w:p>
      <w:pPr>
        <w:pStyle w:val="ListBullet"/>
      </w:pPr>
      <w:r/>
      <w:r>
        <w:rPr>
          <w:b/>
        </w:rPr>
        <w:t>Grossesse</w:t>
      </w:r>
      <w:r>
        <w:t xml:space="preserve"> : selon le </w:t>
      </w:r>
      <w:r>
        <w:rPr>
          <w:b/>
        </w:rPr>
        <w:t>CRAT</w:t>
      </w:r>
      <w:r>
        <w:t xml:space="preserve">, la rupatadine est </w:t>
      </w:r>
      <w:r>
        <w:rPr>
          <w:b/>
        </w:rPr>
        <w:t>déconseillée pendant la grossesse</w:t>
      </w:r>
      <w:r>
        <w:t xml:space="preserve"> par prudence, en raison de données animales limitées. En pratique, lui préférer la </w:t>
      </w:r>
      <w:r>
        <w:rPr>
          <w:b/>
        </w:rPr>
        <w:t>loratadine</w:t>
      </w:r>
      <w:r>
        <w:t xml:space="preserve"> ou la </w:t>
      </w:r>
      <w:r>
        <w:rPr>
          <w:b/>
        </w:rPr>
        <w:t>cétirizine</w:t>
      </w:r>
      <w:r>
        <w:t xml:space="preserve"> (préférées en 1re intention) en cas de grossesse projetée ou en cours.</w:t>
      </w:r>
    </w:p>
    <w:p>
      <w:pPr>
        <w:pStyle w:val="ListBullet"/>
      </w:pPr>
      <w:r/>
      <w:r>
        <w:rPr>
          <w:b/>
        </w:rPr>
        <w:t>Allaitement</w:t>
      </w:r>
      <w:r>
        <w:t xml:space="preserve"> : selon le CRAT et LactMed, la rupatadine passe dans le lait maternel, mais les données sont limitées. </w:t>
      </w:r>
      <w:r>
        <w:rPr>
          <w:b/>
        </w:rPr>
        <w:t>Allaitement déconseillé</w:t>
      </w:r>
      <w:r>
        <w:t xml:space="preserve"> par prudence. Lui préférer la loratadine ou la fexofénadine.</w:t>
      </w:r>
    </w:p>
    <w:p>
      <w:pPr>
        <w:pStyle w:val="ListBullet"/>
      </w:pPr>
      <w:r/>
      <w:r>
        <w:rPr>
          <w:b/>
        </w:rPr>
        <w:t>Précisions</w:t>
      </w:r>
      <w:r>
        <w:t xml:space="preserve"> : éviter par prudence chez la femme en âge de procréer sans contraception efficace.</w:t>
      </w:r>
    </w:p>
    <w:p>
      <w:r/>
      <w:r>
        <w:rPr>
          <w:b/>
        </w:rPr>
        <w:t>Posologie et Mode d'administration (Standard) :</w:t>
      </w:r>
      <w:r/>
    </w:p>
    <w:p>
      <w:pPr>
        <w:pStyle w:val="ListBullet"/>
      </w:pPr>
      <w:r/>
      <w:r>
        <w:rPr>
          <w:b/>
        </w:rPr>
        <w:t>Adulte et adolescent ≥ 12 ans</w:t>
      </w:r>
      <w:r>
        <w:t xml:space="preserve"> : </w:t>
      </w:r>
      <w:r>
        <w:rPr>
          <w:b/>
        </w:rPr>
        <w:t>10 mg une fois par jour</w:t>
      </w:r>
      <w:r>
        <w:t xml:space="preserve"> (1 comprimé de 10 mg).</w:t>
      </w:r>
    </w:p>
    <w:p>
      <w:pPr>
        <w:pStyle w:val="ListBullet"/>
      </w:pPr>
      <w:r/>
      <w:r>
        <w:rPr>
          <w:b/>
        </w:rPr>
        <w:t>Enfant &lt; 12 ans</w:t>
      </w:r>
      <w:r>
        <w:t xml:space="preserve"> : non recommandé (forme sirop 1 mg/mL non disponible en Algérie).</w:t>
      </w:r>
    </w:p>
    <w:p>
      <w:pPr>
        <w:pStyle w:val="ListBullet"/>
      </w:pPr>
      <w:r/>
      <w:r>
        <w:rPr>
          <w:b/>
        </w:rPr>
        <w:t>Sujet âgé (&gt; 65 ans)</w:t>
      </w:r>
      <w:r>
        <w:t xml:space="preserve"> : pas d'adaptation posologique si fonctions rénale et hépatique normales. Vérifier la clairance de la créatinine et le bilan hépatique avant prescription au-delà de 75 ans.</w:t>
      </w:r>
    </w:p>
    <w:p>
      <w:pPr>
        <w:pStyle w:val="ListBullet"/>
      </w:pPr>
      <w:r/>
      <w:r>
        <w:rPr>
          <w:b/>
        </w:rPr>
        <w:t>Insuffisance rénale</w:t>
      </w:r>
      <w:r>
        <w:t xml:space="preserve"> : pas d'adaptation posologique formelle ; prudence en insuffisance sévère.</w:t>
      </w:r>
    </w:p>
    <w:p>
      <w:pPr>
        <w:pStyle w:val="ListBullet"/>
      </w:pPr>
      <w:r/>
      <w:r>
        <w:rPr>
          <w:b/>
        </w:rPr>
        <w:t>Insuffisance hépatique</w:t>
      </w:r>
      <w:r>
        <w:t xml:space="preserve"> : éviter en insuffisance sévère (métabolisme hépatique obligatoire).</w:t>
      </w:r>
    </w:p>
    <w:p>
      <w:pPr>
        <w:pStyle w:val="ListBullet"/>
      </w:pPr>
      <w:r/>
      <w:r>
        <w:rPr>
          <w:b/>
        </w:rPr>
        <w:t>Durée</w:t>
      </w:r>
      <w:r>
        <w:t xml:space="preserve"> : saison pollinique ; urticaire aiguë 5-14 jours ; urticaire chronique traitement prolongé.</w:t>
      </w:r>
    </w:p>
    <w:p>
      <w:pPr>
        <w:pStyle w:val="ListBullet"/>
      </w:pPr>
      <w:r/>
      <w:r>
        <w:rPr>
          <w:b/>
        </w:rPr>
        <w:t>Moment de la prise</w:t>
      </w:r>
      <w:r>
        <w:t xml:space="preserve"> : à n'importe quel moment de la journée (profil non sédatif).</w:t>
      </w:r>
    </w:p>
    <w:p>
      <w:r/>
      <w:r>
        <w:rPr>
          <w:b/>
        </w:rPr>
        <w:t>Arbitrage et Bénéfices des Formes Galéniques :</w:t>
      </w:r>
      <w:r/>
    </w:p>
    <w:p>
      <w:pPr>
        <w:pStyle w:val="ListBullet"/>
      </w:pPr>
      <w:r/>
      <w:r>
        <w:rPr>
          <w:b/>
        </w:rPr>
        <w:t>Comprimé 10 mg</w:t>
      </w:r>
      <w:r>
        <w:t xml:space="preserve"> (1 marque active — ROPAP) : forme adulte et adolescent ≥ 12 ans. Boîte de 20 (3 semaines de traitement).</w:t>
      </w:r>
    </w:p>
    <w:p>
      <w:pPr>
        <w:pStyle w:val="ListBullet"/>
      </w:pPr>
      <w:r/>
      <w:r>
        <w:rPr>
          <w:b/>
        </w:rPr>
        <w:t>Forme sirop 1 mg/mL</w:t>
      </w:r>
      <w:r>
        <w:t xml:space="preserve"> : non disponible en Algérie pour la rupatadine (disponible en Europe pour la pédiatrie).</w:t>
      </w:r>
    </w:p>
    <w:p>
      <w:pPr>
        <w:pStyle w:val="ListBullet"/>
      </w:pPr>
      <w:r/>
      <w:r>
        <w:rPr>
          <w:b/>
        </w:rPr>
        <w:t>Forme orodispersible</w:t>
      </w:r>
      <w:r>
        <w:t xml:space="preserve"> : non disponible en Algérie.</w:t>
      </w:r>
    </w:p>
    <w:p>
      <w:pPr>
        <w:pStyle w:val="ListBullet"/>
      </w:pPr>
      <w:r/>
      <w:r>
        <w:rPr>
          <w:b/>
        </w:rPr>
        <w:t>Forme injectable</w:t>
      </w:r>
      <w:r>
        <w:t xml:space="preserve"> : non disponible.</w:t>
      </w:r>
    </w:p>
    <w:p>
      <w:r/>
      <w:r>
        <w:rPr>
          <w:b/>
        </w:rPr>
        <w:t>Instructions et Conseils au Patient :</w:t>
      </w:r>
      <w:r/>
    </w:p>
    <w:p>
      <w:pPr>
        <w:pStyle w:val="ListBullet"/>
      </w:pPr>
      <w:r/>
      <w:r>
        <w:rPr>
          <w:b/>
        </w:rPr>
        <w:t>Communication au comptoir</w:t>
      </w:r>
      <w:r>
        <w:t xml:space="preserve"> : « *Ce médicament est un antihistaminique moderne avec une double action (anti-histamine + anti-PAF). Prenez-le une fois par jour, à n'importe quel moment. Évitez l'association avec certains antibiotiques (macrolides) ou antifongiques (kétoconazole) — parlez-en à votre pharmacien ou médecin. Si vous prenez un médicament allongeur de QT ou si vous avez des problèmes cardiaques, prévenez votre médecin.* »</w:t>
      </w:r>
    </w:p>
    <w:p>
      <w:pPr>
        <w:pStyle w:val="ListBullet"/>
      </w:pPr>
      <w:r/>
      <w:r>
        <w:rPr>
          <w:b/>
        </w:rPr>
        <w:t>Mode d'utilisation pratique</w:t>
      </w:r>
      <w:r>
        <w:t xml:space="preserve"> : comprimé à avaler entier avec un peu d'eau. En cas d'oubli : prendre dès que possible dans la journée, ne pas doubler la dose le lendemain. Conservation : température &lt; 25 °C, à l'abri de l'humidité et de la lumière. Ne pas dépasser 14 jours d'automédication sans avis médical.</w:t>
      </w:r>
    </w:p>
    <w:p>
      <w:r/>
      <w:r>
        <w:rPr>
          <w:b/>
        </w:rPr>
        <w:t>Notes, Règles d'Or &amp; Pièges au Comptoir :</w:t>
      </w:r>
      <w:r/>
    </w:p>
    <w:p>
      <w:pPr>
        <w:pStyle w:val="ListBullet"/>
      </w:pPr>
      <w:r/>
      <w:r>
        <w:rPr>
          <w:b/>
        </w:rPr>
        <w:t>Piège classique</w:t>
      </w:r>
      <w:r>
        <w:t xml:space="preserve"> : </w:t>
      </w:r>
      <w:r>
        <w:rPr>
          <w:b/>
        </w:rPr>
        <w:t>association aux inhibiteurs du CYP3A4</w:t>
      </w:r>
      <w:r>
        <w:t xml:space="preserve"> (kétoconazole, érythromycine, clarithromycine, ritonavir) — risque d'allongement QTc par accumulation de rupatadine. </w:t>
      </w:r>
      <w:r>
        <w:rPr>
          <w:b/>
        </w:rPr>
        <w:t>Antécédents cardiaques</w:t>
      </w:r>
      <w:r>
        <w:t xml:space="preserve"> : toujours demander au patient s'il a des antécédents d'arythmie, de syncopes, d'allongement QTc congénital, ou s'il prend un traitement antiarythmique. </w:t>
      </w:r>
      <w:r>
        <w:rPr>
          <w:b/>
        </w:rPr>
        <w:t>Millepertuis</w:t>
      </w:r>
      <w:r>
        <w:t xml:space="preserve"> : peut réduire l'efficacité de la rupatadine (induction CYP3A4). </w:t>
      </w:r>
      <w:r>
        <w:rPr>
          <w:b/>
        </w:rPr>
        <w:t>Substitution vers autres 2e génération</w:t>
      </w:r>
      <w:r>
        <w:t xml:space="preserve"> : la bilastine et la fexofénadine n'ont pas de métabolisme hépatique (moins d'interactions) — à privilégier en cas de polymédication.</w:t>
      </w:r>
    </w:p>
    <w:p>
      <w:pPr>
        <w:pStyle w:val="ListBullet"/>
      </w:pPr>
      <w:r/>
      <w:r>
        <w:rPr>
          <w:b/>
        </w:rPr>
        <w:t>Règle de prise</w:t>
      </w:r>
      <w:r>
        <w:t xml:space="preserve"> : une fois par jour, à n'importe quel moment. Pas d'alcool. Pas de double dose en cas d'oubli.</w:t>
      </w:r>
    </w:p>
    <w:p>
      <w:pPr>
        <w:pStyle w:val="ListBullet"/>
      </w:pPr>
      <w:r/>
      <w:r>
        <w:rPr>
          <w:b/>
        </w:rPr>
        <w:t>Préparation et Conservation</w:t>
      </w:r>
      <w:r>
        <w:t xml:space="preserve"> : comprimés à température &lt; 25 °C, à l'abri de l'humidité et de la lumière.</w:t>
      </w:r>
    </w:p>
    <w:p>
      <w:pPr>
        <w:pStyle w:val="ListBullet"/>
      </w:pPr>
      <w:r/>
      <w:r>
        <w:rPr>
          <w:b/>
        </w:rPr>
        <w:t>Piège du surdosage / Substitution</w:t>
      </w:r>
      <w:r>
        <w:t xml:space="preserve"> : </w:t>
      </w:r>
      <w:r>
        <w:rPr>
          <w:b/>
        </w:rPr>
        <w:t>surdosage</w:t>
      </w:r>
      <w:r>
        <w:t xml:space="preserve"> (≥ 20 mg) : lavage gastrique si &lt; 1 h, charbon activé, </w:t>
      </w:r>
      <w:r>
        <w:rPr>
          <w:b/>
        </w:rPr>
        <w:t>surveillance ECG obligatoire</w:t>
      </w:r>
      <w:r>
        <w:t xml:space="preserve">. </w:t>
      </w:r>
      <w:r>
        <w:rPr>
          <w:b/>
        </w:rPr>
        <w:t>Substitution rupatadine → bilastine</w:t>
      </w:r>
      <w:r>
        <w:t xml:space="preserve"> : alternative moderne sans métabolisme hépatique (moins d'interactions).</w:t>
      </w:r>
    </w:p>
    <w:p>
      <w:pPr>
        <w:pStyle w:val="Heading2"/>
      </w:pPr>
      <w:r>
        <w:t>4. Introduction à la sous-classe des antihistaminiques H1 de 1re génération (sédatifs)</w:t>
      </w:r>
    </w:p>
    <w:p>
      <w:r>
        <w:t xml:space="preserve">Les </w:t>
      </w:r>
      <w:r>
        <w:rPr>
          <w:b/>
        </w:rPr>
        <w:t>antihistaminiques H1 de 1re génération</w:t>
      </w:r>
      <w:r>
        <w:t xml:space="preserve"> sont les premiers antihistaminiques mis au point, à partir des années 1940, à une époque où la caractérisation moléculaire des récepteurs histaminergiques n'en était qu'à ses balbutiements (Dale et Laidlaw 1910 — decouverte de l'histamine ; Bovet et Staub 1937 — premier antihistaminique de synthèse, thymoxyéthyldiéthylamine ; Bovet Prix Nobel 1957). Leurs caractéristiques structurales communes — un </w:t>
      </w:r>
      <w:r>
        <w:rPr>
          <w:b/>
        </w:rPr>
        <w:t>noyau aromatique lipophile</w:t>
      </w:r>
      <w:r>
        <w:t xml:space="preserve"> substitué par une </w:t>
      </w:r>
      <w:r>
        <w:rPr>
          <w:b/>
        </w:rPr>
        <w:t>chaîne alkylamine</w:t>
      </w:r>
      <w:r>
        <w:t xml:space="preserve"> intermédiaire reliant un groupement amine basique — leur confèrent une </w:t>
      </w:r>
      <w:r>
        <w:rPr>
          <w:b/>
        </w:rPr>
        <w:t>liposolubilité élevée</w:t>
      </w:r>
      <w:r>
        <w:t xml:space="preserve"> leur permettant de </w:t>
      </w:r>
      <w:r>
        <w:rPr>
          <w:b/>
        </w:rPr>
        <w:t>traverser massivement la barrière hémato-encéphalique (BBB)</w:t>
      </w:r>
      <w:r>
        <w:t xml:space="preserve"> et de se lier aux récepteurs H1 centraux (vigilance, nausées, antiémèse) mais aussi à de très nombreux autres récepteurs : </w:t>
      </w:r>
      <w:r>
        <w:rPr>
          <w:b/>
        </w:rPr>
        <w:t>muscariniques M1-M3</w:t>
      </w:r>
      <w:r>
        <w:t xml:space="preserve"> (effets atropiniques : sécheresse buccale, mydriase, rétention urinaire, tachycardie, troubles cognitifs), </w:t>
      </w:r>
      <w:r>
        <w:rPr>
          <w:b/>
        </w:rPr>
        <w:t>α1-adrénergiques</w:t>
      </w:r>
      <w:r>
        <w:t xml:space="preserve"> (hypotension orthostatique, sédation), </w:t>
      </w:r>
      <w:r>
        <w:rPr>
          <w:b/>
        </w:rPr>
        <w:t>sérotoninergiques 5-HT2A</w:t>
      </w:r>
      <w:r>
        <w:t xml:space="preserve"> (antiémétique), </w:t>
      </w:r>
      <w:r>
        <w:rPr>
          <w:b/>
        </w:rPr>
        <w:t>canaux sodiques cardiaques</w:t>
      </w:r>
      <w:r>
        <w:t xml:space="preserve"> (allongement QT, en particulier hydroxyzine). Cette polyvalence pharmacologique explique à la fois leur efficacité dans certaines indications spécifiques (sédation, antiémèse, mal des transports, prurit central) et leur mauvaise tolérance (sédation, atropinique, cardiovasculaire). Ils sont aujourd'hui </w:t>
      </w:r>
      <w:r>
        <w:rPr>
          <w:b/>
        </w:rPr>
        <w:t>déconseillés en première intention</w:t>
      </w:r>
      <w:r>
        <w:t xml:space="preserve"> dans la rhinite allergique et l'urticaire chronique (où les 2e génération sont préférées), mais conservent des indications spécifiques où leur effet central est recherché ou où ils n'ont pas d'alternative thérapeutique.</w:t>
      </w:r>
    </w:p>
    <w:p>
      <w:pPr>
        <w:pStyle w:val="Heading3"/>
      </w:pPr>
      <w:r>
        <w:t>Classification structurale</w:t>
      </w:r>
    </w:p>
    <w:p>
      <w:r>
        <w:t>Les 1re génération sont classés en plusieurs familles chimiques selon leur noyau central :</w:t>
      </w:r>
    </w:p>
    <w:p>
      <w:pPr>
        <w:pStyle w:val="ListBullet"/>
      </w:pPr>
      <w:r/>
      <w:r>
        <w:rPr>
          <w:b/>
        </w:rPr>
        <w:t>Phénothiazines</w:t>
      </w:r>
      <w:r>
        <w:t xml:space="preserve"> : </w:t>
      </w:r>
      <w:r>
        <w:rPr>
          <w:b/>
        </w:rPr>
        <w:t>prométhazine</w:t>
      </w:r>
      <w:r>
        <w:t xml:space="preserve"> (structure tricyclique thiazine). Historiquement la première phénothiazine commercialisée (Rhône-Poulenc 1946 — Phenergan™). Également utilisée comme </w:t>
      </w:r>
      <w:r>
        <w:rPr>
          <w:b/>
        </w:rPr>
        <w:t>antipsychotique</w:t>
      </w:r>
      <w:r>
        <w:t xml:space="preserve"> à très haute dose (et classée dans les neuroleptiques phénothiaziniques dans d'autres ouvrages), mais en pratique médicale courante elle est utilisée à dose anti-histaminique (25 mg) ou antiémétique/sédatif en médecine péri-opératoire. Inscrite sur la </w:t>
      </w:r>
      <w:r>
        <w:rPr>
          <w:b/>
        </w:rPr>
        <w:t>Liste I</w:t>
      </w:r>
      <w:r>
        <w:t xml:space="preserve"> en Algérie.</w:t>
      </w:r>
    </w:p>
    <w:p>
      <w:pPr>
        <w:pStyle w:val="ListBullet"/>
      </w:pPr>
      <w:r/>
      <w:r>
        <w:rPr>
          <w:b/>
        </w:rPr>
        <w:t>Éthanolamines</w:t>
      </w:r>
      <w:r>
        <w:t xml:space="preserve"> : </w:t>
      </w:r>
      <w:r>
        <w:rPr>
          <w:b/>
        </w:rPr>
        <w:t>doxylamine</w:t>
      </w:r>
      <w:r>
        <w:t xml:space="preserve"> (et historiquement diphénhydramine — retirée du marché français en 2016 comme antitussif). La doxylamine est l'un des antihistaminiques H1 les plus sédatifs, utilisé en automédication dans l'insomnie (Donormyl™ en France, DORLAMINE/SULAMINE en Algérie), en association à la pyridoxine (vitamine B6) comme antiémétique de la grossesse (XXX™ — non disponible en Algérie). Inscrite sur la </w:t>
      </w:r>
      <w:r>
        <w:rPr>
          <w:b/>
        </w:rPr>
        <w:t>Liste II</w:t>
      </w:r>
      <w:r>
        <w:t>.</w:t>
      </w:r>
    </w:p>
    <w:p>
      <w:pPr>
        <w:pStyle w:val="ListBullet"/>
      </w:pPr>
      <w:r/>
      <w:r>
        <w:rPr>
          <w:b/>
        </w:rPr>
        <w:t>Alkylamines</w:t>
      </w:r>
      <w:r>
        <w:t xml:space="preserve"> : </w:t>
      </w:r>
      <w:r>
        <w:rPr>
          <w:b/>
        </w:rPr>
        <w:t>dexchlorphéniramine</w:t>
      </w:r>
      <w:r>
        <w:t xml:space="preserve"> (énantiomère actif de la chlorphéniramine), </w:t>
      </w:r>
      <w:r>
        <w:rPr>
          <w:b/>
        </w:rPr>
        <w:t>chlorphénamine</w:t>
      </w:r>
      <w:r>
        <w:t xml:space="preserve"> (racémique — ancienne Polaramine™ racémique retirée, remplacée par la forme dex, énantiomère actif). Les alkylamines sont </w:t>
      </w:r>
      <w:r>
        <w:rPr>
          <w:b/>
        </w:rPr>
        <w:t>moins sédatives</w:t>
      </w:r>
      <w:r>
        <w:t xml:space="preserve"> que les phénothiazines et les éthanolamines, et sont parfois considérées comme une </w:t>
      </w:r>
      <w:r>
        <w:rPr>
          <w:b/>
        </w:rPr>
        <w:t>catégorie intermédiaire</w:t>
      </w:r>
      <w:r>
        <w:t xml:space="preserve"> entre 1re et 2e génération (elles sont toutefois officiellement classées en 1re génération en raison de leur passage BBB et de leurs effets atropiniques). La dexchlorphéniramine est inscrite sur la </w:t>
      </w:r>
      <w:r>
        <w:rPr>
          <w:b/>
        </w:rPr>
        <w:t>Liste II</w:t>
      </w:r>
      <w:r>
        <w:t xml:space="preserve"> (sirop) en Algérie.</w:t>
      </w:r>
    </w:p>
    <w:p>
      <w:pPr>
        <w:pStyle w:val="ListBullet"/>
      </w:pPr>
      <w:r/>
      <w:r>
        <w:rPr>
          <w:b/>
        </w:rPr>
        <w:t>Pipérazines</w:t>
      </w:r>
      <w:r>
        <w:t xml:space="preserve"> : </w:t>
      </w:r>
      <w:r>
        <w:rPr>
          <w:b/>
        </w:rPr>
        <w:t>hydroxyzine</w:t>
      </w:r>
      <w:r>
        <w:t xml:space="preserve"> (dérivée de la cyclizine). Atarax™ UCB Pharma, 1956. Anxiolytique léger et antihistaminique, inscrite sur la </w:t>
      </w:r>
      <w:r>
        <w:rPr>
          <w:b/>
        </w:rPr>
        <w:t>Liste I</w:t>
      </w:r>
      <w:r>
        <w:t xml:space="preserve"> en Algérie. </w:t>
      </w:r>
      <w:r>
        <w:rPr>
          <w:b/>
        </w:rPr>
        <w:t>Restriction ANSM 2015</w:t>
      </w:r>
      <w:r>
        <w:t xml:space="preserve"> : dose maximale 100 mg/jour, surveillance ECG en raison du risque d'allongement QT et de torsades de pointe (cf. fiche dédiée).</w:t>
      </w:r>
    </w:p>
    <w:p>
      <w:pPr>
        <w:pStyle w:val="ListBullet"/>
      </w:pPr>
      <w:r/>
      <w:r>
        <w:rPr>
          <w:b/>
        </w:rPr>
        <w:t>Éthylènediamines</w:t>
      </w:r>
      <w:r>
        <w:t xml:space="preserve"> : </w:t>
      </w:r>
      <w:r>
        <w:rPr>
          <w:b/>
        </w:rPr>
        <w:t>mépyramine / pyrilamine</w:t>
      </w:r>
      <w:r>
        <w:t xml:space="preserve"> (historique, retirée en monothérapie ; encore présente dans certaines associations fixes comme ATUSSINE — cf. Chapitre 64).</w:t>
      </w:r>
    </w:p>
    <w:p>
      <w:pPr>
        <w:pStyle w:val="ListBullet"/>
      </w:pPr>
      <w:r/>
      <w:r>
        <w:rPr>
          <w:b/>
        </w:rPr>
        <w:t>Pipéridines (1re génération)</w:t>
      </w:r>
      <w:r>
        <w:t xml:space="preserve"> : </w:t>
      </w:r>
      <w:r>
        <w:rPr>
          <w:b/>
        </w:rPr>
        <w:t>cyproheptadine</w:t>
      </w:r>
      <w:r>
        <w:t xml:space="preserve"> (non traitée dans ce chapitre, principalement indiquée dans les syndromes carcinoïdes et l'anorexie/achylie).</w:t>
      </w:r>
    </w:p>
    <w:p>
      <w:pPr>
        <w:pStyle w:val="ListBullet"/>
      </w:pPr>
      <w:r/>
      <w:r>
        <w:rPr>
          <w:b/>
        </w:rPr>
        <w:t>Butyrophénones</w:t>
      </w:r>
      <w:r>
        <w:t xml:space="preserve"> : </w:t>
      </w:r>
      <w:r>
        <w:rPr>
          <w:b/>
        </w:rPr>
        <w:t>bromphéniramine</w:t>
      </w:r>
      <w:r>
        <w:t xml:space="preserve"> (peu utilisée en France, retirée).</w:t>
      </w:r>
    </w:p>
    <w:p>
      <w:pPr>
        <w:pStyle w:val="Heading3"/>
      </w:pPr>
      <w:r>
        <w:t>Profil pharmacologique commun</w:t>
      </w:r>
    </w:p>
    <w:p>
      <w:pPr>
        <w:pStyle w:val="ListBullet"/>
      </w:pPr>
      <w:r/>
      <w:r>
        <w:rPr>
          <w:b/>
        </w:rPr>
        <w:t>Effets centraux</w:t>
      </w:r>
      <w:r>
        <w:t xml:space="preserve"> : sédation (effet dose-dépendant), somnolence, altération de la vigilance, diminution des performances psychomotrices, troubles cognitifs (mémoire, attention), effets antiémétiques (via H1 et 5-HT2A centraux), anti-vertigineux (mal des transports), potentialisation des effets de l'alcool et des dépresseurs du SNC.</w:t>
      </w:r>
    </w:p>
    <w:p>
      <w:pPr>
        <w:pStyle w:val="ListBullet"/>
      </w:pPr>
      <w:r/>
      <w:r>
        <w:rPr>
          <w:b/>
        </w:rPr>
        <w:t>Effets anticholinergiques (atropiniques)</w:t>
      </w:r>
      <w:r>
        <w:t xml:space="preserve"> : sécheresse buccale, mydriase (risque de crise de glaucome aigu), troubles de l'accommodation, rétention urinaire (risque chez l'homme âgé avec hypertrophie bénigne de la prostate), tachycardie, constipation.</w:t>
      </w:r>
    </w:p>
    <w:p>
      <w:pPr>
        <w:pStyle w:val="ListBullet"/>
      </w:pPr>
      <w:r/>
      <w:r>
        <w:rPr>
          <w:b/>
        </w:rPr>
        <w:t>Effets cardiovasculaires</w:t>
      </w:r>
      <w:r>
        <w:t xml:space="preserve"> : hypotension orthostatique (blocage α1-adrénergique), </w:t>
      </w:r>
      <w:r>
        <w:rPr>
          <w:b/>
        </w:rPr>
        <w:t>allongement du QTc</w:t>
      </w:r>
      <w:r>
        <w:t xml:space="preserve"> (en particulier hydroxyzine — ANSM 2015), risque de </w:t>
      </w:r>
      <w:r>
        <w:rPr>
          <w:b/>
        </w:rPr>
        <w:t>torsades de pointe</w:t>
      </w:r>
      <w:r>
        <w:t xml:space="preserve"> à dose élevée ou en association avec d'autres allongeurs QT.</w:t>
      </w:r>
    </w:p>
    <w:p>
      <w:pPr>
        <w:pStyle w:val="ListBullet"/>
      </w:pPr>
      <w:r/>
      <w:r>
        <w:rPr>
          <w:b/>
        </w:rPr>
        <w:t>Effets digestifs</w:t>
      </w:r>
      <w:r>
        <w:t xml:space="preserve"> : nausées, vomissements (paradoxalement — alors qu'ils sont antiémétiques), sécheresse buccale, constipation.</w:t>
      </w:r>
    </w:p>
    <w:p>
      <w:pPr>
        <w:pStyle w:val="ListBullet"/>
      </w:pPr>
      <w:r/>
      <w:r>
        <w:rPr>
          <w:b/>
        </w:rPr>
        <w:t>Effets allergiques</w:t>
      </w:r>
      <w:r>
        <w:t xml:space="preserve"> : réactions cutanées (rash, urticaire paradoxale), photosensibilité, exceptionnellement anaphylaxie.</w:t>
      </w:r>
    </w:p>
    <w:p>
      <w:pPr>
        <w:pStyle w:val="Heading3"/>
      </w:pPr>
      <w:r>
        <w:t>Indications spécifiques (non couvertes par les 2e génération)</w:t>
      </w:r>
    </w:p>
    <w:p>
      <w:pPr>
        <w:pStyle w:val="ListBullet"/>
      </w:pPr>
      <w:r/>
      <w:r>
        <w:rPr>
          <w:b/>
        </w:rPr>
        <w:t>Sédation pré-médicamentuse et anxiolyse courte</w:t>
      </w:r>
      <w:r>
        <w:t xml:space="preserve"> : hydroxyzine (ATARAX, ATADOZE, CROXIZINE, DURRAX, HYDROXIL) — à dose 25 à 100 mg/jour, sous surveillance QT selon ANSM 2015.</w:t>
      </w:r>
    </w:p>
    <w:p>
      <w:pPr>
        <w:pStyle w:val="ListBullet"/>
      </w:pPr>
      <w:r/>
      <w:r>
        <w:rPr>
          <w:b/>
        </w:rPr>
        <w:t>Anti-émétisme péri-opératoire</w:t>
      </w:r>
      <w:r>
        <w:t xml:space="preserve"> : prométhazine en injection IM/IV (PRANOK 50 mg/2 mL).</w:t>
      </w:r>
    </w:p>
    <w:p>
      <w:pPr>
        <w:pStyle w:val="ListBullet"/>
      </w:pPr>
      <w:r/>
      <w:r>
        <w:rPr>
          <w:b/>
        </w:rPr>
        <w:t>Mal des transports (cinétose)</w:t>
      </w:r>
      <w:r>
        <w:t xml:space="preserve"> : prométhazine en prévention (cp 25 mg — retiré en Algérie, utiliser la forme injectable hors AMM ou passer à d'autres antihistaminiques moins accessibles).</w:t>
      </w:r>
    </w:p>
    <w:p>
      <w:pPr>
        <w:pStyle w:val="ListBullet"/>
      </w:pPr>
      <w:r/>
      <w:r>
        <w:rPr>
          <w:b/>
        </w:rPr>
        <w:t>Insomnie</w:t>
      </w:r>
      <w:r>
        <w:t xml:space="preserve"> : doxylamine (DORLAMINE, SULAMINE) en automédication, à dose 25 mg au coucher, traitement court (≤ 5 jours).</w:t>
      </w:r>
    </w:p>
    <w:p>
      <w:pPr>
        <w:pStyle w:val="ListBullet"/>
      </w:pPr>
      <w:r/>
      <w:r>
        <w:rPr>
          <w:b/>
        </w:rPr>
        <w:t>Hyperemesis gravidarum</w:t>
      </w:r>
      <w:r>
        <w:t xml:space="preserve"> (vomissements incoercibles de la grossesse) : doxylamine + pyridoxine (XXX™ — non disponible en Algérie, mais la doxylamine seule peut être utilisée sous surveillance médicale).</w:t>
      </w:r>
    </w:p>
    <w:p>
      <w:pPr>
        <w:pStyle w:val="ListBullet"/>
      </w:pPr>
      <w:r/>
      <w:r>
        <w:rPr>
          <w:b/>
        </w:rPr>
        <w:t>Prurit non histaminique</w:t>
      </w:r>
      <w:r>
        <w:t xml:space="preserve"> (atopie, cholestase, uraémie, prurigo) : hydroxyzine en raison de son effet sédatif central.</w:t>
      </w:r>
    </w:p>
    <w:p>
      <w:pPr>
        <w:pStyle w:val="ListBullet"/>
      </w:pPr>
      <w:r/>
      <w:r>
        <w:rPr>
          <w:b/>
        </w:rPr>
        <w:t>Urticaire aiguë sévère</w:t>
      </w:r>
      <w:r>
        <w:t xml:space="preserve"> : dexchlorphéniramine IM (HISTAGAN, DEXCHLORPHENIRAMINE AFRO, DORAMINE, FENIRAMINE, GENARITYNE — solution buvable en Algérie ; forme injectable IM retirée POLARAMINE) ou hydroxyzine IM/IV (ATARAX 50 mg/mL).</w:t>
      </w:r>
    </w:p>
    <w:p>
      <w:pPr>
        <w:pStyle w:val="ListBullet"/>
      </w:pPr>
      <w:r/>
      <w:r>
        <w:rPr>
          <w:b/>
        </w:rPr>
        <w:t>Anaphylaxie</w:t>
      </w:r>
      <w:r>
        <w:t xml:space="preserve"> : jamais en monothérapie — l'antihistaminique H1 vient en complément de l'adrénaline IM (cf. Chapitre 63 — omalizumab ; les 1re génération sont parfois utilisées en complément dans l'urticaire résiduelle de l'anaphylaxie).</w:t>
      </w:r>
    </w:p>
    <w:p>
      <w:pPr>
        <w:pStyle w:val="Heading3"/>
      </w:pPr>
      <w:r>
        <w:t>Restrictions réglementaires critiques</w:t>
      </w:r>
    </w:p>
    <w:p>
      <w:pPr>
        <w:pStyle w:val="ListBullet"/>
      </w:pPr>
      <w:r/>
      <w:r>
        <w:rPr>
          <w:b/>
        </w:rPr>
        <w:t>Hydroxyzine et QT</w:t>
      </w:r>
      <w:r>
        <w:t xml:space="preserve"> : selon l'</w:t>
      </w:r>
      <w:r>
        <w:rPr>
          <w:b/>
        </w:rPr>
        <w:t>ANSM (mars 2015)</w:t>
      </w:r>
      <w:r>
        <w:t xml:space="preserve">, l'hydroxyzine est restreinte à une </w:t>
      </w:r>
      <w:r>
        <w:rPr>
          <w:b/>
        </w:rPr>
        <w:t>dose maximale de 100 mg/jour</w:t>
      </w:r>
      <w:r>
        <w:t xml:space="preserve"> chez l'adulte, avec une </w:t>
      </w:r>
      <w:r>
        <w:rPr>
          <w:b/>
        </w:rPr>
        <w:t>surveillance ECG obligatoire</w:t>
      </w:r>
      <w:r>
        <w:t xml:space="preserve"> avant initiation et au cours du traitement en cas d'association à d'autres allongeurs QT, en cas d'hypokaliémie/hypomagnésémie, ou en cas d'antécédents cardiovasculaires. Cette restriction fait suite à l'évaluation européenne de l'hydroxyzine par le PRAC EMA (2014-2015) qui a conclu à un risque dose-dépendant d'allongement du QTc et de torsades de pointe, en particulier à dose supérieure à 100 mg/jour. En pratique, l'hydroxyzine est aujourd'hui principalement utilisée comme </w:t>
      </w:r>
      <w:r>
        <w:rPr>
          <w:b/>
        </w:rPr>
        <w:t>anxiolytique de courte durée</w:t>
      </w:r>
      <w:r>
        <w:t xml:space="preserve"> (traitement de l'anxiété généralisée, ≤ 12 semaines) à dose 25 à 50 mg/jour.</w:t>
      </w:r>
    </w:p>
    <w:p>
      <w:pPr>
        <w:pStyle w:val="ListBullet"/>
      </w:pPr>
      <w:r/>
      <w:r>
        <w:rPr>
          <w:b/>
        </w:rPr>
        <w:t>Prométhazine et enfant &lt; 2 ans</w:t>
      </w:r>
      <w:r>
        <w:t xml:space="preserve"> : </w:t>
      </w:r>
      <w:r>
        <w:rPr>
          <w:b/>
        </w:rPr>
        <w:t>contre-indication absolue</w:t>
      </w:r>
      <w:r>
        <w:t xml:space="preserve"> chez l'enfant de moins de 2 ans, en raison du risque documenté de </w:t>
      </w:r>
      <w:r>
        <w:rPr>
          <w:b/>
        </w:rPr>
        <w:t>mort subite du nourrisson</w:t>
      </w:r>
      <w:r>
        <w:t xml:space="preserve"> (effet dépresseur respiratoire central, potentialisation par les effets atropiniques sur la commande respiratoire). Cette CI s'applique à toutes les phénothiazines en pédiatrie.</w:t>
      </w:r>
    </w:p>
    <w:p>
      <w:pPr>
        <w:pStyle w:val="ListBullet"/>
      </w:pPr>
      <w:r/>
      <w:r>
        <w:rPr>
          <w:b/>
        </w:rPr>
        <w:t>Prométhazine et enfant &lt; 6 ans</w:t>
      </w:r>
      <w:r>
        <w:t xml:space="preserve"> : contre-indication relative, à réserver à des indications spécifiques (hospitalisation, prémédication) sous surveillance médicale stricte.</w:t>
      </w:r>
    </w:p>
    <w:p>
      <w:pPr>
        <w:pStyle w:val="ListBullet"/>
      </w:pPr>
      <w:r/>
      <w:r>
        <w:rPr>
          <w:b/>
        </w:rPr>
        <w:t>Prométhazine et grossesse</w:t>
      </w:r>
      <w:r>
        <w:t xml:space="preserve"> : à éviter au 3e trimestre en raison du risque d'hypotension néonatale et de détresse respiratoire.</w:t>
      </w:r>
    </w:p>
    <w:p>
      <w:pPr>
        <w:pStyle w:val="ListBullet"/>
      </w:pPr>
      <w:r/>
      <w:r>
        <w:rPr>
          <w:b/>
        </w:rPr>
        <w:t>1re génération et conduite automobile</w:t>
      </w:r>
      <w:r>
        <w:t xml:space="preserve"> : déconseillée systématiquement, en particulier en début de traitement et en association à l'alcool.</w:t>
      </w:r>
    </w:p>
    <w:p>
      <w:pPr>
        <w:pStyle w:val="Heading3"/>
      </w:pPr>
      <w:r>
        <w:t>Liste des DCI traitées (4 molécules)</w:t>
      </w:r>
    </w:p>
    <w:p>
      <w:pPr>
        <w:pStyle w:val="ListNumber"/>
      </w:pPr>
      <w:r>
        <w:t>Hydroxyzine (1re génération, pipérazine, anxiolytique, antihistaminique — restriction ANSM 2015)</w:t>
      </w:r>
    </w:p>
    <w:p>
      <w:pPr>
        <w:pStyle w:val="ListNumber"/>
      </w:pPr>
      <w:r>
        <w:t>Prométhazine (1re génération, phénothiazine — CI enfant &lt; 2 ans)</w:t>
      </w:r>
    </w:p>
    <w:p>
      <w:pPr>
        <w:pStyle w:val="ListNumber"/>
      </w:pPr>
      <w:r>
        <w:t>Dexchlorphéniramine (1re génération, alkylamine — la moins sédative des 1re génération)</w:t>
      </w:r>
    </w:p>
    <w:p>
      <w:pPr>
        <w:pStyle w:val="ListNumber"/>
      </w:pPr>
      <w:r>
        <w:t>Doxylamine (1re génération, éthanolamine — insomnie, antiémétique grossesse)</w:t>
      </w:r>
    </w:p>
    <w:p>
      <w:pPr>
        <w:pStyle w:val="Heading2"/>
      </w:pPr>
      <w:r>
        <w:t>5. Fiches DCI — Antihistaminiques H1 de 1re génération</w:t>
      </w:r>
    </w:p>
    <w:p>
      <w:pPr>
        <w:pStyle w:val="Heading3"/>
      </w:pPr>
      <w:r>
        <w:t>5.1. DCI : Hydroxyzine (Seule)</w:t>
      </w:r>
    </w:p>
    <w:p>
      <w:r/>
      <w:r>
        <w:rPr>
          <w:b/>
        </w:rPr>
        <w:t>Liste des Catégories :</w:t>
      </w:r>
      <w:r>
        <w:t xml:space="preserve"> Antihistaminique H1 — 1re génération (sédatif), Anxiolytique (liste I), Sédatif, Prurit (histaminique et non histaminique), Prémédication anesthésique, Allongeur QT (restriction ANSM 2015 — dose max 100 mg/jour), Liste I (prescription obligatoire).</w:t>
      </w:r>
    </w:p>
    <w:p>
      <w:r>
        <w:t>L'</w:t>
      </w:r>
      <w:r>
        <w:rPr>
          <w:b/>
        </w:rPr>
        <w:t>hydroxyzine</w:t>
      </w:r>
      <w:r>
        <w:t xml:space="preserve"> (dichlorhydrate d'hydroxyzine, formule C21H27ClN2O2 · 2HCl ; M = 447,8 g/mol sous forme dichlorhydrate) est un antihistaminique H1 de 1re génération de la famille des </w:t>
      </w:r>
      <w:r>
        <w:rPr>
          <w:b/>
        </w:rPr>
        <w:t>pipérazines</w:t>
      </w:r>
      <w:r>
        <w:t xml:space="preserve">, commercialisée en Algérie sous </w:t>
      </w:r>
      <w:r>
        <w:rPr>
          <w:b/>
        </w:rPr>
        <w:t>6 marques actives</w:t>
      </w:r>
      <w:r>
        <w:t xml:space="preserve"> (ATARAX UCB Pharma, ATADOZE Novapharm, CROXIZINE Crovis, DURRAX Groupe Santé, HYDROXIL LAM) en Avril 2026 — incluant les formes orales (comprimés 25 mg et 100 mg, sirop 2 mg/mL) et injectables (ATARAX 50 mg/mL, UCB Pharma, Liste I). Développée par le laboratoire belge UCB Pharma dans les années 1950 (Atarax™), l'hydroxyzine est utilisée pour son triple effet </w:t>
      </w:r>
      <w:r>
        <w:rPr>
          <w:b/>
        </w:rPr>
        <w:t>anti-H1</w:t>
      </w:r>
      <w:r>
        <w:t xml:space="preserve"> (antihistaminique), </w:t>
      </w:r>
      <w:r>
        <w:rPr>
          <w:b/>
        </w:rPr>
        <w:t>anxiolytique</w:t>
      </w:r>
      <w:r>
        <w:t xml:space="preserve"> (sédation centrale) et </w:t>
      </w:r>
      <w:r>
        <w:rPr>
          <w:b/>
        </w:rPr>
        <w:t>anti-prurigineux</w:t>
      </w:r>
      <w:r>
        <w:t xml:space="preserve"> (effet central sur le prurit histaminique et non histaminique). Sa biodisponibilité orale est élevée (~80 %), son pic plasmatique est atteint en 2 heures, et sa </w:t>
      </w:r>
      <w:r>
        <w:rPr>
          <w:b/>
        </w:rPr>
        <w:t>demi-vie d'élimination</w:t>
      </w:r>
      <w:r>
        <w:t xml:space="preserve"> est de 14 à 25 heures chez l'adulte (prolongée à 7 heures chez l'enfant — Clair et al. 1990). L'hydroxyzine est largement métabolisée par le foie (CYP3A4 et CYP2D6) en métabolites actifs dont le principal est la </w:t>
      </w:r>
      <w:r>
        <w:rPr>
          <w:b/>
        </w:rPr>
        <w:t>cétirizine</w:t>
      </w:r>
      <w:r>
        <w:t xml:space="preserve"> (elle-même commercialisée comme antihistaminique 2e génération !) — c'est la </w:t>
      </w:r>
      <w:r>
        <w:rPr>
          <w:b/>
        </w:rPr>
        <w:t>seule 1re génération à avoir un métabolite qui est une 2e génération</w:t>
      </w:r>
      <w:r>
        <w:t xml:space="preserve">. L'hydroxyzine traverse massivement la BBB, ce qui explique sa sédation marquée et son utilisation comme anxiolytique. Elle a également une affinité importante pour les récepteurs </w:t>
      </w:r>
      <w:r>
        <w:rPr>
          <w:b/>
        </w:rPr>
        <w:t>muscariniques</w:t>
      </w:r>
      <w:r>
        <w:t xml:space="preserve"> (effets atropiniques), </w:t>
      </w:r>
      <w:r>
        <w:rPr>
          <w:b/>
        </w:rPr>
        <w:t>sérotoninergiques 5-HT2A</w:t>
      </w:r>
      <w:r>
        <w:t xml:space="preserve"> (effet antiémétique), et </w:t>
      </w:r>
      <w:r>
        <w:rPr>
          <w:b/>
        </w:rPr>
        <w:t>canaux potassiques hERG</w:t>
      </w:r>
      <w:r>
        <w:t xml:space="preserve"> (allongement QTc). C'est ce dernier effet qui a motivé la </w:t>
      </w:r>
      <w:r>
        <w:rPr>
          <w:b/>
        </w:rPr>
        <w:t>restriction ANSM 2015</w:t>
      </w:r>
      <w:r>
        <w:t xml:space="preserve"> (cf. ci-dessous).</w:t>
      </w:r>
    </w:p>
    <w:p>
      <w:r/>
      <w:r>
        <w:rPr>
          <w:b/>
        </w:rPr>
        <w:t>Médicaments disponibles en Algérie (Marques, Laboratoires, Formes et Dosages) :</w:t>
      </w:r>
      <w:r/>
    </w:p>
    <w:p>
      <w:pPr>
        <w:pStyle w:val="ListBullet"/>
      </w:pPr>
      <w:r/>
      <w:r>
        <w:rPr>
          <w:b/>
        </w:rPr>
        <w:t>ATARAX</w:t>
      </w:r>
      <w:r>
        <w:t xml:space="preserve"> (UCB PHARMA) — *princeps*</w:t>
      </w:r>
    </w:p>
    <w:p>
      <w:pPr>
        <w:pStyle w:val="ListBullet"/>
      </w:pPr>
      <w:r>
        <w:t>Formes et Dosages : Comprimé sécable 25 mg — Boîte de 30 ; Comprimé pelliculé sécable 100 mg — Boîte de 30 ; Sirop 2 mg/mL — Flacon de 200 mL ; Solution injectable 50 mg/mL — Boîte de 6 ampoules de 2 mL</w:t>
      </w:r>
    </w:p>
    <w:p>
      <w:pPr>
        <w:pStyle w:val="ListBullet"/>
      </w:pPr>
      <w:r>
        <w:t>Statut : Actif (Liste I)</w:t>
      </w:r>
    </w:p>
    <w:p>
      <w:pPr>
        <w:pStyle w:val="ListBullet"/>
      </w:pPr>
      <w:r/>
      <w:r>
        <w:rPr>
          <w:b/>
        </w:rPr>
        <w:t>ATADOZE</w:t>
      </w:r>
      <w:r>
        <w:t xml:space="preserve"> (NOVAPHARM TRADING)</w:t>
      </w:r>
    </w:p>
    <w:p>
      <w:pPr>
        <w:pStyle w:val="ListBullet"/>
      </w:pPr>
      <w:r>
        <w:t>Formes et Dosages : Comprimé pelliculé sécable 25 mg — Boîte de 30 ; Comprimé pelliculé sécable 100 mg — Boîte de 30</w:t>
      </w:r>
    </w:p>
    <w:p>
      <w:pPr>
        <w:pStyle w:val="ListBullet"/>
      </w:pPr>
      <w:r>
        <w:t>Statut : Actif (Liste I pour 100 mg ; cp 25 mg sans liste)</w:t>
      </w:r>
    </w:p>
    <w:p>
      <w:pPr>
        <w:pStyle w:val="ListBullet"/>
      </w:pPr>
      <w:r/>
      <w:r>
        <w:rPr>
          <w:b/>
        </w:rPr>
        <w:t>CROXIZINE</w:t>
      </w:r>
      <w:r>
        <w:t xml:space="preserve"> (FARMACEUTICI CROVIS PH.I.L.COM)</w:t>
      </w:r>
    </w:p>
    <w:p>
      <w:pPr>
        <w:pStyle w:val="ListBullet"/>
      </w:pPr>
      <w:r>
        <w:t>Formes et Dosages : Comprimé sécable 25 mg — Boîte de 30 ; Comprimé sécable 100 mg — Boîte de 30</w:t>
      </w:r>
    </w:p>
    <w:p>
      <w:pPr>
        <w:pStyle w:val="ListBullet"/>
      </w:pPr>
      <w:r>
        <w:t>Statut : Actif (Liste I)</w:t>
      </w:r>
    </w:p>
    <w:p>
      <w:pPr>
        <w:pStyle w:val="ListBullet"/>
      </w:pPr>
      <w:r/>
      <w:r>
        <w:rPr>
          <w:b/>
        </w:rPr>
        <w:t>DURRAX</w:t>
      </w:r>
      <w:r>
        <w:t xml:space="preserve"> (SARL GROUPE SANTE)</w:t>
      </w:r>
    </w:p>
    <w:p>
      <w:pPr>
        <w:pStyle w:val="ListBullet"/>
      </w:pPr>
      <w:r>
        <w:t>Formes et Dosages : Comprimé pelliculé sécable 25 mg — Boîte de 30 ; Sirop 2 mg/mL — Flacon de 100 mL</w:t>
      </w:r>
    </w:p>
    <w:p>
      <w:pPr>
        <w:pStyle w:val="ListBullet"/>
      </w:pPr>
      <w:r>
        <w:t>Statut : Actif (Liste I)</w:t>
      </w:r>
    </w:p>
    <w:p>
      <w:pPr>
        <w:pStyle w:val="ListBullet"/>
      </w:pPr>
      <w:r/>
      <w:r>
        <w:rPr>
          <w:b/>
        </w:rPr>
        <w:t>HYDROXIL</w:t>
      </w:r>
      <w:r>
        <w:t xml:space="preserve"> (LABORATOIRE ALGERIEN DU MEDICAMENT — LAM)</w:t>
      </w:r>
    </w:p>
    <w:p>
      <w:pPr>
        <w:pStyle w:val="ListBullet"/>
      </w:pPr>
      <w:r>
        <w:t>Formes et Dosages : Comprimé sécable 25 mg — Boîte de 20 ; Sirop 2 mg/mL — Flacon de 200 mL</w:t>
      </w:r>
    </w:p>
    <w:p>
      <w:pPr>
        <w:pStyle w:val="ListBullet"/>
      </w:pPr>
      <w:r>
        <w:t>Statut : Actif (Liste I)</w:t>
      </w:r>
    </w:p>
    <w:p>
      <w:pPr>
        <w:pStyle w:val="ListBullet"/>
      </w:pPr>
      <w:r/>
      <w:r>
        <w:rPr>
          <w:b/>
        </w:rPr>
        <w:t>HYXYAH</w:t>
      </w:r>
      <w:r>
        <w:t xml:space="preserve"> (ALGERIAN GENERICS DEVELOPMENT PHARMA — AGD PHARMA)</w:t>
      </w:r>
    </w:p>
    <w:p>
      <w:pPr>
        <w:pStyle w:val="ListBullet"/>
      </w:pPr>
      <w:r>
        <w:t>Formes et Dosages : Solution buvable 2 mg/mL — Flacon de 200 mL</w:t>
      </w:r>
    </w:p>
    <w:p>
      <w:pPr>
        <w:pStyle w:val="ListBullet"/>
      </w:pPr>
      <w:r>
        <w:t>Statut : Actif (Liste I)</w:t>
      </w:r>
    </w:p>
    <w:p>
      <w:pPr>
        <w:pStyle w:val="ListBullet"/>
      </w:pPr>
      <w:r/>
      <w:r>
        <w:rPr>
          <w:b/>
        </w:rPr>
        <w:t>CALMIZINE</w:t>
      </w:r>
      <w:r>
        <w:t xml:space="preserve"> (KRG PHARMA)</w:t>
      </w:r>
    </w:p>
    <w:p>
      <w:pPr>
        <w:pStyle w:val="ListBullet"/>
      </w:pPr>
      <w:r>
        <w:t>Formes et Dosages : Sirop 0,2 % (ou 2 mg/mL) — Flacon de 200 mL</w:t>
      </w:r>
    </w:p>
    <w:p>
      <w:pPr>
        <w:pStyle w:val="ListBullet"/>
      </w:pPr>
      <w:r>
        <w:t xml:space="preserve">Statut : </w:t>
      </w:r>
      <w:r>
        <w:rPr>
          <w:b/>
        </w:rPr>
        <w:t>Retiré (R)</w:t>
      </w:r>
      <w:r>
        <w:t xml:space="preserve"> (Liste I)</w:t>
      </w:r>
    </w:p>
    <w:p>
      <w:r/>
      <w:r>
        <w:rPr>
          <w:b/>
        </w:rPr>
        <w:t>Sous-classe et Mécanisme d'action :</w:t>
      </w:r>
      <w:r/>
    </w:p>
    <w:p>
      <w:pPr>
        <w:pStyle w:val="ListBullet"/>
      </w:pPr>
      <w:r>
        <w:t xml:space="preserve">Sous-classe : Antihistaminique H1 — 1re génération (sédatif), famille des pipérazines (dérivée de la cyclizine). Métabolite actif principal : </w:t>
      </w:r>
      <w:r>
        <w:rPr>
          <w:b/>
        </w:rPr>
        <w:t>cétirizine</w:t>
      </w:r>
      <w:r>
        <w:t xml:space="preserve"> (elle-même commercialisée comme antihistaminique 2e génération).</w:t>
      </w:r>
    </w:p>
    <w:p>
      <w:pPr>
        <w:pStyle w:val="ListBullet"/>
      </w:pPr>
      <w:r>
        <w:t xml:space="preserve">Mécanisme d'action : </w:t>
      </w:r>
      <w:r>
        <w:rPr>
          <w:b/>
        </w:rPr>
        <w:t>Antihistaminiques H1</w:t>
      </w:r>
      <w:r>
        <w:t xml:space="preserve"> : antagoniste compétitif inverse du récepteur H1 (couplé Gq/11 → PLC → IP3 → Ca2+ → MLCK). L'hydroxyzine traverse </w:t>
      </w:r>
      <w:r>
        <w:rPr>
          <w:b/>
        </w:rPr>
        <w:t>massivement la BBB</w:t>
      </w:r>
      <w:r>
        <w:t xml:space="preserve"> en raison de sa </w:t>
      </w:r>
      <w:r>
        <w:rPr>
          <w:b/>
        </w:rPr>
        <w:t>liposolubilité élevée</w:t>
      </w:r>
      <w:r>
        <w:t xml:space="preserve"> (faible polarité, pas de groupement acide carboxylique comme la cétirizine). Elle se lie aux récepteurs H1 centraux : </w:t>
      </w:r>
      <w:r>
        <w:rPr>
          <w:b/>
        </w:rPr>
        <w:t>sédation</w:t>
      </w:r>
      <w:r>
        <w:t xml:space="preserve">, </w:t>
      </w:r>
      <w:r>
        <w:rPr>
          <w:b/>
        </w:rPr>
        <w:t>anxiolyse</w:t>
      </w:r>
      <w:r>
        <w:t xml:space="preserve">, </w:t>
      </w:r>
      <w:r>
        <w:rPr>
          <w:b/>
        </w:rPr>
        <w:t>antiémèse</w:t>
      </w:r>
      <w:r>
        <w:t xml:space="preserve"> (via H1 et 5-HT2A centraux). Elle a également une </w:t>
      </w:r>
      <w:r>
        <w:rPr>
          <w:b/>
        </w:rPr>
        <w:t>affinité élevée pour les récepteurs muscariniques M1-M3</w:t>
      </w:r>
      <w:r>
        <w:t xml:space="preserve"> (effets atropiniques : sécheresse buccale, mydriase, rétention urinaire, tachycardie), pour les récepteurs </w:t>
      </w:r>
      <w:r>
        <w:rPr>
          <w:b/>
        </w:rPr>
        <w:t>α1-adrénergiques</w:t>
      </w:r>
      <w:r>
        <w:t xml:space="preserve"> (hypotension orthostatique), pour les récepteurs </w:t>
      </w:r>
      <w:r>
        <w:rPr>
          <w:b/>
        </w:rPr>
        <w:t>sérotoninergiques 5-HT2A</w:t>
      </w:r>
      <w:r>
        <w:t xml:space="preserve"> (antiémétique), et pour les </w:t>
      </w:r>
      <w:r>
        <w:rPr>
          <w:b/>
        </w:rPr>
        <w:t>canaux potassiques hERG</w:t>
      </w:r>
      <w:r>
        <w:t xml:space="preserve"> (allongement QTc — d'où la restriction ANSM 2015). Son métabolite actif, la </w:t>
      </w:r>
      <w:r>
        <w:rPr>
          <w:b/>
        </w:rPr>
        <w:t>cétirizine</w:t>
      </w:r>
      <w:r>
        <w:t xml:space="preserve"> (formée par oxydation du pont éthyle en acide carboxylique via CYP3A4), est plus polaire et ne traverse pas significativement la BBB — il conserve l'activité anti-H1 périphérique sans l'effet central.</w:t>
      </w:r>
    </w:p>
    <w:p>
      <w:r/>
      <w:r>
        <w:rPr>
          <w:b/>
        </w:rPr>
        <w:t>Profil Pharmacologique :</w:t>
      </w:r>
      <w:r/>
    </w:p>
    <w:p>
      <w:pPr>
        <w:pStyle w:val="ListBullet"/>
      </w:pPr>
      <w:r/>
      <w:r>
        <w:rPr>
          <w:b/>
        </w:rPr>
        <w:t>Indications</w:t>
      </w:r>
      <w:r>
        <w:t xml:space="preserve"> : (i) </w:t>
      </w:r>
      <w:r>
        <w:rPr>
          <w:b/>
        </w:rPr>
        <w:t>Anxiété généralisée</w:t>
      </w:r>
      <w:r>
        <w:t xml:space="preserve"> de l'adulte (traitement de courte durée, ≤ 12 semaines — HAS) à dose 25 à 50 mg/jour (restriction ANSM 2015 — 100 mg/jour max) ; (ii) </w:t>
      </w:r>
      <w:r>
        <w:rPr>
          <w:b/>
        </w:rPr>
        <w:t>Prurit</w:t>
      </w:r>
      <w:r>
        <w:t xml:space="preserve"> histaminique (urticaire) et non histaminique (dermatite atopique, eczéma, prurigo, cholestase, uraémie) à dose 25 mg/jour ; (iii) </w:t>
      </w:r>
      <w:r>
        <w:rPr>
          <w:b/>
        </w:rPr>
        <w:t>Prémédication anesthésique</w:t>
      </w:r>
      <w:r>
        <w:t xml:space="preserve"> (sédation pré-opératoire) à dose 50-100 mg IM/IV ; (iv) </w:t>
      </w:r>
      <w:r>
        <w:rPr>
          <w:b/>
        </w:rPr>
        <w:t>Urticaire aiguë sévère</w:t>
      </w:r>
      <w:r>
        <w:t xml:space="preserve"> (en alternative à la dexchlorphéniramine IM/IV) à dose 25-50 mg IM/IV ; (v) </w:t>
      </w:r>
      <w:r>
        <w:rPr>
          <w:b/>
        </w:rPr>
        <w:t>Sevrage alcoolique</w:t>
      </w:r>
      <w:r>
        <w:t xml:space="preserve"> (traitement adjuvant de l'anxiété et de l'agitation) à dose 25-50 mg/jour. </w:t>
      </w:r>
      <w:r>
        <w:rPr>
          <w:b/>
        </w:rPr>
        <w:t>Restreinte</w:t>
      </w:r>
      <w:r>
        <w:t xml:space="preserve"> depuis l'ANSM 2015 à la dose maximale de 100 mg/jour chez l'adulte (50 mg/jour chez le sujet âgé) et à un traitement de courte durée (≤ 12 semaines pour l'anxiété).</w:t>
      </w:r>
    </w:p>
    <w:p>
      <w:pPr>
        <w:pStyle w:val="ListBullet"/>
      </w:pPr>
      <w:r/>
      <w:r>
        <w:rPr>
          <w:b/>
        </w:rPr>
        <w:t>Contre-indications</w:t>
      </w:r>
      <w:r>
        <w:t xml:space="preserve"> : hypersensibilité à l'hydroxyzine ou à la cétirizine ; </w:t>
      </w:r>
      <w:r>
        <w:rPr>
          <w:b/>
        </w:rPr>
        <w:t>allongement QTc congénital ou acquis</w:t>
      </w:r>
      <w:r>
        <w:t xml:space="preserve"> (CI absolue — risque de torsades de pointe) ; </w:t>
      </w:r>
      <w:r>
        <w:rPr>
          <w:b/>
        </w:rPr>
        <w:t>association aux autres allongeurs QT</w:t>
      </w:r>
      <w:r>
        <w:t xml:space="preserve"> (CI absolue — antiarythmiques Ia/III, macrolides, fluoroquinolones, antifongiques azolés, antidépresseurs à haute dose, antipsychotiques, autres antihistaminiques allongeurs QT — ébastine, rupatadine) ; </w:t>
      </w:r>
      <w:r>
        <w:rPr>
          <w:b/>
        </w:rPr>
        <w:t>hypokaliémie ou hypomagnésémie non corrigées</w:t>
      </w:r>
      <w:r>
        <w:t xml:space="preserve"> (CI absolue) ; insuffisance hépatique sévère (Child-Pugh C — adaptation posologique à 50 % de la dose) ; insuffisance rénale sévère (ClCr &lt; 30 mL/min — adaptation à 50 % de la dose) ; </w:t>
      </w:r>
      <w:r>
        <w:rPr>
          <w:b/>
        </w:rPr>
        <w:t>myasthénie</w:t>
      </w:r>
      <w:r>
        <w:t xml:space="preserve"> (effet curarisant potentialisé) ; </w:t>
      </w:r>
      <w:r>
        <w:rPr>
          <w:b/>
        </w:rPr>
        <w:t>glaucome à angle fermé</w:t>
      </w:r>
      <w:r>
        <w:t xml:space="preserve"> non traité (effet atropinique mydriatique) ; </w:t>
      </w:r>
      <w:r>
        <w:rPr>
          <w:b/>
        </w:rPr>
        <w:t>hypertrophie bénigne de la prostate</w:t>
      </w:r>
      <w:r>
        <w:t xml:space="preserve"> avec rétention urinaire (effet atropinique) ; </w:t>
      </w:r>
      <w:r>
        <w:rPr>
          <w:b/>
        </w:rPr>
        <w:t>grossesse</w:t>
      </w:r>
      <w:r>
        <w:t xml:space="preserve"> (à éviter, en particulier 1er trimestre — risque tératogène animal discuté ; et 3e trimestre — risque de sédation néonatale et de détresse respiratoire) ; </w:t>
      </w:r>
      <w:r>
        <w:rPr>
          <w:b/>
        </w:rPr>
        <w:t>allaitement</w:t>
      </w:r>
      <w:r>
        <w:t xml:space="preserve"> (passage dans le lait maternel) ; enfant &lt; 6 ans pour la forme 100 mg.</w:t>
      </w:r>
    </w:p>
    <w:p>
      <w:pPr>
        <w:pStyle w:val="ListBullet"/>
      </w:pPr>
      <w:r/>
      <w:r>
        <w:rPr>
          <w:b/>
        </w:rPr>
        <w:t>Effets Indésirables</w:t>
      </w:r>
      <w:r>
        <w:t xml:space="preserve"> : nombreux et fréquents. EI très fréquents (≥ 1/10) : </w:t>
      </w:r>
      <w:r>
        <w:rPr>
          <w:b/>
        </w:rPr>
        <w:t>sédation</w:t>
      </w:r>
      <w:r>
        <w:t xml:space="preserve"> (somnolence, asthénie — effet dose-dépendant), </w:t>
      </w:r>
      <w:r>
        <w:rPr>
          <w:b/>
        </w:rPr>
        <w:t>sécheresse buccale</w:t>
      </w:r>
      <w:r>
        <w:t xml:space="preserve">. EI fréquents (≥ 1/100 à &lt; 1/10) : céphalées, étourdissements, vertiges, troubles de l'accommodation, mydriase, constipation, nausées, rétention urinaire (homme âgé), tachycardie, hypotension orthostatique. EI peu fréquents : tremblements, confusion (sujet âgé), troubles de la mémoire, altération des performances psychomotrices, rash, urticaire paradoxale, photosensibilité. EI rares : convulsions (à dose élevée, en particulier enfant), agitation paradoxale (enfant), </w:t>
      </w:r>
      <w:r>
        <w:rPr>
          <w:b/>
        </w:rPr>
        <w:t>allongement QTc</w:t>
      </w:r>
      <w:r>
        <w:t xml:space="preserve"> et </w:t>
      </w:r>
      <w:r>
        <w:rPr>
          <w:b/>
        </w:rPr>
        <w:t>torsades de pointe</w:t>
      </w:r>
      <w:r>
        <w:t xml:space="preserve"> (dose-dépendant — signal motivant la restriction ANSM 2015), hépatite, anomalies biologiques hépatiques. EI très rares : syndrome malin des antipsychotiques (à dose très élevée), anaphylaxie, angio-œdème, érythème polymorphe, Stevens-Johnson (exceptionnel). </w:t>
      </w:r>
      <w:r>
        <w:rPr>
          <w:b/>
        </w:rPr>
        <w:t>Effet anticholinergique cumulatif</w:t>
      </w:r>
      <w:r>
        <w:t xml:space="preserve"> chez le sujet âgé (risque de chute, confusion, délire, fécalome, rétention aiguë d'urine) — l'hydroxyzine figure sur la </w:t>
      </w:r>
      <w:r>
        <w:rPr>
          <w:b/>
        </w:rPr>
        <w:t>liste de Beers</w:t>
      </w:r>
      <w:r>
        <w:t xml:space="preserve"> des médicaments potentiellement inappropriés chez le sujet âgé.</w:t>
      </w:r>
    </w:p>
    <w:p>
      <w:r/>
      <w:r>
        <w:rPr>
          <w:b/>
        </w:rPr>
        <w:t>Prévention et Gestion des Effets Indésirables :</w:t>
      </w:r>
      <w:r/>
    </w:p>
    <w:p>
      <w:pPr>
        <w:pStyle w:val="ListBullet"/>
      </w:pPr>
      <w:r/>
      <w:r>
        <w:rPr>
          <w:b/>
        </w:rPr>
        <w:t>Mesures Préventives</w:t>
      </w:r>
      <w:r>
        <w:t xml:space="preserve"> : prescription </w:t>
      </w:r>
      <w:r>
        <w:rPr>
          <w:b/>
        </w:rPr>
        <w:t>sur ordonnance Liste I</w:t>
      </w:r>
      <w:r>
        <w:t xml:space="preserve"> en Algérie. </w:t>
      </w:r>
      <w:r>
        <w:rPr>
          <w:b/>
        </w:rPr>
        <w:t>Surveillance ECG avant initiation</w:t>
      </w:r>
      <w:r>
        <w:t xml:space="preserve"> (QTc de base) et au cours du traitement en cas d'association à d'autres allongeurs QT ou en cas d'antécédents cardiovasculaires. Respecter la </w:t>
      </w:r>
      <w:r>
        <w:rPr>
          <w:b/>
        </w:rPr>
        <w:t>dose maximale de 100 mg/jour</w:t>
      </w:r>
      <w:r>
        <w:t xml:space="preserve"> chez l'adulte (50 mg/jour chez le sujet âgé &gt; 65 ans). Adapter la dose en insuffisance hépatique (50 %) et rénale (50 %). </w:t>
      </w:r>
      <w:r>
        <w:rPr>
          <w:b/>
        </w:rPr>
        <w:t>Corriger les troubles électrolytiques</w:t>
      </w:r>
      <w:r>
        <w:t xml:space="preserve"> (kaliémie, magnésémie) avant initiation. Éviter l'association à l'alcool et aux dépresseurs du SNC (potentialisation). Avertir le patient du risque de somnolence et de la nécessité de ne pas conduire pendant les premiers jours du traitement. Surveiller l'apparition d'effets anticholinergiques chez le sujet âgé (sécheresse buccale, rétention urinaire, confusion). Limiter la durée du traitement (≤ 12 semaines pour l'anxiété).</w:t>
      </w:r>
    </w:p>
    <w:p>
      <w:pPr>
        <w:pStyle w:val="ListBullet"/>
      </w:pPr>
      <w:r/>
      <w:r>
        <w:rPr>
          <w:b/>
        </w:rPr>
        <w:t>Conduite à Tenir</w:t>
      </w:r>
      <w:r>
        <w:t xml:space="preserve"> : en cas de </w:t>
      </w:r>
      <w:r>
        <w:rPr>
          <w:b/>
        </w:rPr>
        <w:t>syncopes, palpitations, malaises</w:t>
      </w:r>
      <w:r>
        <w:t xml:space="preserve"> : arrêt immédiat, ECG urgent, consultation médicale (rechercher allongement QTc et torsades de pointe — urgence vitale). En cas de </w:t>
      </w:r>
      <w:r>
        <w:rPr>
          <w:b/>
        </w:rPr>
        <w:t>confusion, agitation paradoxale</w:t>
      </w:r>
      <w:r>
        <w:t xml:space="preserve"> (en particulier chez le sujet âgé) : arrêt immédiat. En cas de </w:t>
      </w:r>
      <w:r>
        <w:rPr>
          <w:b/>
        </w:rPr>
        <w:t>rétention urinaire aiguë</w:t>
      </w:r>
      <w:r>
        <w:t xml:space="preserve"> (homme âgé) : arrêt, sondage vésical temporaire, consultation urologique. En cas de </w:t>
      </w:r>
      <w:r>
        <w:rPr>
          <w:b/>
        </w:rPr>
        <w:t>crise de glaucome aigu</w:t>
      </w:r>
      <w:r>
        <w:t xml:space="preserve"> : arrêt, urgence ophtalmologique (atropinique). En cas de surdosage (≥ 200 mg chez l'adulte) : lavage gastrique si &lt; 1 h, charbon activé, </w:t>
      </w:r>
      <w:r>
        <w:rPr>
          <w:b/>
        </w:rPr>
        <w:t>surveillance ECG continue</w:t>
      </w:r>
      <w:r>
        <w:t xml:space="preserve"> (allongement QTc, torsades de pointe — sulfate de magnésium IV, isoprénaline si torsades), surveillance neurologique (sédation profonde, convulsions — flumazénil si co-ingestion benzodiazépine), traitement symptomatique. L'hydroxyzine n'est pas dialysable de manière significative.</w:t>
      </w:r>
    </w:p>
    <w:p>
      <w:r/>
      <w:r>
        <w:rPr>
          <w:b/>
        </w:rPr>
        <w:t>Interactions Importantes :</w:t>
      </w:r>
      <w:r/>
    </w:p>
    <w:p>
      <w:pPr>
        <w:pStyle w:val="ListBullet"/>
      </w:pPr>
      <w:r/>
      <w:r>
        <w:rPr>
          <w:b/>
        </w:rPr>
        <w:t>Hydroxyzine + allongeurs QT</w:t>
      </w:r>
      <w:r>
        <w:t xml:space="preserve"> (antiarythmiques Ia — quinidine, disopyramide, procainamide ; III — amiodarone, sotalol, dofetilide, ibutilide ; certains antidépresseurs — citalopram/escitalopram dose &gt; 20 mg, amitriptyline ; antipsychotiques — halopéridol, dropéridol, thioridazine, pimozide, pipamperone ; certains antibiotiques — fluoroquinolones lévofloxacine, moxifloxacine, ciprofloxacine ; macrolides érythromycine IV, clarithromycine ; antifongiques azolés fluconazole, itraconazole, voriconazole ; antipaludiques chloroquine, hydroxychloroquine, méfloquine ; autres antihistaminiques allongeurs QT — ébastine, rupatadine ; certains anticancéreux — tamoxifène, arsenic trioxide, vandétanib) : </w:t>
      </w:r>
      <w:r>
        <w:rPr>
          <w:b/>
        </w:rPr>
        <w:t>CI absolue</w:t>
      </w:r>
      <w:r>
        <w:t xml:space="preserve"> — risque de </w:t>
      </w:r>
      <w:r>
        <w:rPr>
          <w:b/>
        </w:rPr>
        <w:t>torsades de pointe</w:t>
      </w:r>
      <w:r>
        <w:t xml:space="preserve"> potentiellement mortelle. L'ANSM 2015 insiste sur cette CI.</w:t>
      </w:r>
    </w:p>
    <w:p>
      <w:pPr>
        <w:pStyle w:val="ListBullet"/>
      </w:pPr>
      <w:r/>
      <w:r>
        <w:rPr>
          <w:b/>
        </w:rPr>
        <w:t>Hydroxyzine + alcool</w:t>
      </w:r>
      <w:r>
        <w:t xml:space="preserve"> : </w:t>
      </w:r>
      <w:r>
        <w:rPr>
          <w:b/>
        </w:rPr>
        <w:t>potentialisation majeure de la sédation</w:t>
      </w:r>
      <w:r>
        <w:t xml:space="preserve"> — éviter absolument.</w:t>
      </w:r>
    </w:p>
    <w:p>
      <w:pPr>
        <w:pStyle w:val="ListBullet"/>
      </w:pPr>
      <w:r/>
      <w:r>
        <w:rPr>
          <w:b/>
        </w:rPr>
        <w:t>Hydroxyzine + dépresseurs du SNC</w:t>
      </w:r>
      <w:r>
        <w:t xml:space="preserve"> (benzodiazépines, opioïdes, barbituriques, autres antihistaminiques H1 sédatifs, neuroleptiques, antidépresseurs sédatifs) : sédation additive, risque de dépression respiratoire.</w:t>
      </w:r>
    </w:p>
    <w:p>
      <w:pPr>
        <w:pStyle w:val="ListBullet"/>
      </w:pPr>
      <w:r/>
      <w:r>
        <w:rPr>
          <w:b/>
        </w:rPr>
        <w:t>Hydroxyzine + IMAO</w:t>
      </w:r>
      <w:r>
        <w:t xml:space="preserve"> : potentialisation des effets anticholinergiques et cardiovasculaires (hypertension paroxystique, hyperthermie) — CI absolue. Respecter un wash-out de 14 jours.</w:t>
      </w:r>
    </w:p>
    <w:p>
      <w:pPr>
        <w:pStyle w:val="ListBullet"/>
      </w:pPr>
      <w:r/>
      <w:r>
        <w:rPr>
          <w:b/>
        </w:rPr>
        <w:t>Hydroxyzine + atropiniques</w:t>
      </w:r>
      <w:r>
        <w:t xml:space="preserve"> (autres antihistaminiques 1re génération, antidépresseurs tricycliques, antiparkinsoniens anticholinergiques, antispasmodiques) : potentialisation des effets atropiniques (rétention urinaire, glaucome, iléus paralytique).</w:t>
      </w:r>
    </w:p>
    <w:p>
      <w:pPr>
        <w:pStyle w:val="ListBullet"/>
      </w:pPr>
      <w:r/>
      <w:r>
        <w:rPr>
          <w:b/>
        </w:rPr>
        <w:t>Hydroxyzine + inhibiteurs CYP3A4</w:t>
      </w:r>
      <w:r>
        <w:t xml:space="preserve"> (kétoconazole, itraconazole, érythromycine, clarithromycine, ritonavir, grapefruit juice) : augmentation des concentrations d'hydroxyzine (mais aussi de son métabolite cétirizine) — surveiller EI et ECG.</w:t>
      </w:r>
    </w:p>
    <w:p>
      <w:pPr>
        <w:pStyle w:val="ListBullet"/>
      </w:pPr>
      <w:r/>
      <w:r>
        <w:rPr>
          <w:b/>
        </w:rPr>
        <w:t>Hydroxyzine + inducteurs CYP3A4</w:t>
      </w:r>
      <w:r>
        <w:t xml:space="preserve"> (rifampicine, phénytoïne, carbamazépine, phénobarbital, millepertuis) : diminution de l'efficacité.</w:t>
      </w:r>
    </w:p>
    <w:p>
      <w:r/>
      <w:r>
        <w:rPr>
          <w:b/>
        </w:rPr>
        <w:t>Grossesse et Allaitement :</w:t>
      </w:r>
      <w:r/>
    </w:p>
    <w:p>
      <w:pPr>
        <w:pStyle w:val="ListBullet"/>
      </w:pPr>
      <w:r/>
      <w:r>
        <w:rPr>
          <w:b/>
        </w:rPr>
        <w:t>Grossesse</w:t>
      </w:r>
      <w:r>
        <w:t xml:space="preserve"> : selon le </w:t>
      </w:r>
      <w:r>
        <w:rPr>
          <w:b/>
        </w:rPr>
        <w:t>CRAT</w:t>
      </w:r>
      <w:r>
        <w:t xml:space="preserve"> et l'</w:t>
      </w:r>
      <w:r>
        <w:rPr>
          <w:b/>
        </w:rPr>
        <w:t>ANSM</w:t>
      </w:r>
      <w:r>
        <w:t xml:space="preserve">, l'hydroxyzine est </w:t>
      </w:r>
      <w:r>
        <w:rPr>
          <w:b/>
        </w:rPr>
        <w:t>déconseillée pendant la grossesse</w:t>
      </w:r>
      <w:r>
        <w:t xml:space="preserve"> à toutes les phases, en raison : (i) de données animales suggérant un risque tératogène à doses très élevées (études chez le rat et la souris — pas de signal clair chez l'humain, mais prudence) ; (ii) du risque de </w:t>
      </w:r>
      <w:r>
        <w:rPr>
          <w:b/>
        </w:rPr>
        <w:t>sédation néonatale</w:t>
      </w:r>
      <w:r>
        <w:t xml:space="preserve"> et de </w:t>
      </w:r>
      <w:r>
        <w:rPr>
          <w:b/>
        </w:rPr>
        <w:t>détresse respiratoire</w:t>
      </w:r>
      <w:r>
        <w:t xml:space="preserve"> en cas d'utilisation en fin de grossesse (3e trimestre) ; (iii) du risque d'</w:t>
      </w:r>
      <w:r>
        <w:rPr>
          <w:b/>
        </w:rPr>
        <w:t>hypotension néonatale</w:t>
      </w:r>
      <w:r>
        <w:t xml:space="preserve"> et de </w:t>
      </w:r>
      <w:r>
        <w:rPr>
          <w:b/>
        </w:rPr>
        <w:t>seyndrome de sevrage</w:t>
      </w:r>
      <w:r>
        <w:t xml:space="preserve"> (anxiolytique). En pratique, lui préférer la </w:t>
      </w:r>
      <w:r>
        <w:rPr>
          <w:b/>
        </w:rPr>
        <w:t>loratadine</w:t>
      </w:r>
      <w:r>
        <w:t xml:space="preserve"> ou la </w:t>
      </w:r>
      <w:r>
        <w:rPr>
          <w:b/>
        </w:rPr>
        <w:t>cétirizine</w:t>
      </w:r>
      <w:r>
        <w:t xml:space="preserve"> (2e génération compatibles) en cas de rhinite allergique ou d'urticaire pendant la grossesse. Pour l'anxiété pendant la grossesse, préférer la psychothérapie ou les antidépresseurs (ISRS — cf. Fascicule V).</w:t>
      </w:r>
    </w:p>
    <w:p>
      <w:pPr>
        <w:pStyle w:val="ListBullet"/>
      </w:pPr>
      <w:r/>
      <w:r>
        <w:rPr>
          <w:b/>
        </w:rPr>
        <w:t>Allaitement</w:t>
      </w:r>
      <w:r>
        <w:t xml:space="preserve"> : selon le CRAT et LactMed, l'hydroxyzine passe dans le lait maternel (rapport lait/plasma ~1) et son métabolite cétirizine également. </w:t>
      </w:r>
      <w:r>
        <w:rPr>
          <w:b/>
        </w:rPr>
        <w:t>Allaitement déconseillé</w:t>
      </w:r>
      <w:r>
        <w:t xml:space="preserve"> par prudence (risque de sédation, de troubles de la succion et de détresse respiratoire chez le nourrisson). Si l'allaitement doit être maintenu, utiliser la plus faible dose efficace et surveiller étroitement la somnolence et l'état du nourrisson. Alternative : loratadine ou fexofénadine (compatibles).</w:t>
      </w:r>
    </w:p>
    <w:p>
      <w:pPr>
        <w:pStyle w:val="ListBullet"/>
      </w:pPr>
      <w:r/>
      <w:r>
        <w:rPr>
          <w:b/>
        </w:rPr>
        <w:t>Précisions</w:t>
      </w:r>
      <w:r>
        <w:t xml:space="preserve"> : éviter par prudence chez la femme en âge de procréer sans contraception efficace.</w:t>
      </w:r>
    </w:p>
    <w:p>
      <w:r/>
      <w:r>
        <w:rPr>
          <w:b/>
        </w:rPr>
        <w:t>Posologie et Mode d'administration (Standard) :</w:t>
      </w:r>
      <w:r/>
    </w:p>
    <w:p>
      <w:pPr>
        <w:pStyle w:val="ListBullet"/>
      </w:pPr>
      <w:r/>
      <w:r>
        <w:rPr>
          <w:b/>
        </w:rPr>
        <w:t>Adulte</w:t>
      </w:r>
      <w:r>
        <w:t xml:space="preserve"> :</w:t>
      </w:r>
    </w:p>
    <w:p>
      <w:pPr>
        <w:pStyle w:val="ListBullet"/>
      </w:pPr>
      <w:r>
        <w:t xml:space="preserve">Anxiété généralisée : </w:t>
      </w:r>
      <w:r>
        <w:rPr>
          <w:b/>
        </w:rPr>
        <w:t>25 à 50 mg/jour</w:t>
      </w:r>
      <w:r>
        <w:t xml:space="preserve"> en 2 à 3 prises (limité à 12 semaines — HAS). Dose maximale : </w:t>
      </w:r>
      <w:r>
        <w:rPr>
          <w:b/>
        </w:rPr>
        <w:t>100 mg/jour</w:t>
      </w:r>
      <w:r>
        <w:t xml:space="preserve"> (restriction ANSM 2015).</w:t>
      </w:r>
    </w:p>
    <w:p>
      <w:pPr>
        <w:pStyle w:val="ListBullet"/>
      </w:pPr>
      <w:r>
        <w:t>Prurit : 25 mg/jour le soir (jusqu'à 50-100 mg/jour en cas de prurit sévère, sous surveillance ECG).</w:t>
      </w:r>
    </w:p>
    <w:p>
      <w:pPr>
        <w:pStyle w:val="ListBullet"/>
      </w:pPr>
      <w:r>
        <w:t>Prémédication anesthésique : 50-100 mg IM ou IV, 30 à 60 minutes avant l'induction anesthésique.</w:t>
      </w:r>
    </w:p>
    <w:p>
      <w:pPr>
        <w:pStyle w:val="ListBullet"/>
      </w:pPr>
      <w:r>
        <w:t>Urticaire aiguë sévère : 25-50 mg IM/IV (à renouveler si nécessaire après 6 heures).</w:t>
      </w:r>
    </w:p>
    <w:p>
      <w:pPr>
        <w:pStyle w:val="ListBullet"/>
      </w:pPr>
      <w:r/>
      <w:r>
        <w:rPr>
          <w:b/>
        </w:rPr>
        <w:t>Enfant 6 à 12 ans</w:t>
      </w:r>
      <w:r>
        <w:t xml:space="preserve"> (forme sirop 2 mg/mL) : 0,5 à 1 mg/kg/jour en plusieurs prises (sans dépasser 50 mg/jour). Prémédication : 1 mg/kg IM.</w:t>
      </w:r>
    </w:p>
    <w:p>
      <w:pPr>
        <w:pStyle w:val="ListBullet"/>
      </w:pPr>
      <w:r/>
      <w:r>
        <w:rPr>
          <w:b/>
        </w:rPr>
        <w:t>Enfant &lt; 6 ans</w:t>
      </w:r>
      <w:r>
        <w:t xml:space="preserve"> : 0,5 mg/kg/jour en plusieurs prises, sous surveillance médicale stricte (forme sirop).</w:t>
      </w:r>
    </w:p>
    <w:p>
      <w:pPr>
        <w:pStyle w:val="ListBullet"/>
      </w:pPr>
      <w:r/>
      <w:r>
        <w:rPr>
          <w:b/>
        </w:rPr>
        <w:t>Sujet âgé (&gt; 65 ans)</w:t>
      </w:r>
      <w:r>
        <w:t xml:space="preserve"> : </w:t>
      </w:r>
      <w:r>
        <w:rPr>
          <w:b/>
        </w:rPr>
        <w:t>dose initiale réduite à 25 mg/jour</w:t>
      </w:r>
      <w:r>
        <w:t xml:space="preserve"> (moitié de la dose adulte), augmentation progressive selon tolérance. Dose maximale : 50 mg/jour (restriction ANSM 2015).</w:t>
      </w:r>
    </w:p>
    <w:p>
      <w:pPr>
        <w:pStyle w:val="ListBullet"/>
      </w:pPr>
      <w:r/>
      <w:r>
        <w:rPr>
          <w:b/>
        </w:rPr>
        <w:t>Insuffisance rénale</w:t>
      </w:r>
      <w:r>
        <w:t xml:space="preserve"> : ClCr ≥ 30 mL/min : 50 % de la dose standard ; ClCr &lt; 30 mL/min : 25-50 % de la dose standard, sous surveillance.</w:t>
      </w:r>
    </w:p>
    <w:p>
      <w:pPr>
        <w:pStyle w:val="ListBullet"/>
      </w:pPr>
      <w:r/>
      <w:r>
        <w:rPr>
          <w:b/>
        </w:rPr>
        <w:t>Insuffisance hépatique</w:t>
      </w:r>
      <w:r>
        <w:t xml:space="preserve"> : Child-Pugh A/B : 50 % de la dose standard ; Child-Pugh C : 25-50 % de la dose standard, sous surveillance.</w:t>
      </w:r>
    </w:p>
    <w:p>
      <w:pPr>
        <w:pStyle w:val="ListBullet"/>
      </w:pPr>
      <w:r/>
      <w:r>
        <w:rPr>
          <w:b/>
        </w:rPr>
        <w:t>Durée</w:t>
      </w:r>
      <w:r>
        <w:t xml:space="preserve"> : anxiété ≤ 12 semaines (HAS) ; prurit : traitement prolongé possible sous surveillance ECG ; prémédication : dose unique.</w:t>
      </w:r>
    </w:p>
    <w:p>
      <w:pPr>
        <w:pStyle w:val="ListBullet"/>
      </w:pPr>
      <w:r/>
      <w:r>
        <w:rPr>
          <w:b/>
        </w:rPr>
        <w:t>Moment de la prise</w:t>
      </w:r>
      <w:r>
        <w:t xml:space="preserve"> : anxiété : 2 à 3 prises réparties dans la journée ; prurit : prise unique le soir (somnolence) ; insomnie : 25-50 mg au coucher.</w:t>
      </w:r>
    </w:p>
    <w:p>
      <w:r/>
      <w:r>
        <w:rPr>
          <w:b/>
        </w:rPr>
        <w:t>Arbitrage et Bénéfices des Formes Galéniques :</w:t>
      </w:r>
      <w:r/>
    </w:p>
    <w:p>
      <w:pPr>
        <w:pStyle w:val="ListBullet"/>
      </w:pPr>
      <w:r/>
      <w:r>
        <w:rPr>
          <w:b/>
        </w:rPr>
        <w:t>Comprimé sécable 25 mg</w:t>
      </w:r>
      <w:r>
        <w:t xml:space="preserve"> (5 marques actives) : forme adulte standard, pratique et sécable pour adapter à l'enfant et au sujet âgé (1/2 cp = 12,5 mg). Boîte de 20 ou 30. Liste I.</w:t>
      </w:r>
    </w:p>
    <w:p>
      <w:pPr>
        <w:pStyle w:val="ListBullet"/>
      </w:pPr>
      <w:r/>
      <w:r>
        <w:rPr>
          <w:b/>
        </w:rPr>
        <w:t>Comprimé pelliculé sécable 100 mg</w:t>
      </w:r>
      <w:r>
        <w:t xml:space="preserve"> (3 marques actives — ATARAX, ATADOZE, CROXIZINE) : forme forte adulte, à utiliser avec prudence en raison de la restriction ANSM 2015 (dose maximale 100 mg/jour — 1 cp unique par jour). Boîte de 30. Liste I.</w:t>
      </w:r>
    </w:p>
    <w:p>
      <w:pPr>
        <w:pStyle w:val="ListBullet"/>
      </w:pPr>
      <w:r/>
      <w:r>
        <w:rPr>
          <w:b/>
        </w:rPr>
        <w:t>Sirop 2 mg/mL</w:t>
      </w:r>
      <w:r>
        <w:t xml:space="preserve"> (4 marques actives — ATARAX, DURRAX, HYDROXIL, HYXYAH) : indispensable pour le nourrisson et le jeune enfant, et pour les faibles doses chez le sujet âgé. Flacon de 100 ou 200 mL. Liste I.</w:t>
      </w:r>
    </w:p>
    <w:p>
      <w:pPr>
        <w:pStyle w:val="ListBullet"/>
      </w:pPr>
      <w:r/>
      <w:r>
        <w:rPr>
          <w:b/>
        </w:rPr>
        <w:t>Solution injectable 50 mg/mL</w:t>
      </w:r>
      <w:r>
        <w:t xml:space="preserve"> (1 marque active — ATARAX UCB Pharma) : pour la prémédication anesthésique et l'urticaire aiguë sévère en milieu hospitalier. Boîte de 6 ampoules de 2 mL. Liste I.</w:t>
      </w:r>
    </w:p>
    <w:p>
      <w:pPr>
        <w:pStyle w:val="ListBullet"/>
      </w:pPr>
      <w:r/>
      <w:r>
        <w:rPr>
          <w:b/>
        </w:rPr>
        <w:t>Forme suppositoire</w:t>
      </w:r>
      <w:r>
        <w:t xml:space="preserve"> : non disponible en Algérie.</w:t>
      </w:r>
    </w:p>
    <w:p>
      <w:r/>
      <w:r>
        <w:rPr>
          <w:b/>
        </w:rPr>
        <w:t>Instructions et Conseils au Patient :</w:t>
      </w:r>
      <w:r/>
    </w:p>
    <w:p>
      <w:pPr>
        <w:pStyle w:val="ListBullet"/>
      </w:pPr>
      <w:r/>
      <w:r>
        <w:rPr>
          <w:b/>
        </w:rPr>
        <w:t>Communication au comptoir</w:t>
      </w:r>
      <w:r>
        <w:t xml:space="preserve"> : « *Ce médicament est un antihistaminique ancien, prescrit pour l'anxiété ou le prurit, qui peut provoquer une somnolence importante — ne pas conduire pendant les premiers jours du traitement. Évitez absolument l'alcool. Si vous prenez d'autres médicaments, notamment pour le cœur (allongeurs de QT), parlez-en à votre médecin — ce produit peut interagir dangereusement. Une surveillance ECG peut être nécessaire. Ne dépassez jamais la dose prescrite (max 100 mg/jour). Ce traitement doit être court (max 12 semaines pour l'anxiété).* »</w:t>
      </w:r>
    </w:p>
    <w:p>
      <w:pPr>
        <w:pStyle w:val="ListBullet"/>
      </w:pPr>
      <w:r/>
      <w:r>
        <w:rPr>
          <w:b/>
        </w:rPr>
        <w:t>Mode d'utilisation pratique</w:t>
      </w:r>
      <w:r>
        <w:t xml:space="preserve"> : comprimé à avaler avec un peu d'eau au cours ou en dehors des repas ; sirop : utiliser la cuillère-mesure fournie, diluer dans un peu d'eau si nécessaire. En cas d'oubli : prendre dès que possible, ne pas doubler la dose. Conservation : température &lt; 25 °C, à l'abri de la lumière et de l'humidité ; bien refermer le flacon de sirop après usage. Ne pas dépasser la dose prescrite et la durée du traitement (max 12 semaines pour l'anxiété). En cas de somnolence marquée, de palpitations, de malaises, de syncope : arrêter le traitement et consulter immédiatement un médecin.</w:t>
      </w:r>
    </w:p>
    <w:p>
      <w:r/>
      <w:r>
        <w:rPr>
          <w:b/>
        </w:rPr>
        <w:t>Notes, Règles d'Or &amp; Pièges au Comptoir :</w:t>
      </w:r>
      <w:r/>
    </w:p>
    <w:p>
      <w:pPr>
        <w:pStyle w:val="ListBullet"/>
      </w:pPr>
      <w:r/>
      <w:r>
        <w:rPr>
          <w:b/>
        </w:rPr>
        <w:t>Piège classique</w:t>
      </w:r>
      <w:r>
        <w:t xml:space="preserve"> : </w:t>
      </w:r>
      <w:r>
        <w:rPr>
          <w:b/>
        </w:rPr>
        <w:t>allongement QT / torsades de pointe</w:t>
      </w:r>
      <w:r>
        <w:t xml:space="preserve"> (restriction ANSM 2015) — toujours demander au patient s'il a des antécédents cardiaques (arythmie, syncopes, QT long congénital), s'il prend un traitement allongeur QT (antiarythmique, antidépresseur, antipsychotique, fluoroquinolone, macrolide, autre antihistaminique allongeur QT), et vérifier la kaliémie et la magnésémie avant initiation. </w:t>
      </w:r>
      <w:r>
        <w:rPr>
          <w:b/>
        </w:rPr>
        <w:t>Hypertrophie bénigne de la prostate</w:t>
      </w:r>
      <w:r>
        <w:t xml:space="preserve"> : demander au patient s'il a des troubles urinaires (dysurie, jet faible, mictions nocturnes) — risque de rétention aiguë d'urine. </w:t>
      </w:r>
      <w:r>
        <w:rPr>
          <w:b/>
        </w:rPr>
        <w:t>Glaucome à angle fermé</w:t>
      </w:r>
      <w:r>
        <w:t xml:space="preserve"> : demander s'il a des antécédents oculaires — risque de crise aiguë. </w:t>
      </w:r>
      <w:r>
        <w:rPr>
          <w:b/>
        </w:rPr>
        <w:t>Sujet âgé</w:t>
      </w:r>
      <w:r>
        <w:t xml:space="preserve"> : effet anticholinergique cumulatif (risque de chute, confusion, fécalome) — liste de Beers ; réduire la dose à 25 mg/jour. </w:t>
      </w:r>
      <w:r>
        <w:rPr>
          <w:b/>
        </w:rPr>
        <w:t>Polysubstance avec alcool</w:t>
      </w:r>
      <w:r>
        <w:t xml:space="preserve"> : potentialisation majeure de la sédation. </w:t>
      </w:r>
      <w:r>
        <w:rPr>
          <w:b/>
        </w:rPr>
        <w:t>Substitution hydroxyzine → cétirizine</w:t>
      </w:r>
      <w:r>
        <w:t xml:space="preserve"> : la cétirizine est le métabolite actif de l'hydroxyzine, sans effet central et sans allongement QT — alternative de choix en cas d'intolérance.</w:t>
      </w:r>
    </w:p>
    <w:p>
      <w:pPr>
        <w:pStyle w:val="ListBullet"/>
      </w:pPr>
      <w:r/>
      <w:r>
        <w:rPr>
          <w:b/>
        </w:rPr>
        <w:t>Règle de prise</w:t>
      </w:r>
      <w:r>
        <w:t xml:space="preserve"> : selon indication (anxiété : 2-3 prises/jour ; prurit : 1 prise le soir ; prémédication : dose unique IM/IV). Pas d'alcool. Pas de double dose en cas d'oubli. Respect de la dose max 100 mg/jour (ANSM 2015).</w:t>
      </w:r>
    </w:p>
    <w:p>
      <w:pPr>
        <w:pStyle w:val="ListBullet"/>
      </w:pPr>
      <w:r/>
      <w:r>
        <w:rPr>
          <w:b/>
        </w:rPr>
        <w:t>Préparation et Conservation</w:t>
      </w:r>
      <w:r>
        <w:t xml:space="preserve"> : comprimés à température &lt; 25 °C, à l'abri de l'humidité ; sirop à température &lt; 25 °C, à l'abri de la lumière, bien refermer après usage ; solution injectable à conserver à température &lt; 25 °C, à l'abri de la lumière.</w:t>
      </w:r>
    </w:p>
    <w:p>
      <w:pPr>
        <w:pStyle w:val="ListBullet"/>
      </w:pPr>
      <w:r/>
      <w:r>
        <w:rPr>
          <w:b/>
        </w:rPr>
        <w:t>Piège du surdosage / Substitution</w:t>
      </w:r>
      <w:r>
        <w:t xml:space="preserve"> : </w:t>
      </w:r>
      <w:r>
        <w:rPr>
          <w:b/>
        </w:rPr>
        <w:t>surdosage</w:t>
      </w:r>
      <w:r>
        <w:t xml:space="preserve"> (≥ 200 mg) : lavage gastrique si &lt; 1 h, charbon activé, </w:t>
      </w:r>
      <w:r>
        <w:rPr>
          <w:b/>
        </w:rPr>
        <w:t>surveillance ECG continue</w:t>
      </w:r>
      <w:r>
        <w:t xml:space="preserve"> (allongement QTc, torsades de pointe — sulfate de magnésium IV, isoprénaline), surveillance neurologique (convulsions). </w:t>
      </w:r>
      <w:r>
        <w:rPr>
          <w:b/>
        </w:rPr>
        <w:t>Substitution hydroxyzine → cétirizine</w:t>
      </w:r>
      <w:r>
        <w:t xml:space="preserve"> : alternative de choix en cas d'effets centraux ou d'allongement QTc (mais perte de l'effet anxiolytique et anti-prurigineux central). </w:t>
      </w:r>
      <w:r>
        <w:rPr>
          <w:b/>
        </w:rPr>
        <w:t>Substitution hydroxyzine → loratadine</w:t>
      </w:r>
      <w:r>
        <w:t xml:space="preserve"> : alternative en cas d'allergie à la cétirizine.</w:t>
      </w:r>
    </w:p>
    <w:p>
      <w:pPr>
        <w:pStyle w:val="Heading2"/>
      </w:pPr>
      <w:r>
        <w:t>6. Introduction à la sous-classe des antihistaminiques H1 de 1re génération (phénothiazines)</w:t>
      </w:r>
    </w:p>
    <w:p>
      <w:r>
        <w:t xml:space="preserve">Les </w:t>
      </w:r>
      <w:r>
        <w:rPr>
          <w:b/>
        </w:rPr>
        <w:t>phénothiazines</w:t>
      </w:r>
      <w:r>
        <w:t xml:space="preserve"> forment une sous-classe distincte des antihistaminiques H1 de 1re génération, caractérisée par une structure chimique </w:t>
      </w:r>
      <w:r>
        <w:rPr>
          <w:b/>
        </w:rPr>
        <w:t>tricyclique</w:t>
      </w:r>
      <w:r>
        <w:t xml:space="preserve"> comprenant deux cycles benzéniques reliés par un cycle thiazine contenant un atome de soufre et un atome d'azote (phéno-thiazine : dibenzo-1,4-thiazine). Cette structure tricyclique est commune à plusieurs classes pharmacologiques : </w:t>
      </w:r>
      <w:r>
        <w:rPr>
          <w:b/>
        </w:rPr>
        <w:t>antihistaminiques H1</w:t>
      </w:r>
      <w:r>
        <w:t xml:space="preserve"> (prométhazine), </w:t>
      </w:r>
      <w:r>
        <w:rPr>
          <w:b/>
        </w:rPr>
        <w:t>antipsychotiques</w:t>
      </w:r>
      <w:r>
        <w:t xml:space="preserve"> (chlorpromazine, lévomépromazine, thioridazine), </w:t>
      </w:r>
      <w:r>
        <w:rPr>
          <w:b/>
        </w:rPr>
        <w:t>antiémétiques</w:t>
      </w:r>
      <w:r>
        <w:t xml:space="preserve"> (métopimazine), et </w:t>
      </w:r>
      <w:r>
        <w:rPr>
          <w:b/>
        </w:rPr>
        <w:t>antiparkinsoniens</w:t>
      </w:r>
      <w:r>
        <w:t xml:space="preserve"> (éthopropazine). La nature et la position des chaînes latérales sur l'atome d'azote du noyau thiazine déterminent l'orientation pharmacologique de la molécule : une </w:t>
      </w:r>
      <w:r>
        <w:rPr>
          <w:b/>
        </w:rPr>
        <w:t>chaîne aminopropyl latérale</w:t>
      </w:r>
      <w:r>
        <w:t xml:space="preserve"> (caractéristique de la </w:t>
      </w:r>
      <w:r>
        <w:rPr>
          <w:b/>
        </w:rPr>
        <w:t>prométhazine</w:t>
      </w:r>
      <w:r>
        <w:t xml:space="preserve">) lui confère un profil essentiellement </w:t>
      </w:r>
      <w:r>
        <w:rPr>
          <w:b/>
        </w:rPr>
        <w:t>anti-H1 et sédatif</w:t>
      </w:r>
      <w:r>
        <w:t xml:space="preserve">, avec un effet antipsychotique quasi-nul aux doses thérapeutiques usuelles (25 à 50 mg) ; une </w:t>
      </w:r>
      <w:r>
        <w:rPr>
          <w:b/>
        </w:rPr>
        <w:t>chaîne diméthylaminopropyl</w:t>
      </w:r>
      <w:r>
        <w:t xml:space="preserve"> (caractéristique de la </w:t>
      </w:r>
      <w:r>
        <w:rPr>
          <w:b/>
        </w:rPr>
        <w:t>chlorpromazine</w:t>
      </w:r>
      <w:r>
        <w:t xml:space="preserve">) lui confère un profil </w:t>
      </w:r>
      <w:r>
        <w:rPr>
          <w:b/>
        </w:rPr>
        <w:t>antipsychotique</w:t>
      </w:r>
      <w:r>
        <w:t xml:space="preserve"> marqué à doses plus élevées.</w:t>
      </w:r>
    </w:p>
    <w:p>
      <w:pPr>
        <w:pStyle w:val="Heading3"/>
      </w:pPr>
      <w:r>
        <w:t>Historique</w:t>
      </w:r>
    </w:p>
    <w:p>
      <w:r>
        <w:t xml:space="preserve">La </w:t>
      </w:r>
      <w:r>
        <w:rPr>
          <w:b/>
        </w:rPr>
        <w:t>prométhazine</w:t>
      </w:r>
      <w:r>
        <w:t xml:space="preserve"> est la première phénothiazine commercialisée, en 1946, par le laboratoire français </w:t>
      </w:r>
      <w:r>
        <w:rPr>
          <w:b/>
        </w:rPr>
        <w:t>Rhône-Poulenc</w:t>
      </w:r>
      <w:r>
        <w:t xml:space="preserve"> (Phenergan™). Elle a été synthétisée par Paul Charpentier, dans le cadre du programme de recherche qui a abouti quelques années plus tard (1950) à la synthèse de la </w:t>
      </w:r>
      <w:r>
        <w:rPr>
          <w:b/>
        </w:rPr>
        <w:t>chlorpromazine</w:t>
      </w:r>
      <w:r>
        <w:t xml:space="preserve"> — premier antipsychotique véritablement efficace, dont la découverte par Delay et Deniker (1952) a marqué une révolution dans la psychiatrie moderne et valu le surnom de « camisole chimique » au Largactil™ (chlorpromazine). Initialement conçue comme antihistaminique H1, la prométhazine a rapidement montré un effet sédatif et antiémétique puissant, qui a conduit à son utilisation en médecine péri-opératoire, en anesthésie (cocktail lytique avec chlorpromazine et péthidine — Laborit et Huguenard 1951, prémisse de l'anesthésie neurolept-analgésique), dans le mal des transports, et comme antiémétique.</w:t>
      </w:r>
    </w:p>
    <w:p>
      <w:pPr>
        <w:pStyle w:val="Heading3"/>
      </w:pPr>
      <w:r>
        <w:t>Pharmacocinétique de la prométhazine</w:t>
      </w:r>
    </w:p>
    <w:p>
      <w:r>
        <w:t xml:space="preserve">La prométhazine est rapidement absorbée par voie orale (biodisponibilité ~25 % en raison d'un effet de premier passage hépatique important), avec un pic plasmatique en 2 à 3 heures. Elle est largement métabolisée par le foie (CYP2D6) en métabolites inactifs (sulfoxydes, N-déméthylés). Sa </w:t>
      </w:r>
      <w:r>
        <w:rPr>
          <w:b/>
        </w:rPr>
        <w:t>demi-vie d'élimination</w:t>
      </w:r>
      <w:r>
        <w:t xml:space="preserve"> est de 10 à 14 heures chez l'adulte, prolongée à 12 à 18 heures chez l'enfant. La prométhazine traverse massivement la BBB (sédation, antiémèse), le placenta (CI au 3e trimestre), et est excrétée dans le lait maternel (CI allaitement).</w:t>
      </w:r>
    </w:p>
    <w:p>
      <w:pPr>
        <w:pStyle w:val="Heading3"/>
      </w:pPr>
      <w:r>
        <w:t>Profil pharmacologique de la prométhazine</w:t>
      </w:r>
    </w:p>
    <w:p>
      <w:pPr>
        <w:pStyle w:val="ListBullet"/>
      </w:pPr>
      <w:r/>
      <w:r>
        <w:rPr>
          <w:b/>
        </w:rPr>
        <w:t>Effet anti-H1 puissant</w:t>
      </w:r>
      <w:r>
        <w:t xml:space="preserve"> (supérieur aux alkylamines) : blocage compétitif des récepteurs H1 centraux et périphériques.</w:t>
      </w:r>
    </w:p>
    <w:p>
      <w:pPr>
        <w:pStyle w:val="ListBullet"/>
      </w:pPr>
      <w:r/>
      <w:r>
        <w:rPr>
          <w:b/>
        </w:rPr>
        <w:t>Effet sédatif marqué</w:t>
      </w:r>
      <w:r>
        <w:t xml:space="preserve"> : blocage des récepteurs H1 centraux et α1-adrénergiques → somnolence profonde, altération des performances psychomotrices.</w:t>
      </w:r>
    </w:p>
    <w:p>
      <w:pPr>
        <w:pStyle w:val="ListBullet"/>
      </w:pPr>
      <w:r/>
      <w:r>
        <w:rPr>
          <w:b/>
        </w:rPr>
        <w:t>Effet antiémétique puissant</w:t>
      </w:r>
      <w:r>
        <w:t xml:space="preserve"> : blocage des récepteurs H1 et D2 (dopaminergiques) du centre du vomissement (area postrema du 4e ventricule).</w:t>
      </w:r>
    </w:p>
    <w:p>
      <w:pPr>
        <w:pStyle w:val="ListBullet"/>
      </w:pPr>
      <w:r/>
      <w:r>
        <w:rPr>
          <w:b/>
        </w:rPr>
        <w:t>Effet anticholinergique</w:t>
      </w:r>
      <w:r>
        <w:t xml:space="preserve"> (atropinique) : blocage des récepteurs muscariniques M1-M3 (sécheresse buccale, mydriase, rétention urinaire, tachycardie, troubles cognitifs).</w:t>
      </w:r>
    </w:p>
    <w:p>
      <w:pPr>
        <w:pStyle w:val="ListBullet"/>
      </w:pPr>
      <w:r/>
      <w:r>
        <w:rPr>
          <w:b/>
        </w:rPr>
        <w:t>Effet α1-bloquant</w:t>
      </w:r>
      <w:r>
        <w:t xml:space="preserve"> : hypotension orthostatique.</w:t>
      </w:r>
    </w:p>
    <w:p>
      <w:pPr>
        <w:pStyle w:val="ListBullet"/>
      </w:pPr>
      <w:r/>
      <w:r>
        <w:rPr>
          <w:b/>
        </w:rPr>
        <w:t>Effet antiserotoninergique 5-HT2A</w:t>
      </w:r>
      <w:r>
        <w:t xml:space="preserve"> : adjuvant antiémétique.</w:t>
      </w:r>
    </w:p>
    <w:p>
      <w:pPr>
        <w:pStyle w:val="ListBullet"/>
      </w:pPr>
      <w:r/>
      <w:r>
        <w:rPr>
          <w:b/>
        </w:rPr>
        <w:t>Effet dépresseur respiratoire central</w:t>
      </w:r>
      <w:r>
        <w:t xml:space="preserve"> : à l'origine de la </w:t>
      </w:r>
      <w:r>
        <w:rPr>
          <w:b/>
        </w:rPr>
        <w:t>CI absolue chez l'enfant &lt; 2 ans</w:t>
      </w:r>
      <w:r>
        <w:t xml:space="preserve"> (risque de mort subite du nourrisson —_BP décès par apnée centrale).</w:t>
      </w:r>
    </w:p>
    <w:p>
      <w:pPr>
        <w:pStyle w:val="Heading3"/>
      </w:pPr>
      <w:r>
        <w:t>Indications spécifiques de la prométhazine</w:t>
      </w:r>
    </w:p>
    <w:p>
      <w:pPr>
        <w:pStyle w:val="ListBullet"/>
      </w:pPr>
      <w:r/>
      <w:r>
        <w:rPr>
          <w:b/>
        </w:rPr>
        <w:t>Mal des transports (cinétose)</w:t>
      </w:r>
      <w:r>
        <w:t xml:space="preserve"> : 25 mg la veille et le jour du départ (forme cp — retirée en Algérie).</w:t>
      </w:r>
    </w:p>
    <w:p>
      <w:pPr>
        <w:pStyle w:val="ListBullet"/>
      </w:pPr>
      <w:r/>
      <w:r>
        <w:rPr>
          <w:b/>
        </w:rPr>
        <w:t>Prémédication anesthésique</w:t>
      </w:r>
      <w:r>
        <w:t xml:space="preserve"> : 25-50 mg IM/IV en pré-opératoire (forme injectable PRANOK 50 mg/2 mL).</w:t>
      </w:r>
    </w:p>
    <w:p>
      <w:pPr>
        <w:pStyle w:val="ListBullet"/>
      </w:pPr>
      <w:r/>
      <w:r>
        <w:rPr>
          <w:b/>
        </w:rPr>
        <w:t>Insomnie occasionnelle</w:t>
      </w:r>
      <w:r>
        <w:t xml:space="preserve"> de l'adulte : 25 mg au coucher (forme cp — retirée en Algérie).</w:t>
      </w:r>
    </w:p>
    <w:p>
      <w:pPr>
        <w:pStyle w:val="ListBullet"/>
      </w:pPr>
      <w:r/>
      <w:r>
        <w:rPr>
          <w:b/>
        </w:rPr>
        <w:t>Anti-émétique</w:t>
      </w:r>
      <w:r>
        <w:t xml:space="preserve"> péri-opératoire et en oncologie : 25 mg IM/IV (forme injectable).</w:t>
      </w:r>
    </w:p>
    <w:p>
      <w:pPr>
        <w:pStyle w:val="ListBullet"/>
      </w:pPr>
      <w:r/>
      <w:r>
        <w:rPr>
          <w:b/>
        </w:rPr>
        <w:t>Rhinite allergique</w:t>
      </w:r>
      <w:r>
        <w:t xml:space="preserve"> : 25 mg/jour (forme cp — retirée en Algérie).</w:t>
      </w:r>
    </w:p>
    <w:p>
      <w:pPr>
        <w:pStyle w:val="ListBullet"/>
      </w:pPr>
      <w:r/>
      <w:r>
        <w:rPr>
          <w:b/>
        </w:rPr>
        <w:t>Urticaire aiguë sévère</w:t>
      </w:r>
      <w:r>
        <w:t xml:space="preserve"> : 25 mg IM/IV (alternative à l'hydroxyzine injectable).</w:t>
      </w:r>
    </w:p>
    <w:p>
      <w:pPr>
        <w:pStyle w:val="Heading3"/>
      </w:pPr>
      <w:r>
        <w:t>Restrictions réglementaires critiques</w:t>
      </w:r>
    </w:p>
    <w:p>
      <w:pPr>
        <w:pStyle w:val="ListBullet"/>
      </w:pPr>
      <w:r/>
      <w:r>
        <w:rPr>
          <w:b/>
        </w:rPr>
        <w:t>Prométhazine et enfant &lt; 2 ans</w:t>
      </w:r>
      <w:r>
        <w:t xml:space="preserve"> : </w:t>
      </w:r>
      <w:r>
        <w:rPr>
          <w:b/>
        </w:rPr>
        <w:t>CI absolue</w:t>
      </w:r>
      <w:r>
        <w:t xml:space="preserve"> en raison du risque documenté de </w:t>
      </w:r>
      <w:r>
        <w:rPr>
          <w:b/>
        </w:rPr>
        <w:t>mort subite du nourrisson</w:t>
      </w:r>
      <w:r>
        <w:t xml:space="preserve"> (effet dépresseur respiratoire central, potentialisation par les effets atropiniques sur la commande respiratoire). Cette CI s'applique à toutes les phénothiazines en pédiatrie.</w:t>
      </w:r>
    </w:p>
    <w:p>
      <w:pPr>
        <w:pStyle w:val="ListBullet"/>
      </w:pPr>
      <w:r/>
      <w:r>
        <w:rPr>
          <w:b/>
        </w:rPr>
        <w:t>Prométhazine et enfant &lt; 6 ans</w:t>
      </w:r>
      <w:r>
        <w:t xml:space="preserve"> : CI relative, à réserver à des indications spécifiques (hospitalisation, prémédication) sous surveillance médicale stricte.</w:t>
      </w:r>
    </w:p>
    <w:p>
      <w:pPr>
        <w:pStyle w:val="ListBullet"/>
      </w:pPr>
      <w:r/>
      <w:r>
        <w:rPr>
          <w:b/>
        </w:rPr>
        <w:t>Prométhazine et grossesse</w:t>
      </w:r>
      <w:r>
        <w:t xml:space="preserve"> : à éviter au 3e trimestre en raison du risque d'hypotension néonatale et de détresse respiratoire.</w:t>
      </w:r>
    </w:p>
    <w:p>
      <w:pPr>
        <w:pStyle w:val="ListBullet"/>
      </w:pPr>
      <w:r/>
      <w:r>
        <w:rPr>
          <w:b/>
        </w:rPr>
        <w:t>Prométhazine et conduite automobile</w:t>
      </w:r>
      <w:r>
        <w:t xml:space="preserve"> : déconseillée systématiquement.</w:t>
      </w:r>
    </w:p>
    <w:p>
      <w:pPr>
        <w:pStyle w:val="Heading3"/>
      </w:pPr>
      <w:r>
        <w:t>DCI traitée</w:t>
      </w:r>
    </w:p>
    <w:p>
      <w:pPr>
        <w:pStyle w:val="ListNumber"/>
      </w:pPr>
      <w:r/>
      <w:r>
        <w:rPr>
          <w:b/>
        </w:rPr>
        <w:t>Prométhazine</w:t>
      </w:r>
      <w:r>
        <w:t xml:space="preserve"> (1 seule marque active — PRANOK Global Pharmatech, injectable 50 mg/2 mL ; PHENERGAN retiré)</w:t>
      </w:r>
    </w:p>
    <w:p>
      <w:pPr>
        <w:pStyle w:val="Heading2"/>
      </w:pPr>
      <w:r>
        <w:t>7. Fiche DCI — Antihistaminique H1 de 1re génération (phénothiazine)</w:t>
      </w:r>
    </w:p>
    <w:p>
      <w:pPr>
        <w:pStyle w:val="Heading3"/>
      </w:pPr>
      <w:r>
        <w:t>7.1. DCI : Prométhazine (Seule)</w:t>
      </w:r>
    </w:p>
    <w:p>
      <w:r/>
      <w:r>
        <w:rPr>
          <w:b/>
        </w:rPr>
        <w:t>Liste des Catégories :</w:t>
      </w:r>
      <w:r>
        <w:t xml:space="preserve"> Antihistaminique H1 — 1re génération (phénothiazine), Sédatif puissant, Antiémétique central, Mal des transports (cinétose), Prémédication anesthésique, Liste I (prescription obligatoire), CI absolue enfant &lt; 2 ans (mort subite du nourrisson).</w:t>
      </w:r>
    </w:p>
    <w:p>
      <w:r>
        <w:t xml:space="preserve">La </w:t>
      </w:r>
      <w:r>
        <w:rPr>
          <w:b/>
        </w:rPr>
        <w:t>prométhazine</w:t>
      </w:r>
      <w:r>
        <w:t xml:space="preserve"> (chlorhydrate de prométhazine, formule C17H20N2S · HCl ; M = 320,9 g/mol) est un antihistaminique H1 de 1re génération de la famille des </w:t>
      </w:r>
      <w:r>
        <w:rPr>
          <w:b/>
        </w:rPr>
        <w:t>phénothiazines</w:t>
      </w:r>
      <w:r>
        <w:t xml:space="preserve">, commercialisée en Algérie sous </w:t>
      </w:r>
      <w:r>
        <w:rPr>
          <w:b/>
        </w:rPr>
        <w:t>une seule marque active</w:t>
      </w:r>
      <w:r>
        <w:t xml:space="preserve"> (PRANOK Global Pharmatech, solution injectable 50 mg/2 mL) en Avril 2026 — toutes les autres formes (cp 25 mg, sirop 5 mg/5 mL, solution injectable 50 mg) ayant été retirées du marché algérien. La prométhazine a été synthétisée par Paul Charpentier au laboratoire français Rhône-Poulenc en 1946 (Phenergan™) comme première phénothiazine antihistaminique, quelques années avant la synthèse de la chlorpromazine (Largactil™, 1950). Sa biodisponibilité orale est modeste (~25 % en raison d'un effet de premier passage hépatique important), son pic plasmatique est atteint en 2 à 3 heures, et sa </w:t>
      </w:r>
      <w:r>
        <w:rPr>
          <w:b/>
        </w:rPr>
        <w:t>demi-vie d'élimination</w:t>
      </w:r>
      <w:r>
        <w:t xml:space="preserve"> est de 10 à 14 heures chez l'adulte. La prométhazine est largement métabolisée par le </w:t>
      </w:r>
      <w:r>
        <w:rPr>
          <w:b/>
        </w:rPr>
        <w:t>CYP2D6</w:t>
      </w:r>
      <w:r>
        <w:t xml:space="preserve"> hépatique en métabolites inactifs (sulfoxydes, N-déméthylés), ce qui expose à une variabilité interindividuelle selon le polymorphisme CYP2D6 (métaboliseurs lents ~5-10 % de la population caucasienne — risque d'accumulation et d'EI majoré). Elle traverse massivement la BBB (sédation, antiémèse), le placenta (CI au 3e trimestre), et est excrétée dans le lait maternel (CI allaitement). En raison de son </w:t>
      </w:r>
      <w:r>
        <w:rPr>
          <w:b/>
        </w:rPr>
        <w:t>effet dépresseur respiratoire central</w:t>
      </w:r>
      <w:r>
        <w:t xml:space="preserve"> marqué, la prométhazine est </w:t>
      </w:r>
      <w:r>
        <w:rPr>
          <w:b/>
        </w:rPr>
        <w:t>contre-indiquée absolument chez l'enfant de moins de 2 ans</w:t>
      </w:r>
      <w:r>
        <w:t xml:space="preserve"> (risque de mort subite du nourrisson).</w:t>
      </w:r>
    </w:p>
    <w:p>
      <w:r/>
      <w:r>
        <w:rPr>
          <w:b/>
        </w:rPr>
        <w:t>Médicaments disponibles en Algérie (Marques, Laboratoires, Formes et Dosages) :</w:t>
      </w:r>
      <w:r/>
    </w:p>
    <w:p>
      <w:pPr>
        <w:pStyle w:val="ListBullet"/>
      </w:pPr>
      <w:r/>
      <w:r>
        <w:rPr>
          <w:b/>
        </w:rPr>
        <w:t>PRANOK</w:t>
      </w:r>
      <w:r>
        <w:t xml:space="preserve"> (GLOBAL PHARMATECH PRIVATE LIMITED)</w:t>
      </w:r>
    </w:p>
    <w:p>
      <w:pPr>
        <w:pStyle w:val="ListBullet"/>
      </w:pPr>
      <w:r>
        <w:t>Formes et Dosages : Solution injectable 50 mg/2 mL — Boîte de 100 ampoules de 2 mL</w:t>
      </w:r>
    </w:p>
    <w:p>
      <w:pPr>
        <w:pStyle w:val="ListBullet"/>
      </w:pPr>
      <w:r>
        <w:t>Statut : Actif (Liste I)</w:t>
      </w:r>
    </w:p>
    <w:p>
      <w:pPr>
        <w:pStyle w:val="ListBullet"/>
      </w:pPr>
      <w:r/>
      <w:r>
        <w:rPr>
          <w:b/>
        </w:rPr>
        <w:t>PHENERGAN</w:t>
      </w:r>
      <w:r>
        <w:t xml:space="preserve"> (FRILAB PHARMA) — *princeps Rhône-Poulenc historique*</w:t>
      </w:r>
    </w:p>
    <w:p>
      <w:pPr>
        <w:pStyle w:val="ListBullet"/>
      </w:pPr>
      <w:r>
        <w:t>Formes et Dosages : Solution injectable 50 mg — Boîte de 5 ampoules ; Comprimé 25 mg — Boîte de 20</w:t>
      </w:r>
    </w:p>
    <w:p>
      <w:pPr>
        <w:pStyle w:val="ListBullet"/>
      </w:pPr>
      <w:r>
        <w:t xml:space="preserve">Statut : </w:t>
      </w:r>
      <w:r>
        <w:rPr>
          <w:b/>
        </w:rPr>
        <w:t>Retiré (R)</w:t>
      </w:r>
      <w:r>
        <w:t xml:space="preserve"> (Liste I)</w:t>
      </w:r>
    </w:p>
    <w:p>
      <w:pPr>
        <w:pStyle w:val="ListBullet"/>
      </w:pPr>
      <w:r/>
      <w:r>
        <w:rPr>
          <w:b/>
        </w:rPr>
        <w:t>PROMETHAZINE HCL</w:t>
      </w:r>
      <w:r>
        <w:t xml:space="preserve"> (CHINA MEHECO)</w:t>
      </w:r>
    </w:p>
    <w:p>
      <w:pPr>
        <w:pStyle w:val="ListBullet"/>
      </w:pPr>
      <w:r>
        <w:t>Formes et Dosages : Solution injectable 50 mg — Boîte de 100 ampoules de 2 mL</w:t>
      </w:r>
    </w:p>
    <w:p>
      <w:pPr>
        <w:pStyle w:val="ListBullet"/>
      </w:pPr>
      <w:r>
        <w:t xml:space="preserve">Statut : </w:t>
      </w:r>
      <w:r>
        <w:rPr>
          <w:b/>
        </w:rPr>
        <w:t>Retiré (R)</w:t>
      </w:r>
      <w:r>
        <w:t xml:space="preserve"> (Liste I)</w:t>
      </w:r>
    </w:p>
    <w:p>
      <w:pPr>
        <w:pStyle w:val="ListBullet"/>
      </w:pPr>
      <w:r/>
      <w:r>
        <w:rPr>
          <w:b/>
        </w:rPr>
        <w:t>HISTAZIN</w:t>
      </w:r>
      <w:r>
        <w:t xml:space="preserve"> (UNITED PHARMACEUTICAL MANUFACTURING — UPM)</w:t>
      </w:r>
    </w:p>
    <w:p>
      <w:pPr>
        <w:pStyle w:val="ListBullet"/>
      </w:pPr>
      <w:r>
        <w:t>Formes et Dosages : Sirop 5 mg/5 mL — Flacon de 125 mL ; Comprimé 25 mg — Boîte de 20</w:t>
      </w:r>
    </w:p>
    <w:p>
      <w:pPr>
        <w:pStyle w:val="ListBullet"/>
      </w:pPr>
      <w:r>
        <w:t xml:space="preserve">Statut : </w:t>
      </w:r>
      <w:r>
        <w:rPr>
          <w:b/>
        </w:rPr>
        <w:t>Retiré (R)</w:t>
      </w:r>
      <w:r/>
    </w:p>
    <w:p>
      <w:pPr>
        <w:pStyle w:val="ListBullet"/>
      </w:pPr>
      <w:r/>
      <w:r>
        <w:rPr>
          <w:b/>
        </w:rPr>
        <w:t>PHENAZINE</w:t>
      </w:r>
      <w:r>
        <w:t xml:space="preserve"> (SANAMED)</w:t>
      </w:r>
    </w:p>
    <w:p>
      <w:pPr>
        <w:pStyle w:val="ListBullet"/>
      </w:pPr>
      <w:r>
        <w:t>Formes et Dosages : Comprimé 25 mg — Boîte de 20</w:t>
      </w:r>
    </w:p>
    <w:p>
      <w:pPr>
        <w:pStyle w:val="ListBullet"/>
      </w:pPr>
      <w:r>
        <w:t xml:space="preserve">Statut : </w:t>
      </w:r>
      <w:r>
        <w:rPr>
          <w:b/>
        </w:rPr>
        <w:t>Retiré (R)</w:t>
      </w:r>
      <w:r/>
    </w:p>
    <w:p>
      <w:r/>
      <w:r>
        <w:rPr>
          <w:b/>
        </w:rPr>
        <w:t>Sous-classe et Mécanisme d'action :</w:t>
      </w:r>
      <w:r/>
    </w:p>
    <w:p>
      <w:pPr>
        <w:pStyle w:val="ListBullet"/>
      </w:pPr>
      <w:r>
        <w:t>Sous-classe : Antihistaminique H1 — 1re génération (phénothiazine), structure tricyclique dibenzo-1,4-thiazine avec chaîne aminopropyle latérale.</w:t>
      </w:r>
    </w:p>
    <w:p>
      <w:pPr>
        <w:pStyle w:val="ListBullet"/>
      </w:pPr>
      <w:r>
        <w:t xml:space="preserve">Mécanisme d'action : </w:t>
      </w:r>
      <w:r>
        <w:rPr>
          <w:b/>
        </w:rPr>
        <w:t>Antihistaminiques H1</w:t>
      </w:r>
      <w:r>
        <w:t xml:space="preserve"> : antagoniste compétitif inverse du récepteur H1 (couplé Gq/11 → PLC → IP3 → Ca2+ → MLCK). La prométhazine traverse </w:t>
      </w:r>
      <w:r>
        <w:rPr>
          <w:b/>
        </w:rPr>
        <w:t>massivement la BBB</w:t>
      </w:r>
      <w:r>
        <w:t xml:space="preserve"> en raison de sa </w:t>
      </w:r>
      <w:r>
        <w:rPr>
          <w:b/>
        </w:rPr>
        <w:t>liposolubilité élevée</w:t>
      </w:r>
      <w:r>
        <w:t xml:space="preserve"> (structure tricyclique phénothiazine). Elle se lie aux récepteurs H1 centraux : </w:t>
      </w:r>
      <w:r>
        <w:rPr>
          <w:b/>
        </w:rPr>
        <w:t>sédation marquée</w:t>
      </w:r>
      <w:r>
        <w:t xml:space="preserve">, </w:t>
      </w:r>
      <w:r>
        <w:rPr>
          <w:b/>
        </w:rPr>
        <w:t>antiémèse</w:t>
      </w:r>
      <w:r>
        <w:t xml:space="preserve"> (via H1 et D2 centraux — area postrema du 4e ventricule). Elle a également une </w:t>
      </w:r>
      <w:r>
        <w:rPr>
          <w:b/>
        </w:rPr>
        <w:t>affinité élevée pour les récepteurs muscariniques M1-M3</w:t>
      </w:r>
      <w:r>
        <w:t xml:space="preserve"> (effets atropiniques : sécheresse buccale, mydriase, rétention urinaire, tachycardie, troubles cognitifs), pour les récepteurs </w:t>
      </w:r>
      <w:r>
        <w:rPr>
          <w:b/>
        </w:rPr>
        <w:t>α1-adrénergiques</w:t>
      </w:r>
      <w:r>
        <w:t xml:space="preserve"> (hypotension orthostatique), pour les récepteurs </w:t>
      </w:r>
      <w:r>
        <w:rPr>
          <w:b/>
        </w:rPr>
        <w:t>dopaminergiques D2</w:t>
      </w:r>
      <w:r>
        <w:t xml:space="preserve"> (effet antipsychotique faible à dose anti-H1, mais effet antiémétique puissant), et pour les récepteurs </w:t>
      </w:r>
      <w:r>
        <w:rPr>
          <w:b/>
        </w:rPr>
        <w:t>sérotoninergiques 5-HT2A</w:t>
      </w:r>
      <w:r>
        <w:t xml:space="preserve"> (antiémétique). La prométhazine bloque l'action de l'histamine sur les récepteurs H1 périphériques : </w:t>
      </w:r>
      <w:r>
        <w:rPr>
          <w:b/>
        </w:rPr>
        <w:t>vasodilatation</w:t>
      </w:r>
      <w:r>
        <w:t xml:space="preserve"> réduite, </w:t>
      </w:r>
      <w:r>
        <w:rPr>
          <w:b/>
        </w:rPr>
        <w:t>perméabilité capillaire</w:t>
      </w:r>
      <w:r>
        <w:t xml:space="preserve"> diminuée, </w:t>
      </w:r>
      <w:r>
        <w:rPr>
          <w:b/>
        </w:rPr>
        <w:t>bronchoconstriction</w:t>
      </w:r>
      <w:r>
        <w:t xml:space="preserve"> atténuée, </w:t>
      </w:r>
      <w:r>
        <w:rPr>
          <w:b/>
        </w:rPr>
        <w:t>prurit et éternuements</w:t>
      </w:r>
      <w:r>
        <w:t xml:space="preserve"> réduits. </w:t>
      </w:r>
      <w:r>
        <w:rPr>
          <w:b/>
        </w:rPr>
        <w:t>Effet dépresseur respiratoire central</w:t>
      </w:r>
      <w:r>
        <w:t xml:space="preserve"> marqué (à l'origine de la CI absolue enfant &lt; 2 ans — risque de mort subite du nourrisson par apnée centrale).</w:t>
      </w:r>
    </w:p>
    <w:p>
      <w:r/>
      <w:r>
        <w:rPr>
          <w:b/>
        </w:rPr>
        <w:t>Profil Pharmacologique :</w:t>
      </w:r>
      <w:r/>
    </w:p>
    <w:p>
      <w:pPr>
        <w:pStyle w:val="ListBullet"/>
      </w:pPr>
      <w:r/>
      <w:r>
        <w:rPr>
          <w:b/>
        </w:rPr>
        <w:t>Indications</w:t>
      </w:r>
      <w:r>
        <w:t xml:space="preserve"> : (i) </w:t>
      </w:r>
      <w:r>
        <w:rPr>
          <w:b/>
        </w:rPr>
        <w:t>Mal des transports (cinétose)</w:t>
      </w:r>
      <w:r>
        <w:t xml:space="preserve"> en prévention et curatif (25 mg la veille et le jour du départ — forme cp retirée en Algérie) ; (ii) </w:t>
      </w:r>
      <w:r>
        <w:rPr>
          <w:b/>
        </w:rPr>
        <w:t>Prémédication anesthésique</w:t>
      </w:r>
      <w:r>
        <w:t xml:space="preserve"> (25-50 mg IM/IV en pré-opératoire — seule indication pratique disponible en Algérie avec la forme injectable PRANOK 50 mg/2 mL) ; (iii) </w:t>
      </w:r>
      <w:r>
        <w:rPr>
          <w:b/>
        </w:rPr>
        <w:t>Anti-émétique</w:t>
      </w:r>
      <w:r>
        <w:t xml:space="preserve"> péri-opératoire et en oncologie (25 mg IM/IV) ; (iv) </w:t>
      </w:r>
      <w:r>
        <w:rPr>
          <w:b/>
        </w:rPr>
        <w:t>Insomnie occasionnelle</w:t>
      </w:r>
      <w:r>
        <w:t xml:space="preserve"> de l'adulte (25 mg au coucher — forme cp retirée) ; (v) </w:t>
      </w:r>
      <w:r>
        <w:rPr>
          <w:b/>
        </w:rPr>
        <w:t>Rhinite allergique et urticaire</w:t>
      </w:r>
      <w:r>
        <w:t xml:space="preserve"> résistantes aux 2e génération (25 mg/jour — forme cp retirée).</w:t>
      </w:r>
    </w:p>
    <w:p>
      <w:pPr>
        <w:pStyle w:val="ListBullet"/>
      </w:pPr>
      <w:r/>
      <w:r>
        <w:rPr>
          <w:b/>
        </w:rPr>
        <w:t>Contre-indications</w:t>
      </w:r>
      <w:r>
        <w:t xml:space="preserve"> : hypersensibilité à la prométhazine ou aux phénothiazines ; </w:t>
      </w:r>
      <w:r>
        <w:rPr>
          <w:b/>
        </w:rPr>
        <w:t>enfant &lt; 2 ans (CI absolue — mort subite du nourrisson)</w:t>
      </w:r>
      <w:r>
        <w:t xml:space="preserve"> ; </w:t>
      </w:r>
      <w:r>
        <w:rPr>
          <w:b/>
        </w:rPr>
        <w:t>enfant &lt; 6 ans</w:t>
      </w:r>
      <w:r>
        <w:t xml:space="preserve"> (CI relative, sauf indication spécifique sous surveillance médicale stricte) ; </w:t>
      </w:r>
      <w:r>
        <w:rPr>
          <w:b/>
        </w:rPr>
        <w:t>glaucome à angle fermé</w:t>
      </w:r>
      <w:r>
        <w:t xml:space="preserve"> non traité (effet atropinique mydriatique) ; </w:t>
      </w:r>
      <w:r>
        <w:rPr>
          <w:b/>
        </w:rPr>
        <w:t>hypertrophie bénigne de la prostate</w:t>
      </w:r>
      <w:r>
        <w:t xml:space="preserve"> avec rétention urinaire (effet atropinique) ; </w:t>
      </w:r>
      <w:r>
        <w:rPr>
          <w:b/>
        </w:rPr>
        <w:t>myasthénie</w:t>
      </w:r>
      <w:r>
        <w:t xml:space="preserve"> (effet curarisant potentialisé) ; </w:t>
      </w:r>
      <w:r>
        <w:rPr>
          <w:b/>
        </w:rPr>
        <w:t>insuffisance hépatique sévère</w:t>
      </w:r>
      <w:r>
        <w:t xml:space="preserve"> (métabolisme CYP2D6) ; </w:t>
      </w:r>
      <w:r>
        <w:rPr>
          <w:b/>
        </w:rPr>
        <w:t>insuffisance rénale sévère</w:t>
      </w:r>
      <w:r>
        <w:t xml:space="preserve"> ; </w:t>
      </w:r>
      <w:r>
        <w:rPr>
          <w:b/>
        </w:rPr>
        <w:t>épilepsie non contrôlée</w:t>
      </w:r>
      <w:r>
        <w:t xml:space="preserve"> (abaissement du seuil épileptogène) ; </w:t>
      </w:r>
      <w:r>
        <w:rPr>
          <w:b/>
        </w:rPr>
        <w:t>allongement QTc</w:t>
      </w:r>
      <w:r>
        <w:t xml:space="preserve"> congénital ou acquis ; </w:t>
      </w:r>
      <w:r>
        <w:rPr>
          <w:b/>
        </w:rPr>
        <w:t>hypokaliémie ou hypomagnésémie</w:t>
      </w:r>
      <w:r>
        <w:t xml:space="preserve"> non corrigées ; </w:t>
      </w:r>
      <w:r>
        <w:rPr>
          <w:b/>
        </w:rPr>
        <w:t>association aux allongeurs QT</w:t>
      </w:r>
      <w:r>
        <w:t xml:space="preserve"> (CI absolue) ; </w:t>
      </w:r>
      <w:r>
        <w:rPr>
          <w:b/>
        </w:rPr>
        <w:t>association aux IMAO</w:t>
      </w:r>
      <w:r>
        <w:t xml:space="preserve"> (potentialisation — wash-out de 14 jours) ; </w:t>
      </w:r>
      <w:r>
        <w:rPr>
          <w:b/>
        </w:rPr>
        <w:t>grossesse (3e trimestre)</w:t>
      </w:r>
      <w:r>
        <w:t xml:space="preserve"> (hypotension néonatale, détresse respiratoire) ; </w:t>
      </w:r>
      <w:r>
        <w:rPr>
          <w:b/>
        </w:rPr>
        <w:t>allaitement</w:t>
      </w:r>
      <w:r>
        <w:t xml:space="preserve"> (passage dans le lait maternel).</w:t>
      </w:r>
    </w:p>
    <w:p>
      <w:pPr>
        <w:pStyle w:val="ListBullet"/>
      </w:pPr>
      <w:r/>
      <w:r>
        <w:rPr>
          <w:b/>
        </w:rPr>
        <w:t>Effets Indésirables</w:t>
      </w:r>
      <w:r>
        <w:t xml:space="preserve"> : nombreux et fréquents. EI très fréquents (≥ 1/10) : </w:t>
      </w:r>
      <w:r>
        <w:rPr>
          <w:b/>
        </w:rPr>
        <w:t>sédation marquée</w:t>
      </w:r>
      <w:r>
        <w:t xml:space="preserve"> (somnolence, asthénie — effet dose-dépendant), </w:t>
      </w:r>
      <w:r>
        <w:rPr>
          <w:b/>
        </w:rPr>
        <w:t>sécheresse buccale</w:t>
      </w:r>
      <w:r>
        <w:t xml:space="preserve">, hypotension orthostatique. EI fréquents (≥ 1/100 à &lt; 1/10) : céphalées, étourdissements, vertiges, troubles de l'accommodation, mydriase, constipation, nausées, rétention urinaire (homme âgé), tachycardie, bradycardie réflexe. EI peu fréquents : tremblements, confusion (sujet âgé), troubles de la mémoire, altération des performances psychomotrices, rash, urticaire paradoxale, photosensibilité. EI rares : </w:t>
      </w:r>
      <w:r>
        <w:rPr>
          <w:b/>
        </w:rPr>
        <w:t>convulsions</w:t>
      </w:r>
      <w:r>
        <w:t xml:space="preserve"> (à dose élevée, en particulier enfant), </w:t>
      </w:r>
      <w:r>
        <w:rPr>
          <w:b/>
        </w:rPr>
        <w:t>agonation paradoxale</w:t>
      </w:r>
      <w:r>
        <w:t xml:space="preserve"> (enfant), allongement QTc et torsades de pointe (dose-dépendant), </w:t>
      </w:r>
      <w:r>
        <w:rPr>
          <w:b/>
        </w:rPr>
        <w:t>apnée centrale et mort subite du nourrisson</w:t>
      </w:r>
      <w:r>
        <w:t xml:space="preserve"> (&lt; 2 ans — CI absolue), hépatite, anomalies biologiques hépatiques. EI très rares : syndrome malin des antipsychotiques (à dose très élevée), anaphylaxie, agranulocytose (phénothiazine), érythème polymorphe, Stevens-Johnson. </w:t>
      </w:r>
      <w:r>
        <w:rPr>
          <w:b/>
        </w:rPr>
        <w:t>Effet anticholinergique cumulatif</w:t>
      </w:r>
      <w:r>
        <w:t xml:space="preserve"> chez le sujet âgé (risque de chute, confusion, délire, fécalome, rétention aiguë d'urine) — la prométhazine figure sur la </w:t>
      </w:r>
      <w:r>
        <w:rPr>
          <w:b/>
        </w:rPr>
        <w:t>liste de Beers</w:t>
      </w:r>
      <w:r>
        <w:t xml:space="preserve"> des médicaments potentiellement inappropriés chez le sujet âgé.</w:t>
      </w:r>
    </w:p>
    <w:p>
      <w:r/>
      <w:r>
        <w:rPr>
          <w:b/>
        </w:rPr>
        <w:t>Prévention et Gestion des Effets Indésirables :</w:t>
      </w:r>
      <w:r/>
    </w:p>
    <w:p>
      <w:pPr>
        <w:pStyle w:val="ListBullet"/>
      </w:pPr>
      <w:r/>
      <w:r>
        <w:rPr>
          <w:b/>
        </w:rPr>
        <w:t>Mesures Préventives</w:t>
      </w:r>
      <w:r>
        <w:t xml:space="preserve"> : prescription </w:t>
      </w:r>
      <w:r>
        <w:rPr>
          <w:b/>
        </w:rPr>
        <w:t>sur ordonnance Liste I</w:t>
      </w:r>
      <w:r>
        <w:t xml:space="preserve"> en Algérie. </w:t>
      </w:r>
      <w:r>
        <w:rPr>
          <w:b/>
        </w:rPr>
        <w:t>Surveillance ECG avant initiation</w:t>
      </w:r>
      <w:r>
        <w:t xml:space="preserve"> (QTc de base) et au cours du traitement en cas d'association à d'autres allongeurs QT ou en cas d'antécédents cardiovasculaires. </w:t>
      </w:r>
      <w:r>
        <w:rPr>
          <w:b/>
        </w:rPr>
        <w:t>Corriger les troubles électrolytiques</w:t>
      </w:r>
      <w:r>
        <w:t xml:space="preserve"> (kaliémie, magnésémie) avant initiation. Éviter l'association à l'alcool et aux dépresseurs du SNC. Avertir le patient du risque de somnolence et de la nécessité de ne pas conduire pendant les premiers jours du traitement. Surveiller l'apparition d'effets anticholinergiques chez le sujet âgé (sécheresse buccale, rétention urinaire, confusion). </w:t>
      </w:r>
      <w:r>
        <w:rPr>
          <w:b/>
        </w:rPr>
        <w:t>Ne jamais prescrire chez l'enfant &lt; 2 ans</w:t>
      </w:r>
      <w:r>
        <w:t xml:space="preserve"> (CI absolue — mort subite du nourrisson). Chez l'enfant &lt; 6 ans : CI relative, surveillance médicale stricte. Chez la femme enceinte : éviter au 3e trimestre.</w:t>
      </w:r>
    </w:p>
    <w:p>
      <w:pPr>
        <w:pStyle w:val="ListBullet"/>
      </w:pPr>
      <w:r/>
      <w:r>
        <w:rPr>
          <w:b/>
        </w:rPr>
        <w:t>Conduite à Tenir</w:t>
      </w:r>
      <w:r>
        <w:t xml:space="preserve"> : en cas de </w:t>
      </w:r>
      <w:r>
        <w:rPr>
          <w:b/>
        </w:rPr>
        <w:t>syncopes, palpitations, malaises</w:t>
      </w:r>
      <w:r>
        <w:t xml:space="preserve"> : arrêt immédiat, ECG urgent, consultation médicale (torsades de pointe — urgence vitale). En cas de </w:t>
      </w:r>
      <w:r>
        <w:rPr>
          <w:b/>
        </w:rPr>
        <w:t>confusion, agitation paradoxale</w:t>
      </w:r>
      <w:r>
        <w:t xml:space="preserve"> (sujet âgé, enfant) : arrêt immédiat. En cas de </w:t>
      </w:r>
      <w:r>
        <w:rPr>
          <w:b/>
        </w:rPr>
        <w:t>rétention urinaire aiguë</w:t>
      </w:r>
      <w:r>
        <w:t xml:space="preserve"> (homme âgé) : arrêt, sondage vésical temporaire, consultation urologique. En cas de </w:t>
      </w:r>
      <w:r>
        <w:rPr>
          <w:b/>
        </w:rPr>
        <w:t>crise de glaucome aigu</w:t>
      </w:r>
      <w:r>
        <w:t xml:space="preserve"> : arrêt, urgence ophtalmologique. En cas de surdosage (≥ 100 mg chez l'adulte) : lavage gastrique si &lt; 1 h, charbon activé, </w:t>
      </w:r>
      <w:r>
        <w:rPr>
          <w:b/>
        </w:rPr>
        <w:t>surveillance ECG continue</w:t>
      </w:r>
      <w:r>
        <w:t>, surveillance neurologique (sédation profonde, convulsions), traitement symptomatique. La prométhazine n'est pas dialysable.</w:t>
      </w:r>
    </w:p>
    <w:p>
      <w:r/>
      <w:r>
        <w:rPr>
          <w:b/>
        </w:rPr>
        <w:t>Interactions Importantes :</w:t>
      </w:r>
      <w:r/>
    </w:p>
    <w:p>
      <w:pPr>
        <w:pStyle w:val="ListBullet"/>
      </w:pPr>
      <w:r/>
      <w:r>
        <w:rPr>
          <w:b/>
        </w:rPr>
        <w:t>Prométhazine + allongeurs QT</w:t>
      </w:r>
      <w:r>
        <w:t xml:space="preserve"> (antiarythmiques Ia/III, certains antidépresseurs, antipsychotiques, fluoroquinolones, macrolides, antifongiques azolés, antipaludiques, hydroxyzine, ébastine, rupatadine) : </w:t>
      </w:r>
      <w:r>
        <w:rPr>
          <w:b/>
        </w:rPr>
        <w:t>CI absolue</w:t>
      </w:r>
      <w:r>
        <w:t xml:space="preserve"> — risque de </w:t>
      </w:r>
      <w:r>
        <w:rPr>
          <w:b/>
        </w:rPr>
        <w:t>torsades de pointe</w:t>
      </w:r>
      <w:r>
        <w:t xml:space="preserve"> potentiellement mortelle.</w:t>
      </w:r>
    </w:p>
    <w:p>
      <w:pPr>
        <w:pStyle w:val="ListBullet"/>
      </w:pPr>
      <w:r/>
      <w:r>
        <w:rPr>
          <w:b/>
        </w:rPr>
        <w:t>Prométhazine + alcool</w:t>
      </w:r>
      <w:r>
        <w:t xml:space="preserve"> : </w:t>
      </w:r>
      <w:r>
        <w:rPr>
          <w:b/>
        </w:rPr>
        <w:t>potentialisation majeure de la sédation</w:t>
      </w:r>
      <w:r>
        <w:t xml:space="preserve"> — éviter absolument.</w:t>
      </w:r>
    </w:p>
    <w:p>
      <w:pPr>
        <w:pStyle w:val="ListBullet"/>
      </w:pPr>
      <w:r/>
      <w:r>
        <w:rPr>
          <w:b/>
        </w:rPr>
        <w:t>Prométhazine + dépresseurs du SNC</w:t>
      </w:r>
      <w:r>
        <w:t xml:space="preserve"> (benzodiazépines, opioïdes, barbituriques, autres antihistaminiques H1 sédatifs, neuroleptiques, antidépresseurs sédatifs) : sédation additive, risque de </w:t>
      </w:r>
      <w:r>
        <w:rPr>
          <w:b/>
        </w:rPr>
        <w:t>dépression respiratoire</w:t>
      </w:r>
      <w:r>
        <w:t xml:space="preserve"> (en particulier chez l'enfant et le sujet âgé).</w:t>
      </w:r>
    </w:p>
    <w:p>
      <w:pPr>
        <w:pStyle w:val="ListBullet"/>
      </w:pPr>
      <w:r/>
      <w:r>
        <w:rPr>
          <w:b/>
        </w:rPr>
        <w:t>Prométhazine + IMAO</w:t>
      </w:r>
      <w:r>
        <w:t xml:space="preserve"> : </w:t>
      </w:r>
      <w:r>
        <w:rPr>
          <w:b/>
        </w:rPr>
        <w:t>potentialisation des effets anticholinergiques et cardiovasculaires</w:t>
      </w:r>
      <w:r>
        <w:t xml:space="preserve"> (hypertension paroxystique, hyperthermie, coma) — CI absolue. Respecter un wash-out de 14 jours.</w:t>
      </w:r>
    </w:p>
    <w:p>
      <w:pPr>
        <w:pStyle w:val="ListBullet"/>
      </w:pPr>
      <w:r/>
      <w:r>
        <w:rPr>
          <w:b/>
        </w:rPr>
        <w:t>Prométhazine + atropiniques</w:t>
      </w:r>
      <w:r>
        <w:t xml:space="preserve"> (autres antihistaminiques 1re génération, antidépresseurs tricycliques, antiparkinsoniens anticholinergiques, antispasmodiques) : potentialisation des effets atropiniques (rétention urinaire, glaucome, iléus paralytique).</w:t>
      </w:r>
    </w:p>
    <w:p>
      <w:pPr>
        <w:pStyle w:val="ListBullet"/>
      </w:pPr>
      <w:r/>
      <w:r>
        <w:rPr>
          <w:b/>
        </w:rPr>
        <w:t>Prométhazine + épinéphrine (adrénaline)</w:t>
      </w:r>
      <w:r>
        <w:t xml:space="preserve"> : la prométhazine peut </w:t>
      </w:r>
      <w:r>
        <w:rPr>
          <w:b/>
        </w:rPr>
        <w:t>inverser l'effet vasopresseur de l'adrénaline</w:t>
      </w:r>
      <w:r>
        <w:t xml:space="preserve"> (effet α-bloquant — attention en cas d'anaphylaxie : la prométhazine ne doit jamais être utilisée comme traitement de l'anaphylaxie, et l'adrénaline reste le traitement de 1re ligne).</w:t>
      </w:r>
    </w:p>
    <w:p>
      <w:pPr>
        <w:pStyle w:val="ListBullet"/>
      </w:pPr>
      <w:r/>
      <w:r>
        <w:rPr>
          <w:b/>
        </w:rPr>
        <w:t>Prométhazine + inhibiteurs CYP2D6</w:t>
      </w:r>
      <w:r>
        <w:t xml:space="preserve"> (paroxétine, fluoxétine, bupropion, quinidine) : augmentation des concentrations de prométhazine — surveiller EI (sédation, anticholinergique).</w:t>
      </w:r>
    </w:p>
    <w:p>
      <w:pPr>
        <w:pStyle w:val="ListBullet"/>
      </w:pPr>
      <w:r/>
      <w:r>
        <w:rPr>
          <w:b/>
        </w:rPr>
        <w:t>Prométhazine + métoclopramide</w:t>
      </w:r>
      <w:r>
        <w:t xml:space="preserve"> : potentialisation des effets extrapyramidaux et sédatifs.</w:t>
      </w:r>
    </w:p>
    <w:p>
      <w:r/>
      <w:r>
        <w:rPr>
          <w:b/>
        </w:rPr>
        <w:t>Grossesse et Allaitement :</w:t>
      </w:r>
      <w:r/>
    </w:p>
    <w:p>
      <w:pPr>
        <w:pStyle w:val="ListBullet"/>
      </w:pPr>
      <w:r/>
      <w:r>
        <w:rPr>
          <w:b/>
        </w:rPr>
        <w:t>Grossesse</w:t>
      </w:r>
      <w:r>
        <w:t xml:space="preserve"> : selon le </w:t>
      </w:r>
      <w:r>
        <w:rPr>
          <w:b/>
        </w:rPr>
        <w:t>CRAT</w:t>
      </w:r>
      <w:r>
        <w:t xml:space="preserve"> et l'</w:t>
      </w:r>
      <w:r>
        <w:rPr>
          <w:b/>
        </w:rPr>
        <w:t>ANSM</w:t>
      </w:r>
      <w:r>
        <w:t xml:space="preserve">, la prométhazine est </w:t>
      </w:r>
      <w:r>
        <w:rPr>
          <w:b/>
        </w:rPr>
        <w:t>déconseillée pendant la grossesse</w:t>
      </w:r>
      <w:r>
        <w:t xml:space="preserve">, en particulier au </w:t>
      </w:r>
      <w:r>
        <w:rPr>
          <w:b/>
        </w:rPr>
        <w:t>3e trimestre</w:t>
      </w:r>
      <w:r>
        <w:t xml:space="preserve">, en raison : (i) du risque de </w:t>
      </w:r>
      <w:r>
        <w:rPr>
          <w:b/>
        </w:rPr>
        <w:t>sédation néonatale</w:t>
      </w:r>
      <w:r>
        <w:t xml:space="preserve"> et de </w:t>
      </w:r>
      <w:r>
        <w:rPr>
          <w:b/>
        </w:rPr>
        <w:t>détresse respiratoire</w:t>
      </w:r>
      <w:r>
        <w:t xml:space="preserve"> (effet dépresseur respiratoire central) ; (ii) du risque d'</w:t>
      </w:r>
      <w:r>
        <w:rPr>
          <w:b/>
        </w:rPr>
        <w:t>hypotension néonatale</w:t>
      </w:r>
      <w:r>
        <w:t xml:space="preserve"> ; (iii) du risque théorique de </w:t>
      </w:r>
      <w:r>
        <w:rPr>
          <w:b/>
        </w:rPr>
        <w:t>sevrage néonatal</w:t>
      </w:r>
      <w:r>
        <w:t xml:space="preserve">. Au 1er trimestre, les données animales et humaines sont rassurantes mais une prudence est de mise. En pratique, lui préférer la </w:t>
      </w:r>
      <w:r>
        <w:rPr>
          <w:b/>
        </w:rPr>
        <w:t>loratadine</w:t>
      </w:r>
      <w:r>
        <w:t xml:space="preserve"> ou la </w:t>
      </w:r>
      <w:r>
        <w:rPr>
          <w:b/>
        </w:rPr>
        <w:t>cétirizine</w:t>
      </w:r>
      <w:r>
        <w:t xml:space="preserve"> (2e génération compatibles) en cas de rhinite allergique ou d'urticaire pendant la grossesse. Pour les nausées et vomissements de la grossesse, préférer la </w:t>
      </w:r>
      <w:r>
        <w:rPr>
          <w:b/>
        </w:rPr>
        <w:t>doxylamine + pyridoxine</w:t>
      </w:r>
      <w:r>
        <w:t xml:space="preserve"> (XXX™ — non disponible en Algérie, mais la doxylamine seule peut être utilisée).</w:t>
      </w:r>
    </w:p>
    <w:p>
      <w:pPr>
        <w:pStyle w:val="ListBullet"/>
      </w:pPr>
      <w:r/>
      <w:r>
        <w:rPr>
          <w:b/>
        </w:rPr>
        <w:t>Allaitement</w:t>
      </w:r>
      <w:r>
        <w:t xml:space="preserve"> : selon le CRAT et LactMed, la prométhazine passe dans le lait maternel (rapport lait/plasma ~1). </w:t>
      </w:r>
      <w:r>
        <w:rPr>
          <w:b/>
        </w:rPr>
        <w:t>Allaitement contre-indiqué</w:t>
      </w:r>
      <w:r>
        <w:t xml:space="preserve"> par prudence (risque de sédation, de troubles de la succion et de </w:t>
      </w:r>
      <w:r>
        <w:rPr>
          <w:b/>
        </w:rPr>
        <w:t>mort subite du nourrisson</w:t>
      </w:r>
      <w:r>
        <w:t>). Alternative : loratadine ou fexofénadine (compatibles).</w:t>
      </w:r>
    </w:p>
    <w:p>
      <w:pPr>
        <w:pStyle w:val="ListBullet"/>
      </w:pPr>
      <w:r/>
      <w:r>
        <w:rPr>
          <w:b/>
        </w:rPr>
        <w:t>Précisions</w:t>
      </w:r>
      <w:r>
        <w:t xml:space="preserve"> : éviter par prudence chez la femme en âge de procréer sans contraception efficace.</w:t>
      </w:r>
    </w:p>
    <w:p>
      <w:r/>
      <w:r>
        <w:rPr>
          <w:b/>
        </w:rPr>
        <w:t>Posologie et Mode d'administration (Standard) :</w:t>
      </w:r>
      <w:r/>
    </w:p>
    <w:p>
      <w:pPr>
        <w:pStyle w:val="ListBullet"/>
      </w:pPr>
      <w:r/>
      <w:r>
        <w:rPr>
          <w:b/>
        </w:rPr>
        <w:t>Adulte</w:t>
      </w:r>
      <w:r>
        <w:t xml:space="preserve"> :</w:t>
      </w:r>
    </w:p>
    <w:p>
      <w:pPr>
        <w:pStyle w:val="ListBullet"/>
      </w:pPr>
      <w:r>
        <w:t>Mal des transports : 25 mg la veille et le jour du départ (forme cp retirée en Algérie).</w:t>
      </w:r>
    </w:p>
    <w:p>
      <w:pPr>
        <w:pStyle w:val="ListBullet"/>
      </w:pPr>
      <w:r>
        <w:t>Prémédication anesthésique : 25-50 mg IM ou IV, 30 à 60 minutes avant l'induction.</w:t>
      </w:r>
    </w:p>
    <w:p>
      <w:pPr>
        <w:pStyle w:val="ListBullet"/>
      </w:pPr>
      <w:r>
        <w:t>Anti-émétique : 25 mg IM/IV (à renouveler si nécessaire après 6-8 heures).</w:t>
      </w:r>
    </w:p>
    <w:p>
      <w:pPr>
        <w:pStyle w:val="ListBullet"/>
      </w:pPr>
      <w:r>
        <w:t>Insomnie occasionnelle : 25 mg au coucher (forme cp retirée).</w:t>
      </w:r>
    </w:p>
    <w:p>
      <w:pPr>
        <w:pStyle w:val="ListBullet"/>
      </w:pPr>
      <w:r>
        <w:t>Rhinite allergique / urticaire : 25 mg/jour (forme cp retirée).</w:t>
      </w:r>
    </w:p>
    <w:p>
      <w:pPr>
        <w:pStyle w:val="ListBullet"/>
      </w:pPr>
      <w:r/>
      <w:r>
        <w:rPr>
          <w:b/>
        </w:rPr>
        <w:t>Enfant &gt; 6 ans</w:t>
      </w:r>
      <w:r>
        <w:t xml:space="preserve"> : 0,5 mg/kg/jour en plusieurs prises, sous surveillance médicale stricte (forme sirop retirée en Algérie — utiliser la forme injectable en milieu hospitalier).</w:t>
      </w:r>
    </w:p>
    <w:p>
      <w:pPr>
        <w:pStyle w:val="ListBullet"/>
      </w:pPr>
      <w:r/>
      <w:r>
        <w:rPr>
          <w:b/>
        </w:rPr>
        <w:t>Enfant &lt; 6 ans</w:t>
      </w:r>
      <w:r>
        <w:t xml:space="preserve"> : CI relative, sauf indication spécifique (hospitalisation).</w:t>
      </w:r>
    </w:p>
    <w:p>
      <w:pPr>
        <w:pStyle w:val="ListBullet"/>
      </w:pPr>
      <w:r/>
      <w:r>
        <w:rPr>
          <w:b/>
        </w:rPr>
        <w:t>Enfant &lt; 2 ans</w:t>
      </w:r>
      <w:r>
        <w:t xml:space="preserve"> : </w:t>
      </w:r>
      <w:r>
        <w:rPr>
          <w:b/>
        </w:rPr>
        <w:t>CI absolue</w:t>
      </w:r>
      <w:r>
        <w:t xml:space="preserve"> (mort subite du nourrisson).</w:t>
      </w:r>
    </w:p>
    <w:p>
      <w:pPr>
        <w:pStyle w:val="ListBullet"/>
      </w:pPr>
      <w:r/>
      <w:r>
        <w:rPr>
          <w:b/>
        </w:rPr>
        <w:t>Sujet âgé (&gt; 65 ans)</w:t>
      </w:r>
      <w:r>
        <w:t xml:space="preserve"> : </w:t>
      </w:r>
      <w:r>
        <w:rPr>
          <w:b/>
        </w:rPr>
        <w:t>dose initiale réduite à 12,5 mg/jour</w:t>
      </w:r>
      <w:r>
        <w:t xml:space="preserve"> (moitié de la dose adulte), augmentation progressive selon tolérance. Dose maximale : 25 mg/jour. Liste de Beers.</w:t>
      </w:r>
    </w:p>
    <w:p>
      <w:pPr>
        <w:pStyle w:val="ListBullet"/>
      </w:pPr>
      <w:r/>
      <w:r>
        <w:rPr>
          <w:b/>
        </w:rPr>
        <w:t>Insuffisance rénale</w:t>
      </w:r>
      <w:r>
        <w:t xml:space="preserve"> : adapter à 50 % de la dose standard.</w:t>
      </w:r>
    </w:p>
    <w:p>
      <w:pPr>
        <w:pStyle w:val="ListBullet"/>
      </w:pPr>
      <w:r/>
      <w:r>
        <w:rPr>
          <w:b/>
        </w:rPr>
        <w:t>Insuffisance hépatique</w:t>
      </w:r>
      <w:r>
        <w:t xml:space="preserve"> : Child-Pugh C : CI relative, à éviter.</w:t>
      </w:r>
    </w:p>
    <w:p>
      <w:pPr>
        <w:pStyle w:val="ListBullet"/>
      </w:pPr>
      <w:r/>
      <w:r>
        <w:rPr>
          <w:b/>
        </w:rPr>
        <w:t>Durée</w:t>
      </w:r>
      <w:r>
        <w:t xml:space="preserve"> : mal des transports : dose unique ou courte ; prémédication : dose unique ; insomnie : traitement court (≤ 5 jours).</w:t>
      </w:r>
    </w:p>
    <w:p>
      <w:pPr>
        <w:pStyle w:val="ListBullet"/>
      </w:pPr>
      <w:r/>
      <w:r>
        <w:rPr>
          <w:b/>
        </w:rPr>
        <w:t>Moment de la prise</w:t>
      </w:r>
      <w:r>
        <w:t xml:space="preserve"> : mal des transports : la veille au soir et le matin du départ ; insomnie : au coucher ; prémédication/anesthésie : 30-60 min avant l'induction.</w:t>
      </w:r>
    </w:p>
    <w:p>
      <w:r/>
      <w:r>
        <w:rPr>
          <w:b/>
        </w:rPr>
        <w:t>Arbitrage et Bénéfices des Formes Galéniques :</w:t>
      </w:r>
      <w:r/>
    </w:p>
    <w:p>
      <w:pPr>
        <w:pStyle w:val="ListBullet"/>
      </w:pPr>
      <w:r/>
      <w:r>
        <w:rPr>
          <w:b/>
        </w:rPr>
        <w:t>Solution injectable 50 mg/2 mL</w:t>
      </w:r>
      <w:r>
        <w:t xml:space="preserve"> (1 marque active — PRANOK Global Pharmatech) : seule forme disponible en Algérie. Pour la prémédication anesthésique, l'anti-émétique péri-opératoire, et l'urticaire aiguë sévère en milieu hospitalier. Boîte de 100 ampoules. Liste I.</w:t>
      </w:r>
    </w:p>
    <w:p>
      <w:pPr>
        <w:pStyle w:val="ListBullet"/>
      </w:pPr>
      <w:r/>
      <w:r>
        <w:rPr>
          <w:b/>
        </w:rPr>
        <w:t>Comprimé 25 mg</w:t>
      </w:r>
      <w:r>
        <w:t xml:space="preserve"> (PHENERGAN Frilab, HISTAZIN UPM, PHENAZINE Sanamed — retirés) : n'est plus disponible en Algérie pour les indications ambulatoires (mal des transports, insomnie, rhinite allergique). Le pharmacien doit orienter le patient vers les alternatives actives : </w:t>
      </w:r>
      <w:r>
        <w:rPr>
          <w:b/>
        </w:rPr>
        <w:t>2e génération</w:t>
      </w:r>
      <w:r>
        <w:t xml:space="preserve"> (loratadine, cétirizine, desloratadine, fexofénadine) pour la rhinite allergique et l'urticaire ; </w:t>
      </w:r>
      <w:r>
        <w:rPr>
          <w:b/>
        </w:rPr>
        <w:t>doxylamine</w:t>
      </w:r>
      <w:r>
        <w:t xml:space="preserve"> (DORLAMINE, SULAMINE) pour l'insomnie occasionnelle.</w:t>
      </w:r>
    </w:p>
    <w:p>
      <w:pPr>
        <w:pStyle w:val="ListBullet"/>
      </w:pPr>
      <w:r/>
      <w:r>
        <w:rPr>
          <w:b/>
        </w:rPr>
        <w:t>Sirop 5 mg/5 mL</w:t>
      </w:r>
      <w:r>
        <w:t xml:space="preserve"> (HISTAZIN UPM — retiré) : n'est plus disponible en Algérie pour la pédiatrie.</w:t>
      </w:r>
    </w:p>
    <w:p>
      <w:pPr>
        <w:pStyle w:val="ListBullet"/>
      </w:pPr>
      <w:r/>
      <w:r>
        <w:rPr>
          <w:b/>
        </w:rPr>
        <w:t>Forme suppositoire</w:t>
      </w:r>
      <w:r>
        <w:t xml:space="preserve"> : non disponible en Algérie (historique Phenergan suppositoire en France).</w:t>
      </w:r>
    </w:p>
    <w:p>
      <w:r/>
      <w:r>
        <w:rPr>
          <w:b/>
        </w:rPr>
        <w:t>Instructions et Conseils au Patient :</w:t>
      </w:r>
      <w:r/>
    </w:p>
    <w:p>
      <w:pPr>
        <w:pStyle w:val="ListBullet"/>
      </w:pPr>
      <w:r/>
      <w:r>
        <w:rPr>
          <w:b/>
        </w:rPr>
        <w:t>Communication au comptoir</w:t>
      </w:r>
      <w:r>
        <w:t xml:space="preserve"> : « *Ce médicament est un antihistaminique ancien à usage injectable, principalement utilisé en milieu hospitalier pour la prémédication anesthésique ou comme antiémétique. Il provoque une somnolence importante — ne pas conduire après l'injection. Évitez absolument l'alcool. Si vous prenez d'autres médicaments, notamment pour le cœur, parlez-en à votre médecin. Ne jamais utiliser chez l'enfant de moins de 2 ans — risque mortel.* »</w:t>
      </w:r>
    </w:p>
    <w:p>
      <w:pPr>
        <w:pStyle w:val="ListBullet"/>
      </w:pPr>
      <w:r/>
      <w:r>
        <w:rPr>
          <w:b/>
        </w:rPr>
        <w:t>Mode d'utilisation pratique</w:t>
      </w:r>
      <w:r>
        <w:t xml:space="preserve"> : solution injectable IM ou IV lente (sur 1 minute minimum), en milieu médicalisé. Conservation : température &lt; 25 °C, à l'abri de la lumière. Ne pas congeler.</w:t>
      </w:r>
    </w:p>
    <w:p>
      <w:r/>
      <w:r>
        <w:rPr>
          <w:b/>
        </w:rPr>
        <w:t>Notes, Règles d'Or &amp; Pièges au Comptoir :</w:t>
      </w:r>
      <w:r/>
    </w:p>
    <w:p>
      <w:pPr>
        <w:pStyle w:val="ListBullet"/>
      </w:pPr>
      <w:r/>
      <w:r>
        <w:rPr>
          <w:b/>
        </w:rPr>
        <w:t>Piège classique</w:t>
      </w:r>
      <w:r>
        <w:t xml:space="preserve"> : </w:t>
      </w:r>
      <w:r>
        <w:rPr>
          <w:b/>
        </w:rPr>
        <w:t>enfant &lt; 2 ans</w:t>
      </w:r>
      <w:r>
        <w:t xml:space="preserve"> : </w:t>
      </w:r>
      <w:r>
        <w:rPr>
          <w:b/>
        </w:rPr>
        <w:t>CI absolue</w:t>
      </w:r>
      <w:r>
        <w:t xml:space="preserve"> — risque de </w:t>
      </w:r>
      <w:r>
        <w:rPr>
          <w:b/>
        </w:rPr>
        <w:t>mort subite du nourrisson</w:t>
      </w:r>
      <w:r>
        <w:t xml:space="preserve"> par apnée centrale. Ne jamais délivrer ni administrer. Si une prescription est reçue pour un enfant &lt; 2 ans, contacter le prescripteur pour substitution. </w:t>
      </w:r>
      <w:r>
        <w:rPr>
          <w:b/>
        </w:rPr>
        <w:t>Hypertrophie bénigne de la prostate</w:t>
      </w:r>
      <w:r>
        <w:t xml:space="preserve"> : risque de rétention aiguë d'urine. </w:t>
      </w:r>
      <w:r>
        <w:rPr>
          <w:b/>
        </w:rPr>
        <w:t>Glaucome à angle fermé</w:t>
      </w:r>
      <w:r>
        <w:t xml:space="preserve"> : risque de crise aiguë. </w:t>
      </w:r>
      <w:r>
        <w:rPr>
          <w:b/>
        </w:rPr>
        <w:t>Sujet âgé</w:t>
      </w:r>
      <w:r>
        <w:t xml:space="preserve"> : effet anticholinergique cumulatif (risque de chute, confusion, fécalome) — liste de Beers ; réduire la dose à 12,5 mg/jour. </w:t>
      </w:r>
      <w:r>
        <w:rPr>
          <w:b/>
        </w:rPr>
        <w:t>Prométhazine + adrénaline</w:t>
      </w:r>
      <w:r>
        <w:t xml:space="preserve"> : la prométhazine peut inverser l'effet vasopresseur de l'adrénaline — à ne jamais utiliser comme traitement de l'anaphylaxie. </w:t>
      </w:r>
      <w:r>
        <w:rPr>
          <w:b/>
        </w:rPr>
        <w:t>Forme cp et sirop retirées en Algérie</w:t>
      </w:r>
      <w:r>
        <w:t xml:space="preserve"> : orienter le patient vers les alternatives actives (2e génération pour la rhinite allergique ; doxylamine pour l'insomnie).</w:t>
      </w:r>
    </w:p>
    <w:p>
      <w:pPr>
        <w:pStyle w:val="ListBullet"/>
      </w:pPr>
      <w:r/>
      <w:r>
        <w:rPr>
          <w:b/>
        </w:rPr>
        <w:t>Règle de prise</w:t>
      </w:r>
      <w:r>
        <w:t xml:space="preserve"> : selon indication (prémédication/anesthésie : 30-60 min avant l'induction ; anti-émétique : à la demande). Pas d'alcool. Pas de double dose.</w:t>
      </w:r>
    </w:p>
    <w:p>
      <w:pPr>
        <w:pStyle w:val="ListBullet"/>
      </w:pPr>
      <w:r/>
      <w:r>
        <w:rPr>
          <w:b/>
        </w:rPr>
        <w:t>Préparation et Conservation</w:t>
      </w:r>
      <w:r>
        <w:t xml:space="preserve"> : solution injectable à température &lt; 25 °C, à l'abri de la lumière ; ne pas congeler ; bien refermer l'ampoule après usage (usage unique).</w:t>
      </w:r>
    </w:p>
    <w:p>
      <w:pPr>
        <w:pStyle w:val="ListBullet"/>
      </w:pPr>
      <w:r/>
      <w:r>
        <w:rPr>
          <w:b/>
        </w:rPr>
        <w:t>Piège du surdosage / Substitution</w:t>
      </w:r>
      <w:r>
        <w:t xml:space="preserve"> : </w:t>
      </w:r>
      <w:r>
        <w:rPr>
          <w:b/>
        </w:rPr>
        <w:t>surdosage</w:t>
      </w:r>
      <w:r>
        <w:t xml:space="preserve"> (≥ 100 mg) : lavage gastrique si &lt; 1 h, charbon activé, </w:t>
      </w:r>
      <w:r>
        <w:rPr>
          <w:b/>
        </w:rPr>
        <w:t>surveillance ECG continue</w:t>
      </w:r>
      <w:r>
        <w:t xml:space="preserve">, surveillance neurologique (convulsions, sédation profonde), traitement symptomatique. </w:t>
      </w:r>
      <w:r>
        <w:rPr>
          <w:b/>
        </w:rPr>
        <w:t>Substitution prométhazine → 2e génération</w:t>
      </w:r>
      <w:r>
        <w:t xml:space="preserve"> (loratadine, cétirizine, fexofénadine) : alternative de choix pour la rhinite allergique et l'urticaire (sans effet central, sans allongement QT). </w:t>
      </w:r>
      <w:r>
        <w:rPr>
          <w:b/>
        </w:rPr>
        <w:t>Substitution prométhazine → doxylamine</w:t>
      </w:r>
      <w:r>
        <w:t xml:space="preserve"> : alternative pour l'insomnie occasionnelle (DORLAMINE, SULAMINE).</w:t>
      </w:r>
    </w:p>
    <w:p>
      <w:pPr>
        <w:pStyle w:val="Heading2"/>
      </w:pPr>
      <w:r>
        <w:t>8. Introduction à la sous-classe des antihistaminiques H1 de 1re génération (alkylamines)</w:t>
      </w:r>
    </w:p>
    <w:p>
      <w:r>
        <w:t xml:space="preserve">Les </w:t>
      </w:r>
      <w:r>
        <w:rPr>
          <w:b/>
        </w:rPr>
        <w:t>alkylamines</w:t>
      </w:r>
      <w:r>
        <w:t xml:space="preserve"> sont une sous-classe d'antihistaminiques H1 de 1re génération caractérisée par une structure chimique plus simple que les phénothiazines et les éthanolamines : un </w:t>
      </w:r>
      <w:r>
        <w:rPr>
          <w:b/>
        </w:rPr>
        <w:t>noyau aromatique</w:t>
      </w:r>
      <w:r>
        <w:t xml:space="preserve"> (souvent pyridine ou benzène) relié à un </w:t>
      </w:r>
      <w:r>
        <w:rPr>
          <w:b/>
        </w:rPr>
        <w:t>groupement amine secondaire ou tertiaire</w:t>
      </w:r>
      <w:r>
        <w:t xml:space="preserve"> par une </w:t>
      </w:r>
      <w:r>
        <w:rPr>
          <w:b/>
        </w:rPr>
        <w:t>chaîne alkylamine</w:t>
      </w:r>
      <w:r>
        <w:t xml:space="preserve"> (–CH2-CH2-NH- ou –CH2-CH2-N&lt;). Cette structure plus compacte et moins liposoluble que les phénothiazines leur confère un </w:t>
      </w:r>
      <w:r>
        <w:rPr>
          <w:b/>
        </w:rPr>
        <w:t>profil pharmacologique intermédiaire</w:t>
      </w:r>
      <w:r>
        <w:t xml:space="preserve"> : passage BBB modéré, sédation modérée (la moins sédative des 1re génération), effets anticholinergiques modérés, et un effet anti-H1 puissant. Les alkylamines sont parfois considérées comme une </w:t>
      </w:r>
      <w:r>
        <w:rPr>
          <w:b/>
        </w:rPr>
        <w:t>catégorie intermédiaire</w:t>
      </w:r>
      <w:r>
        <w:t xml:space="preserve"> entre 1re et 2e génération (elles sont toutefois officiellement classées en 1re génération en raison de leur passage BBB et de leurs effets atropiniques). La </w:t>
      </w:r>
      <w:r>
        <w:rPr>
          <w:b/>
        </w:rPr>
        <w:t>chlorphénamine</w:t>
      </w:r>
      <w:r>
        <w:t xml:space="preserve"> (historique — Polaramine™ racémique retirée) et son énantiomère actif </w:t>
      </w:r>
      <w:r>
        <w:rPr>
          <w:b/>
        </w:rPr>
        <w:t>dexchlorphéniramine</w:t>
      </w:r>
      <w:r>
        <w:t xml:space="preserve"> sont les principales alkylamines commercialisées en Algérie.</w:t>
      </w:r>
    </w:p>
    <w:p>
      <w:pPr>
        <w:pStyle w:val="Heading3"/>
      </w:pPr>
      <w:r>
        <w:t>Chimie et historique</w:t>
      </w:r>
    </w:p>
    <w:p>
      <w:pPr>
        <w:pStyle w:val="ListBullet"/>
      </w:pPr>
      <w:r/>
      <w:r>
        <w:rPr>
          <w:b/>
        </w:rPr>
        <w:t>Chlorphénamine</w:t>
      </w:r>
      <w:r>
        <w:t xml:space="preserve"> (chlorphéniramine) : commercialisée dès 1949 par Schering-Plough (Chlor-Trimeton™), c'est l'une des plus anciennes alkylamines. Formule C16H19ClN2 ; M = 274,8 g/mol. Mélangée racémique R/S, dont l'énantiomère S est actif (dexchlorphéniramine).</w:t>
      </w:r>
    </w:p>
    <w:p>
      <w:pPr>
        <w:pStyle w:val="ListBullet"/>
      </w:pPr>
      <w:r/>
      <w:r>
        <w:rPr>
          <w:b/>
        </w:rPr>
        <w:t>Dexchlorphéniramine</w:t>
      </w:r>
      <w:r>
        <w:t xml:space="preserve"> (énantiomère S actif de la chlorphénamine) : commercialisée par Schering-Plough sous le nom de </w:t>
      </w:r>
      <w:r>
        <w:rPr>
          <w:b/>
        </w:rPr>
        <w:t>Polaramine™</w:t>
      </w:r>
      <w:r>
        <w:t xml:space="preserve"> (1959). En Algérie, le princeps Schering-Plough a été retiré du marché (cp 2 mg, cp LP 6 mg, sirop 0,5 mg/5 mL, inj 5 mg/mL), mais 5 génériques actifs en sirop et 1 générique actif en comprimé (HISTAGAN) restent disponibles en Avril 2026. La dexchlorphéniramine est utilisée à dose moitié (2 mg vs 4 mg pour la chlorphénamine racémique) pour une efficacité équivalente, avec un profil de tolérance meilleur (moins d'effets atropiniques et moins de sédation que le racémique).</w:t>
      </w:r>
    </w:p>
    <w:p>
      <w:pPr>
        <w:pStyle w:val="Heading3"/>
      </w:pPr>
      <w:r>
        <w:t>Pharmacocinétique de la dexchlorphéniramine</w:t>
      </w:r>
    </w:p>
    <w:p>
      <w:r>
        <w:t xml:space="preserve">La dexchlorphéniramine est rapidement absorbée par voie orale (biodisponibilité ~25 à 50 %), avec un pic plasmatique en 2 à 6 heures. Elle est largement métabolisée par le foie (CYP2D6) en métabolites inactifs (N-déméthyl-chlorphéniramine). Sa </w:t>
      </w:r>
      <w:r>
        <w:rPr>
          <w:b/>
        </w:rPr>
        <w:t>demi-vie d'élimination</w:t>
      </w:r>
      <w:r>
        <w:t xml:space="preserve"> est de 12 à 43 heures chez l'adulte (très variable selon le polymorphisme CYP2D6 — les métaboliseurs lents accumulent la molécule). La dexchlorphéniramine traverse modérément la BBB (sédation modérée), et est excrétée dans le lait maternel (CI allaitement). La forme LP (comprimé enrobé LP 6 mg — retirée en Algérie) permet une couverture 12 heures avec une dose unique.</w:t>
      </w:r>
    </w:p>
    <w:p>
      <w:pPr>
        <w:pStyle w:val="Heading3"/>
      </w:pPr>
      <w:r>
        <w:t>Profil pharmacologique de la dexchlorphéniramine</w:t>
      </w:r>
    </w:p>
    <w:p>
      <w:pPr>
        <w:pStyle w:val="ListBullet"/>
      </w:pPr>
      <w:r/>
      <w:r>
        <w:rPr>
          <w:b/>
        </w:rPr>
        <w:t>Effet anti-H1 puissant</w:t>
      </w:r>
      <w:r>
        <w:t xml:space="preserve"> (supérieur à la cétirizine à dose équimolaire).</w:t>
      </w:r>
    </w:p>
    <w:p>
      <w:pPr>
        <w:pStyle w:val="ListBullet"/>
      </w:pPr>
      <w:r/>
      <w:r>
        <w:rPr>
          <w:b/>
        </w:rPr>
        <w:t>Sédation modérée</w:t>
      </w:r>
      <w:r>
        <w:t xml:space="preserve"> (la moins sédative des 1re génération — mais sédation présente toutefois).</w:t>
      </w:r>
    </w:p>
    <w:p>
      <w:pPr>
        <w:pStyle w:val="ListBullet"/>
      </w:pPr>
      <w:r/>
      <w:r>
        <w:rPr>
          <w:b/>
        </w:rPr>
        <w:t>Effets anticholinergiques modérés</w:t>
      </w:r>
      <w:r>
        <w:t xml:space="preserve"> (sécheresse buccale, mydriase, rétention urinaire, tachycardie, troubles cognitifs — moins marqués que la prométhazine).</w:t>
      </w:r>
    </w:p>
    <w:p>
      <w:pPr>
        <w:pStyle w:val="ListBullet"/>
      </w:pPr>
      <w:r/>
      <w:r>
        <w:rPr>
          <w:b/>
        </w:rPr>
        <w:t>Effet antiémétique modéré</w:t>
      </w:r>
      <w:r>
        <w:t xml:space="preserve"> (via H1 central).</w:t>
      </w:r>
    </w:p>
    <w:p>
      <w:pPr>
        <w:pStyle w:val="ListBullet"/>
      </w:pPr>
      <w:r/>
      <w:r>
        <w:rPr>
          <w:b/>
        </w:rPr>
        <w:t>Pas d'effet α1-bloquant significatif</w:t>
      </w:r>
      <w:r>
        <w:t xml:space="preserve"> (pas d'hypotension orthostatique majeure).</w:t>
      </w:r>
    </w:p>
    <w:p>
      <w:pPr>
        <w:pStyle w:val="ListBullet"/>
      </w:pPr>
      <w:r/>
      <w:r>
        <w:rPr>
          <w:b/>
        </w:rPr>
        <w:t>Pas d'allongement QTc significatif</w:t>
      </w:r>
      <w:r>
        <w:t xml:space="preserve"> aux doses recommandées (à l'inverse de l'hydroxyzine).</w:t>
      </w:r>
    </w:p>
    <w:p>
      <w:pPr>
        <w:pStyle w:val="Heading3"/>
      </w:pPr>
      <w:r>
        <w:t>Indications spécifiques de la dexchlorphéniramine</w:t>
      </w:r>
    </w:p>
    <w:p>
      <w:pPr>
        <w:pStyle w:val="ListBullet"/>
      </w:pPr>
      <w:r/>
      <w:r>
        <w:rPr>
          <w:b/>
        </w:rPr>
        <w:t>Rhinite allergique</w:t>
      </w:r>
      <w:r>
        <w:t xml:space="preserve"> aiguë (alternative aux 2e génération, en 2e intention).</w:t>
      </w:r>
    </w:p>
    <w:p>
      <w:pPr>
        <w:pStyle w:val="ListBullet"/>
      </w:pPr>
      <w:r/>
      <w:r>
        <w:rPr>
          <w:b/>
        </w:rPr>
        <w:t>Urticaire aiguë</w:t>
      </w:r>
      <w:r>
        <w:t xml:space="preserve"> (efficace, en alternative aux 2e génération).</w:t>
      </w:r>
    </w:p>
    <w:p>
      <w:pPr>
        <w:pStyle w:val="ListBullet"/>
      </w:pPr>
      <w:r/>
      <w:r>
        <w:rPr>
          <w:b/>
        </w:rPr>
        <w:t>Conjonctivite allergique</w:t>
      </w:r>
      <w:r>
        <w:t>.</w:t>
      </w:r>
    </w:p>
    <w:p>
      <w:pPr>
        <w:pStyle w:val="ListBullet"/>
      </w:pPr>
      <w:r/>
      <w:r>
        <w:rPr>
          <w:b/>
        </w:rPr>
        <w:t>Allergies médicamenteuses</w:t>
      </w:r>
      <w:r>
        <w:t xml:space="preserve"> cutanées bénignes.</w:t>
      </w:r>
    </w:p>
    <w:p>
      <w:pPr>
        <w:pStyle w:val="ListBullet"/>
      </w:pPr>
      <w:r/>
      <w:r>
        <w:rPr>
          <w:b/>
        </w:rPr>
        <w:t>Allergies alimentaires</w:t>
      </w:r>
      <w:r>
        <w:t xml:space="preserve"> cutanées.</w:t>
      </w:r>
    </w:p>
    <w:p>
      <w:pPr>
        <w:pStyle w:val="ListBullet"/>
      </w:pPr>
      <w:r/>
      <w:r>
        <w:rPr>
          <w:b/>
        </w:rPr>
        <w:t>Réactions allergiques aux transfusions</w:t>
      </w:r>
      <w:r>
        <w:t xml:space="preserve"> et aux produits de contraste iodés.</w:t>
      </w:r>
    </w:p>
    <w:p>
      <w:pPr>
        <w:pStyle w:val="ListBullet"/>
      </w:pPr>
      <w:r/>
      <w:r>
        <w:rPr>
          <w:b/>
        </w:rPr>
        <w:t>Piqûres d'insectes</w:t>
      </w:r>
      <w:r>
        <w:t xml:space="preserve"> (œdème local).</w:t>
      </w:r>
    </w:p>
    <w:p>
      <w:pPr>
        <w:pStyle w:val="Heading3"/>
      </w:pPr>
      <w:r>
        <w:t>DCI traitée</w:t>
      </w:r>
    </w:p>
    <w:p>
      <w:pPr>
        <w:pStyle w:val="ListNumber"/>
      </w:pPr>
      <w:r/>
      <w:r>
        <w:rPr>
          <w:b/>
        </w:rPr>
        <w:t>Dexchlorphéniramine</w:t>
      </w:r>
      <w:r>
        <w:t xml:space="preserve"> (1re génération, alkylamine — 6 marques actives en sirop et cp)</w:t>
      </w:r>
    </w:p>
    <w:p>
      <w:pPr>
        <w:pStyle w:val="Heading2"/>
      </w:pPr>
      <w:r>
        <w:t>9. Fiche DCI — Antihistaminique H1 de 1re génération (alkylamine)</w:t>
      </w:r>
    </w:p>
    <w:p>
      <w:pPr>
        <w:pStyle w:val="Heading3"/>
      </w:pPr>
      <w:r>
        <w:t>9.1. DCI : Dexchlorphéniramine (Seule)</w:t>
      </w:r>
    </w:p>
    <w:p>
      <w:r/>
      <w:r>
        <w:rPr>
          <w:b/>
        </w:rPr>
        <w:t>Liste des Catégories :</w:t>
      </w:r>
      <w:r>
        <w:t xml:space="preserve"> Antihistaminique H1 — 1re génération (alkylamine), Antiallergique, Anti-histaminique systémique, Antihistaminique à visée respiratoire (rhinite allergique), Antihistaminique à visée dermatologique (urticaire, prurit), Pédiatrie (sirop), Allergies médicamenteuses et alimentaires, Forme LP (retirée en Algérie).</w:t>
      </w:r>
    </w:p>
    <w:p>
      <w:r>
        <w:t xml:space="preserve">La </w:t>
      </w:r>
      <w:r>
        <w:rPr>
          <w:b/>
        </w:rPr>
        <w:t>dexchlorphéniramine</w:t>
      </w:r>
      <w:r>
        <w:t xml:space="preserve"> (maléate de dexchlorphéniramine, formule C16H19ClN2 · C4H4O4 ; M = 390,9 g/mol sous forme de maléate) est un antihistaminique H1 de 1re génération de la famille des </w:t>
      </w:r>
      <w:r>
        <w:rPr>
          <w:b/>
        </w:rPr>
        <w:t>alkylamines</w:t>
      </w:r>
      <w:r>
        <w:t xml:space="preserve">, commercialisée en Algérie sous </w:t>
      </w:r>
      <w:r>
        <w:rPr>
          <w:b/>
        </w:rPr>
        <w:t>6 marques actives</w:t>
      </w:r>
      <w:r>
        <w:t xml:space="preserve"> en Avril 2026 — sous forme de sirop 0,5 mg/5 mL (5 marques : DEXCHLORPHENIRAMINE AFRO, DORAMINE, FENIRAMINE, GENARITYNE, HISTAGAN sirop) et de comprimé sécable 2 mg (1 marque : HISTAGAN cp Saidal). Le princeps Polaramine™ Schering-Plough est retiré du marché algérien (toutes formes). La dexchlorphéniramine est l'</w:t>
      </w:r>
      <w:r>
        <w:rPr>
          <w:b/>
        </w:rPr>
        <w:t>énantiomère S actif</w:t>
      </w:r>
      <w:r>
        <w:t xml:space="preserve"> de la chlorphéniramine racémique (historique Chlor-Trimeton™, 1949), commercialisée depuis 1959 par Schering-Plough sous le nom de Polaramine™. Elle est environ </w:t>
      </w:r>
      <w:r>
        <w:rPr>
          <w:b/>
        </w:rPr>
        <w:t>2 fois plus active</w:t>
      </w:r>
      <w:r>
        <w:t xml:space="preserve"> que la chlorphéniramine racémique, ce qui permet une dose moitié (2 mg vs 4 mg) pour une efficacité équivalente, avec un profil de tolérance meilleur (moins d'effets atropiniques et moins de sédation que le racémique). Sa biodisponibilité orale est modérée (~25 à 50 %), son pic plasmatique est atteint en 2 à 6 heures, et sa </w:t>
      </w:r>
      <w:r>
        <w:rPr>
          <w:b/>
        </w:rPr>
        <w:t>demi-vie d'élimination</w:t>
      </w:r>
      <w:r>
        <w:t xml:space="preserve"> est de 12 à 43 heures chez l'adulte (très variable selon le polymorphisme CYP2D6 — les métaboliseurs lents accumulent la molécule). La dexchlorphéniramine est largement métabolisée par le </w:t>
      </w:r>
      <w:r>
        <w:rPr>
          <w:b/>
        </w:rPr>
        <w:t>CYP2D6</w:t>
      </w:r>
      <w:r>
        <w:t xml:space="preserve"> hépatique en métabolites inactifs (N-déméthyl-chlorphéniramine). Elle traverse modérément la BBB (sédation modérée, moins marquée que les phénothiazines et les éthanolamines), et est excrétée dans le lait maternel (CI allaitement). La dexchlorphéniramine est la </w:t>
      </w:r>
      <w:r>
        <w:rPr>
          <w:b/>
        </w:rPr>
        <w:t>moins sédative des 1re génération</w:t>
      </w:r>
      <w:r>
        <w:t>, ce qui en fait une alternative intéressante aux 2e génération en cas d'efficacité insuffisante, en particulier dans l'urticaire aiguë et les allergies médicamenteuses.</w:t>
      </w:r>
    </w:p>
    <w:p>
      <w:r/>
      <w:r>
        <w:rPr>
          <w:b/>
        </w:rPr>
        <w:t>Médicaments disponibles en Algérie (Marques, Laboratoires, Formes et Dosages) :</w:t>
      </w:r>
      <w:r/>
    </w:p>
    <w:p>
      <w:pPr>
        <w:pStyle w:val="ListBullet"/>
      </w:pPr>
      <w:r/>
      <w:r>
        <w:rPr>
          <w:b/>
        </w:rPr>
        <w:t>HISTAGAN</w:t>
      </w:r>
      <w:r>
        <w:t xml:space="preserve"> (GROUPE SAIDAL)</w:t>
      </w:r>
    </w:p>
    <w:p>
      <w:pPr>
        <w:pStyle w:val="ListBullet"/>
      </w:pPr>
      <w:r>
        <w:t>Formes et Dosages : Comprimé sécable 2 mg — Boîte de 30 ; Solution buvable 0,5 mg/5 mL — Flacon de 125 mL</w:t>
      </w:r>
    </w:p>
    <w:p>
      <w:pPr>
        <w:pStyle w:val="ListBullet"/>
      </w:pPr>
      <w:r>
        <w:t>Statut : Actif (Liste II pour le sirop)</w:t>
      </w:r>
    </w:p>
    <w:p>
      <w:pPr>
        <w:pStyle w:val="ListBullet"/>
      </w:pPr>
      <w:r/>
      <w:r>
        <w:rPr>
          <w:b/>
        </w:rPr>
        <w:t>DEXCHLORPHENIRAMINE AFRO</w:t>
      </w:r>
      <w:r>
        <w:t xml:space="preserve"> (AFROPHARM SPA)</w:t>
      </w:r>
    </w:p>
    <w:p>
      <w:pPr>
        <w:pStyle w:val="ListBullet"/>
      </w:pPr>
      <w:r>
        <w:t>Formes et Dosages : Solution buvable 0,5 mg/5 mL — Flacon de 125 mL</w:t>
      </w:r>
    </w:p>
    <w:p>
      <w:pPr>
        <w:pStyle w:val="ListBullet"/>
      </w:pPr>
      <w:r>
        <w:t>Statut : Actif (Liste II)</w:t>
      </w:r>
    </w:p>
    <w:p>
      <w:pPr>
        <w:pStyle w:val="ListBullet"/>
      </w:pPr>
      <w:r/>
      <w:r>
        <w:rPr>
          <w:b/>
        </w:rPr>
        <w:t>DORAMINE</w:t>
      </w:r>
      <w:r>
        <w:t xml:space="preserve"> (PHARMAGHREB)</w:t>
      </w:r>
    </w:p>
    <w:p>
      <w:pPr>
        <w:pStyle w:val="ListBullet"/>
      </w:pPr>
      <w:r>
        <w:t>Formes et Dosages : Solution buvable 0,5 mg/5 mL — Flacon de 125 mL</w:t>
      </w:r>
    </w:p>
    <w:p>
      <w:pPr>
        <w:pStyle w:val="ListBullet"/>
      </w:pPr>
      <w:r>
        <w:t>Statut : Actif (Liste II)</w:t>
      </w:r>
    </w:p>
    <w:p>
      <w:pPr>
        <w:pStyle w:val="ListBullet"/>
      </w:pPr>
      <w:r/>
      <w:r>
        <w:rPr>
          <w:b/>
        </w:rPr>
        <w:t>FENIRAMINE</w:t>
      </w:r>
      <w:r>
        <w:t xml:space="preserve"> (PHARMALLIANCE)</w:t>
      </w:r>
    </w:p>
    <w:p>
      <w:pPr>
        <w:pStyle w:val="ListBullet"/>
      </w:pPr>
      <w:r>
        <w:t>Formes et Dosages : Solution buvable 0,5 mg/5 mL — Flacon de 125 mL</w:t>
      </w:r>
    </w:p>
    <w:p>
      <w:pPr>
        <w:pStyle w:val="ListBullet"/>
      </w:pPr>
      <w:r>
        <w:t>Statut : Actif (Liste II)</w:t>
      </w:r>
    </w:p>
    <w:p>
      <w:pPr>
        <w:pStyle w:val="ListBullet"/>
      </w:pPr>
      <w:r/>
      <w:r>
        <w:rPr>
          <w:b/>
        </w:rPr>
        <w:t>GENARITYNE</w:t>
      </w:r>
      <w:r>
        <w:t xml:space="preserve"> (GENERIC LAB)</w:t>
      </w:r>
    </w:p>
    <w:p>
      <w:pPr>
        <w:pStyle w:val="ListBullet"/>
      </w:pPr>
      <w:r>
        <w:t>Formes et Dosages : Solution buvable 0,5 mg/5 mL — Flacon de 125 mL</w:t>
      </w:r>
    </w:p>
    <w:p>
      <w:pPr>
        <w:pStyle w:val="ListBullet"/>
      </w:pPr>
      <w:r>
        <w:t>Statut : Actif (Liste II)</w:t>
      </w:r>
    </w:p>
    <w:p>
      <w:pPr>
        <w:pStyle w:val="ListBullet"/>
      </w:pPr>
      <w:r/>
      <w:r>
        <w:rPr>
          <w:b/>
        </w:rPr>
        <w:t>POLARAMINE</w:t>
      </w:r>
      <w:r>
        <w:t xml:space="preserve"> (SCHERING-PLOUGH) — *princeps*</w:t>
      </w:r>
    </w:p>
    <w:p>
      <w:pPr>
        <w:pStyle w:val="ListBullet"/>
      </w:pPr>
      <w:r>
        <w:t>Formes et Dosages : Solution injectable 5 mg/mL — Boîte de 5 ampoules de 1 mL ; Comprimé sécable 2 mg — Boîte de 30 ; Comprimé enrobé LP 6 mg — Boîte de 30 ; Sirop 0,5 mg/5 mL — Flacon de 125 mL</w:t>
      </w:r>
    </w:p>
    <w:p>
      <w:pPr>
        <w:pStyle w:val="ListBullet"/>
      </w:pPr>
      <w:r>
        <w:t>Statut : Injectable Non Renouvelable ; Comprimés/Sirop Retirés (R)</w:t>
      </w:r>
    </w:p>
    <w:p>
      <w:pPr>
        <w:pStyle w:val="ListBullet"/>
      </w:pPr>
      <w:r/>
      <w:r>
        <w:rPr>
          <w:b/>
        </w:rPr>
        <w:t>HISTONE</w:t>
      </w:r>
      <w:r>
        <w:t xml:space="preserve"> (GROUPE SANTE)</w:t>
      </w:r>
    </w:p>
    <w:p>
      <w:pPr>
        <w:pStyle w:val="ListBullet"/>
      </w:pPr>
      <w:r>
        <w:t>Formes et Dosages : Sirop 0,5 mg/5 mL — Flacon de 100 mL</w:t>
      </w:r>
    </w:p>
    <w:p>
      <w:pPr>
        <w:pStyle w:val="ListBullet"/>
      </w:pPr>
      <w:r>
        <w:t>Statut : Non Renouvelable</w:t>
      </w:r>
    </w:p>
    <w:p>
      <w:pPr>
        <w:pStyle w:val="ListBullet"/>
      </w:pPr>
      <w:r/>
      <w:r>
        <w:rPr>
          <w:b/>
        </w:rPr>
        <w:t>CLARAMINE</w:t>
      </w:r>
      <w:r>
        <w:t xml:space="preserve"> (FERROSAN)</w:t>
      </w:r>
    </w:p>
    <w:p>
      <w:pPr>
        <w:pStyle w:val="ListBullet"/>
      </w:pPr>
      <w:r>
        <w:t>Formes et Dosages : Comprimé 2 mg — Boîte de 30</w:t>
      </w:r>
    </w:p>
    <w:p>
      <w:pPr>
        <w:pStyle w:val="ListBullet"/>
      </w:pPr>
      <w:r>
        <w:t xml:space="preserve">Statut : </w:t>
      </w:r>
      <w:r>
        <w:rPr>
          <w:b/>
        </w:rPr>
        <w:t>Retiré (R)</w:t>
      </w:r>
      <w:r/>
    </w:p>
    <w:p>
      <w:r/>
      <w:r>
        <w:rPr>
          <w:b/>
        </w:rPr>
        <w:t>Sous-classe et Mécanisme d'action :</w:t>
      </w:r>
      <w:r/>
    </w:p>
    <w:p>
      <w:pPr>
        <w:pStyle w:val="ListBullet"/>
      </w:pPr>
      <w:r>
        <w:t>Sous-classe : Antihistaminique H1 — 1re génération (alkylamine), énantiomère S actif de la chlorphénamine racémique.</w:t>
      </w:r>
    </w:p>
    <w:p>
      <w:pPr>
        <w:pStyle w:val="ListBullet"/>
      </w:pPr>
      <w:r>
        <w:t xml:space="preserve">Mécanisme d'action : </w:t>
      </w:r>
      <w:r>
        <w:rPr>
          <w:b/>
        </w:rPr>
        <w:t>Antihistaminiques H1</w:t>
      </w:r>
      <w:r>
        <w:t xml:space="preserve"> : antagoniste compétitif inverse du récepteur H1 (couplé Gq/11 → PLC → IP3 → Ca2+ → MLCK). La dexchlorphéniramine traverse </w:t>
      </w:r>
      <w:r>
        <w:rPr>
          <w:b/>
        </w:rPr>
        <w:t>modérément la BBB</w:t>
      </w:r>
      <w:r>
        <w:t xml:space="preserve"> en raison de sa liposolubilité moyenne (structure alkylamine plus compacte que les phénothiazines). Elle se lie aux récepteurs H1 centraux : </w:t>
      </w:r>
      <w:r>
        <w:rPr>
          <w:b/>
        </w:rPr>
        <w:t>sédation modérée</w:t>
      </w:r>
      <w:r>
        <w:t xml:space="preserve"> (la moins marquée des 1re génération), </w:t>
      </w:r>
      <w:r>
        <w:rPr>
          <w:b/>
        </w:rPr>
        <w:t>antiémèse modérée</w:t>
      </w:r>
      <w:r>
        <w:t xml:space="preserve">. Elle a une </w:t>
      </w:r>
      <w:r>
        <w:rPr>
          <w:b/>
        </w:rPr>
        <w:t>affinité modérée pour les récepteurs muscariniques M1-M3</w:t>
      </w:r>
      <w:r>
        <w:t xml:space="preserve"> (effets atropiniques modérés : sécheresse buccale, mydriase, rétention urinaire, tachycardie — moins marqués que la prométhazine). Peu d'affinité pour les récepteurs α1-adrénergiques (pas d'hypotension orthostatique majeure). </w:t>
      </w:r>
      <w:r>
        <w:rPr>
          <w:b/>
        </w:rPr>
        <w:t>Pas d'allongement QTc significatif</w:t>
      </w:r>
      <w:r>
        <w:t xml:space="preserve"> aux doses recommandées (à l'inverse de l'hydroxyzine). La dexchlorphéniramine bloque l'action de l'histamine sur les récepteurs H1 périphériques : </w:t>
      </w:r>
      <w:r>
        <w:rPr>
          <w:b/>
        </w:rPr>
        <w:t>vasodilatation</w:t>
      </w:r>
      <w:r>
        <w:t xml:space="preserve"> réduite, </w:t>
      </w:r>
      <w:r>
        <w:rPr>
          <w:b/>
        </w:rPr>
        <w:t>perméabilité capillaire</w:t>
      </w:r>
      <w:r>
        <w:t xml:space="preserve"> diminuée (œdème, urticaire), </w:t>
      </w:r>
      <w:r>
        <w:rPr>
          <w:b/>
        </w:rPr>
        <w:t>bronchoconstriction</w:t>
      </w:r>
      <w:r>
        <w:t xml:space="preserve"> atténuée, </w:t>
      </w:r>
      <w:r>
        <w:rPr>
          <w:b/>
        </w:rPr>
        <w:t>prurit et éternuements</w:t>
      </w:r>
      <w:r>
        <w:t xml:space="preserve"> réduits. Affinité pour le récepteur H1 supérieure à la cétirizine à dose équimolaire — efficacy clinique comparable.</w:t>
      </w:r>
    </w:p>
    <w:p>
      <w:r/>
      <w:r>
        <w:rPr>
          <w:b/>
        </w:rPr>
        <w:t>Profil Pharmacologique :</w:t>
      </w:r>
      <w:r/>
    </w:p>
    <w:p>
      <w:pPr>
        <w:pStyle w:val="ListBullet"/>
      </w:pPr>
      <w:r/>
      <w:r>
        <w:rPr>
          <w:b/>
        </w:rPr>
        <w:t>Indications</w:t>
      </w:r>
      <w:r>
        <w:t xml:space="preserve"> : rhinite allergique saisonnière et perannuelle (alternative aux 2e génération, en 2e intention, en particulier en cas d'efficacité insuffisante) ; conjonctivite allergique ; urticaire aiguë (efficace, alternative aux 2e génération) ; prurit allergique ; allergies médicamenteuses et alimentaires cutanées bénignes à modérées ; réactions allergiques aux transfusions et aux produits de contraste iodés (en complément de la corticothérapie) ; piqûres d'insectes (œdème local).</w:t>
      </w:r>
    </w:p>
    <w:p>
      <w:pPr>
        <w:pStyle w:val="ListBullet"/>
      </w:pPr>
      <w:r/>
      <w:r>
        <w:rPr>
          <w:b/>
        </w:rPr>
        <w:t>Contre-indications</w:t>
      </w:r>
      <w:r>
        <w:t xml:space="preserve"> : hypersensibilité à la dexchlorphéniramine ou aux alkylamines ; </w:t>
      </w:r>
      <w:r>
        <w:rPr>
          <w:b/>
        </w:rPr>
        <w:t>glaucome à angle fermé</w:t>
      </w:r>
      <w:r>
        <w:t xml:space="preserve"> non traité (effet atropinique mydriatique) ; </w:t>
      </w:r>
      <w:r>
        <w:rPr>
          <w:b/>
        </w:rPr>
        <w:t>hypertrophie bénigne de la prostate</w:t>
      </w:r>
      <w:r>
        <w:t xml:space="preserve"> avec rétention urinaire (effet atropinique) ; </w:t>
      </w:r>
      <w:r>
        <w:rPr>
          <w:b/>
        </w:rPr>
        <w:t>myasthénie</w:t>
      </w:r>
      <w:r>
        <w:t xml:space="preserve"> (effet curarisant potentialisé) ; insuffisance hépatique sévère (métabolisme CYP2D6) ; insuffisance rénale sévère ; épilepsie non contrôlée (abaissement du seuil épileptogène) ; </w:t>
      </w:r>
      <w:r>
        <w:rPr>
          <w:b/>
        </w:rPr>
        <w:t>association aux IMAO</w:t>
      </w:r>
      <w:r>
        <w:t xml:space="preserve"> (CI absolue — wash-out 14 jours) ; </w:t>
      </w:r>
      <w:r>
        <w:rPr>
          <w:b/>
        </w:rPr>
        <w:t>grossesse (1er trimestre)</w:t>
      </w:r>
      <w:r>
        <w:t xml:space="preserve"> par prudence ; </w:t>
      </w:r>
      <w:r>
        <w:rPr>
          <w:b/>
        </w:rPr>
        <w:t>allaitement</w:t>
      </w:r>
      <w:r>
        <w:t xml:space="preserve"> (passage dans le lait maternel) ; </w:t>
      </w:r>
      <w:r>
        <w:rPr>
          <w:b/>
        </w:rPr>
        <w:t>enfant &lt; 2 ans pour la forme cp</w:t>
      </w:r>
      <w:r>
        <w:t xml:space="preserve"> ; enfant &lt; 1 an pour le sirop (par prudence, en raison du risque de mort subite du nourrisson — bien que la dexchlorphéniramine soit moins à risque que la prométhazine).</w:t>
      </w:r>
    </w:p>
    <w:p>
      <w:pPr>
        <w:pStyle w:val="ListBullet"/>
      </w:pPr>
      <w:r/>
      <w:r>
        <w:rPr>
          <w:b/>
        </w:rPr>
        <w:t>Effets Indésirables</w:t>
      </w:r>
      <w:r>
        <w:t xml:space="preserve"> : moins nombreux et moins marqués que les phénothiazines et les éthanolamines. EI très fréquents (≥ 1/10) : </w:t>
      </w:r>
      <w:r>
        <w:rPr>
          <w:b/>
        </w:rPr>
        <w:t>sédation modérée</w:t>
      </w:r>
      <w:r>
        <w:t xml:space="preserve"> (somnolence, asthénie — la moins marquée des 1re génération), </w:t>
      </w:r>
      <w:r>
        <w:rPr>
          <w:b/>
        </w:rPr>
        <w:t>sécheresse buccale</w:t>
      </w:r>
      <w:r>
        <w:t xml:space="preserve">. EI fréquents (≥ 1/100 à &lt; 1/10) : céphalées, étourdissements, vertiges, troubles de l'accommodation, mydriase, constipation, nausées, rétention urinaire (homme âgé), tachycardie. EI peu fréquents : tremblements, confusion (sujet âgé), troubles de la mémoire, altération des performances psychomotrices, rash, urticaire paradoxale, photosensibilité. EI rares : convulsions (à dose élevée, en particulier enfant), agitation paradoxale (enfant), anaphylaxie, anomalies biologiques hépatiques. EI très rares : syndrome malin des antipsychotiques (à dose très élevée — exceptionnel), agranulocytose (exceptionnel). </w:t>
      </w:r>
      <w:r>
        <w:rPr>
          <w:b/>
        </w:rPr>
        <w:t>Effet anticholinergique cumulatif</w:t>
      </w:r>
      <w:r>
        <w:t xml:space="preserve"> chez le sujet âgé (risque de chute, confusion, délire, fécalome, rétention aiguë d'urine) — la dexchlorphéniramine figure sur la </w:t>
      </w:r>
      <w:r>
        <w:rPr>
          <w:b/>
        </w:rPr>
        <w:t>liste de Beers</w:t>
      </w:r>
      <w:r>
        <w:t xml:space="preserve"> des médicaments potentiellement inappropriés chez le sujet âgé.</w:t>
      </w:r>
    </w:p>
    <w:p>
      <w:r/>
      <w:r>
        <w:rPr>
          <w:b/>
        </w:rPr>
        <w:t>Prévention et Gestion des Effets Indésirables :</w:t>
      </w:r>
      <w:r/>
    </w:p>
    <w:p>
      <w:pPr>
        <w:pStyle w:val="ListBullet"/>
      </w:pPr>
      <w:r/>
      <w:r>
        <w:rPr>
          <w:b/>
        </w:rPr>
        <w:t>Mesures Préventives</w:t>
      </w:r>
      <w:r>
        <w:t xml:space="preserve"> : prescription </w:t>
      </w:r>
      <w:r>
        <w:rPr>
          <w:b/>
        </w:rPr>
        <w:t>sur ordonnance Liste II</w:t>
      </w:r>
      <w:r>
        <w:t xml:space="preserve"> en Algérie (sirop), pas de prescription pour le comprimé 2 mg. Avertir le patient du risque de somnolence et de la nécessité de ne pas conduire pendant les premiers jours du traitement. Éviter l'association à l'alcool et aux dépresseurs du SNC. Surveiller l'apparition d'effets anticholinergiques chez le sujet âgé (sécheresse buccale, rétention urinaire, confusion). Chez la femme enceinte : éviter au 1er trimestre. Adapter la dose en cas d'insuffisance hépatique ou rénale.</w:t>
      </w:r>
    </w:p>
    <w:p>
      <w:pPr>
        <w:pStyle w:val="ListBullet"/>
      </w:pPr>
      <w:r/>
      <w:r>
        <w:rPr>
          <w:b/>
        </w:rPr>
        <w:t>Conduite à Tenir</w:t>
      </w:r>
      <w:r>
        <w:t xml:space="preserve"> : en cas de </w:t>
      </w:r>
      <w:r>
        <w:rPr>
          <w:b/>
        </w:rPr>
        <w:t>somnolence marquée</w:t>
      </w:r>
      <w:r>
        <w:t xml:space="preserve"> : réduire la dose ou passer à une prise vespérale. En cas de </w:t>
      </w:r>
      <w:r>
        <w:rPr>
          <w:b/>
        </w:rPr>
        <w:t>confusion, agitation paradoxale</w:t>
      </w:r>
      <w:r>
        <w:t xml:space="preserve"> (sujet âgé, enfant) : arrêt immédiat. En cas de </w:t>
      </w:r>
      <w:r>
        <w:rPr>
          <w:b/>
        </w:rPr>
        <w:t>rétention urinaire aiguë</w:t>
      </w:r>
      <w:r>
        <w:t xml:space="preserve"> (homme âgé) : arrêt, sondage vésical temporaire, consultation urologique. En cas de </w:t>
      </w:r>
      <w:r>
        <w:rPr>
          <w:b/>
        </w:rPr>
        <w:t>crise de glaucome aigu</w:t>
      </w:r>
      <w:r>
        <w:t xml:space="preserve"> : arrêt, urgence ophtalmologique. En cas de surdosage (≥ 12 mg chez l'adulte) : lavage gastrique si &lt; 1 h, charbon activé, surveillance neurologique (sédation, convulsions), traitement symptomatique. La dexchlorphéniramine n'est pas dialysable.</w:t>
      </w:r>
    </w:p>
    <w:p>
      <w:r/>
      <w:r>
        <w:rPr>
          <w:b/>
        </w:rPr>
        <w:t>Interactions Importantes :</w:t>
      </w:r>
      <w:r/>
    </w:p>
    <w:p>
      <w:pPr>
        <w:pStyle w:val="ListBullet"/>
      </w:pPr>
      <w:r/>
      <w:r>
        <w:rPr>
          <w:b/>
        </w:rPr>
        <w:t>Dexchlorphéniramine + alcool</w:t>
      </w:r>
      <w:r>
        <w:t xml:space="preserve"> : </w:t>
      </w:r>
      <w:r>
        <w:rPr>
          <w:b/>
        </w:rPr>
        <w:t>potentialisation de la sédation</w:t>
      </w:r>
      <w:r>
        <w:t xml:space="preserve"> — éviter.</w:t>
      </w:r>
    </w:p>
    <w:p>
      <w:pPr>
        <w:pStyle w:val="ListBullet"/>
      </w:pPr>
      <w:r/>
      <w:r>
        <w:rPr>
          <w:b/>
        </w:rPr>
        <w:t>Dexchlorphéniramine + dépresseurs du SNC</w:t>
      </w:r>
      <w:r>
        <w:t xml:space="preserve"> (benzodiazépines, opioïdes, barbituriques, autres antihistaminiques H1 sédatifs, neuroleptiques, antidépresseurs sédatifs) : sédation additive.</w:t>
      </w:r>
    </w:p>
    <w:p>
      <w:pPr>
        <w:pStyle w:val="ListBullet"/>
      </w:pPr>
      <w:r/>
      <w:r>
        <w:rPr>
          <w:b/>
        </w:rPr>
        <w:t>Dexchlorphéniramine + IMAO</w:t>
      </w:r>
      <w:r>
        <w:t xml:space="preserve"> : </w:t>
      </w:r>
      <w:r>
        <w:rPr>
          <w:b/>
        </w:rPr>
        <w:t>potentialisation des effets anticholinergiques et cardiovasculaires</w:t>
      </w:r>
      <w:r>
        <w:t xml:space="preserve"> (hypertension paroxystique, hyperthermie, coma) — CI absolue. Respecter un wash-out de 14 jours.</w:t>
      </w:r>
    </w:p>
    <w:p>
      <w:pPr>
        <w:pStyle w:val="ListBullet"/>
      </w:pPr>
      <w:r/>
      <w:r>
        <w:rPr>
          <w:b/>
        </w:rPr>
        <w:t>Dexchlorphéniramine + atropiniques</w:t>
      </w:r>
      <w:r>
        <w:t xml:space="preserve"> (autres antihistaminiques 1re génération, antidépresseurs tricycliques, antiparkinsoniens anticholinergiques, antispasmodiques) : potentialisation des effets atropiniques.</w:t>
      </w:r>
    </w:p>
    <w:p>
      <w:pPr>
        <w:pStyle w:val="ListBullet"/>
      </w:pPr>
      <w:r/>
      <w:r>
        <w:rPr>
          <w:b/>
        </w:rPr>
        <w:t>Dexchlorphéniramine + inhibiteurs CYP2D6</w:t>
      </w:r>
      <w:r>
        <w:t xml:space="preserve"> (paroxétine, fluoxétine, bupropion, quinidine) : augmentation des concentrations de dexchlorphéniramine — surveiller EI (sédation, anticholinergique).</w:t>
      </w:r>
    </w:p>
    <w:p>
      <w:pPr>
        <w:pStyle w:val="ListBullet"/>
      </w:pPr>
      <w:r/>
      <w:r>
        <w:rPr>
          <w:b/>
        </w:rPr>
        <w:t>Dexchlorphéniramine + métoclopramide</w:t>
      </w:r>
      <w:r>
        <w:t xml:space="preserve"> : potentialisation des effets extrapyramidaux.</w:t>
      </w:r>
    </w:p>
    <w:p>
      <w:r/>
      <w:r>
        <w:rPr>
          <w:b/>
        </w:rPr>
        <w:t>Grossesse et Allaitement :</w:t>
      </w:r>
      <w:r/>
    </w:p>
    <w:p>
      <w:pPr>
        <w:pStyle w:val="ListBullet"/>
      </w:pPr>
      <w:r/>
      <w:r>
        <w:rPr>
          <w:b/>
        </w:rPr>
        <w:t>Grossesse</w:t>
      </w:r>
      <w:r>
        <w:t xml:space="preserve"> : selon le </w:t>
      </w:r>
      <w:r>
        <w:rPr>
          <w:b/>
        </w:rPr>
        <w:t>CRAT</w:t>
      </w:r>
      <w:r>
        <w:t xml:space="preserve">, la dexchlorphéniramine est </w:t>
      </w:r>
      <w:r>
        <w:rPr>
          <w:b/>
        </w:rPr>
        <w:t>déconseillée au 1er trimestre</w:t>
      </w:r>
      <w:r>
        <w:t xml:space="preserve"> par prudence (données animales limitées), mais elle peut être utilisée aux 2e et 3e trimestres en cas de nécessité (efficacité supérieure aux 2e génération dans l'urticaire aiguë sévère). À éviter au 3e trimestre par prudence en raison du risque d'hypotension néonatale et de détresse respiratoire. En pratique, lui préférer la </w:t>
      </w:r>
      <w:r>
        <w:rPr>
          <w:b/>
        </w:rPr>
        <w:t>loratadine</w:t>
      </w:r>
      <w:r>
        <w:t xml:space="preserve"> ou la </w:t>
      </w:r>
      <w:r>
        <w:rPr>
          <w:b/>
        </w:rPr>
        <w:t>cétirizine</w:t>
      </w:r>
      <w:r>
        <w:t xml:space="preserve"> (2e génération compatibles) en cas de rhinite allergique ou d'urticaire pendant la grossesse.</w:t>
      </w:r>
    </w:p>
    <w:p>
      <w:pPr>
        <w:pStyle w:val="ListBullet"/>
      </w:pPr>
      <w:r/>
      <w:r>
        <w:rPr>
          <w:b/>
        </w:rPr>
        <w:t>Allaitement</w:t>
      </w:r>
      <w:r>
        <w:t xml:space="preserve"> : selon le CRAT et LactMed, la dexchlorphéniramine passe dans le lait maternel (rapport lait/plasma ~0,5). </w:t>
      </w:r>
      <w:r>
        <w:rPr>
          <w:b/>
        </w:rPr>
        <w:t>Allaitement déconseillé</w:t>
      </w:r>
      <w:r>
        <w:t xml:space="preserve"> par prudence (risque de sédation et de troubles de la succion chez le nourrisson). Alternative : loratadine ou fexofénadine (compatibles).</w:t>
      </w:r>
    </w:p>
    <w:p>
      <w:pPr>
        <w:pStyle w:val="ListBullet"/>
      </w:pPr>
      <w:r/>
      <w:r>
        <w:rPr>
          <w:b/>
        </w:rPr>
        <w:t>Précisions</w:t>
      </w:r>
      <w:r>
        <w:t xml:space="preserve"> : éviter par prudence chez la femme en âge de procréer sans contraception efficace.</w:t>
      </w:r>
    </w:p>
    <w:p>
      <w:r/>
      <w:r>
        <w:rPr>
          <w:b/>
        </w:rPr>
        <w:t>Posologie et Mode d'administration (Standard) :</w:t>
      </w:r>
      <w:r/>
    </w:p>
    <w:p>
      <w:pPr>
        <w:pStyle w:val="ListBullet"/>
      </w:pPr>
      <w:r/>
      <w:r>
        <w:rPr>
          <w:b/>
        </w:rPr>
        <w:t>Adulte</w:t>
      </w:r>
      <w:r>
        <w:t xml:space="preserve"> :</w:t>
      </w:r>
    </w:p>
    <w:p>
      <w:pPr>
        <w:pStyle w:val="ListBullet"/>
      </w:pPr>
      <w:r>
        <w:t>Comprimé 2 mg : 1 comprimé (2 mg) toutes les 6 à 8 heures, sans dépasser 12 mg/jour (6 comprimés). Prise avant les repas avec un grand verre d'eau.</w:t>
      </w:r>
    </w:p>
    <w:p>
      <w:pPr>
        <w:pStyle w:val="ListBullet"/>
      </w:pPr>
      <w:r>
        <w:t>Forme LP 6 mg (retirée en Algérie) : 1 comprimé LP le matin et le soir (12 mg/jour).</w:t>
      </w:r>
    </w:p>
    <w:p>
      <w:pPr>
        <w:pStyle w:val="ListBullet"/>
      </w:pPr>
      <w:r>
        <w:t>Sirop 0,5 mg/5 mL : 10 à 20 mL (1 à 2 mg) toutes les 6 à 8 heures.</w:t>
      </w:r>
    </w:p>
    <w:p>
      <w:pPr>
        <w:pStyle w:val="ListBullet"/>
      </w:pPr>
      <w:r/>
      <w:r>
        <w:rPr>
          <w:b/>
        </w:rPr>
        <w:t>Enfant 6 à 12 ans</w:t>
      </w:r>
      <w:r>
        <w:t xml:space="preserve"> : 0,5 mg/kg/jour en plusieurs prises (soit 1 comprimé 2 mg x 1 à 2/jour, ou sirop 5 mL x 3 à 4/jour).</w:t>
      </w:r>
    </w:p>
    <w:p>
      <w:pPr>
        <w:pStyle w:val="ListBullet"/>
      </w:pPr>
      <w:r/>
      <w:r>
        <w:rPr>
          <w:b/>
        </w:rPr>
        <w:t>Enfant 2 à 6 ans</w:t>
      </w:r>
      <w:r>
        <w:t xml:space="preserve"> : sirop 2,5 à 5 mL (0,25 à 0,5 mg) toutes les 6 à 8 heures (soit 1 à 2 mg/jour).</w:t>
      </w:r>
    </w:p>
    <w:p>
      <w:pPr>
        <w:pStyle w:val="ListBullet"/>
      </w:pPr>
      <w:r/>
      <w:r>
        <w:rPr>
          <w:b/>
        </w:rPr>
        <w:t>Nourrisson &lt; 2 ans</w:t>
      </w:r>
      <w:r>
        <w:t xml:space="preserve"> : sirop à dose réduite (0,1 mg/kg/jour) — à éviter par prudence en raison du risque de mort subite du nourrisson (effet dépresseur respiratoire central, bien que moins marqué que la prométhazine).</w:t>
      </w:r>
    </w:p>
    <w:p>
      <w:pPr>
        <w:pStyle w:val="ListBullet"/>
      </w:pPr>
      <w:r/>
      <w:r>
        <w:rPr>
          <w:b/>
        </w:rPr>
        <w:t>Sujet âgé (&gt; 65 ans)</w:t>
      </w:r>
      <w:r>
        <w:t xml:space="preserve"> : </w:t>
      </w:r>
      <w:r>
        <w:rPr>
          <w:b/>
        </w:rPr>
        <w:t>dose initiale réduite à 1 mg/jour</w:t>
      </w:r>
      <w:r>
        <w:t xml:space="preserve"> (moitié de la dose adulte), augmentation progressive selon tolérance. Dose maximale : 4 mg/jour. Liste de Beers.</w:t>
      </w:r>
    </w:p>
    <w:p>
      <w:pPr>
        <w:pStyle w:val="ListBullet"/>
      </w:pPr>
      <w:r/>
      <w:r>
        <w:rPr>
          <w:b/>
        </w:rPr>
        <w:t>Insuffisance rénale</w:t>
      </w:r>
      <w:r>
        <w:t xml:space="preserve"> : adapter à 50 % de la dose standard.</w:t>
      </w:r>
    </w:p>
    <w:p>
      <w:pPr>
        <w:pStyle w:val="ListBullet"/>
      </w:pPr>
      <w:r/>
      <w:r>
        <w:rPr>
          <w:b/>
        </w:rPr>
        <w:t>Insuffisance hépatique</w:t>
      </w:r>
      <w:r>
        <w:t xml:space="preserve"> : Child-Pugh C : éviter.</w:t>
      </w:r>
    </w:p>
    <w:p>
      <w:pPr>
        <w:pStyle w:val="ListBullet"/>
      </w:pPr>
      <w:r/>
      <w:r>
        <w:rPr>
          <w:b/>
        </w:rPr>
        <w:t>Durée</w:t>
      </w:r>
      <w:r>
        <w:t xml:space="preserve"> : rhinite allergique : 5-14 jours ; urticaire aiguë : 5-10 jours ; allergies médicamenteuses : 7-14 jours.</w:t>
      </w:r>
    </w:p>
    <w:p>
      <w:pPr>
        <w:pStyle w:val="ListBullet"/>
      </w:pPr>
      <w:r/>
      <w:r>
        <w:rPr>
          <w:b/>
        </w:rPr>
        <w:t>Moment de la prise</w:t>
      </w:r>
      <w:r>
        <w:t xml:space="preserve"> : 3 à 4 prises réparties dans la journée, en dehors des repas. Prise vespérale privilégiée en cas de somnolence.</w:t>
      </w:r>
    </w:p>
    <w:p>
      <w:r/>
      <w:r>
        <w:rPr>
          <w:b/>
        </w:rPr>
        <w:t>Arbitrage et Bénéfices des Formes Galéniques :</w:t>
      </w:r>
      <w:r/>
    </w:p>
    <w:p>
      <w:pPr>
        <w:pStyle w:val="ListBullet"/>
      </w:pPr>
      <w:r/>
      <w:r>
        <w:rPr>
          <w:b/>
        </w:rPr>
        <w:t>Comprimé sécable 2 mg</w:t>
      </w:r>
      <w:r>
        <w:t xml:space="preserve"> (1 marque active — HISTAGAN Saidal) : forme adulte et enfant ≥ 6 ans, pratique, sécable pour adapter à l'enfant (1/2 cp = 1 mg) et au sujet âgé. Boîte de 30.</w:t>
      </w:r>
    </w:p>
    <w:p>
      <w:pPr>
        <w:pStyle w:val="ListBullet"/>
      </w:pPr>
      <w:r/>
      <w:r>
        <w:rPr>
          <w:b/>
        </w:rPr>
        <w:t>Solution buvable 0,5 mg/5 mL</w:t>
      </w:r>
      <w:r>
        <w:t xml:space="preserve"> (5 marques actives) : indispensable pour le nourrisson et le jeune enfant — dose précise selon le poids. Flacon de 125 mL.</w:t>
      </w:r>
    </w:p>
    <w:p>
      <w:pPr>
        <w:pStyle w:val="ListBullet"/>
      </w:pPr>
      <w:r/>
      <w:r>
        <w:rPr>
          <w:b/>
        </w:rPr>
        <w:t>Forme LP 6 mg</w:t>
      </w:r>
      <w:r>
        <w:t xml:space="preserve"> (POLARAMINE princeps — retirée) : n'est plus disponible en Algérie.</w:t>
      </w:r>
    </w:p>
    <w:p>
      <w:pPr>
        <w:pStyle w:val="ListBullet"/>
      </w:pPr>
      <w:r/>
      <w:r>
        <w:rPr>
          <w:b/>
        </w:rPr>
        <w:t>Forme injectable 5 mg/mL</w:t>
      </w:r>
      <w:r>
        <w:t xml:space="preserve"> (POLARAMINE princeps — non renouvelable) : n'est plus disponible en Algérie pour les urgences allergiques en milieu hospitalier. Alternative : hydroxyzine injectable (ATARAX 50 mg/mL) ou, à défaut, recours à la prométhazine injectable (PRANOK 50 mg/2 mL) sous surveillance.</w:t>
      </w:r>
    </w:p>
    <w:p>
      <w:r/>
      <w:r>
        <w:rPr>
          <w:b/>
        </w:rPr>
        <w:t>Instructions et Conseils au Patient :</w:t>
      </w:r>
      <w:r/>
    </w:p>
    <w:p>
      <w:pPr>
        <w:pStyle w:val="ListBullet"/>
      </w:pPr>
      <w:r/>
      <w:r>
        <w:rPr>
          <w:b/>
        </w:rPr>
        <w:t>Communication au comptoir</w:t>
      </w:r>
      <w:r>
        <w:t xml:space="preserve"> : « *Ce médicament est un antihistaminique ancien, efficace dans les allergies aiguës. Il peut provoquer une somnolence modérée — ne pas conduire pendant les premiers jours du traitement. Évitez l'alcool. Si vous prenez d'autres médicaments, parlez-en à votre pharmacien ou médecin. Ne pas utiliser chez le nourrisson sans avis médical.* »</w:t>
      </w:r>
    </w:p>
    <w:p>
      <w:pPr>
        <w:pStyle w:val="ListBullet"/>
      </w:pPr>
      <w:r/>
      <w:r>
        <w:rPr>
          <w:b/>
        </w:rPr>
        <w:t>Mode d'utilisation pratique</w:t>
      </w:r>
      <w:r>
        <w:t xml:space="preserve"> : comprimé à avaler avec un peu d'eau, en dehors des repas ; sirop : agiter avant emploi, utiliser la cuillère-mesure fournie. En cas d'oubli : prendre dès que possible, ne pas doubler la dose. Conservation : température &lt; 25 °C, à l'abri de la lumière et de l'humidité ; bien refermer le flacon de sirop après usage. Ne pas dépasser 14 jours d'automédication sans avis médical.</w:t>
      </w:r>
    </w:p>
    <w:p>
      <w:r/>
      <w:r>
        <w:rPr>
          <w:b/>
        </w:rPr>
        <w:t>Notes, Règles d'Or &amp; Pièges au Comptoir :</w:t>
      </w:r>
      <w:r/>
    </w:p>
    <w:p>
      <w:pPr>
        <w:pStyle w:val="ListBullet"/>
      </w:pPr>
      <w:r/>
      <w:r>
        <w:rPr>
          <w:b/>
        </w:rPr>
        <w:t>Piège classique</w:t>
      </w:r>
      <w:r>
        <w:t xml:space="preserve"> : </w:t>
      </w:r>
      <w:r>
        <w:rPr>
          <w:b/>
        </w:rPr>
        <w:t>nourrisson &lt; 2 ans</w:t>
      </w:r>
      <w:r>
        <w:t xml:space="preserve"> : à éviter par prudence (risque de mort subite du nourrisson — bien que moins marqué que la prométhazine). </w:t>
      </w:r>
      <w:r>
        <w:rPr>
          <w:b/>
        </w:rPr>
        <w:t>Hypertrophie bénigne de la prostate</w:t>
      </w:r>
      <w:r>
        <w:t xml:space="preserve"> : risque de rétention aiguë d'urine. </w:t>
      </w:r>
      <w:r>
        <w:rPr>
          <w:b/>
        </w:rPr>
        <w:t>Glaucome à angle fermé</w:t>
      </w:r>
      <w:r>
        <w:t xml:space="preserve"> : risque de crise aiguë. </w:t>
      </w:r>
      <w:r>
        <w:rPr>
          <w:b/>
        </w:rPr>
        <w:t>Sujet âgé</w:t>
      </w:r>
      <w:r>
        <w:t xml:space="preserve"> : effet anticholinergique cumulatif (risque de chute, confusion, fécalome) — liste de Beers ; réduire la dose à 1 mg/jour. </w:t>
      </w:r>
      <w:r>
        <w:rPr>
          <w:b/>
        </w:rPr>
        <w:t>Forme injectable retirée en Algérie</w:t>
      </w:r>
      <w:r>
        <w:t xml:space="preserve"> : alternative hydroxyzine injectable (ATARAX 50 mg/mL) ou prométhazine injectable (PRANOK 50 mg/2 mL).</w:t>
      </w:r>
    </w:p>
    <w:p>
      <w:pPr>
        <w:pStyle w:val="ListBullet"/>
      </w:pPr>
      <w:r/>
      <w:r>
        <w:rPr>
          <w:b/>
        </w:rPr>
        <w:t>Règle de prise</w:t>
      </w:r>
      <w:r>
        <w:t xml:space="preserve"> : 3 à 4 prises réparties dans la journée, en dehors des repas. Pas d'alcool. Pas de double dose en cas d'oubli.</w:t>
      </w:r>
    </w:p>
    <w:p>
      <w:pPr>
        <w:pStyle w:val="ListBullet"/>
      </w:pPr>
      <w:r/>
      <w:r>
        <w:rPr>
          <w:b/>
        </w:rPr>
        <w:t>Préparation et Conservation</w:t>
      </w:r>
      <w:r>
        <w:t xml:space="preserve"> : comprimés à température &lt; 25 °C, à l'abri de l'humidité ; sirop à température &lt; 25 °C, à l'abri de la lumière, bien refermer après usage.</w:t>
      </w:r>
    </w:p>
    <w:p>
      <w:pPr>
        <w:pStyle w:val="ListBullet"/>
      </w:pPr>
      <w:r/>
      <w:r>
        <w:rPr>
          <w:b/>
        </w:rPr>
        <w:t>Piège du surdosage / Substitution</w:t>
      </w:r>
      <w:r>
        <w:t xml:space="preserve"> : </w:t>
      </w:r>
      <w:r>
        <w:rPr>
          <w:b/>
        </w:rPr>
        <w:t>surdosage</w:t>
      </w:r>
      <w:r>
        <w:t xml:space="preserve"> (≥ 12 mg) : lavage gastrique si &lt; 1 h, charbon activé, surveillance neurologique (convulsions). </w:t>
      </w:r>
      <w:r>
        <w:rPr>
          <w:b/>
        </w:rPr>
        <w:t>Substitution dexchlorphéniramine → 2e génération</w:t>
      </w:r>
      <w:r>
        <w:t xml:space="preserve"> (loratadine, cétirizine, fexofénadine) : alternative de choix pour la rhinite allergique et l'urticaire chronique (sans effet central, sans effets atropiniques). </w:t>
      </w:r>
      <w:r>
        <w:rPr>
          <w:b/>
        </w:rPr>
        <w:t>Substitution dexchlorphéniramine → hydroxyzine</w:t>
      </w:r>
      <w:r>
        <w:t xml:space="preserve"> : alternative pour l'urticaire aiguë sévère en injectable (ATARAX 50 mg/mL).</w:t>
      </w:r>
    </w:p>
    <w:p>
      <w:pPr>
        <w:pStyle w:val="Heading2"/>
      </w:pPr>
      <w:r>
        <w:t>10. Introduction à la sous-classe des antihistaminiques H1 de 1re génération (éthanolamines)</w:t>
      </w:r>
    </w:p>
    <w:p>
      <w:r>
        <w:t xml:space="preserve">Les </w:t>
      </w:r>
      <w:r>
        <w:rPr>
          <w:b/>
        </w:rPr>
        <w:t>éthanolamines</w:t>
      </w:r>
      <w:r>
        <w:t xml:space="preserve"> forment une sous-classe d'antihistaminiques H1 de 1re génération caractérisée par une structure chimique comprenant un </w:t>
      </w:r>
      <w:r>
        <w:rPr>
          <w:b/>
        </w:rPr>
        <w:t>groupement éthanolamine</w:t>
      </w:r>
      <w:r>
        <w:t xml:space="preserve"> (–CH2-CH2-OH) reliant un noyau aromatique à un groupement amine tertiaire. Cette structure est commune à plusieurs classes pharmacologiques : </w:t>
      </w:r>
      <w:r>
        <w:rPr>
          <w:b/>
        </w:rPr>
        <w:t>antihistaminiques H1</w:t>
      </w:r>
      <w:r>
        <w:t xml:space="preserve"> (diphénhydramine, doxylamine), </w:t>
      </w:r>
      <w:r>
        <w:rPr>
          <w:b/>
        </w:rPr>
        <w:t>antidépresseurs tricycliques</w:t>
      </w:r>
      <w:r>
        <w:t xml:space="preserve"> (imipramine, amitriptyline — dérivés structurels des éthanolamines), et </w:t>
      </w:r>
      <w:r>
        <w:rPr>
          <w:b/>
        </w:rPr>
        <w:t>antiparkinsoniens anticholinergiques</w:t>
      </w:r>
      <w:r>
        <w:t xml:space="preserve"> (orphenadrine). Les éthanolamines sont parmi les plus anciens antihistaminiques H1 (synthèse dès 1946 par Rieveschl pour la diphénhydramine — Benadryl™). La </w:t>
      </w:r>
      <w:r>
        <w:rPr>
          <w:b/>
        </w:rPr>
        <w:t>doxylamine</w:t>
      </w:r>
      <w:r>
        <w:t xml:space="preserve"> est la principale éthanolamine commercialisée en Algérie.</w:t>
      </w:r>
    </w:p>
    <w:p>
      <w:pPr>
        <w:pStyle w:val="Heading3"/>
      </w:pPr>
      <w:r>
        <w:t>Chimie et historique</w:t>
      </w:r>
    </w:p>
    <w:p>
      <w:pPr>
        <w:pStyle w:val="ListBullet"/>
      </w:pPr>
      <w:r/>
      <w:r>
        <w:rPr>
          <w:b/>
        </w:rPr>
        <w:t>Diphénhydramine</w:t>
      </w:r>
      <w:r>
        <w:t xml:space="preserve"> (Benadryl™, 1946) : premier antihistaminique H1 de synthèse vraiment efficace. Formule C17H21NO ; M = 255,4 g/mol. Retiré du marché français en 2016 comme antitussif (signal de mésusage et d'effets centraux marqués), reste disponible dans d'autres pays.</w:t>
      </w:r>
    </w:p>
    <w:p>
      <w:pPr>
        <w:pStyle w:val="ListBullet"/>
      </w:pPr>
      <w:r/>
      <w:r>
        <w:rPr>
          <w:b/>
        </w:rPr>
        <w:t>Doxylamine</w:t>
      </w:r>
      <w:r>
        <w:t xml:space="preserve"> (Decapryn™, 1949) : formule C17H22N2O ; M = 270,4 g/mol sous forme de succinate (388,5 g/mol). Commercialisée en Algérie sous </w:t>
      </w:r>
      <w:r>
        <w:rPr>
          <w:b/>
        </w:rPr>
        <w:t>2 marques actives</w:t>
      </w:r>
      <w:r>
        <w:t xml:space="preserve"> (DORLAMINE AGD Pharma, SULAMINE Groupe Saidal) en Avril 2026 — sirop 6,25 mg/5 mL. Historiquement développée comme antihistaminique H1, la doxylamine est rapidement devenue populaire comme </w:t>
      </w:r>
      <w:r>
        <w:rPr>
          <w:b/>
        </w:rPr>
        <w:t>somnifère en automédication</w:t>
      </w:r>
      <w:r>
        <w:t xml:space="preserve"> (Donormyl™ en France, à dose 15 mg cp) en raison de son effet sédatif marqué (le plus sédatif des antihistaminiques H1 disponibles en Algérie). Elle est également utilisée en association à la </w:t>
      </w:r>
      <w:r>
        <w:rPr>
          <w:b/>
        </w:rPr>
        <w:t>pyridoxine</w:t>
      </w:r>
      <w:r>
        <w:t xml:space="preserve"> (vitamine B6) comme </w:t>
      </w:r>
      <w:r>
        <w:rPr>
          <w:b/>
        </w:rPr>
        <w:t>antiémétique de la grossesse</w:t>
      </w:r>
      <w:r>
        <w:t xml:space="preserve"> dans l'hyperemesis gravidarum (XXX™ — non disponible en Algérie, mais la doxylamine seule peut être utilisée sous surveillance médicale).</w:t>
      </w:r>
    </w:p>
    <w:p>
      <w:pPr>
        <w:pStyle w:val="Heading3"/>
      </w:pPr>
      <w:r>
        <w:t>Pharmacocinétique de la doxylamine</w:t>
      </w:r>
    </w:p>
    <w:p>
      <w:r>
        <w:t xml:space="preserve">La doxylamine est rapidement absorbée par voie orale (biodisponibilité ~25 % en raison d'un effet de premier passage hépatique important), avec un pic plasmatique en 2 à 3 heures. Elle est largement métabolisée par le foie (CYP2D6, CYP1A2, CYP2C9) en métabolites inactifs (N-désméthyldoxylamine, N,N-didésméthyldoxylamine). Sa </w:t>
      </w:r>
      <w:r>
        <w:rPr>
          <w:b/>
        </w:rPr>
        <w:t>demi-vie d'élimination</w:t>
      </w:r>
      <w:r>
        <w:t xml:space="preserve"> est de 10 à 12 heures chez l'adulte, ce qui explique son effet sédatif prolongé (effet « gueule de bois » le lendemain matin). La doxylamine traverse massivement la BBB (sédation marquée), le placenta, et est excrétée dans le lait maternel (CI allaitement).</w:t>
      </w:r>
    </w:p>
    <w:p>
      <w:pPr>
        <w:pStyle w:val="Heading3"/>
      </w:pPr>
      <w:r>
        <w:t>Profil pharmacologique de la doxylamine</w:t>
      </w:r>
    </w:p>
    <w:p>
      <w:pPr>
        <w:pStyle w:val="ListBullet"/>
      </w:pPr>
      <w:r/>
      <w:r>
        <w:rPr>
          <w:b/>
        </w:rPr>
        <w:t>Effet anti-H1 puissant</w:t>
      </w:r>
      <w:r>
        <w:t xml:space="preserve"> (équivalent à la dexchlorphéniramine).</w:t>
      </w:r>
    </w:p>
    <w:p>
      <w:pPr>
        <w:pStyle w:val="ListBullet"/>
      </w:pPr>
      <w:r/>
      <w:r>
        <w:rPr>
          <w:b/>
        </w:rPr>
        <w:t>Sédation marquée</w:t>
      </w:r>
      <w:r>
        <w:t xml:space="preserve"> (la plus marquée des antihistaminiques H1 disponibles en Algérie — à l'origine de son utilisation comme somnifère en automédication).</w:t>
      </w:r>
    </w:p>
    <w:p>
      <w:pPr>
        <w:pStyle w:val="ListBullet"/>
      </w:pPr>
      <w:r/>
      <w:r>
        <w:rPr>
          <w:b/>
        </w:rPr>
        <w:t>Effets anticholinergiques marqués</w:t>
      </w:r>
      <w:r>
        <w:t xml:space="preserve"> (sécheresse buccale, mydriase, rétention urinaire, tachycardie, troubles cognitifs).</w:t>
      </w:r>
    </w:p>
    <w:p>
      <w:pPr>
        <w:pStyle w:val="ListBullet"/>
      </w:pPr>
      <w:r/>
      <w:r>
        <w:rPr>
          <w:b/>
        </w:rPr>
        <w:t>Effet antiémétique</w:t>
      </w:r>
      <w:r>
        <w:t xml:space="preserve"> (via H1 et 5-HT2A centraux) — utilisé en association à la pyridoxine dans l'hyperemesis gravidarum.</w:t>
      </w:r>
    </w:p>
    <w:p>
      <w:pPr>
        <w:pStyle w:val="ListBullet"/>
      </w:pPr>
      <w:r/>
      <w:r>
        <w:rPr>
          <w:b/>
        </w:rPr>
        <w:t>Pas d'effet α1-bloquant significatif</w:t>
      </w:r>
      <w:r>
        <w:t xml:space="preserve"> (pas d'hypotension orthostatique majeure).</w:t>
      </w:r>
    </w:p>
    <w:p>
      <w:pPr>
        <w:pStyle w:val="ListBullet"/>
      </w:pPr>
      <w:r/>
      <w:r>
        <w:rPr>
          <w:b/>
        </w:rPr>
        <w:t>Pas d'allongement QTc significatif</w:t>
      </w:r>
      <w:r>
        <w:t xml:space="preserve"> aux doses recommandées (à l'inverse de l'hydroxyzine).</w:t>
      </w:r>
    </w:p>
    <w:p>
      <w:pPr>
        <w:pStyle w:val="Heading3"/>
      </w:pPr>
      <w:r>
        <w:t>Indications spécifiques de la doxylamine</w:t>
      </w:r>
    </w:p>
    <w:p>
      <w:pPr>
        <w:pStyle w:val="ListBullet"/>
      </w:pPr>
      <w:r/>
      <w:r>
        <w:rPr>
          <w:b/>
        </w:rPr>
        <w:t>Insomnie occasionnelle</w:t>
      </w:r>
      <w:r>
        <w:t xml:space="preserve"> de l'adulte (25 mg au coucher — traitement court ≤ 5 jours en automédication).</w:t>
      </w:r>
    </w:p>
    <w:p>
      <w:pPr>
        <w:pStyle w:val="ListBullet"/>
      </w:pPr>
      <w:r/>
      <w:r>
        <w:rPr>
          <w:b/>
        </w:rPr>
        <w:t>Hyperemesis gravidarum</w:t>
      </w:r>
      <w:r>
        <w:t xml:space="preserve"> (vomissements incoercibles de la grossesse) — en association à la pyridoxine (XXX™ — non disponible en Algérie, mais la doxylamine seule peut être utilisée sous surveillance médicale stricte, après évaluation du rapport bénéfice/risque et information éclairée de la patiente — la doxylamine est l'un des rares médicaments considérés comme compatibles avec la grossesse selon le CRAT pour cette indication spécifique).</w:t>
      </w:r>
    </w:p>
    <w:p>
      <w:pPr>
        <w:pStyle w:val="ListBullet"/>
      </w:pPr>
      <w:r/>
      <w:r>
        <w:rPr>
          <w:b/>
        </w:rPr>
        <w:t>Rhinite allergique et urticaire</w:t>
      </w:r>
      <w:r>
        <w:t xml:space="preserve"> (alternative aux 2e génération, en 2e intention — mais la doxylamine est rarement utilisée en cette indication en raison de sa sédation marquée).</w:t>
      </w:r>
    </w:p>
    <w:p>
      <w:pPr>
        <w:pStyle w:val="ListBullet"/>
      </w:pPr>
      <w:r/>
      <w:r>
        <w:rPr>
          <w:b/>
        </w:rPr>
        <w:t>Toux sèche</w:t>
      </w:r>
      <w:r>
        <w:t xml:space="preserve"> (antitussif central — historique, retiré du marché français en 2016).</w:t>
      </w:r>
    </w:p>
    <w:p>
      <w:pPr>
        <w:pStyle w:val="Heading3"/>
      </w:pPr>
      <w:r>
        <w:t>DCI traitée</w:t>
      </w:r>
    </w:p>
    <w:p>
      <w:pPr>
        <w:pStyle w:val="ListNumber"/>
      </w:pPr>
      <w:r/>
      <w:r>
        <w:rPr>
          <w:b/>
        </w:rPr>
        <w:t>Doxylamine</w:t>
      </w:r>
      <w:r>
        <w:t xml:space="preserve"> (1re génération, éthanolamine — 2 marques actives en sirop, principalement utilisée comme somnifère et antiémétique)</w:t>
      </w:r>
    </w:p>
    <w:p>
      <w:pPr>
        <w:pStyle w:val="Heading2"/>
      </w:pPr>
      <w:r>
        <w:t>11. Fiche DCI — Antihistaminique H1 de 1re génération (éthanolamine)</w:t>
      </w:r>
    </w:p>
    <w:p>
      <w:pPr>
        <w:pStyle w:val="Heading3"/>
      </w:pPr>
      <w:r>
        <w:t>11.1. DCI : Doxylamine (Seule)</w:t>
      </w:r>
    </w:p>
    <w:p>
      <w:r/>
      <w:r>
        <w:rPr>
          <w:b/>
        </w:rPr>
        <w:t>Liste des Catégories :</w:t>
      </w:r>
      <w:r>
        <w:t xml:space="preserve"> Antihistaminique H1 — 1re génération (éthanolamine), Sédatif puissant, Hypnotique (insomnie occasionnelle), Antiémétique de la grossesse (hyperemesis gravidarum, en association à pyridoxine — non disponible en Algérie), Automédication (insomnie), Liste II.</w:t>
      </w:r>
    </w:p>
    <w:p>
      <w:r>
        <w:t xml:space="preserve">La </w:t>
      </w:r>
      <w:r>
        <w:rPr>
          <w:b/>
        </w:rPr>
        <w:t>doxylamine</w:t>
      </w:r>
      <w:r>
        <w:t xml:space="preserve"> (succinate de doxylamine, formule C17H22N2O · C4H6O4 ; M = 388,5 g/mol sous forme de succinate) est un antihistaminique H1 de 1re génération de la famille des </w:t>
      </w:r>
      <w:r>
        <w:rPr>
          <w:b/>
        </w:rPr>
        <w:t>éthanolamines</w:t>
      </w:r>
      <w:r>
        <w:t xml:space="preserve">, commercialisée en Algérie sous </w:t>
      </w:r>
      <w:r>
        <w:rPr>
          <w:b/>
        </w:rPr>
        <w:t>2 marques actives</w:t>
      </w:r>
      <w:r>
        <w:t xml:space="preserve"> en Avril 2026 — sous forme de sirop 6,25 mg/5 mL (DORLAMINE AGD Pharma, flacon de 200 mL ; SULAMINE Groupe Saidal, flacon de 125 mL). Développée dès 1949 par Rhône-Poulenc (Decapryn™), la doxylamine est rapidement devenue populaire comme </w:t>
      </w:r>
      <w:r>
        <w:rPr>
          <w:b/>
        </w:rPr>
        <w:t>somnifère en automédication</w:t>
      </w:r>
      <w:r>
        <w:t xml:space="preserve"> en raison de son effet sédatif marqué (le plus sédatif des antihistaminiques H1 disponibles en Algérie). Sa biodisponibilité orale est modeste (~25 %), son pic plasmatique est atteint en 2 à 3 heures, et sa </w:t>
      </w:r>
      <w:r>
        <w:rPr>
          <w:b/>
        </w:rPr>
        <w:t>demi-vie d'élimination</w:t>
      </w:r>
      <w:r>
        <w:t xml:space="preserve"> est de 10 à 12 heures chez l'adulte, ce qui explique son effet sédatif prolongé (effet « gueule de bois » le lendemain matin). La doxylamine est largement métabolisée par le </w:t>
      </w:r>
      <w:r>
        <w:rPr>
          <w:b/>
        </w:rPr>
        <w:t>CYP2D6</w:t>
      </w:r>
      <w:r>
        <w:t xml:space="preserve">, </w:t>
      </w:r>
      <w:r>
        <w:rPr>
          <w:b/>
        </w:rPr>
        <w:t>CYP1A2</w:t>
      </w:r>
      <w:r>
        <w:t xml:space="preserve"> et </w:t>
      </w:r>
      <w:r>
        <w:rPr>
          <w:b/>
        </w:rPr>
        <w:t>CYP2C9</w:t>
      </w:r>
      <w:r>
        <w:t xml:space="preserve"> hépatiques en métabolites inactifs. Elle traverse massivement la BBB (sédation marquée), le placenta, et est excrétée dans le lait maternel (CI allaitement). La doxylamine est également utilisée en association à la </w:t>
      </w:r>
      <w:r>
        <w:rPr>
          <w:b/>
        </w:rPr>
        <w:t>pyridoxine</w:t>
      </w:r>
      <w:r>
        <w:t xml:space="preserve"> (vitamine B6) comme </w:t>
      </w:r>
      <w:r>
        <w:rPr>
          <w:b/>
        </w:rPr>
        <w:t>antiémétique de la grossesse</w:t>
      </w:r>
      <w:r>
        <w:t xml:space="preserve"> dans l'hyperemesis gravidarum (XXX™ — non disponible en Algérie, mais la doxylamine seule peut être utilisée sous surveillance médicale stricte, après évaluation du rapport bénéfice/risque et information éclairée de la patiente). Selon le CRAT, la doxylamine est considérée comme </w:t>
      </w:r>
      <w:r>
        <w:rPr>
          <w:b/>
        </w:rPr>
        <w:t>compatible avec la grossesse</w:t>
      </w:r>
      <w:r>
        <w:t xml:space="preserve"> dans cette indication spécifique (hyperemesis gravidarum), à dose 10-20 mg + pyridoxine 10-20 mg, en raison de données de pharmacovigilance très rassurantes (aucune augmentation du risque de malformations sur plusieurs centaines de milliers de grossesses exposées).</w:t>
      </w:r>
    </w:p>
    <w:p>
      <w:r/>
      <w:r>
        <w:rPr>
          <w:b/>
        </w:rPr>
        <w:t>Médicaments disponibles en Algérie (Marques, Laboratoires, Formes et Dosages) :</w:t>
      </w:r>
      <w:r/>
    </w:p>
    <w:p>
      <w:pPr>
        <w:pStyle w:val="ListBullet"/>
      </w:pPr>
      <w:r/>
      <w:r>
        <w:rPr>
          <w:b/>
        </w:rPr>
        <w:t>DORLAMINE</w:t>
      </w:r>
      <w:r>
        <w:t xml:space="preserve"> (ALGERIAN GENERICS DEVELOPMENT PHARMA — AGD PHARMA)</w:t>
      </w:r>
    </w:p>
    <w:p>
      <w:pPr>
        <w:pStyle w:val="ListBullet"/>
      </w:pPr>
      <w:r>
        <w:t>Formes et Dosages : Sirop 0,125 % (6,25 mg/5 mL) — Flacon de 200 mL</w:t>
      </w:r>
    </w:p>
    <w:p>
      <w:pPr>
        <w:pStyle w:val="ListBullet"/>
      </w:pPr>
      <w:r>
        <w:t>Statut : Actif (Liste II)</w:t>
      </w:r>
    </w:p>
    <w:p>
      <w:pPr>
        <w:pStyle w:val="ListBullet"/>
      </w:pPr>
      <w:r/>
      <w:r>
        <w:rPr>
          <w:b/>
        </w:rPr>
        <w:t>SULAMINE</w:t>
      </w:r>
      <w:r>
        <w:t xml:space="preserve"> (GROUPE SAIDAL)</w:t>
      </w:r>
    </w:p>
    <w:p>
      <w:pPr>
        <w:pStyle w:val="ListBullet"/>
      </w:pPr>
      <w:r>
        <w:t>Formes et Dosages : Sirop 0,125 % (6,25 mg/5 mL) — Flacon de 125 mL</w:t>
      </w:r>
    </w:p>
    <w:p>
      <w:pPr>
        <w:pStyle w:val="ListBullet"/>
      </w:pPr>
      <w:r>
        <w:t>Statut : Actif (Liste II)</w:t>
      </w:r>
    </w:p>
    <w:p>
      <w:pPr>
        <w:pStyle w:val="ListBullet"/>
      </w:pPr>
      <w:r/>
      <w:r>
        <w:rPr>
          <w:b/>
        </w:rPr>
        <w:t>DOMSTAL</w:t>
      </w:r>
      <w:r>
        <w:t xml:space="preserve"> (GROUPE SANTE)</w:t>
      </w:r>
    </w:p>
    <w:p>
      <w:pPr>
        <w:pStyle w:val="ListBullet"/>
      </w:pPr>
      <w:r>
        <w:t>Formes et Dosages : Sirop 6,25 mg/5 mL — Flacon de 100 mL</w:t>
      </w:r>
    </w:p>
    <w:p>
      <w:pPr>
        <w:pStyle w:val="ListBullet"/>
      </w:pPr>
      <w:r>
        <w:t xml:space="preserve">Statut : </w:t>
      </w:r>
      <w:r>
        <w:rPr>
          <w:b/>
        </w:rPr>
        <w:t>Non Renouvelable</w:t>
      </w:r>
      <w:r>
        <w:t xml:space="preserve"> (Liste II)</w:t>
      </w:r>
    </w:p>
    <w:p>
      <w:pPr>
        <w:pStyle w:val="ListBullet"/>
      </w:pPr>
      <w:r/>
      <w:r>
        <w:rPr>
          <w:b/>
        </w:rPr>
        <w:t>DONORMYL</w:t>
      </w:r>
      <w:r>
        <w:t xml:space="preserve"> : *princeps Sanofi — non commercialisé en Algérie (cp 15 mg)*</w:t>
      </w:r>
    </w:p>
    <w:p>
      <w:r/>
      <w:r>
        <w:rPr>
          <w:b/>
        </w:rPr>
        <w:t>Sous-classe et Mécanisme d'action :</w:t>
      </w:r>
      <w:r/>
    </w:p>
    <w:p>
      <w:pPr>
        <w:pStyle w:val="ListBullet"/>
      </w:pPr>
      <w:r>
        <w:t>Sous-classe : Antihistaminique H1 — 1re génération (éthanolamine).</w:t>
      </w:r>
    </w:p>
    <w:p>
      <w:pPr>
        <w:pStyle w:val="ListBullet"/>
      </w:pPr>
      <w:r>
        <w:t xml:space="preserve">Mécanisme d'action : </w:t>
      </w:r>
      <w:r>
        <w:rPr>
          <w:b/>
        </w:rPr>
        <w:t>Antihistaminiques H1</w:t>
      </w:r>
      <w:r>
        <w:t xml:space="preserve"> : antagoniste compétitif inverse du récepteur H1 (couplé Gq/11 → PLC → IP3 → Ca2+ → MLCK). La doxylamine traverse </w:t>
      </w:r>
      <w:r>
        <w:rPr>
          <w:b/>
        </w:rPr>
        <w:t>massivement la BBB</w:t>
      </w:r>
      <w:r>
        <w:t xml:space="preserve"> en raison de sa </w:t>
      </w:r>
      <w:r>
        <w:rPr>
          <w:b/>
        </w:rPr>
        <w:t>liposolubilité élevée</w:t>
      </w:r>
      <w:r>
        <w:t xml:space="preserve"> (structure éthanolamine). Elle se lie aux récepteurs H1 centraux : </w:t>
      </w:r>
      <w:r>
        <w:rPr>
          <w:b/>
        </w:rPr>
        <w:t>sédation marquée</w:t>
      </w:r>
      <w:r>
        <w:t xml:space="preserve"> (la plus marquée des antihistaminiques H1 disponibles en Algérie), </w:t>
      </w:r>
      <w:r>
        <w:rPr>
          <w:b/>
        </w:rPr>
        <w:t>antiémèse</w:t>
      </w:r>
      <w:r>
        <w:t xml:space="preserve"> (via H1 et 5-HT2A centraux). Elle a une </w:t>
      </w:r>
      <w:r>
        <w:rPr>
          <w:b/>
        </w:rPr>
        <w:t>affinité élevée pour les récepteurs muscariniques M1-M3</w:t>
      </w:r>
      <w:r>
        <w:t xml:space="preserve"> (effets atropiniques : sécheresse buccale, mydriase, rétention urinaire, tachycardie, troubles cognitifs — comparables à la prométhazine). Peu d'affinité pour les récepteurs α1-adrénergiques (pas d'hypotension orthostatique majeure). </w:t>
      </w:r>
      <w:r>
        <w:rPr>
          <w:b/>
        </w:rPr>
        <w:t>Pas d'allongement QTc significatif</w:t>
      </w:r>
      <w:r>
        <w:t xml:space="preserve"> aux doses recommandées (à l'inverse de l'hydroxyzine). La doxylamine bloque l'action de l'histamine sur les récepteurs H1 périphériques : </w:t>
      </w:r>
      <w:r>
        <w:rPr>
          <w:b/>
        </w:rPr>
        <w:t>vasodilatation</w:t>
      </w:r>
      <w:r>
        <w:t xml:space="preserve"> réduite, </w:t>
      </w:r>
      <w:r>
        <w:rPr>
          <w:b/>
        </w:rPr>
        <w:t>perméabilité capillaire</w:t>
      </w:r>
      <w:r>
        <w:t xml:space="preserve"> diminuée, </w:t>
      </w:r>
      <w:r>
        <w:rPr>
          <w:b/>
        </w:rPr>
        <w:t>bronchoconstriction</w:t>
      </w:r>
      <w:r>
        <w:t xml:space="preserve"> atténuée, </w:t>
      </w:r>
      <w:r>
        <w:rPr>
          <w:b/>
        </w:rPr>
        <w:t>prurit et éternuements</w:t>
      </w:r>
      <w:r>
        <w:t xml:space="preserve"> réduits.</w:t>
      </w:r>
    </w:p>
    <w:p>
      <w:r/>
      <w:r>
        <w:rPr>
          <w:b/>
        </w:rPr>
        <w:t>Profil Pharmacologique :</w:t>
      </w:r>
      <w:r/>
    </w:p>
    <w:p>
      <w:pPr>
        <w:pStyle w:val="ListBullet"/>
      </w:pPr>
      <w:r/>
      <w:r>
        <w:rPr>
          <w:b/>
        </w:rPr>
        <w:t>Indications</w:t>
      </w:r>
      <w:r>
        <w:t xml:space="preserve"> : (i) </w:t>
      </w:r>
      <w:r>
        <w:rPr>
          <w:b/>
        </w:rPr>
        <w:t>Insomnie occasionnelle</w:t>
      </w:r>
      <w:r>
        <w:t xml:space="preserve"> de l'adulte (25 mg au coucher — traitement court ≤ 5 jours en automédication, ≤ 2 semaines sur prescription médicale) ; (ii) </w:t>
      </w:r>
      <w:r>
        <w:rPr>
          <w:b/>
        </w:rPr>
        <w:t>Hyperemesis gravidarum</w:t>
      </w:r>
      <w:r>
        <w:t xml:space="preserve"> (vomissements incoercibles de la grossesse) — en association à la pyridoxine (XXX™ — non disponible en Algérie, mais la doxylamine seule à dose 10-20 mg peut être utilisée sous surveillance médicale stricte, après évaluation du rapport bénéfice/risque et information éclairée de la patiente ; le CRAT considère la doxylamine comme compatible avec la grossesse dans cette indication spécifique) ; (iii) </w:t>
      </w:r>
      <w:r>
        <w:rPr>
          <w:b/>
        </w:rPr>
        <w:t>Rhinite allergique et urticaire</w:t>
      </w:r>
      <w:r>
        <w:t xml:space="preserve"> (alternative aux 2e génération, en 2e intention — mais la doxylamine est rarement utilisée en cette indication en raison de sa sédation marquée).</w:t>
      </w:r>
    </w:p>
    <w:p>
      <w:pPr>
        <w:pStyle w:val="ListBullet"/>
      </w:pPr>
      <w:r/>
      <w:r>
        <w:rPr>
          <w:b/>
        </w:rPr>
        <w:t>Contre-indications</w:t>
      </w:r>
      <w:r>
        <w:t xml:space="preserve"> : hypersensibilité à la doxylamine ou aux éthanolamines ; </w:t>
      </w:r>
      <w:r>
        <w:rPr>
          <w:b/>
        </w:rPr>
        <w:t>glaucome à angle fermé</w:t>
      </w:r>
      <w:r>
        <w:t xml:space="preserve"> non traité (effet atropinique mydriatique) ; </w:t>
      </w:r>
      <w:r>
        <w:rPr>
          <w:b/>
        </w:rPr>
        <w:t>hypertrophie bénigne de la prostate</w:t>
      </w:r>
      <w:r>
        <w:t xml:space="preserve"> avec rétention urinaire (effet atropinique) ; </w:t>
      </w:r>
      <w:r>
        <w:rPr>
          <w:b/>
        </w:rPr>
        <w:t>myasthénie</w:t>
      </w:r>
      <w:r>
        <w:t xml:space="preserve"> (effet curarisant potentialisé) ; </w:t>
      </w:r>
      <w:r>
        <w:rPr>
          <w:b/>
        </w:rPr>
        <w:t>insuffisance hépatique sévère</w:t>
      </w:r>
      <w:r>
        <w:t xml:space="preserve"> ; </w:t>
      </w:r>
      <w:r>
        <w:rPr>
          <w:b/>
        </w:rPr>
        <w:t>insuffisance rénale sévère</w:t>
      </w:r>
      <w:r>
        <w:t xml:space="preserve"> ; épilepsie non contrôlée (abaissement du seuil épileptogène) ; </w:t>
      </w:r>
      <w:r>
        <w:rPr>
          <w:b/>
        </w:rPr>
        <w:t>association aux IMAO</w:t>
      </w:r>
      <w:r>
        <w:t xml:space="preserve"> (CI absolue — wash-out 14 jours) ; </w:t>
      </w:r>
      <w:r>
        <w:rPr>
          <w:b/>
        </w:rPr>
        <w:t>allaitement</w:t>
      </w:r>
      <w:r>
        <w:t xml:space="preserve"> (passage dans le lait maternel) ; </w:t>
      </w:r>
      <w:r>
        <w:rPr>
          <w:b/>
        </w:rPr>
        <w:t>enfant &lt; 6 ans</w:t>
      </w:r>
      <w:r>
        <w:t xml:space="preserve"> par prudence (effet sédatif marqué).</w:t>
      </w:r>
    </w:p>
    <w:p>
      <w:pPr>
        <w:pStyle w:val="ListBullet"/>
      </w:pPr>
      <w:r/>
      <w:r>
        <w:rPr>
          <w:b/>
        </w:rPr>
        <w:t>Effets Indésirables</w:t>
      </w:r>
      <w:r>
        <w:t xml:space="preserve"> : nombreux et fréquents, en raison de la sédation marquée. EI très fréquents (≥ 1/10) : </w:t>
      </w:r>
      <w:r>
        <w:rPr>
          <w:b/>
        </w:rPr>
        <w:t>sédation marquée</w:t>
      </w:r>
      <w:r>
        <w:t xml:space="preserve"> (somnolence profonde, asthénie — effet dose-dépendant, persistant le lendemain matin — effet « gueule de bois »), </w:t>
      </w:r>
      <w:r>
        <w:rPr>
          <w:b/>
        </w:rPr>
        <w:t>sécheresse buccale</w:t>
      </w:r>
      <w:r>
        <w:t xml:space="preserve">. EI fréquents (≥ 1/100 à &lt; 1/10) : céphalées, étourdissements, vertiges, troubles de l'accommodation, mydriase, constipation, nausées, rétention urinaire (homme âgé), tachycardie. EI peu fréquents : tremblements, confusion (sujet âgé), troubles de la mémoire, altération des performances psychomotrices, rash, urticaire paradoxale, photosensibilité. EI rares : convulsions (à dose élevée, en particulier enfant), agitation paradoxale (enfant), anaphylaxie, anomalies biologiques hépatiques. EI très rares : syndrome malin des antipsychotiques (à dose très élevée — exceptionnel), agranulocytose (exceptionnel). </w:t>
      </w:r>
      <w:r>
        <w:rPr>
          <w:b/>
        </w:rPr>
        <w:t>Effet anticholinergique cumulatif</w:t>
      </w:r>
      <w:r>
        <w:t xml:space="preserve"> chez le sujet âgé (risque de chute, confusion, délire, fécalome, rétention aiguë d'urine) — la doxylamine figure sur la </w:t>
      </w:r>
      <w:r>
        <w:rPr>
          <w:b/>
        </w:rPr>
        <w:t>liste de Beers</w:t>
      </w:r>
      <w:r>
        <w:t xml:space="preserve"> des médicaments potentiellement inappropriés chez le sujet âgé.</w:t>
      </w:r>
    </w:p>
    <w:p>
      <w:r/>
      <w:r>
        <w:rPr>
          <w:b/>
        </w:rPr>
        <w:t>Prévention et Gestion des Effets Indésirables :</w:t>
      </w:r>
      <w:r/>
    </w:p>
    <w:p>
      <w:pPr>
        <w:pStyle w:val="ListBullet"/>
      </w:pPr>
      <w:r/>
      <w:r>
        <w:rPr>
          <w:b/>
        </w:rPr>
        <w:t>Mesures Préventives</w:t>
      </w:r>
      <w:r>
        <w:t xml:space="preserve"> : prescription </w:t>
      </w:r>
      <w:r>
        <w:rPr>
          <w:b/>
        </w:rPr>
        <w:t>sur ordonnance Liste II</w:t>
      </w:r>
      <w:r>
        <w:t xml:space="preserve"> en Algérie. Avertir le patient du risque de somnolence marquée et de la nécessité de ne pas conduire pendant le traitement et le lendemain matin (effet « gueule de bois »). Éviter l'association à l'alcool et aux dépresseurs du SNC. Surveiller l'apparition d'effets anticholinergiques chez le sujet âgé (sécheresse buccale, rétention urinaire, confusion). Chez la femme enceinte : utilisable dans l'hyperemesis gravidarum sous surveillance médicale stricte. Adapter la dose en cas d'insuffisance hépatique ou rénale. </w:t>
      </w:r>
      <w:r>
        <w:rPr>
          <w:b/>
        </w:rPr>
        <w:t>Durée de traitement limitée</w:t>
      </w:r>
      <w:r>
        <w:t xml:space="preserve"> (≤ 5 jours en automédication pour l'insomnie).</w:t>
      </w:r>
    </w:p>
    <w:p>
      <w:pPr>
        <w:pStyle w:val="ListBullet"/>
      </w:pPr>
      <w:r/>
      <w:r>
        <w:rPr>
          <w:b/>
        </w:rPr>
        <w:t>Conduite à Tenir</w:t>
      </w:r>
      <w:r>
        <w:t xml:space="preserve"> : en cas de </w:t>
      </w:r>
      <w:r>
        <w:rPr>
          <w:b/>
        </w:rPr>
        <w:t>somnolence marquée persistante le lendemain matin</w:t>
      </w:r>
      <w:r>
        <w:t xml:space="preserve"> : réduire la dose ou arrêter. En cas de </w:t>
      </w:r>
      <w:r>
        <w:rPr>
          <w:b/>
        </w:rPr>
        <w:t>confusion, agitation paradoxale</w:t>
      </w:r>
      <w:r>
        <w:t xml:space="preserve"> (sujet âgé, enfant) : arrêt immédiat. En cas de </w:t>
      </w:r>
      <w:r>
        <w:rPr>
          <w:b/>
        </w:rPr>
        <w:t>rétention urinaire aiguë</w:t>
      </w:r>
      <w:r>
        <w:t xml:space="preserve"> (homme âgé) : arrêt, sondage vésical temporaire. En cas de </w:t>
      </w:r>
      <w:r>
        <w:rPr>
          <w:b/>
        </w:rPr>
        <w:t>crise de glaucome aigu</w:t>
      </w:r>
      <w:r>
        <w:t xml:space="preserve"> : arrêt, urgence ophtalmologique. En cas de surdosage (≥ 50 mg chez l'adulte) : lavage gastrique si &lt; 1 h, charbon activé, surveillance neurologique (sédation profonde, convulsions), surveillance ECG (allongement QTc exceptionnel), traitement symptomatique. La doxylamine n'est pas dialysable.</w:t>
      </w:r>
    </w:p>
    <w:p>
      <w:r/>
      <w:r>
        <w:rPr>
          <w:b/>
        </w:rPr>
        <w:t>Interactions Importantes :</w:t>
      </w:r>
      <w:r/>
    </w:p>
    <w:p>
      <w:pPr>
        <w:pStyle w:val="ListBullet"/>
      </w:pPr>
      <w:r/>
      <w:r>
        <w:rPr>
          <w:b/>
        </w:rPr>
        <w:t>Doxylamine + alcool</w:t>
      </w:r>
      <w:r>
        <w:t xml:space="preserve"> : </w:t>
      </w:r>
      <w:r>
        <w:rPr>
          <w:b/>
        </w:rPr>
        <w:t>potentialisation majeure de la sédation</w:t>
      </w:r>
      <w:r>
        <w:t xml:space="preserve"> — éviter absolument.</w:t>
      </w:r>
    </w:p>
    <w:p>
      <w:pPr>
        <w:pStyle w:val="ListBullet"/>
      </w:pPr>
      <w:r/>
      <w:r>
        <w:rPr>
          <w:b/>
        </w:rPr>
        <w:t>Doxylamine + dépresseurs du SNC</w:t>
      </w:r>
      <w:r>
        <w:t xml:space="preserve"> (benzodiazépines, opioïdes, barbituriques, autres antihistaminiques H1 sédatifs, neuroleptiques, antidépresseurs sédatifs) : sédation additive, risque de dépression respiratoire.</w:t>
      </w:r>
    </w:p>
    <w:p>
      <w:pPr>
        <w:pStyle w:val="ListBullet"/>
      </w:pPr>
      <w:r/>
      <w:r>
        <w:rPr>
          <w:b/>
        </w:rPr>
        <w:t>Doxylamine + IMAO</w:t>
      </w:r>
      <w:r>
        <w:t xml:space="preserve"> : </w:t>
      </w:r>
      <w:r>
        <w:rPr>
          <w:b/>
        </w:rPr>
        <w:t>potentialisation des effets anticholinergiques et cardiovasculaires</w:t>
      </w:r>
      <w:r>
        <w:t xml:space="preserve"> (hypertension paroxystique, hyperthermie, coma) — CI absolue. Respecter un wash-out de 14 jours.</w:t>
      </w:r>
    </w:p>
    <w:p>
      <w:pPr>
        <w:pStyle w:val="ListBullet"/>
      </w:pPr>
      <w:r/>
      <w:r>
        <w:rPr>
          <w:b/>
        </w:rPr>
        <w:t>Doxylamine + atropiniques</w:t>
      </w:r>
      <w:r>
        <w:t xml:space="preserve"> (autres antihistaminiques 1re génération, antidépresseurs tricycliques, antiparkinsoniens anticholinergiques, antispasmodiques) : potentialisation des effets atropiniques.</w:t>
      </w:r>
    </w:p>
    <w:p>
      <w:pPr>
        <w:pStyle w:val="ListBullet"/>
      </w:pPr>
      <w:r/>
      <w:r>
        <w:rPr>
          <w:b/>
        </w:rPr>
        <w:t>Doxylamine + inhibiteurs CYP2D6</w:t>
      </w:r>
      <w:r>
        <w:t xml:space="preserve"> (paroxétine, fluoxétine, bupropion, quinidine) : augmentation des concentrations de doxylamine — surveiller EI.</w:t>
      </w:r>
    </w:p>
    <w:p>
      <w:pPr>
        <w:pStyle w:val="ListBullet"/>
      </w:pPr>
      <w:r/>
      <w:r>
        <w:rPr>
          <w:b/>
        </w:rPr>
        <w:t>Doxylamine + métoclopramide</w:t>
      </w:r>
      <w:r>
        <w:t xml:space="preserve"> : potentialisation des effets extrapyramidaux et sédatifs.</w:t>
      </w:r>
    </w:p>
    <w:p>
      <w:r/>
      <w:r>
        <w:rPr>
          <w:b/>
        </w:rPr>
        <w:t>Grossesse et Allaitement :</w:t>
      </w:r>
      <w:r/>
    </w:p>
    <w:p>
      <w:pPr>
        <w:pStyle w:val="ListBullet"/>
      </w:pPr>
      <w:r/>
      <w:r>
        <w:rPr>
          <w:b/>
        </w:rPr>
        <w:t>Grossesse</w:t>
      </w:r>
      <w:r>
        <w:t xml:space="preserve"> : selon le </w:t>
      </w:r>
      <w:r>
        <w:rPr>
          <w:b/>
        </w:rPr>
        <w:t>CRAT</w:t>
      </w:r>
      <w:r>
        <w:t xml:space="preserve">, la doxylamine est </w:t>
      </w:r>
      <w:r>
        <w:rPr>
          <w:b/>
        </w:rPr>
        <w:t>compatible avec la grossesse</w:t>
      </w:r>
      <w:r>
        <w:t xml:space="preserve"> dans l'indication spécifique de l'</w:t>
      </w:r>
      <w:r>
        <w:rPr>
          <w:b/>
        </w:rPr>
        <w:t>hyperemesis gravidarum</w:t>
      </w:r>
      <w:r>
        <w:t xml:space="preserve"> (vomissements incoercibles de la grossesse), en association à la pyridoxine (vitamine B6), à dose 10-20 mg + pyridoxine 10-20 mg, en raison de données de pharmacovigilance très rassurantes (aucune augmentation du risque de malformations sur plusieurs centaines de milliers de grossesses exposées — études observationnelles américaines Dacus 2003 et dépendances européennes). Pour les autres indications (insomnie, allergies), la doxylamine est </w:t>
      </w:r>
      <w:r>
        <w:rPr>
          <w:b/>
        </w:rPr>
        <w:t>déconseillée pendant la grossesse</w:t>
      </w:r>
      <w:r>
        <w:t xml:space="preserve"> par prudence (en raison de sa sédation marquée et de ses effets anticholinergiques). En pratique, lui préférer la </w:t>
      </w:r>
      <w:r>
        <w:rPr>
          <w:b/>
        </w:rPr>
        <w:t>loratadine</w:t>
      </w:r>
      <w:r>
        <w:t xml:space="preserve"> ou la </w:t>
      </w:r>
      <w:r>
        <w:rPr>
          <w:b/>
        </w:rPr>
        <w:t>cétirizine</w:t>
      </w:r>
      <w:r>
        <w:t xml:space="preserve"> (2e génération compatibles) en cas de rhinite allergique ou d'urticaire pendant la grossesse. Pour l'insomnie pendant la grossesse, préférer les mesures non-médicamenteuses (hygiène du sommeil, mélatonine en 2e intention).</w:t>
      </w:r>
    </w:p>
    <w:p>
      <w:pPr>
        <w:pStyle w:val="ListBullet"/>
      </w:pPr>
      <w:r/>
      <w:r>
        <w:rPr>
          <w:b/>
        </w:rPr>
        <w:t>Allaitement</w:t>
      </w:r>
      <w:r>
        <w:t xml:space="preserve"> : selon le CRAT et LactMed, la doxylamine passe dans le lait maternel (rapport lait/plasma ~0,5). </w:t>
      </w:r>
      <w:r>
        <w:rPr>
          <w:b/>
        </w:rPr>
        <w:t>Allaitement déconseillé</w:t>
      </w:r>
      <w:r>
        <w:t xml:space="preserve"> par prudence (risque de sédation et de troubles de la succion chez le nourrisson). Alternative : loratadine ou fexofénadine (compatibles).</w:t>
      </w:r>
    </w:p>
    <w:p>
      <w:pPr>
        <w:pStyle w:val="ListBullet"/>
      </w:pPr>
      <w:r/>
      <w:r>
        <w:rPr>
          <w:b/>
        </w:rPr>
        <w:t>Précisions</w:t>
      </w:r>
      <w:r>
        <w:t xml:space="preserve"> : la doxylamine est l'un des rares médicaments considérés comme compatibles avec la grossesse dans l'hyperemesis gravidarum ; ne pas extrapoler cette compatibilité à d'autres indications ou à d'autres antihistaminiques 1re génération.</w:t>
      </w:r>
    </w:p>
    <w:p>
      <w:r/>
      <w:r>
        <w:rPr>
          <w:b/>
        </w:rPr>
        <w:t>Posologie et Mode d'administration (Standard) :</w:t>
      </w:r>
      <w:r/>
    </w:p>
    <w:p>
      <w:pPr>
        <w:pStyle w:val="ListBullet"/>
      </w:pPr>
      <w:r/>
      <w:r>
        <w:rPr>
          <w:b/>
        </w:rPr>
        <w:t>Adulte</w:t>
      </w:r>
      <w:r>
        <w:t xml:space="preserve"> :</w:t>
      </w:r>
    </w:p>
    <w:p>
      <w:pPr>
        <w:pStyle w:val="ListBullet"/>
      </w:pPr>
      <w:r>
        <w:t xml:space="preserve">Insomnie occasionnelle : </w:t>
      </w:r>
      <w:r>
        <w:rPr>
          <w:b/>
        </w:rPr>
        <w:t>25 mg au coucher</w:t>
      </w:r>
      <w:r>
        <w:t xml:space="preserve"> (soit 20 mL de sirop 6,25 mg/5 mL). Dose maximale : 25 mg/jour. Traitement court ≤ 5 jours en automédication, ≤ 2 semaines sur prescription médicale.</w:t>
      </w:r>
    </w:p>
    <w:p>
      <w:pPr>
        <w:pStyle w:val="ListBullet"/>
      </w:pPr>
      <w:r>
        <w:t>Hyperemesis gravidarum : 10-20 mg au coucher + pyridoxine 10-20 mg (association XXX™ — non disponible en Algérie, mais la doxylamine seule à dose 10-20 mg peut être utilisée sous surveillance médicale stricte).</w:t>
      </w:r>
    </w:p>
    <w:p>
      <w:pPr>
        <w:pStyle w:val="ListBullet"/>
      </w:pPr>
      <w:r>
        <w:t>Rhinite allergique / urticaire : 12,5 à 25 mg/jour (rarement utilisée en cette indication).</w:t>
      </w:r>
    </w:p>
    <w:p>
      <w:pPr>
        <w:pStyle w:val="ListBullet"/>
      </w:pPr>
      <w:r/>
      <w:r>
        <w:rPr>
          <w:b/>
        </w:rPr>
        <w:t>Enfant &gt; 6 ans</w:t>
      </w:r>
      <w:r>
        <w:t xml:space="preserve"> : sirop à dose réduite (0,5 mg/kg/jour en plusieurs prises) — à éviter par prudence en raison de la sédation marquée.</w:t>
      </w:r>
    </w:p>
    <w:p>
      <w:pPr>
        <w:pStyle w:val="ListBullet"/>
      </w:pPr>
      <w:r/>
      <w:r>
        <w:rPr>
          <w:b/>
        </w:rPr>
        <w:t>Enfant &lt; 6 ans</w:t>
      </w:r>
      <w:r>
        <w:t xml:space="preserve"> : à éviter par prudence.</w:t>
      </w:r>
    </w:p>
    <w:p>
      <w:pPr>
        <w:pStyle w:val="ListBullet"/>
      </w:pPr>
      <w:r/>
      <w:r>
        <w:rPr>
          <w:b/>
        </w:rPr>
        <w:t>Sujet âgé (&gt; 65 ans)</w:t>
      </w:r>
      <w:r>
        <w:t xml:space="preserve"> : </w:t>
      </w:r>
      <w:r>
        <w:rPr>
          <w:b/>
        </w:rPr>
        <w:t>dose initiale réduite à 12,5 mg/jour</w:t>
      </w:r>
      <w:r>
        <w:t xml:space="preserve"> (moitié de la dose adulte), augmentation progressive selon tolérance. Dose maximale : 12,5 mg/jour. Liste de Beers — à éviter si possible.</w:t>
      </w:r>
    </w:p>
    <w:p>
      <w:pPr>
        <w:pStyle w:val="ListBullet"/>
      </w:pPr>
      <w:r/>
      <w:r>
        <w:rPr>
          <w:b/>
        </w:rPr>
        <w:t>Insuffisance rénale</w:t>
      </w:r>
      <w:r>
        <w:t xml:space="preserve"> : adapter à 50 % de la dose standard.</w:t>
      </w:r>
    </w:p>
    <w:p>
      <w:pPr>
        <w:pStyle w:val="ListBullet"/>
      </w:pPr>
      <w:r/>
      <w:r>
        <w:rPr>
          <w:b/>
        </w:rPr>
        <w:t>Insuffisance hépatique</w:t>
      </w:r>
      <w:r>
        <w:t xml:space="preserve"> : Child-Pugh C : éviter.</w:t>
      </w:r>
    </w:p>
    <w:p>
      <w:pPr>
        <w:pStyle w:val="ListBullet"/>
      </w:pPr>
      <w:r/>
      <w:r>
        <w:rPr>
          <w:b/>
        </w:rPr>
        <w:t>Durée</w:t>
      </w:r>
      <w:r>
        <w:t xml:space="preserve"> : insomnie : traitement court ≤ 5 jours (automédication) ou ≤ 2 semaines (prescription médicale) ; hyperemesis gravidarum : selon évolution clinique.</w:t>
      </w:r>
    </w:p>
    <w:p>
      <w:pPr>
        <w:pStyle w:val="ListBullet"/>
      </w:pPr>
      <w:r/>
      <w:r>
        <w:rPr>
          <w:b/>
        </w:rPr>
        <w:t>Moment de la prise</w:t>
      </w:r>
      <w:r>
        <w:t xml:space="preserve"> : insomnie : au coucher, 30 minutes avant le coucher. Ne pas prendre en journée en raison de la sédation marquée.</w:t>
      </w:r>
    </w:p>
    <w:p>
      <w:r/>
      <w:r>
        <w:rPr>
          <w:b/>
        </w:rPr>
        <w:t>Arbitrage et Bénéfices des Formes Galéniques :</w:t>
      </w:r>
      <w:r/>
    </w:p>
    <w:p>
      <w:pPr>
        <w:pStyle w:val="ListBullet"/>
      </w:pPr>
      <w:r/>
      <w:r>
        <w:rPr>
          <w:b/>
        </w:rPr>
        <w:t>Sirop 6,25 mg/5 mL</w:t>
      </w:r>
      <w:r>
        <w:t xml:space="preserve"> (2 marques actives) : seule forme disponible en Algérie. Pratique pour adapter la dose (25 mg = 20 mL pour insomnie adulte ; 12,5 mg = 10 mL pour sujet âgé ou demi-dose). Flacon de 125 ou 200 mL selon les marques.</w:t>
      </w:r>
    </w:p>
    <w:p>
      <w:pPr>
        <w:pStyle w:val="ListBullet"/>
      </w:pPr>
      <w:r/>
      <w:r>
        <w:rPr>
          <w:b/>
        </w:rPr>
        <w:t>Comprimé 15 mg</w:t>
      </w:r>
      <w:r>
        <w:t xml:space="preserve"> (DONORMYL princeps — non disponible en Algérie) : forme classique de l'insomnie en France, non accessible en Algérie.</w:t>
      </w:r>
    </w:p>
    <w:p>
      <w:pPr>
        <w:pStyle w:val="ListBullet"/>
      </w:pPr>
      <w:r/>
      <w:r>
        <w:rPr>
          <w:b/>
        </w:rPr>
        <w:t>Forme injectable</w:t>
      </w:r>
      <w:r>
        <w:t xml:space="preserve"> : non disponible.</w:t>
      </w:r>
    </w:p>
    <w:p>
      <w:pPr>
        <w:pStyle w:val="ListBullet"/>
      </w:pPr>
      <w:r/>
      <w:r>
        <w:rPr>
          <w:b/>
        </w:rPr>
        <w:t>Forme pédiatrique</w:t>
      </w:r>
      <w:r>
        <w:t xml:space="preserve"> : non disponible en Algérie (sirop uniquement, à dose adulte).</w:t>
      </w:r>
    </w:p>
    <w:p>
      <w:r/>
      <w:r>
        <w:rPr>
          <w:b/>
        </w:rPr>
        <w:t>Instructions et Conseils au Patient :</w:t>
      </w:r>
      <w:r/>
    </w:p>
    <w:p>
      <w:pPr>
        <w:pStyle w:val="ListBullet"/>
      </w:pPr>
      <w:r/>
      <w:r>
        <w:rPr>
          <w:b/>
        </w:rPr>
        <w:t>Communication au comptoir</w:t>
      </w:r>
      <w:r>
        <w:t xml:space="preserve"> : « *Ce médicament est un somnifère antihistaminique utilisé en automédication pour l'insomnie occasionnelle. Prenez-le au coucher, 30 minutes avant de dormir. La somnolence peut persister le lendemain matin — ne pas conduire ni utiliser de machines le lendemain. Évitez absolument l'alcool. Ne pas dépasser 5 jours d'utilisation sans avis médical — le risque de dépendance et de tolérance existe. Chez la femme enceinte, ce médicament peut être utilisé pour les vomissements graves de la grossesse (hyperemesis gravidarum), mais seulement sous surveillance médicale stricte.* »</w:t>
      </w:r>
    </w:p>
    <w:p>
      <w:pPr>
        <w:pStyle w:val="ListBullet"/>
      </w:pPr>
      <w:r/>
      <w:r>
        <w:rPr>
          <w:b/>
        </w:rPr>
        <w:t>Mode d'utilisation pratique</w:t>
      </w:r>
      <w:r>
        <w:t xml:space="preserve"> : sirop : agiter avant emploi, utiliser la cuillère-mesure ou le gobelet doseur fourni (Attention : 25 mg = 20 mL de sirop). Prendre au coucher, 30 minutes avant de dormir. En cas d'oubli : ne pas prendre de dose double. Conservation : température &lt; 25 °C, à l'abri de la lumière ; bien refermer le flacon après usage. Ne pas dépasser 5 jours d'automédication sans avis médical. En cas de somnolence diurne persistante, de confusion, de palpitations, de malaises : arrêter le traitement et consulter un médecin.</w:t>
      </w:r>
    </w:p>
    <w:p>
      <w:r/>
      <w:r>
        <w:rPr>
          <w:b/>
        </w:rPr>
        <w:t>Notes, Règles d'Or &amp; Pièges au Comptoir :</w:t>
      </w:r>
      <w:r/>
    </w:p>
    <w:p>
      <w:pPr>
        <w:pStyle w:val="ListBullet"/>
      </w:pPr>
      <w:r/>
      <w:r>
        <w:rPr>
          <w:b/>
        </w:rPr>
        <w:t>Piège classique</w:t>
      </w:r>
      <w:r>
        <w:t xml:space="preserve"> : </w:t>
      </w:r>
      <w:r>
        <w:rPr>
          <w:b/>
        </w:rPr>
        <w:t>somnolence persistante le lendemain matin</w:t>
      </w:r>
      <w:r>
        <w:t xml:space="preserve"> (effet « gueule de bois » — demi-vie longue de 10-12 heures) — ne pas conduire ni utiliser de machines le lendemain. </w:t>
      </w:r>
      <w:r>
        <w:rPr>
          <w:b/>
        </w:rPr>
        <w:t>Hypertrophie bénigne de la prostate</w:t>
      </w:r>
      <w:r>
        <w:t xml:space="preserve"> : risque de rétention aiguë d'urine. </w:t>
      </w:r>
      <w:r>
        <w:rPr>
          <w:b/>
        </w:rPr>
        <w:t>Glaucome à angle fermé</w:t>
      </w:r>
      <w:r>
        <w:t xml:space="preserve"> : risque de crise aiguë. </w:t>
      </w:r>
      <w:r>
        <w:rPr>
          <w:b/>
        </w:rPr>
        <w:t>Sujet âgé</w:t>
      </w:r>
      <w:r>
        <w:t xml:space="preserve"> : effet anticholinergique cumulatif (risque de chute, confusion, fécalome) — liste de Beers ; à éviter si possible. </w:t>
      </w:r>
      <w:r>
        <w:rPr>
          <w:b/>
        </w:rPr>
        <w:t>Durée de traitement limitée</w:t>
      </w:r>
      <w:r>
        <w:t xml:space="preserve"> : ≤ 5 jours en automédication pour l'insomnie — le risque de tolérance (perte d'efficacité) et de dépendance psychologique existe au-delà de 2 semaines. </w:t>
      </w:r>
      <w:r>
        <w:rPr>
          <w:b/>
        </w:rPr>
        <w:t>Hyperemesis gravidarum</w:t>
      </w:r>
      <w:r>
        <w:t xml:space="preserve"> : à ne prescrire que dans cette indication spécifique, sous surveillance médicale stricte, après information éclairée de la patiente. </w:t>
      </w:r>
      <w:r>
        <w:rPr>
          <w:b/>
        </w:rPr>
        <w:t>Substitution doxylamine → 2e génération</w:t>
      </w:r>
      <w:r>
        <w:t xml:space="preserve"> : alternative de choix pour la rhinite allergique (sans effet central, sans effets atropiniques). </w:t>
      </w:r>
      <w:r>
        <w:rPr>
          <w:b/>
        </w:rPr>
        <w:t>Substitution doxylamine → mélatonine</w:t>
      </w:r>
      <w:r>
        <w:t xml:space="preserve"> : alternative non-médicamenteuse pour l'insomnie (Circadin™ — non disponible en Algérie).</w:t>
      </w:r>
    </w:p>
    <w:p>
      <w:pPr>
        <w:pStyle w:val="ListBullet"/>
      </w:pPr>
      <w:r/>
      <w:r>
        <w:rPr>
          <w:b/>
        </w:rPr>
        <w:t>Règle de prise</w:t>
      </w:r>
      <w:r>
        <w:t xml:space="preserve"> : au coucher, 30 minutes avant de dormir. Pas d'alcool. Pas de double dose en cas d'oubli.</w:t>
      </w:r>
    </w:p>
    <w:p>
      <w:pPr>
        <w:pStyle w:val="ListBullet"/>
      </w:pPr>
      <w:r/>
      <w:r>
        <w:rPr>
          <w:b/>
        </w:rPr>
        <w:t>Préparation et Conservation</w:t>
      </w:r>
      <w:r>
        <w:t xml:space="preserve"> : sirop à température &lt; 25 °C, à l'abri de la lumière, bien refermer après usage ; ne pas congeler.</w:t>
      </w:r>
    </w:p>
    <w:p>
      <w:pPr>
        <w:pStyle w:val="ListBullet"/>
      </w:pPr>
      <w:r/>
      <w:r>
        <w:rPr>
          <w:b/>
        </w:rPr>
        <w:t>Piège du surdosage / Substitution</w:t>
      </w:r>
      <w:r>
        <w:t xml:space="preserve"> : </w:t>
      </w:r>
      <w:r>
        <w:rPr>
          <w:b/>
        </w:rPr>
        <w:t>surdosage</w:t>
      </w:r>
      <w:r>
        <w:t xml:space="preserve"> (≥ 50 mg) : lavage gastrique si &lt; 1 h, charbon activé, surveillance neurologique (convulsions, sédation profonde), surveillance ECG, traitement symptomatique. </w:t>
      </w:r>
      <w:r>
        <w:rPr>
          <w:b/>
        </w:rPr>
        <w:t>Substitution doxylamine → loratadine ou cétirizine</w:t>
      </w:r>
      <w:r>
        <w:t xml:space="preserve"> : alternative de choix pour les indications allergiques (sans effet central, sans effets atropiniques).</w:t>
      </w:r>
    </w:p>
    <w:p>
      <w:pPr>
        <w:pStyle w:val="Heading2"/>
      </w:pPr>
      <w:r>
        <w:t>12. Introduction à la sous-classe des antihistaminiques H1 en associations rhume (décongestionnants)</w:t>
      </w:r>
    </w:p>
    <w:p>
      <w:r>
        <w:t xml:space="preserve">Les </w:t>
      </w:r>
      <w:r>
        <w:rPr>
          <w:b/>
        </w:rPr>
        <w:t>associations fixes antihistaminique H1 + décongestionnant</w:t>
      </w:r>
      <w:r>
        <w:t xml:space="preserve"> sont des spécialités pharmaceutiques combinant un antihistaminique H1 (le plus souvent de 1re génération, pour ses effets anticholinergiques complémentaires sur la rhinorrhée) avec un décongestionnant sympathomimétique (vasoconstricteur α1-adrénergique) pour le traitement symptomatique du </w:t>
      </w:r>
      <w:r>
        <w:rPr>
          <w:b/>
        </w:rPr>
        <w:t>rhume banal</w:t>
      </w:r>
      <w:r>
        <w:t xml:space="preserve"> (rhinite virale aiguë) chez l'adulte et l'enfant de plus de 12 ans (ou 15 ans selon les spécialités). Ces associations ont pour objectif de couvrir simultanément les </w:t>
      </w:r>
      <w:r>
        <w:rPr>
          <w:b/>
        </w:rPr>
        <w:t>trois symptômes cardinaux du rhume</w:t>
      </w:r>
      <w:r>
        <w:t xml:space="preserve"> : (i) l'</w:t>
      </w:r>
      <w:r>
        <w:rPr>
          <w:b/>
        </w:rPr>
        <w:t>éternuement</w:t>
      </w:r>
      <w:r>
        <w:t xml:space="preserve"> et le </w:t>
      </w:r>
      <w:r>
        <w:rPr>
          <w:b/>
        </w:rPr>
        <w:t>prurit nasal</w:t>
      </w:r>
      <w:r>
        <w:t xml:space="preserve"> (cible : antihistaminique H1), (ii) la </w:t>
      </w:r>
      <w:r>
        <w:rPr>
          <w:b/>
        </w:rPr>
        <w:t>rhinorrhée</w:t>
      </w:r>
      <w:r>
        <w:t xml:space="preserve"> (cible : antihistaminique H1 via effet anticholinergique), et (iii) l'</w:t>
      </w:r>
      <w:r>
        <w:rPr>
          <w:b/>
        </w:rPr>
        <w:t>obstruction nasale</w:t>
      </w:r>
      <w:r>
        <w:t xml:space="preserve"> (cible : décongestionnant vasoconstricteur α1).</w:t>
      </w:r>
    </w:p>
    <w:p>
      <w:pPr>
        <w:pStyle w:val="Heading3"/>
      </w:pPr>
      <w:r>
        <w:t>Composition et mécanismes</w:t>
      </w:r>
    </w:p>
    <w:p>
      <w:r>
        <w:t>Une association typique comprend :</w:t>
      </w:r>
    </w:p>
    <w:p>
      <w:pPr>
        <w:pStyle w:val="ListBullet"/>
      </w:pPr>
      <w:r/>
      <w:r>
        <w:rPr>
          <w:b/>
        </w:rPr>
        <w:t>Antihistaminique H1 de 1re génération</w:t>
      </w:r>
      <w:r>
        <w:t xml:space="preserve"> : le plus souvent la </w:t>
      </w:r>
      <w:r>
        <w:rPr>
          <w:b/>
        </w:rPr>
        <w:t>chlorphéniramine</w:t>
      </w:r>
      <w:r>
        <w:t xml:space="preserve"> (racémique ou lévo, 2 à 4 mg par gélule), la </w:t>
      </w:r>
      <w:r>
        <w:rPr>
          <w:b/>
        </w:rPr>
        <w:t>dexchlorphéniramine</w:t>
      </w:r>
      <w:r>
        <w:t xml:space="preserve"> (2 mg), ou la </w:t>
      </w:r>
      <w:r>
        <w:rPr>
          <w:b/>
        </w:rPr>
        <w:t>doxylamine</w:t>
      </w:r>
      <w:r>
        <w:t xml:space="preserve"> (5 mg). Ces antihistaminiques traversent la BBB (sédation) et ont des effets anticholinergiques (sécheresse des muqueuses — utile sur la rhinorrhée). La présence d'un antihistaminique 1re génération expose à la somnolence et aux effets atropiniques (sécheresse buccale, mydriase, rétention urinaire).</w:t>
      </w:r>
    </w:p>
    <w:p>
      <w:pPr>
        <w:pStyle w:val="ListBullet"/>
      </w:pPr>
      <w:r/>
      <w:r>
        <w:rPr>
          <w:b/>
        </w:rPr>
        <w:t>Décongestionnant sympathomimétique</w:t>
      </w:r>
      <w:r>
        <w:t xml:space="preserve"> : le plus souvent la </w:t>
      </w:r>
      <w:r>
        <w:rPr>
          <w:b/>
        </w:rPr>
        <w:t>phényléphrine</w:t>
      </w:r>
      <w:r>
        <w:t xml:space="preserve"> (5 à 10 mg par gélule) ou la </w:t>
      </w:r>
      <w:r>
        <w:rPr>
          <w:b/>
        </w:rPr>
        <w:t>pseudoéphrédrine</w:t>
      </w:r>
      <w:r>
        <w:t xml:space="preserve"> (30 à 60 mg — non disponible en Algérie en automédication). Ces vasoconstricteurs α1-adrénergiques réduisent l'œdème nasal et restaurent la perméabilité nasale. Ils exposent à des effets cardiovasculaires (hypertension, tachycardie, vasoconstriction systémique), à des effets centraux (insomnie, anxiété, agitation — surtout pour la pseudoéphrédrine qui traverse la BBB), et au risque de </w:t>
      </w:r>
      <w:r>
        <w:rPr>
          <w:b/>
        </w:rPr>
        <w:t>rebond</w:t>
      </w:r>
      <w:r>
        <w:t xml:space="preserve"> à l'arrêt (rhinite médicamenteuse si utilisation prolongée &gt; 7 jours en spray nasal — moins marqué en forme orale).</w:t>
      </w:r>
    </w:p>
    <w:p>
      <w:pPr>
        <w:pStyle w:val="ListBullet"/>
      </w:pPr>
      <w:r/>
      <w:r>
        <w:rPr>
          <w:b/>
        </w:rPr>
        <w:t>Antalgique-antipyrétique</w:t>
      </w:r>
      <w:r>
        <w:t xml:space="preserve"> (dans certaines spécialités) : paracétamol (250 à 500 mg) ou ibuprofène (200 mg), pour le traitement de la fièvre et des douleurs associées (céphalées, myalgies).</w:t>
      </w:r>
    </w:p>
    <w:p>
      <w:pPr>
        <w:pStyle w:val="ListBullet"/>
      </w:pPr>
      <w:r/>
      <w:r>
        <w:rPr>
          <w:b/>
        </w:rPr>
        <w:t>Anti-tussif</w:t>
      </w:r>
      <w:r>
        <w:t xml:space="preserve"> (dans certaines spécialités) : dextrométhorphane ou codéine (retirée en Algérie pour l'enfant &lt; 12 ans).</w:t>
      </w:r>
    </w:p>
    <w:p>
      <w:pPr>
        <w:pStyle w:val="Heading3"/>
      </w:pPr>
      <w:r>
        <w:t>Place dans la stratégie thérapeutique du rhume banal</w:t>
      </w:r>
    </w:p>
    <w:p>
      <w:r>
        <w:t xml:space="preserve">Selon les recommandations </w:t>
      </w:r>
      <w:r>
        <w:rPr>
          <w:b/>
        </w:rPr>
        <w:t>HAS 2018</w:t>
      </w:r>
      <w:r>
        <w:t xml:space="preserve"> (toux de l'adulte) et </w:t>
      </w:r>
      <w:r>
        <w:rPr>
          <w:b/>
        </w:rPr>
        <w:t>HAS 2014</w:t>
      </w:r>
      <w:r>
        <w:t xml:space="preserve"> (bronchiolite nourrisson), le rhume banal est une infection virale bénigne auto-limitée (durée médiane 7 à 10 jours), ne justifiant pas systématiquement d'un traitement pharmacologique. Les mesures non-médicamenteuses restent la pierre angulaire du traitement :</w:t>
      </w:r>
    </w:p>
    <w:p>
      <w:pPr>
        <w:pStyle w:val="ListBullet"/>
      </w:pPr>
      <w:r/>
      <w:r>
        <w:rPr>
          <w:b/>
        </w:rPr>
        <w:t>Hydratation</w:t>
      </w:r>
      <w:r>
        <w:t xml:space="preserve"> abondante (1,5-2 L/jour adulte).</w:t>
      </w:r>
    </w:p>
    <w:p>
      <w:pPr>
        <w:pStyle w:val="ListBullet"/>
      </w:pPr>
      <w:r/>
      <w:r>
        <w:rPr>
          <w:b/>
        </w:rPr>
        <w:t>Lavage nasal au sérum physiologique</w:t>
      </w:r>
      <w:r>
        <w:t xml:space="preserve"> (sérum salé isotonique, 3-6 fois/jour).</w:t>
      </w:r>
    </w:p>
    <w:p>
      <w:pPr>
        <w:pStyle w:val="ListBullet"/>
      </w:pPr>
      <w:r/>
      <w:r>
        <w:rPr>
          <w:b/>
        </w:rPr>
        <w:t>Repos</w:t>
      </w:r>
      <w:r>
        <w:t xml:space="preserve"> et arrêt du tabac.</w:t>
      </w:r>
    </w:p>
    <w:p>
      <w:pPr>
        <w:pStyle w:val="ListBullet"/>
      </w:pPr>
      <w:r/>
      <w:r>
        <w:rPr>
          <w:b/>
        </w:rPr>
        <w:t>Surélévation de la tête</w:t>
      </w:r>
      <w:r>
        <w:t xml:space="preserve"> (toux nocturne, obstruction nasale).</w:t>
      </w:r>
    </w:p>
    <w:p>
      <w:pPr>
        <w:pStyle w:val="ListBullet"/>
      </w:pPr>
      <w:r/>
      <w:r>
        <w:rPr>
          <w:b/>
        </w:rPr>
        <w:t>Humidification de l'air</w:t>
      </w:r>
      <w:r>
        <w:t xml:space="preserve"> (aérosol humide).</w:t>
      </w:r>
    </w:p>
    <w:p>
      <w:r>
        <w:t xml:space="preserve">Les associations fixes antihistaminique + décongestionnant peuvent être proposées en traitement </w:t>
      </w:r>
      <w:r>
        <w:rPr>
          <w:b/>
        </w:rPr>
        <w:t>court</w:t>
      </w:r>
      <w:r>
        <w:t xml:space="preserve"> (5 à 7 jours maximum) chez l'adulte en cas de symptômes marqués (rhinorrhée + obstruction nasale), en l'absence de contre-indications. Chez l'enfant &lt; 12 ans et chez le sujet âgé, elles sont </w:t>
      </w:r>
      <w:r>
        <w:rPr>
          <w:b/>
        </w:rPr>
        <w:t>déconseillées</w:t>
      </w:r>
      <w:r>
        <w:t xml:space="preserve"> en raison de la fréquence accrue des effets indésirables (sédation, anticholinergique, cardiovasculaire).</w:t>
      </w:r>
    </w:p>
    <w:p>
      <w:pPr>
        <w:pStyle w:val="Heading3"/>
      </w:pPr>
      <w:r>
        <w:t>Contre-indications et précautions</w:t>
      </w:r>
    </w:p>
    <w:p>
      <w:pPr>
        <w:pStyle w:val="ListBullet"/>
      </w:pPr>
      <w:r/>
      <w:r>
        <w:rPr>
          <w:b/>
        </w:rPr>
        <w:t>Hypertension artérielle non contrôlée</w:t>
      </w:r>
      <w:r>
        <w:t xml:space="preserve"> (vasoconstriction systémique).</w:t>
      </w:r>
    </w:p>
    <w:p>
      <w:pPr>
        <w:pStyle w:val="ListBullet"/>
      </w:pPr>
      <w:r/>
      <w:r>
        <w:rPr>
          <w:b/>
        </w:rPr>
        <w:t>Cardiopathies</w:t>
      </w:r>
      <w:r>
        <w:t xml:space="preserve"> (tachycardie, arythmies).</w:t>
      </w:r>
    </w:p>
    <w:p>
      <w:pPr>
        <w:pStyle w:val="ListBullet"/>
      </w:pPr>
      <w:r/>
      <w:r>
        <w:rPr>
          <w:b/>
        </w:rPr>
        <w:t>Hyperthyroïdie</w:t>
      </w:r>
      <w:r>
        <w:t xml:space="preserve"> (sensibilité aux sympathomimétiques).</w:t>
      </w:r>
    </w:p>
    <w:p>
      <w:pPr>
        <w:pStyle w:val="ListBullet"/>
      </w:pPr>
      <w:r/>
      <w:r>
        <w:rPr>
          <w:b/>
        </w:rPr>
        <w:t>Diabète déséquilibré</w:t>
      </w:r>
      <w:r>
        <w:t>.</w:t>
      </w:r>
    </w:p>
    <w:p>
      <w:pPr>
        <w:pStyle w:val="ListBullet"/>
      </w:pPr>
      <w:r/>
      <w:r>
        <w:rPr>
          <w:b/>
        </w:rPr>
        <w:t>Hypertrophie bénigne de la prostate</w:t>
      </w:r>
      <w:r>
        <w:t xml:space="preserve"> (effet atropinique).</w:t>
      </w:r>
    </w:p>
    <w:p>
      <w:pPr>
        <w:pStyle w:val="ListBullet"/>
      </w:pPr>
      <w:r/>
      <w:r>
        <w:rPr>
          <w:b/>
        </w:rPr>
        <w:t>Glaucome à angle fermé</w:t>
      </w:r>
      <w:r>
        <w:t xml:space="preserve"> (effet atropinique).</w:t>
      </w:r>
    </w:p>
    <w:p>
      <w:pPr>
        <w:pStyle w:val="ListBullet"/>
      </w:pPr>
      <w:r/>
      <w:r>
        <w:rPr>
          <w:b/>
        </w:rPr>
        <w:t>Insuffisance hépatique ou rénale sévère</w:t>
      </w:r>
      <w:r>
        <w:t>.</w:t>
      </w:r>
    </w:p>
    <w:p>
      <w:pPr>
        <w:pStyle w:val="ListBullet"/>
      </w:pPr>
      <w:r/>
      <w:r>
        <w:rPr>
          <w:b/>
        </w:rPr>
        <w:t>Grossesse et allaitement</w:t>
      </w:r>
      <w:r>
        <w:t>.</w:t>
      </w:r>
    </w:p>
    <w:p>
      <w:pPr>
        <w:pStyle w:val="ListBullet"/>
      </w:pPr>
      <w:r/>
      <w:r>
        <w:rPr>
          <w:b/>
        </w:rPr>
        <w:t>Enfant &lt; 12 ans</w:t>
      </w:r>
      <w:r>
        <w:t xml:space="preserve"> (selon les spécialités).</w:t>
      </w:r>
    </w:p>
    <w:p>
      <w:pPr>
        <w:pStyle w:val="ListBullet"/>
      </w:pPr>
      <w:r/>
      <w:r>
        <w:rPr>
          <w:b/>
        </w:rPr>
        <w:t>Sujets âgés &gt; 65 ans</w:t>
      </w:r>
      <w:r>
        <w:t xml:space="preserve"> (effet anticholinergique cumulatif, liste de Beers).</w:t>
      </w:r>
    </w:p>
    <w:p>
      <w:pPr>
        <w:pStyle w:val="ListBullet"/>
      </w:pPr>
      <w:r/>
      <w:r>
        <w:rPr>
          <w:b/>
        </w:rPr>
        <w:t>Association aux IMAO</w:t>
      </w:r>
      <w:r>
        <w:t xml:space="preserve"> (CI absolue — wash-out 14 jours).</w:t>
      </w:r>
    </w:p>
    <w:p>
      <w:pPr>
        <w:pStyle w:val="ListBullet"/>
      </w:pPr>
      <w:r/>
      <w:r>
        <w:rPr>
          <w:b/>
        </w:rPr>
        <w:t>Association à l'alcool</w:t>
      </w:r>
      <w:r>
        <w:t xml:space="preserve"> (potentialisation de la sédation).</w:t>
      </w:r>
    </w:p>
    <w:p>
      <w:pPr>
        <w:pStyle w:val="Heading3"/>
      </w:pPr>
      <w:r>
        <w:t>Spécialités disponibles en Algérie</w:t>
      </w:r>
    </w:p>
    <w:p>
      <w:r>
        <w:t>Une seule spécialité active en Avril 2026 :</w:t>
      </w:r>
    </w:p>
    <w:p>
      <w:pPr>
        <w:pStyle w:val="ListBullet"/>
      </w:pPr>
      <w:r/>
      <w:r>
        <w:rPr>
          <w:b/>
        </w:rPr>
        <w:t>GRIPEX</w:t>
      </w:r>
      <w:r>
        <w:t xml:space="preserve"> (PHARMALLIANCE) : phényléphrine 10 mg + chlorphéniramine 4 mg, gélule à microgranules LP, Liste I.</w:t>
      </w:r>
    </w:p>
    <w:p>
      <w:r>
        <w:t xml:space="preserve">La </w:t>
      </w:r>
      <w:r>
        <w:rPr>
          <w:b/>
        </w:rPr>
        <w:t>chlorphéniramine</w:t>
      </w:r>
      <w:r>
        <w:t xml:space="preserve"> est le racémique de la dexchlorphéniramine (cf. fiche 9.1) — à dose 4 mg par gélule (vs 2 mg pour la dexchlorphéniramine seule, en raison de l'énantiomère S seul actif). La </w:t>
      </w:r>
      <w:r>
        <w:rPr>
          <w:b/>
        </w:rPr>
        <w:t>phényléphrine</w:t>
      </w:r>
      <w:r>
        <w:t xml:space="preserve"> est un vasoconstricteur α1-adrénergique direct (sans effet β significatif), moins puissant que la pseudoéphrédrine mais aussi moins passage BBB (donc moins d'effets centraux). La forme LP (microgranules à libération prolongée) permet une couverture 12 heures avec une dose unique.</w:t>
      </w:r>
    </w:p>
    <w:p>
      <w:pPr>
        <w:pStyle w:val="Heading3"/>
      </w:pPr>
      <w:r>
        <w:t>DCI traitée</w:t>
      </w:r>
    </w:p>
    <w:p>
      <w:pPr>
        <w:pStyle w:val="ListNumber"/>
      </w:pPr>
      <w:r/>
      <w:r>
        <w:rPr>
          <w:b/>
        </w:rPr>
        <w:t>Phényléphrine + Chlorphéniramine</w:t>
      </w:r>
      <w:r>
        <w:t xml:space="preserve"> (association fixe — GRIPEX Pharmalliance)</w:t>
      </w:r>
    </w:p>
    <w:p>
      <w:pPr>
        <w:pStyle w:val="Heading2"/>
      </w:pPr>
      <w:r>
        <w:t>13. Fiche DCI — Antihistaminique H1 en association rhume</w:t>
      </w:r>
    </w:p>
    <w:p>
      <w:pPr>
        <w:pStyle w:val="Heading3"/>
      </w:pPr>
      <w:r>
        <w:t>13.1. DCI : Phényléphrine + Chlorphéniramine (En Association)</w:t>
      </w:r>
    </w:p>
    <w:p>
      <w:r/>
      <w:r>
        <w:rPr>
          <w:b/>
        </w:rPr>
        <w:t>Liste des Catégories :</w:t>
      </w:r>
      <w:r>
        <w:t xml:space="preserve"> Antihistaminique H1 (1re génération, alkylamine) + Décongestionnant sympathomimétique (α1-vasoconstricteur), Spécialité composée rhume, Anticoryza, Forme LP (microgranules), Liste I (prescription obligatoire), Automédication encadrée.</w:t>
      </w:r>
    </w:p>
    <w:p>
      <w:r>
        <w:t xml:space="preserve">L'association </w:t>
      </w:r>
      <w:r>
        <w:rPr>
          <w:b/>
        </w:rPr>
        <w:t>phényléphrine + chlorphéniramine</w:t>
      </w:r>
      <w:r>
        <w:t xml:space="preserve"> est commercialisée en Algérie sous une seule spécialité active en Avril 2026 : </w:t>
      </w:r>
      <w:r>
        <w:rPr>
          <w:b/>
        </w:rPr>
        <w:t>GRIPEX</w:t>
      </w:r>
      <w:r>
        <w:t xml:space="preserve"> (Pharmalliance), gélule à microgranules à libération prolongée dosée à 10 mg de phényléphrine (chlorhydrate) + 4 mg de chlorphéniramine (maléate), inscrite sur la </w:t>
      </w:r>
      <w:r>
        <w:rPr>
          <w:b/>
        </w:rPr>
        <w:t>Liste I</w:t>
      </w:r>
      <w:r>
        <w:t xml:space="preserve"> (prescription obligatoire). Cette association vise à couvrir simultanément les </w:t>
      </w:r>
      <w:r>
        <w:rPr>
          <w:b/>
        </w:rPr>
        <w:t>trois symptômes cardinaux du rhume banal</w:t>
      </w:r>
      <w:r>
        <w:t xml:space="preserve"> : (i) l'</w:t>
      </w:r>
      <w:r>
        <w:rPr>
          <w:b/>
        </w:rPr>
        <w:t>éternuement</w:t>
      </w:r>
      <w:r>
        <w:t xml:space="preserve"> et le </w:t>
      </w:r>
      <w:r>
        <w:rPr>
          <w:b/>
        </w:rPr>
        <w:t>prurit nasal</w:t>
      </w:r>
      <w:r>
        <w:t xml:space="preserve"> (cible : chlorphéniramine — antihistaminique H1), (ii) la </w:t>
      </w:r>
      <w:r>
        <w:rPr>
          <w:b/>
        </w:rPr>
        <w:t>rhinorrhée</w:t>
      </w:r>
      <w:r>
        <w:t xml:space="preserve"> (cible : chlorphéniramine via effet anticholinergique atropinique), et (iii) l'</w:t>
      </w:r>
      <w:r>
        <w:rPr>
          <w:b/>
        </w:rPr>
        <w:t>obstruction nasale</w:t>
      </w:r>
      <w:r>
        <w:t xml:space="preserve"> (cible : phényléphrine — vasoconstricteur α1-adrénergique). La </w:t>
      </w:r>
      <w:r>
        <w:rPr>
          <w:b/>
        </w:rPr>
        <w:t>chlorphéniramine</w:t>
      </w:r>
      <w:r>
        <w:t xml:space="preserve"> est le racémique de la dexchlorphéniramine (cf. fiche 9.1) — l'énantiomère S est actif (dexchlorphéniramine) et l'énantiomère R est inactif (distomère). À dose 4 mg par gélule (vs 2 mg pour la dexchlorphéniramine seule), la chlorphéniramine racémique a une efficacité antihistaminique équivalente à la dexchlorphéniramine 2 mg, mais avec un doublement de la charge médicamenteuse et donc des EI. La </w:t>
      </w:r>
      <w:r>
        <w:rPr>
          <w:b/>
        </w:rPr>
        <w:t>phényléphrine</w:t>
      </w:r>
      <w:r>
        <w:t xml:space="preserve"> est un vasoconstricteur α1-adrénergique </w:t>
      </w:r>
      <w:r>
        <w:rPr>
          <w:b/>
        </w:rPr>
        <w:t>direct</w:t>
      </w:r>
      <w:r>
        <w:t xml:space="preserve"> (sans effet β significatif), agoniste sélectif des récepteurs α1 des cellules musculaires lisses vasculaires → activation de la cascade Gq/11 → PLC → IP3 → Ca2+ → MLCK → contraction → vasoconstriction → réduction de l'œdème nasal. La phényléphrine est </w:t>
      </w:r>
      <w:r>
        <w:rPr>
          <w:b/>
        </w:rPr>
        <w:t>moins puissante</w:t>
      </w:r>
      <w:r>
        <w:t xml:space="preserve"> que la pseudoéphrédrine (qui a aussi un effet α2 présynaptique indirect, libération de noradrénaline endogène), mais elle </w:t>
      </w:r>
      <w:r>
        <w:rPr>
          <w:b/>
        </w:rPr>
        <w:t>traverse moins la BBB</w:t>
      </w:r>
      <w:r>
        <w:t xml:space="preserve"> (polarité plus élevée), ce qui réduit les effets centraux (insomnie, anxiété, agitation). La forme LP (microgranules à libération prolongée) permet une couverture 12 heures avec une dose unique (1 gélule matin et soir).</w:t>
      </w:r>
    </w:p>
    <w:p>
      <w:r/>
      <w:r>
        <w:rPr>
          <w:b/>
        </w:rPr>
        <w:t>Médicaments disponibles en Algérie (Marques, Laboratoires, Formes et Dosages) :</w:t>
      </w:r>
      <w:r/>
    </w:p>
    <w:p>
      <w:pPr>
        <w:pStyle w:val="ListBullet"/>
      </w:pPr>
      <w:r/>
      <w:r>
        <w:rPr>
          <w:b/>
        </w:rPr>
        <w:t>GRIPEX</w:t>
      </w:r>
      <w:r>
        <w:t xml:space="preserve"> (PHARMALLIANCE)</w:t>
      </w:r>
    </w:p>
    <w:p>
      <w:pPr>
        <w:pStyle w:val="ListBullet"/>
      </w:pPr>
      <w:r>
        <w:t>Formes et Dosages : Gélule à microgranules à libération prolongée — Phényléphrine chlorhydrate 10 mg + Chlorphéniramine maléate 4 mg — Boîte de 10 gélules</w:t>
      </w:r>
    </w:p>
    <w:p>
      <w:pPr>
        <w:pStyle w:val="ListBullet"/>
      </w:pPr>
      <w:r>
        <w:t>Statut : Actif (Liste I)</w:t>
      </w:r>
    </w:p>
    <w:p>
      <w:r/>
      <w:r>
        <w:rPr>
          <w:b/>
        </w:rPr>
        <w:t>Sous-classe et Mécanisme d'action :</w:t>
      </w:r>
      <w:r/>
    </w:p>
    <w:p>
      <w:pPr>
        <w:pStyle w:val="ListBullet"/>
      </w:pPr>
      <w:r>
        <w:t>Sous-classe : Antihistaminique H1 (1re génération, alkylamine — chlorphéniramine racémique) + Décongestionnant sympathomimétique α1-vasoconstricteur direct (phényléphrine).</w:t>
      </w:r>
    </w:p>
    <w:p>
      <w:pPr>
        <w:pStyle w:val="ListBullet"/>
      </w:pPr>
      <w:r>
        <w:t>Mécanisme d'action : combinaison de deux mécanismes complémentaires.</w:t>
      </w:r>
    </w:p>
    <w:p>
      <w:pPr>
        <w:pStyle w:val="ListBullet"/>
      </w:pPr>
      <w:r/>
      <w:r>
        <w:rPr>
          <w:b/>
        </w:rPr>
        <w:t>Chlorphéniramine</w:t>
      </w:r>
      <w:r>
        <w:t xml:space="preserve"> (racémique) : antagoniste compétitif inverse du récepteur H1 (couplé Gq/11 → PLC → IP3 → Ca2+ → MLCK). La chlorphéniramine traverse </w:t>
      </w:r>
      <w:r>
        <w:rPr>
          <w:b/>
        </w:rPr>
        <w:t>modérément la BBB</w:t>
      </w:r>
      <w:r>
        <w:t xml:space="preserve"> (sédation modérée, moins marquée que la prométhazine). Elle a une </w:t>
      </w:r>
      <w:r>
        <w:rPr>
          <w:b/>
        </w:rPr>
        <w:t>affinité modérée pour les récepteurs muscariniques M1-M3</w:t>
      </w:r>
      <w:r>
        <w:t xml:space="preserve"> (effets atropiniques : sécheresse buccale, sécheresse des muqueuses nasales — utile sur la rhinorrhée). La chlorphéniramine bloque l'action de l'histamine sur les récepteurs H1 périphériques : réduction des </w:t>
      </w:r>
      <w:r>
        <w:rPr>
          <w:b/>
        </w:rPr>
        <w:t>éternuements</w:t>
      </w:r>
      <w:r>
        <w:t xml:space="preserve">, du </w:t>
      </w:r>
      <w:r>
        <w:rPr>
          <w:b/>
        </w:rPr>
        <w:t>prurit nasal</w:t>
      </w:r>
      <w:r>
        <w:t xml:space="preserve">, de la </w:t>
      </w:r>
      <w:r>
        <w:rPr>
          <w:b/>
        </w:rPr>
        <w:t>rhinorrhée</w:t>
      </w:r>
      <w:r>
        <w:t xml:space="preserve"> (par effet anticholinergique complémentaire).</w:t>
      </w:r>
    </w:p>
    <w:p>
      <w:pPr>
        <w:pStyle w:val="ListBullet"/>
      </w:pPr>
      <w:r/>
      <w:r>
        <w:rPr>
          <w:b/>
        </w:rPr>
        <w:t>Phényléphrine</w:t>
      </w:r>
      <w:r>
        <w:t xml:space="preserve"> : agoniste sélectif des récepteurs α1-adrénergiques des cellules musculaires lisses vasculaires (couplés Gq/11 → PLC → IP3 → Ca2+ → MLCK → contraction → vasoconstriction). La phényléphrine provoque une </w:t>
      </w:r>
      <w:r>
        <w:rPr>
          <w:b/>
        </w:rPr>
        <w:t>vasoconstriction des vaisseaux sanguins de la muqueuse nasale</w:t>
      </w:r>
      <w:r>
        <w:t xml:space="preserve"> → réduction de l'œdème nasal → </w:t>
      </w:r>
      <w:r>
        <w:rPr>
          <w:b/>
        </w:rPr>
        <w:t>restauration de la perméabilité nasale</w:t>
      </w:r>
      <w:r>
        <w:t xml:space="preserve"> (action sur l'obstruction nasale). La phényléphrine traverse moins la BBB que la pseudoéphrédrine (polarité plus élevée), ce qui réduit les effets centraux (insomnie, anxiété, agitation).</w:t>
      </w:r>
    </w:p>
    <w:p>
      <w:pPr>
        <w:pStyle w:val="ListBullet"/>
      </w:pPr>
      <w:r/>
      <w:r>
        <w:rPr>
          <w:b/>
        </w:rPr>
        <w:t>Forme LP</w:t>
      </w:r>
      <w:r>
        <w:t xml:space="preserve"> : les microgranules à libération prolongée permettent une diffusion progressive des deux principes actifs sur 12 heures, permettant une prise matin et soir (2 gélules/jour maximum).</w:t>
      </w:r>
    </w:p>
    <w:p>
      <w:r/>
      <w:r>
        <w:rPr>
          <w:b/>
        </w:rPr>
        <w:t>Profil Pharmacologique :</w:t>
      </w:r>
      <w:r/>
    </w:p>
    <w:p>
      <w:pPr>
        <w:pStyle w:val="ListBullet"/>
      </w:pPr>
      <w:r/>
      <w:r>
        <w:rPr>
          <w:b/>
        </w:rPr>
        <w:t>Indications</w:t>
      </w:r>
      <w:r>
        <w:t xml:space="preserve"> : traitement </w:t>
      </w:r>
      <w:r>
        <w:rPr>
          <w:b/>
        </w:rPr>
        <w:t>symptomatique</w:t>
      </w:r>
      <w:r>
        <w:t xml:space="preserve"> du </w:t>
      </w:r>
      <w:r>
        <w:rPr>
          <w:b/>
        </w:rPr>
        <w:t>rhume banal</w:t>
      </w:r>
      <w:r>
        <w:t xml:space="preserve"> (rhinite virale aiguë) chez l'adulte et l'adolescent ≥ 15 ans, en cas de symptômes marqués associant rhinorrhée + éternuements + obstruction nasale. Traitement </w:t>
      </w:r>
      <w:r>
        <w:rPr>
          <w:b/>
        </w:rPr>
        <w:t>court</w:t>
      </w:r>
      <w:r>
        <w:t xml:space="preserve"> (5 à 7 jours maximum). À utiliser en cas d'échec des mesures non-médicamenteuses (lavages nasaux, hydratation).</w:t>
      </w:r>
    </w:p>
    <w:p>
      <w:pPr>
        <w:pStyle w:val="ListBullet"/>
      </w:pPr>
      <w:r/>
      <w:r>
        <w:rPr>
          <w:b/>
        </w:rPr>
        <w:t>Contre-indications</w:t>
      </w:r>
      <w:r>
        <w:t xml:space="preserve"> : hypersensibilité à l'un des composants ; </w:t>
      </w:r>
      <w:r>
        <w:rPr>
          <w:b/>
        </w:rPr>
        <w:t>hypertension artérielle non contrôlée</w:t>
      </w:r>
      <w:r>
        <w:t xml:space="preserve"> (vasoconstriction systémique par la phényléphrine) ; </w:t>
      </w:r>
      <w:r>
        <w:rPr>
          <w:b/>
        </w:rPr>
        <w:t>cardiopathies</w:t>
      </w:r>
      <w:r>
        <w:t xml:space="preserve"> (insuffisance coronaire, angor, infarctus du myocarde récent, tachycardie, troubles du rythme) ; </w:t>
      </w:r>
      <w:r>
        <w:rPr>
          <w:b/>
        </w:rPr>
        <w:t>hyperthyroïdie</w:t>
      </w:r>
      <w:r>
        <w:t xml:space="preserve"> (sensibilité aux sympathomimétiques) ; </w:t>
      </w:r>
      <w:r>
        <w:rPr>
          <w:b/>
        </w:rPr>
        <w:t>diabète déséquilibré</w:t>
      </w:r>
      <w:r>
        <w:t xml:space="preserve"> ; </w:t>
      </w:r>
      <w:r>
        <w:rPr>
          <w:b/>
        </w:rPr>
        <w:t>hypertrophie bénigne de la prostate</w:t>
      </w:r>
      <w:r>
        <w:t xml:space="preserve"> avec rétention urinaire (effet atropinique de la chlorphéniramine) ; </w:t>
      </w:r>
      <w:r>
        <w:rPr>
          <w:b/>
        </w:rPr>
        <w:t>glaucome à angle fermé</w:t>
      </w:r>
      <w:r>
        <w:t xml:space="preserve"> (effet atropinique) ; </w:t>
      </w:r>
      <w:r>
        <w:rPr>
          <w:b/>
        </w:rPr>
        <w:t>myasthénie</w:t>
      </w:r>
      <w:r>
        <w:t xml:space="preserve"> ; </w:t>
      </w:r>
      <w:r>
        <w:rPr>
          <w:b/>
        </w:rPr>
        <w:t>insuffisance hépatique sévère</w:t>
      </w:r>
      <w:r>
        <w:t xml:space="preserve"> ; </w:t>
      </w:r>
      <w:r>
        <w:rPr>
          <w:b/>
        </w:rPr>
        <w:t>insuffisance rénale sévère</w:t>
      </w:r>
      <w:r>
        <w:t xml:space="preserve"> ; </w:t>
      </w:r>
      <w:r>
        <w:rPr>
          <w:b/>
        </w:rPr>
        <w:t>épilepsie non contrôlée</w:t>
      </w:r>
      <w:r>
        <w:t xml:space="preserve"> ; </w:t>
      </w:r>
      <w:r>
        <w:rPr>
          <w:b/>
        </w:rPr>
        <w:t>association aux IMAO</w:t>
      </w:r>
      <w:r>
        <w:t xml:space="preserve"> (CI absolue — wash-out 14 jours) ; </w:t>
      </w:r>
      <w:r>
        <w:rPr>
          <w:b/>
        </w:rPr>
        <w:t>grossesse</w:t>
      </w:r>
      <w:r>
        <w:t xml:space="preserve"> (en raison des effets vasoconstricteurs et atropiniques) ; </w:t>
      </w:r>
      <w:r>
        <w:rPr>
          <w:b/>
        </w:rPr>
        <w:t>allaitement</w:t>
      </w:r>
      <w:r>
        <w:t xml:space="preserve"> (passage dans le lait maternel) ; </w:t>
      </w:r>
      <w:r>
        <w:rPr>
          <w:b/>
        </w:rPr>
        <w:t>enfant &lt; 15 ans</w:t>
      </w:r>
      <w:r>
        <w:t xml:space="preserve"> (en raison de la forme gélule et du risque d'EI central et anticholinergique). Prudence chez le </w:t>
      </w:r>
      <w:r>
        <w:rPr>
          <w:b/>
        </w:rPr>
        <w:t>sujet âgé &gt; 65 ans</w:t>
      </w:r>
      <w:r>
        <w:t xml:space="preserve"> (effet anticholinergique cumulatif — liste de Beers).</w:t>
      </w:r>
    </w:p>
    <w:p>
      <w:pPr>
        <w:pStyle w:val="ListBullet"/>
      </w:pPr>
      <w:r/>
      <w:r>
        <w:rPr>
          <w:b/>
        </w:rPr>
        <w:t>Effets Indésirables</w:t>
      </w:r>
      <w:r>
        <w:t xml:space="preserve"> : nombreux en raison de la combinaison. EI très fréquents (≥ 1/10) : </w:t>
      </w:r>
      <w:r>
        <w:rPr>
          <w:b/>
        </w:rPr>
        <w:t>sédation modérée</w:t>
      </w:r>
      <w:r>
        <w:t xml:space="preserve"> (chlorphéniramine), </w:t>
      </w:r>
      <w:r>
        <w:rPr>
          <w:b/>
        </w:rPr>
        <w:t>sécheresse buccale</w:t>
      </w:r>
      <w:r>
        <w:t xml:space="preserve">, </w:t>
      </w:r>
      <w:r>
        <w:rPr>
          <w:b/>
        </w:rPr>
        <w:t>insomnie</w:t>
      </w:r>
      <w:r>
        <w:t xml:space="preserve"> (phényléphrine), </w:t>
      </w:r>
      <w:r>
        <w:rPr>
          <w:b/>
        </w:rPr>
        <w:t>palpitations</w:t>
      </w:r>
      <w:r>
        <w:t xml:space="preserve">, </w:t>
      </w:r>
      <w:r>
        <w:rPr>
          <w:b/>
        </w:rPr>
        <w:t>tachycardie</w:t>
      </w:r>
      <w:r>
        <w:t xml:space="preserve">. EI fréquents (≥ 1/100 à &lt; 1/10) : céphalées, étourdissements, vertiges, troubles de l'accommodation, mydriase, constipation, nausées, rétention urinaire (homme âgé), hypertension artérielle, anxiété, agitation. EI peu fréquents : tremblements, confusion (sujet âgé), troubles de la mémoire, altération des performances psychomotrices, rash, urticaire paradoxale, photosensibilité. EI rares : convulsions (à dose élevée), allongement QTc (chlorphéniramine à dose élevée), crise hypertensive (phényléphrine), anaphylaxie, anomalies biologiques hépatiques. EI très rares : syndrome malin des antipsychotiques (à dose très élevée — exceptionnel), agranulocytose (exceptionnel). </w:t>
      </w:r>
      <w:r>
        <w:rPr>
          <w:b/>
        </w:rPr>
        <w:t>Effet anticholinergique cumulatif</w:t>
      </w:r>
      <w:r>
        <w:t xml:space="preserve"> chez le sujet âgé (risque de chute, confusion, délire, fécalome, rétention aiguë d'urine) — la chlorphéniramine figure sur la </w:t>
      </w:r>
      <w:r>
        <w:rPr>
          <w:b/>
        </w:rPr>
        <w:t>liste de Beers</w:t>
      </w:r>
      <w:r>
        <w:t xml:space="preserve"> des médicaments potentiellement inappropriés chez le sujet âgé.</w:t>
      </w:r>
    </w:p>
    <w:p>
      <w:r/>
      <w:r>
        <w:rPr>
          <w:b/>
        </w:rPr>
        <w:t>Prévention et Gestion des Effets Indésirables :</w:t>
      </w:r>
      <w:r/>
    </w:p>
    <w:p>
      <w:pPr>
        <w:pStyle w:val="ListBullet"/>
      </w:pPr>
      <w:r/>
      <w:r>
        <w:rPr>
          <w:b/>
        </w:rPr>
        <w:t>Mesures Préventives</w:t>
      </w:r>
      <w:r>
        <w:t xml:space="preserve"> : prescription </w:t>
      </w:r>
      <w:r>
        <w:rPr>
          <w:b/>
        </w:rPr>
        <w:t>sur ordonnance Liste I</w:t>
      </w:r>
      <w:r>
        <w:t xml:space="preserve"> en Algérie. Avertir le patient du risque de somnolence (chlorphéniramine) et de la nécessité de ne pas conduire pendant les premiers jours du traitement, mais aussi du risque d'</w:t>
      </w:r>
      <w:r>
        <w:rPr>
          <w:b/>
        </w:rPr>
        <w:t>insomnie</w:t>
      </w:r>
      <w:r>
        <w:t xml:space="preserve"> (phényléphrine) — d'où la recommandation de prendre la dernière gélule </w:t>
      </w:r>
      <w:r>
        <w:rPr>
          <w:b/>
        </w:rPr>
        <w:t>avant 18 heures</w:t>
      </w:r>
      <w:r>
        <w:t xml:space="preserve"> pour éviter les troubles du sommeil. Éviter l'association à l'alcool et aux dépresseurs du SNC. Surveiller la tension artérielle chez le sujet hypertendu et le sujet âgé. Surveiller l'apparition d'effets anticholinergiques chez le sujet âgé (sécheresse buccale, rétention urinaire, confusion). Adapter la dose en cas d'insuffisance hépatique ou rénale. </w:t>
      </w:r>
      <w:r>
        <w:rPr>
          <w:b/>
        </w:rPr>
        <w:t>Durée de traitement limitée</w:t>
      </w:r>
      <w:r>
        <w:t xml:space="preserve"> (5 à 7 jours maximum) — risque de rhinite médicamenteuse en cas d'utilisation prolongée.</w:t>
      </w:r>
    </w:p>
    <w:p>
      <w:pPr>
        <w:pStyle w:val="ListBullet"/>
      </w:pPr>
      <w:r/>
      <w:r>
        <w:rPr>
          <w:b/>
        </w:rPr>
        <w:t>Conduite à Tenir</w:t>
      </w:r>
      <w:r>
        <w:t xml:space="preserve"> : en cas de </w:t>
      </w:r>
      <w:r>
        <w:rPr>
          <w:b/>
        </w:rPr>
        <w:t>crise hypertensive</w:t>
      </w:r>
      <w:r>
        <w:t xml:space="preserve"> (céphalées brutales, troubles visuels, confusion) : arrêt immédiat, tension artérielle, consultation médicale urgente. En cas de </w:t>
      </w:r>
      <w:r>
        <w:rPr>
          <w:b/>
        </w:rPr>
        <w:t>palpitations, tachycardie, douleurs thoraciques</w:t>
      </w:r>
      <w:r>
        <w:t xml:space="preserve"> : arrêt immédiat, ECG, consultation médicale urgente. En cas de </w:t>
      </w:r>
      <w:r>
        <w:rPr>
          <w:b/>
        </w:rPr>
        <w:t>somnolence marquée</w:t>
      </w:r>
      <w:r>
        <w:t xml:space="preserve"> : réduire la dose ou espacer les prises. En cas de </w:t>
      </w:r>
      <w:r>
        <w:rPr>
          <w:b/>
        </w:rPr>
        <w:t>confusion, agitation paradoxale</w:t>
      </w:r>
      <w:r>
        <w:t xml:space="preserve"> (sujet âgé) : arrêt immédiat. En cas de </w:t>
      </w:r>
      <w:r>
        <w:rPr>
          <w:b/>
        </w:rPr>
        <w:t>rétention urinaire aiguë</w:t>
      </w:r>
      <w:r>
        <w:t xml:space="preserve"> (homme âgé) : arrêt, sondage vésical temporaire. En cas de </w:t>
      </w:r>
      <w:r>
        <w:rPr>
          <w:b/>
        </w:rPr>
        <w:t>crise de glaucome aigu</w:t>
      </w:r>
      <w:r>
        <w:t xml:space="preserve"> : arrêt, urgence ophtalmologique. En cas de surdosage (≥ 4 gélules) : lavage gastrique si &lt; 1 h, charbon activé, surveillance neurologique (sédation, convulsions), surveillance cardiovasculaire (tension artérielle, ECG — crise hypertensive possible), traitement symptomatique.</w:t>
      </w:r>
    </w:p>
    <w:p>
      <w:r/>
      <w:r>
        <w:rPr>
          <w:b/>
        </w:rPr>
        <w:t>Interactions Importantes :</w:t>
      </w:r>
      <w:r/>
    </w:p>
    <w:p>
      <w:pPr>
        <w:pStyle w:val="ListBullet"/>
      </w:pPr>
      <w:r/>
      <w:r>
        <w:rPr>
          <w:b/>
        </w:rPr>
        <w:t>GRIPEX + IMAO</w:t>
      </w:r>
      <w:r>
        <w:t xml:space="preserve"> : </w:t>
      </w:r>
      <w:r>
        <w:rPr>
          <w:b/>
        </w:rPr>
        <w:t>CI absolue</w:t>
      </w:r>
      <w:r>
        <w:t xml:space="preserve"> — risque de </w:t>
      </w:r>
      <w:r>
        <w:rPr>
          <w:b/>
        </w:rPr>
        <w:t>crise hypertensive mortelle</w:t>
      </w:r>
      <w:r>
        <w:t xml:space="preserve"> (potentialisation des effets sympathomimétiques de la phényléphrine par inhibition de la dégradation de la noradrénaline) et de </w:t>
      </w:r>
      <w:r>
        <w:rPr>
          <w:b/>
        </w:rPr>
        <w:t>coma</w:t>
      </w:r>
      <w:r>
        <w:t xml:space="preserve"> (potentialisation des effets anticholinergiques de la chlorphéniramine). Respecter un wash-out de 14 jours entre l'arrêt de l'IMAO et la prise de GRIPEX.</w:t>
      </w:r>
    </w:p>
    <w:p>
      <w:pPr>
        <w:pStyle w:val="ListBullet"/>
      </w:pPr>
      <w:r/>
      <w:r>
        <w:rPr>
          <w:b/>
        </w:rPr>
        <w:t>GRIPEX + alcool</w:t>
      </w:r>
      <w:r>
        <w:t xml:space="preserve"> : </w:t>
      </w:r>
      <w:r>
        <w:rPr>
          <w:b/>
        </w:rPr>
        <w:t>potentialisation de la sédation</w:t>
      </w:r>
      <w:r>
        <w:t xml:space="preserve"> (chlorphéniramine) — éviter.</w:t>
      </w:r>
    </w:p>
    <w:p>
      <w:pPr>
        <w:pStyle w:val="ListBullet"/>
      </w:pPr>
      <w:r/>
      <w:r>
        <w:rPr>
          <w:b/>
        </w:rPr>
        <w:t>GRIPEX + dépresseurs du SNC</w:t>
      </w:r>
      <w:r>
        <w:t xml:space="preserve"> (benzodiazépines, opioïdes, barbituriques, autres antihistaminiques H1 sédatifs, neuroleptiques, antidépresseurs sédatifs) : sédation additive.</w:t>
      </w:r>
    </w:p>
    <w:p>
      <w:pPr>
        <w:pStyle w:val="ListBullet"/>
      </w:pPr>
      <w:r/>
      <w:r>
        <w:rPr>
          <w:b/>
        </w:rPr>
        <w:t>GRIPEX + sympathomimétiques</w:t>
      </w:r>
      <w:r>
        <w:t xml:space="preserve"> (autres vasoconstricteurs nasaux — pseudoéphrédrine, éphédrine ; bronchodilatateurs β2 — salbutamol, formotérol — cf. Chapitre 61 ; antidépresseurs noradrénergiques — venlafaxine, duloxétine) : </w:t>
      </w:r>
      <w:r>
        <w:rPr>
          <w:b/>
        </w:rPr>
        <w:t>potentialisation des effets cardiovasculaires</w:t>
      </w:r>
      <w:r>
        <w:t xml:space="preserve"> (hypertension, tachycardie, arythmies). Éviter.</w:t>
      </w:r>
    </w:p>
    <w:p>
      <w:pPr>
        <w:pStyle w:val="ListBullet"/>
      </w:pPr>
      <w:r/>
      <w:r>
        <w:rPr>
          <w:b/>
        </w:rPr>
        <w:t>GRIPEX + antihypertenseurs</w:t>
      </w:r>
      <w:r>
        <w:t xml:space="preserve"> (β-bloquants, IEC, ARA II, diurétiques) : </w:t>
      </w:r>
      <w:r>
        <w:rPr>
          <w:b/>
        </w:rPr>
        <w:t>réduction de l'efficacité antihypertensive</w:t>
      </w:r>
      <w:r>
        <w:t xml:space="preserve"> (vasoconstriction par la phényléphrine). Surveiller la tension artérielle.</w:t>
      </w:r>
    </w:p>
    <w:p>
      <w:pPr>
        <w:pStyle w:val="ListBullet"/>
      </w:pPr>
      <w:r/>
      <w:r>
        <w:rPr>
          <w:b/>
        </w:rPr>
        <w:t>GRIPEX + antidépresseurs tricycliques</w:t>
      </w:r>
      <w:r>
        <w:t xml:space="preserve"> (amitriptyline, clomipramine) : </w:t>
      </w:r>
      <w:r>
        <w:rPr>
          <w:b/>
        </w:rPr>
        <w:t>potentialisation des effets vasoconstricteurs et anticholinergiques</w:t>
      </w:r>
      <w:r>
        <w:t xml:space="preserve"> — éviter.</w:t>
      </w:r>
    </w:p>
    <w:p>
      <w:pPr>
        <w:pStyle w:val="ListBullet"/>
      </w:pPr>
      <w:r/>
      <w:r>
        <w:rPr>
          <w:b/>
        </w:rPr>
        <w:t>GRIPEX + atropiniques</w:t>
      </w:r>
      <w:r>
        <w:t xml:space="preserve"> (autres antihistaminiques 1re génération, antidépresseurs tricycliques, antiparkinsoniens anticholinergiques, antispasmodiques) : potentialisation des effets atropiniques.</w:t>
      </w:r>
    </w:p>
    <w:p>
      <w:pPr>
        <w:pStyle w:val="ListBullet"/>
      </w:pPr>
      <w:r/>
      <w:r>
        <w:rPr>
          <w:b/>
        </w:rPr>
        <w:t>GRIPEX + inhibiteurs CYP2D6</w:t>
      </w:r>
      <w:r>
        <w:t xml:space="preserve"> (paroxétine, fluoxétine, bupropion, quinidine) : augmentation des concentrations de chlorphéniramine — surveiller EI.</w:t>
      </w:r>
    </w:p>
    <w:p>
      <w:r/>
      <w:r>
        <w:rPr>
          <w:b/>
        </w:rPr>
        <w:t>Grossesse et Allaitement :</w:t>
      </w:r>
      <w:r/>
    </w:p>
    <w:p>
      <w:pPr>
        <w:pStyle w:val="ListBullet"/>
      </w:pPr>
      <w:r/>
      <w:r>
        <w:rPr>
          <w:b/>
        </w:rPr>
        <w:t>Grossesse</w:t>
      </w:r>
      <w:r>
        <w:t xml:space="preserve"> : selon le </w:t>
      </w:r>
      <w:r>
        <w:rPr>
          <w:b/>
        </w:rPr>
        <w:t>CRAT</w:t>
      </w:r>
      <w:r>
        <w:t xml:space="preserve">, l'association phényléphrine + chlorphéniramine est </w:t>
      </w:r>
      <w:r>
        <w:rPr>
          <w:b/>
        </w:rPr>
        <w:t>déconseillée pendant la grossesse</w:t>
      </w:r>
      <w:r>
        <w:t xml:space="preserve"> à toutes les phases, en raison : (i) des effets vasoconstricteurs de la phényléphrine (risque d'hypertension maternelle, de vasoconstriction placentaire et de retard de croissance fœtal — signal à doses élevées) ; (ii) des effets anticholinergiques et centraux de la chlorphéniramine (sédation fœtale). En pratique, lui préférer les </w:t>
      </w:r>
      <w:r>
        <w:rPr>
          <w:b/>
        </w:rPr>
        <w:t>mesures non-médicamenteuses</w:t>
      </w:r>
      <w:r>
        <w:t xml:space="preserve"> (lavage nasal au sérum physiologique, hydratation, repos) en cas de rhume pendant la grossesse. En cas de symptômes marqués, utiliser la </w:t>
      </w:r>
      <w:r>
        <w:rPr>
          <w:b/>
        </w:rPr>
        <w:t>loratadine</w:t>
      </w:r>
      <w:r>
        <w:t xml:space="preserve"> ou la </w:t>
      </w:r>
      <w:r>
        <w:rPr>
          <w:b/>
        </w:rPr>
        <w:t>cétirizine</w:t>
      </w:r>
      <w:r>
        <w:t xml:space="preserve"> (2e génération compatibles) sans décongestionnant.</w:t>
      </w:r>
    </w:p>
    <w:p>
      <w:pPr>
        <w:pStyle w:val="ListBullet"/>
      </w:pPr>
      <w:r/>
      <w:r>
        <w:rPr>
          <w:b/>
        </w:rPr>
        <w:t>Allaitement</w:t>
      </w:r>
      <w:r>
        <w:t xml:space="preserve"> : selon le CRAT et LactMed, la phényléphrine et la chlorphéniramine passent dans le lait maternel. </w:t>
      </w:r>
      <w:r>
        <w:rPr>
          <w:b/>
        </w:rPr>
        <w:t>Allaitement contre-indiqué</w:t>
      </w:r>
      <w:r>
        <w:t xml:space="preserve"> par prudence (risque de sédation, de troubles de la succion, et d'effets cardiovasculaires chez le nourrisson). Alternative : loratadine ou fexofénadine (compatibles) sans décongestionnant.</w:t>
      </w:r>
    </w:p>
    <w:p>
      <w:pPr>
        <w:pStyle w:val="ListBullet"/>
      </w:pPr>
      <w:r/>
      <w:r>
        <w:rPr>
          <w:b/>
        </w:rPr>
        <w:t>Précisions</w:t>
      </w:r>
      <w:r>
        <w:t xml:space="preserve"> : éviter par prudence chez la femme en âge de procréer sans contraception efficace.</w:t>
      </w:r>
    </w:p>
    <w:p>
      <w:r/>
      <w:r>
        <w:rPr>
          <w:b/>
        </w:rPr>
        <w:t>Posologie et Mode d'administration (Standard) :</w:t>
      </w:r>
      <w:r/>
    </w:p>
    <w:p>
      <w:pPr>
        <w:pStyle w:val="ListBullet"/>
      </w:pPr>
      <w:r/>
      <w:r>
        <w:rPr>
          <w:b/>
        </w:rPr>
        <w:t>Adulte et adolescent ≥ 15 ans</w:t>
      </w:r>
      <w:r>
        <w:t xml:space="preserve"> : </w:t>
      </w:r>
      <w:r>
        <w:rPr>
          <w:b/>
        </w:rPr>
        <w:t>1 gélule matin et soir</w:t>
      </w:r>
      <w:r>
        <w:t xml:space="preserve"> (soit 20 mg de phényléphrine + 8 mg de chlorphéniramine par jour), avec un grand verre d'eau. Ne pas dépasser 2 gélules/jour (4 gélules/24 heures en cas de symptômes marqués — limite supérieure absolue).</w:t>
      </w:r>
    </w:p>
    <w:p>
      <w:pPr>
        <w:pStyle w:val="ListBullet"/>
      </w:pPr>
      <w:r/>
      <w:r>
        <w:rPr>
          <w:b/>
        </w:rPr>
        <w:t>Enfant &lt; 15 ans</w:t>
      </w:r>
      <w:r>
        <w:t xml:space="preserve"> : CI absolue (forme gélule non adaptée).</w:t>
      </w:r>
    </w:p>
    <w:p>
      <w:pPr>
        <w:pStyle w:val="ListBullet"/>
      </w:pPr>
      <w:r/>
      <w:r>
        <w:rPr>
          <w:b/>
        </w:rPr>
        <w:t>Sujet âgé (&gt; 65 ans)</w:t>
      </w:r>
      <w:r>
        <w:t xml:space="preserve"> : </w:t>
      </w:r>
      <w:r>
        <w:rPr>
          <w:b/>
        </w:rPr>
        <w:t>dose initiale réduite à 1 gélule/jour</w:t>
      </w:r>
      <w:r>
        <w:t xml:space="preserve"> (le matin) — augmenter à 2 gélules/jour si tolérance correcte. Liste de Beers — à éviter si possible.</w:t>
      </w:r>
    </w:p>
    <w:p>
      <w:pPr>
        <w:pStyle w:val="ListBullet"/>
      </w:pPr>
      <w:r/>
      <w:r>
        <w:rPr>
          <w:b/>
        </w:rPr>
        <w:t>Insuffisance rénale</w:t>
      </w:r>
      <w:r>
        <w:t xml:space="preserve"> : adapter à 50 % de la dose standard (1 gélule/jour).</w:t>
      </w:r>
    </w:p>
    <w:p>
      <w:pPr>
        <w:pStyle w:val="ListBullet"/>
      </w:pPr>
      <w:r/>
      <w:r>
        <w:rPr>
          <w:b/>
        </w:rPr>
        <w:t>Insuffisance hépatique</w:t>
      </w:r>
      <w:r>
        <w:t xml:space="preserve"> : Child-Pugh C : éviter.</w:t>
      </w:r>
    </w:p>
    <w:p>
      <w:pPr>
        <w:pStyle w:val="ListBullet"/>
      </w:pPr>
      <w:r/>
      <w:r>
        <w:rPr>
          <w:b/>
        </w:rPr>
        <w:t>Durée</w:t>
      </w:r>
      <w:r>
        <w:t xml:space="preserve"> : </w:t>
      </w:r>
      <w:r>
        <w:rPr>
          <w:b/>
        </w:rPr>
        <w:t>5 à 7 jours maximum</w:t>
      </w:r>
      <w:r>
        <w:t xml:space="preserve"> — ne pas prolonger au-delà sans avis médical (risque de rhinite médicamenteuse, de tolérance, d'effets indésirables cumulés).</w:t>
      </w:r>
    </w:p>
    <w:p>
      <w:pPr>
        <w:pStyle w:val="ListBullet"/>
      </w:pPr>
      <w:r/>
      <w:r>
        <w:rPr>
          <w:b/>
        </w:rPr>
        <w:t>Moment de la prise</w:t>
      </w:r>
      <w:r>
        <w:t xml:space="preserve"> : 1 gélule le matin (effet décongestionnant diurne) et 1 gélule en fin d'après-midi </w:t>
      </w:r>
      <w:r>
        <w:rPr>
          <w:b/>
        </w:rPr>
        <w:t>avant 18 heures</w:t>
      </w:r>
      <w:r>
        <w:t xml:space="preserve"> (pour éviter les troubles du sommeil liés à la phényléphrine). À prendre avec un grand verre d'eau, indépendamment des repas.</w:t>
      </w:r>
    </w:p>
    <w:p>
      <w:r/>
      <w:r>
        <w:rPr>
          <w:b/>
        </w:rPr>
        <w:t>Arbitrage et Bénéfices des Formes Galéniques :</w:t>
      </w:r>
      <w:r/>
    </w:p>
    <w:p>
      <w:pPr>
        <w:pStyle w:val="ListBullet"/>
      </w:pPr>
      <w:r/>
      <w:r>
        <w:rPr>
          <w:b/>
        </w:rPr>
        <w:t>Gélule à microgranules LP</w:t>
      </w:r>
      <w:r>
        <w:t xml:space="preserve"> (1 marque active — GRIPEX Pharmalliance) : forme unique, à libération prolongée sur 12 heures. Pratique pour l'observance (2 prises par jour). Boîte de 10 gélules (5 jours de traitement — correspondant à la durée maximale recommandée en automédication). Liste I.</w:t>
      </w:r>
    </w:p>
    <w:p>
      <w:pPr>
        <w:pStyle w:val="ListBullet"/>
      </w:pPr>
      <w:r/>
      <w:r>
        <w:rPr>
          <w:b/>
        </w:rPr>
        <w:t>Forme sirop / solution</w:t>
      </w:r>
      <w:r>
        <w:t xml:space="preserve"> : non disponible en Algérie pour cette association.</w:t>
      </w:r>
    </w:p>
    <w:p>
      <w:pPr>
        <w:pStyle w:val="ListBullet"/>
      </w:pPr>
      <w:r/>
      <w:r>
        <w:rPr>
          <w:b/>
        </w:rPr>
        <w:t>Forme comprimé</w:t>
      </w:r>
      <w:r>
        <w:t xml:space="preserve"> : non disponible en Algérie.</w:t>
      </w:r>
    </w:p>
    <w:p>
      <w:pPr>
        <w:pStyle w:val="ListBullet"/>
      </w:pPr>
      <w:r/>
      <w:r>
        <w:rPr>
          <w:b/>
        </w:rPr>
        <w:t>Forme pédiatrique</w:t>
      </w:r>
      <w:r>
        <w:t xml:space="preserve"> : non disponible en Algérie (la forme gélule n'est pas adaptée à l'enfant &lt; 15 ans).</w:t>
      </w:r>
    </w:p>
    <w:p>
      <w:pPr>
        <w:pStyle w:val="ListBullet"/>
      </w:pPr>
      <w:r/>
      <w:r>
        <w:rPr>
          <w:b/>
        </w:rPr>
        <w:t>Forme nasale</w:t>
      </w:r>
      <w:r>
        <w:t xml:space="preserve"> : non disponible en Algérie pour cette association (les formes nasales décongestionnantes seules — oxy métazoline, tuaminoheptane — sont traitées dans le Chapitre 64).</w:t>
      </w:r>
    </w:p>
    <w:p>
      <w:r/>
      <w:r>
        <w:rPr>
          <w:b/>
        </w:rPr>
        <w:t>Instructions et Conseils au Patient :</w:t>
      </w:r>
      <w:r/>
    </w:p>
    <w:p>
      <w:pPr>
        <w:pStyle w:val="ListBullet"/>
      </w:pPr>
      <w:r/>
      <w:r>
        <w:rPr>
          <w:b/>
        </w:rPr>
        <w:t>Communication au comptoir</w:t>
      </w:r>
      <w:r>
        <w:t xml:space="preserve"> : « *Ce médicament est une association de deux principes actifs pour le traitement du rhume : un antihistaminique (contre les éternuements et la rhinorrhée) et un décongestionnant (contre le nez bouché). Prenez 1 gélule matin et soir, mais la dernière prise doit être avant 18 heures car elle peut provoquer de l'insomnie. Évitez l'alcool. Si vous avez de l'hypertension, des problèmes cardiaques, une hypertrophie de la prostate, un glaucome ou une hyperthyroïdie, parlez-en à votre médecin avant la prise. Ne pas utiliser chez l'enfant de moins de 15 ans. Ne pas dépasser 5 à 7 jours de traitement sans avis médical.* »</w:t>
      </w:r>
    </w:p>
    <w:p>
      <w:pPr>
        <w:pStyle w:val="ListBullet"/>
      </w:pPr>
      <w:r/>
      <w:r>
        <w:rPr>
          <w:b/>
        </w:rPr>
        <w:t>Mode d'utilisation pratique</w:t>
      </w:r>
      <w:r>
        <w:t xml:space="preserve"> : gélule à avaler entière avec un grand verre d'eau, indépendamment des repas. Ne pas ouvrir ni croquer la gélule (les microgranules LP doivent être avalés intacts). En cas d'oubli : prendre dès que possible, ne pas doubler la dose. Conservation : température &lt; 25 °C, à l'abri de l'humidité. Ne pas dépasser 5 à 7 jours d'automédication sans avis médical. En cas d'aggravation des symptômes (fièvre élevée &gt; 39 °C, dyspnée, douleurs thoraciques, céphalées brutales, troubles visuels), arrêter le traitement et consulter immédiatement un médecin.</w:t>
      </w:r>
    </w:p>
    <w:p>
      <w:r/>
      <w:r>
        <w:rPr>
          <w:b/>
        </w:rPr>
        <w:t>Notes, Règles d'Or &amp; Pièges au Comptoir :</w:t>
      </w:r>
      <w:r/>
    </w:p>
    <w:p>
      <w:pPr>
        <w:pStyle w:val="ListBullet"/>
      </w:pPr>
      <w:r/>
      <w:r>
        <w:rPr>
          <w:b/>
        </w:rPr>
        <w:t>Piège classique</w:t>
      </w:r>
      <w:r>
        <w:t xml:space="preserve"> : </w:t>
      </w:r>
      <w:r>
        <w:rPr>
          <w:b/>
        </w:rPr>
        <w:t>association aux IMAO</w:t>
      </w:r>
      <w:r>
        <w:t xml:space="preserve"> — </w:t>
      </w:r>
      <w:r>
        <w:rPr>
          <w:b/>
        </w:rPr>
        <w:t>CI absolue</w:t>
      </w:r>
      <w:r>
        <w:t xml:space="preserve"> (crise hypertensive mortelle par potentialisation sympathomimétique). Toujours demander au patient s'il prend un antidépresseur, et notamment un IMAO (rare en Algérie, mais à connaître). Respecter un wash-out de 14 jours entre l'arrêt de l'IMAO et la prise de GRIPEX. </w:t>
      </w:r>
      <w:r>
        <w:rPr>
          <w:b/>
        </w:rPr>
        <w:t>Hypertension artérielle non contrôlée</w:t>
      </w:r>
      <w:r>
        <w:t xml:space="preserve"> : risque de crise hypertensive. </w:t>
      </w:r>
      <w:r>
        <w:rPr>
          <w:b/>
        </w:rPr>
        <w:t>Hypertrophie bénigne de la prostate</w:t>
      </w:r>
      <w:r>
        <w:t xml:space="preserve"> : risque de rétention aiguë d'urine (chlorphéniramine atropinique). </w:t>
      </w:r>
      <w:r>
        <w:rPr>
          <w:b/>
        </w:rPr>
        <w:t>Glaucome à angle fermé</w:t>
      </w:r>
      <w:r>
        <w:t xml:space="preserve"> : risque de crise aiguë. </w:t>
      </w:r>
      <w:r>
        <w:rPr>
          <w:b/>
        </w:rPr>
        <w:t>Sujet âgé</w:t>
      </w:r>
      <w:r>
        <w:t xml:space="preserve"> : effet anticholinergique cumulatif + effet vasoconstricteur (risque d'hypertension, de tachycardie, de rétention urinaire, de confusion) — liste de Beers ; à éviter si possible. </w:t>
      </w:r>
      <w:r>
        <w:rPr>
          <w:b/>
        </w:rPr>
        <w:t>Insomnie</w:t>
      </w:r>
      <w:r>
        <w:t xml:space="preserve"> : la phényléphrine peut provoquer de l'insomnie — d'où la nécessité de prendre la dernière gélule avant 18 heures. </w:t>
      </w:r>
      <w:r>
        <w:rPr>
          <w:b/>
        </w:rPr>
        <w:t>Durée de traitement limitée</w:t>
      </w:r>
      <w:r>
        <w:t xml:space="preserve"> (5 à 7 jours) — risque de rhinite médicamenteuse en cas d'utilisation prolongée. </w:t>
      </w:r>
      <w:r>
        <w:rPr>
          <w:b/>
        </w:rPr>
        <w:t>Substitution GRIPEX → 2e génération + spray nasal</w:t>
      </w:r>
      <w:r>
        <w:t xml:space="preserve"> : alternative de choix (loratadine 10 mg + spray nasal décongestionnant — Oxymétazoline, tuaminoheptane, etc. — pendant 5 jours maximum).</w:t>
      </w:r>
    </w:p>
    <w:p>
      <w:pPr>
        <w:pStyle w:val="ListBullet"/>
      </w:pPr>
      <w:r/>
      <w:r>
        <w:rPr>
          <w:b/>
        </w:rPr>
        <w:t>Règle de prise</w:t>
      </w:r>
      <w:r>
        <w:t xml:space="preserve"> : 1 gélule matin et soir (avant 18 heures pour la 2e prise). Pas d'alcool. Pas de double dose en cas d'oubli. Respect de la durée max 5-7 jours.</w:t>
      </w:r>
    </w:p>
    <w:p>
      <w:pPr>
        <w:pStyle w:val="ListBullet"/>
      </w:pPr>
      <w:r/>
      <w:r>
        <w:rPr>
          <w:b/>
        </w:rPr>
        <w:t>Préparation et Conservation</w:t>
      </w:r>
      <w:r>
        <w:t xml:space="preserve"> : gélules à température &lt; 25 °C, à l'abri de l'humidité ; bien refermer le conditionnement après usage.</w:t>
      </w:r>
    </w:p>
    <w:p>
      <w:pPr>
        <w:pStyle w:val="ListBullet"/>
      </w:pPr>
      <w:r/>
      <w:r>
        <w:rPr>
          <w:b/>
        </w:rPr>
        <w:t>Piège du surdosage / Substitution</w:t>
      </w:r>
      <w:r>
        <w:t xml:space="preserve"> : </w:t>
      </w:r>
      <w:r>
        <w:rPr>
          <w:b/>
        </w:rPr>
        <w:t>surdosage</w:t>
      </w:r>
      <w:r>
        <w:t xml:space="preserve"> (≥ 4 gélules) : lavage gastrique si &lt; 1 h, charbon activé, surveillance neurologique (convulsions, sédation) et cardiovasculaire (crise hypertensive, tachycardie, arythmies), traitement symptomatique (labetalol IV si crise hypertensive). </w:t>
      </w:r>
      <w:r>
        <w:rPr>
          <w:b/>
        </w:rPr>
        <w:t>Substitution GRIPEX → loratadine + spray décongestionnant</w:t>
      </w:r>
      <w:r>
        <w:t xml:space="preserve"> : alternative de choix chez la femme enceinte, le sujet âgé, et l'enfant &lt; 15 ans. </w:t>
      </w:r>
      <w:r>
        <w:rPr>
          <w:b/>
        </w:rPr>
        <w:t>Substitution GRIPEX → paracétamol</w:t>
      </w:r>
      <w:r>
        <w:t xml:space="preserve"> : si symptômes principaux = fièvre et céphalées (sans obstruction nasale majeure), préférer le paracétamol seul (1 g x 3/jour, max 4 g/jour adulte).</w:t>
      </w:r>
    </w:p>
    <w:p>
      <w:pPr>
        <w:pStyle w:val="Heading2"/>
      </w:pPr>
      <w:r>
        <w:t>14. Tableau comparatif synthétique des 13 DCI</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 d'action principal</w:t>
            </w:r>
          </w:p>
        </w:tc>
        <w:tc>
          <w:tcPr>
            <w:tcW w:type="dxa" w:w="1336"/>
          </w:tcPr>
          <w:p>
            <w:r>
              <w:rPr>
                <w:b/>
                <w:sz w:val="20"/>
              </w:rPr>
              <w:t>Posologie standard adulte</w:t>
            </w:r>
          </w:p>
        </w:tc>
        <w:tc>
          <w:tcPr>
            <w:tcW w:type="dxa" w:w="1336"/>
          </w:tcPr>
          <w:p>
            <w:r>
              <w:rPr>
                <w:b/>
                <w:sz w:val="20"/>
              </w:rPr>
              <w:t>Effet indésirable majeur</w:t>
            </w:r>
          </w:p>
        </w:tc>
        <w:tc>
          <w:tcPr>
            <w:tcW w:type="dxa" w:w="1336"/>
          </w:tcPr>
          <w:p>
            <w:r>
              <w:rPr>
                <w:b/>
                <w:sz w:val="20"/>
              </w:rPr>
              <w:t>Contre-indication majeure</w:t>
            </w:r>
          </w:p>
        </w:tc>
        <w:tc>
          <w:tcPr>
            <w:tcW w:type="dxa" w:w="1336"/>
          </w:tcPr>
          <w:p>
            <w:r>
              <w:rPr>
                <w:b/>
                <w:sz w:val="20"/>
              </w:rPr>
              <w:t>Grossesse / Allaitement</w:t>
            </w:r>
          </w:p>
        </w:tc>
      </w:tr>
      <w:tr>
        <w:tc>
          <w:tcPr>
            <w:tcW w:type="dxa" w:w="1336"/>
          </w:tcPr>
          <w:p>
            <w:r>
              <w:rPr>
                <w:sz w:val="20"/>
              </w:rPr>
              <w:t>**Cétirizine**</w:t>
            </w:r>
          </w:p>
        </w:tc>
        <w:tc>
          <w:tcPr>
            <w:tcW w:type="dxa" w:w="1336"/>
          </w:tcPr>
          <w:p>
            <w:r>
              <w:rPr>
                <w:sz w:val="20"/>
              </w:rPr>
              <w:t>2e gén. (pipérazine)</w:t>
            </w:r>
          </w:p>
        </w:tc>
        <w:tc>
          <w:tcPr>
            <w:tcW w:type="dxa" w:w="1336"/>
          </w:tcPr>
          <w:p>
            <w:r>
              <w:rPr>
                <w:sz w:val="20"/>
              </w:rPr>
              <w:t>Antagoniste H1 (Gq/PLC/IP3/Ca2+) ; peu de passage BBB</w:t>
            </w:r>
          </w:p>
        </w:tc>
        <w:tc>
          <w:tcPr>
            <w:tcW w:type="dxa" w:w="1336"/>
          </w:tcPr>
          <w:p>
            <w:r>
              <w:rPr>
                <w:sz w:val="20"/>
              </w:rPr>
              <w:t>10 mg/jour (1 prise)</w:t>
            </w:r>
          </w:p>
        </w:tc>
        <w:tc>
          <w:tcPr>
            <w:tcW w:type="dxa" w:w="1336"/>
          </w:tcPr>
          <w:p>
            <w:r>
              <w:rPr>
                <w:sz w:val="20"/>
              </w:rPr>
              <w:t>Somnolence légère (~10 %)</w:t>
            </w:r>
          </w:p>
        </w:tc>
        <w:tc>
          <w:tcPr>
            <w:tcW w:type="dxa" w:w="1336"/>
          </w:tcPr>
          <w:p>
            <w:r>
              <w:rPr>
                <w:sz w:val="20"/>
              </w:rPr>
              <w:t>Ins. rénale sévère (ClCr &lt; 10)</w:t>
            </w:r>
          </w:p>
        </w:tc>
        <w:tc>
          <w:tcPr>
            <w:tcW w:type="dxa" w:w="1336"/>
          </w:tcPr>
          <w:p>
            <w:r>
              <w:rPr>
                <w:sz w:val="20"/>
              </w:rPr>
              <w:t>Compatible grossesse ; allaitement déconseillé</w:t>
            </w:r>
          </w:p>
        </w:tc>
      </w:tr>
      <w:tr>
        <w:tc>
          <w:tcPr>
            <w:tcW w:type="dxa" w:w="1336"/>
          </w:tcPr>
          <w:p>
            <w:r>
              <w:rPr>
                <w:sz w:val="20"/>
              </w:rPr>
              <w:t>**Lévocétirizine**</w:t>
            </w:r>
          </w:p>
        </w:tc>
        <w:tc>
          <w:tcPr>
            <w:tcW w:type="dxa" w:w="1336"/>
          </w:tcPr>
          <w:p>
            <w:r>
              <w:rPr>
                <w:sz w:val="20"/>
              </w:rPr>
              <w:t>2e gén. (pipérazine, énantiomère R)</w:t>
            </w:r>
          </w:p>
        </w:tc>
        <w:tc>
          <w:tcPr>
            <w:tcW w:type="dxa" w:w="1336"/>
          </w:tcPr>
          <w:p>
            <w:r>
              <w:rPr>
                <w:sz w:val="20"/>
              </w:rPr>
              <w:t>Antagoniste H1 (affinité supérieure à cétirizine)</w:t>
            </w:r>
          </w:p>
        </w:tc>
        <w:tc>
          <w:tcPr>
            <w:tcW w:type="dxa" w:w="1336"/>
          </w:tcPr>
          <w:p>
            <w:r>
              <w:rPr>
                <w:sz w:val="20"/>
              </w:rPr>
              <w:t>5 mg/jour (1 prise)</w:t>
            </w:r>
          </w:p>
        </w:tc>
        <w:tc>
          <w:tcPr>
            <w:tcW w:type="dxa" w:w="1336"/>
          </w:tcPr>
          <w:p>
            <w:r>
              <w:rPr>
                <w:sz w:val="20"/>
              </w:rPr>
              <w:t>Somnolence légère (~5 %)</w:t>
            </w:r>
          </w:p>
        </w:tc>
        <w:tc>
          <w:tcPr>
            <w:tcW w:type="dxa" w:w="1336"/>
          </w:tcPr>
          <w:p>
            <w:r>
              <w:rPr>
                <w:sz w:val="20"/>
              </w:rPr>
              <w:t>Ins. rénale sévère (ClCr &lt; 10)</w:t>
            </w:r>
          </w:p>
        </w:tc>
        <w:tc>
          <w:tcPr>
            <w:tcW w:type="dxa" w:w="1336"/>
          </w:tcPr>
          <w:p>
            <w:r>
              <w:rPr>
                <w:sz w:val="20"/>
              </w:rPr>
              <w:t>Compatible grossesse ; allaitement déconseillé</w:t>
            </w:r>
          </w:p>
        </w:tc>
      </w:tr>
      <w:tr>
        <w:tc>
          <w:tcPr>
            <w:tcW w:type="dxa" w:w="1336"/>
          </w:tcPr>
          <w:p>
            <w:r>
              <w:rPr>
                <w:sz w:val="20"/>
              </w:rPr>
              <w:t>**Loratadine**</w:t>
            </w:r>
          </w:p>
        </w:tc>
        <w:tc>
          <w:tcPr>
            <w:tcW w:type="dxa" w:w="1336"/>
          </w:tcPr>
          <w:p>
            <w:r>
              <w:rPr>
                <w:sz w:val="20"/>
              </w:rPr>
              <w:t>2e gén. (pipéridine tricyclique)</w:t>
            </w:r>
          </w:p>
        </w:tc>
        <w:tc>
          <w:tcPr>
            <w:tcW w:type="dxa" w:w="1336"/>
          </w:tcPr>
          <w:p>
            <w:r>
              <w:rPr>
                <w:sz w:val="20"/>
              </w:rPr>
              <w:t>Antagoniste H1 (prodrogue → desloratadine active)</w:t>
            </w:r>
          </w:p>
        </w:tc>
        <w:tc>
          <w:tcPr>
            <w:tcW w:type="dxa" w:w="1336"/>
          </w:tcPr>
          <w:p>
            <w:r>
              <w:rPr>
                <w:sz w:val="20"/>
              </w:rPr>
              <w:t>10 mg/jour (1 prise)</w:t>
            </w:r>
          </w:p>
        </w:tc>
        <w:tc>
          <w:tcPr>
            <w:tcW w:type="dxa" w:w="1336"/>
          </w:tcPr>
          <w:p>
            <w:r>
              <w:rPr>
                <w:sz w:val="20"/>
              </w:rPr>
              <w:t>Céphalées, somnolence (placebo-like)</w:t>
            </w:r>
          </w:p>
        </w:tc>
        <w:tc>
          <w:tcPr>
            <w:tcW w:type="dxa" w:w="1336"/>
          </w:tcPr>
          <w:p>
            <w:r>
              <w:rPr>
                <w:sz w:val="20"/>
              </w:rPr>
              <w:t>Ins. hépatique sévère</w:t>
            </w:r>
          </w:p>
        </w:tc>
        <w:tc>
          <w:tcPr>
            <w:tcW w:type="dxa" w:w="1336"/>
          </w:tcPr>
          <w:p>
            <w:r>
              <w:rPr>
                <w:sz w:val="20"/>
              </w:rPr>
              <w:t>Compatible grossesse ; compatible allaitement (1er choix)</w:t>
            </w:r>
          </w:p>
        </w:tc>
      </w:tr>
      <w:tr>
        <w:tc>
          <w:tcPr>
            <w:tcW w:type="dxa" w:w="1336"/>
          </w:tcPr>
          <w:p>
            <w:r>
              <w:rPr>
                <w:sz w:val="20"/>
              </w:rPr>
              <w:t>**Desloratadine**</w:t>
            </w:r>
          </w:p>
        </w:tc>
        <w:tc>
          <w:tcPr>
            <w:tcW w:type="dxa" w:w="1336"/>
          </w:tcPr>
          <w:p>
            <w:r>
              <w:rPr>
                <w:sz w:val="20"/>
              </w:rPr>
              <w:t>2e gén. (pipéridine tricyclique)</w:t>
            </w:r>
          </w:p>
        </w:tc>
        <w:tc>
          <w:tcPr>
            <w:tcW w:type="dxa" w:w="1336"/>
          </w:tcPr>
          <w:p>
            <w:r>
              <w:rPr>
                <w:sz w:val="20"/>
              </w:rPr>
              <w:t>Antagoniste H1 (métabolite actif de loratadine)</w:t>
            </w:r>
          </w:p>
        </w:tc>
        <w:tc>
          <w:tcPr>
            <w:tcW w:type="dxa" w:w="1336"/>
          </w:tcPr>
          <w:p>
            <w:r>
              <w:rPr>
                <w:sz w:val="20"/>
              </w:rPr>
              <w:t>5 mg/jour (1 prise)</w:t>
            </w:r>
          </w:p>
        </w:tc>
        <w:tc>
          <w:tcPr>
            <w:tcW w:type="dxa" w:w="1336"/>
          </w:tcPr>
          <w:p>
            <w:r>
              <w:rPr>
                <w:sz w:val="20"/>
              </w:rPr>
              <w:t>Céphalées, somnolence (placebo-like)</w:t>
            </w:r>
          </w:p>
        </w:tc>
        <w:tc>
          <w:tcPr>
            <w:tcW w:type="dxa" w:w="1336"/>
          </w:tcPr>
          <w:p>
            <w:r>
              <w:rPr>
                <w:sz w:val="20"/>
              </w:rPr>
              <w:t>Ins. hépatique sévère</w:t>
            </w:r>
          </w:p>
        </w:tc>
        <w:tc>
          <w:tcPr>
            <w:tcW w:type="dxa" w:w="1336"/>
          </w:tcPr>
          <w:p>
            <w:r>
              <w:rPr>
                <w:sz w:val="20"/>
              </w:rPr>
              <w:t>Compatible grossesse ; allaitement compatible</w:t>
            </w:r>
          </w:p>
        </w:tc>
      </w:tr>
      <w:tr>
        <w:tc>
          <w:tcPr>
            <w:tcW w:type="dxa" w:w="1336"/>
          </w:tcPr>
          <w:p>
            <w:r>
              <w:rPr>
                <w:sz w:val="20"/>
              </w:rPr>
              <w:t>**Fexofénadine**</w:t>
            </w:r>
          </w:p>
        </w:tc>
        <w:tc>
          <w:tcPr>
            <w:tcW w:type="dxa" w:w="1336"/>
          </w:tcPr>
          <w:p>
            <w:r>
              <w:rPr>
                <w:sz w:val="20"/>
              </w:rPr>
              <w:t>2e gén. (pipéridine acide)</w:t>
            </w:r>
          </w:p>
        </w:tc>
        <w:tc>
          <w:tcPr>
            <w:tcW w:type="dxa" w:w="1336"/>
          </w:tcPr>
          <w:p>
            <w:r>
              <w:rPr>
                <w:sz w:val="20"/>
              </w:rPr>
              <w:t>Antagoniste H1 (métabolite actif de terfénadine) ; pas d'affinité hERG</w:t>
            </w:r>
          </w:p>
        </w:tc>
        <w:tc>
          <w:tcPr>
            <w:tcW w:type="dxa" w:w="1336"/>
          </w:tcPr>
          <w:p>
            <w:r>
              <w:rPr>
                <w:sz w:val="20"/>
              </w:rPr>
              <w:t>180 mg/jour (1 prise, à jeun)</w:t>
            </w:r>
          </w:p>
        </w:tc>
        <w:tc>
          <w:tcPr>
            <w:tcW w:type="dxa" w:w="1336"/>
          </w:tcPr>
          <w:p>
            <w:r>
              <w:rPr>
                <w:sz w:val="20"/>
              </w:rPr>
              <w:t>Céphalées</w:t>
            </w:r>
          </w:p>
        </w:tc>
        <w:tc>
          <w:tcPr>
            <w:tcW w:type="dxa" w:w="1336"/>
          </w:tcPr>
          <w:p>
            <w:r>
              <w:rPr>
                <w:sz w:val="20"/>
              </w:rPr>
              <w:t>Ins. rénale sévère (ClCr &lt; 30)</w:t>
            </w:r>
          </w:p>
        </w:tc>
        <w:tc>
          <w:tcPr>
            <w:tcW w:type="dxa" w:w="1336"/>
          </w:tcPr>
          <w:p>
            <w:r>
              <w:rPr>
                <w:sz w:val="20"/>
              </w:rPr>
              <w:t>Déconseillée grossesse ; compatible allaitement</w:t>
            </w:r>
          </w:p>
        </w:tc>
      </w:tr>
      <w:tr>
        <w:tc>
          <w:tcPr>
            <w:tcW w:type="dxa" w:w="1336"/>
          </w:tcPr>
          <w:p>
            <w:r>
              <w:rPr>
                <w:sz w:val="20"/>
              </w:rPr>
              <w:t>**Ébastine**</w:t>
            </w:r>
          </w:p>
        </w:tc>
        <w:tc>
          <w:tcPr>
            <w:tcW w:type="dxa" w:w="1336"/>
          </w:tcPr>
          <w:p>
            <w:r>
              <w:rPr>
                <w:sz w:val="20"/>
              </w:rPr>
              <w:t>2e gén. (pipéridine, prodrogue)</w:t>
            </w:r>
          </w:p>
        </w:tc>
        <w:tc>
          <w:tcPr>
            <w:tcW w:type="dxa" w:w="1336"/>
          </w:tcPr>
          <w:p>
            <w:r>
              <w:rPr>
                <w:sz w:val="20"/>
              </w:rPr>
              <w:t>Antagoniste H1 (prodrogue → carébastine active)</w:t>
            </w:r>
          </w:p>
        </w:tc>
        <w:tc>
          <w:tcPr>
            <w:tcW w:type="dxa" w:w="1336"/>
          </w:tcPr>
          <w:p>
            <w:r>
              <w:rPr>
                <w:sz w:val="20"/>
              </w:rPr>
              <w:t>10 mg/jour (1 prise)</w:t>
            </w:r>
          </w:p>
        </w:tc>
        <w:tc>
          <w:tcPr>
            <w:tcW w:type="dxa" w:w="1336"/>
          </w:tcPr>
          <w:p>
            <w:r>
              <w:rPr>
                <w:sz w:val="20"/>
              </w:rPr>
              <w:t>Céphalées, allongement QTc (rare, dose-dépendant)</w:t>
            </w:r>
          </w:p>
        </w:tc>
        <w:tc>
          <w:tcPr>
            <w:tcW w:type="dxa" w:w="1336"/>
          </w:tcPr>
          <w:p>
            <w:r>
              <w:rPr>
                <w:sz w:val="20"/>
              </w:rPr>
              <w:t>Allongeurs QT, inhib. CYP3A4, ins. hépatique sévère</w:t>
            </w:r>
          </w:p>
        </w:tc>
        <w:tc>
          <w:tcPr>
            <w:tcW w:type="dxa" w:w="1336"/>
          </w:tcPr>
          <w:p>
            <w:r>
              <w:rPr>
                <w:sz w:val="20"/>
              </w:rPr>
              <w:t>Déconseillée grossesse ; allaitement déconseillé</w:t>
            </w:r>
          </w:p>
        </w:tc>
      </w:tr>
      <w:tr>
        <w:tc>
          <w:tcPr>
            <w:tcW w:type="dxa" w:w="1336"/>
          </w:tcPr>
          <w:p>
            <w:r>
              <w:rPr>
                <w:sz w:val="20"/>
              </w:rPr>
              <w:t>**Bilastine**</w:t>
            </w:r>
          </w:p>
        </w:tc>
        <w:tc>
          <w:tcPr>
            <w:tcW w:type="dxa" w:w="1336"/>
          </w:tcPr>
          <w:p>
            <w:r>
              <w:rPr>
                <w:sz w:val="20"/>
              </w:rPr>
              <w:t>2e gén. (pipéridine, dernière génération)</w:t>
            </w:r>
          </w:p>
        </w:tc>
        <w:tc>
          <w:tcPr>
            <w:tcW w:type="dxa" w:w="1336"/>
          </w:tcPr>
          <w:p>
            <w:r>
              <w:rPr>
                <w:sz w:val="20"/>
              </w:rPr>
              <w:t>Antagoniste H1 (pas de métabolisme CYP) ; profil non sédatif maximal</w:t>
            </w:r>
          </w:p>
        </w:tc>
        <w:tc>
          <w:tcPr>
            <w:tcW w:type="dxa" w:w="1336"/>
          </w:tcPr>
          <w:p>
            <w:r>
              <w:rPr>
                <w:sz w:val="20"/>
              </w:rPr>
              <w:t>20 mg/jour (1 prise, à jeun)</w:t>
            </w:r>
          </w:p>
        </w:tc>
        <w:tc>
          <w:tcPr>
            <w:tcW w:type="dxa" w:w="1336"/>
          </w:tcPr>
          <w:p>
            <w:r>
              <w:rPr>
                <w:sz w:val="20"/>
              </w:rPr>
              <w:t>Céphalées</w:t>
            </w:r>
          </w:p>
        </w:tc>
        <w:tc>
          <w:tcPr>
            <w:tcW w:type="dxa" w:w="1336"/>
          </w:tcPr>
          <w:p>
            <w:r>
              <w:rPr>
                <w:sz w:val="20"/>
              </w:rPr>
              <w:t>Aucune CI majeure (profil rassurant)</w:t>
            </w:r>
          </w:p>
        </w:tc>
        <w:tc>
          <w:tcPr>
            <w:tcW w:type="dxa" w:w="1336"/>
          </w:tcPr>
          <w:p>
            <w:r>
              <w:rPr>
                <w:sz w:val="20"/>
              </w:rPr>
              <w:t>Déconseillée grossesse ; allaitement déconseillé</w:t>
            </w:r>
          </w:p>
        </w:tc>
      </w:tr>
      <w:tr>
        <w:tc>
          <w:tcPr>
            <w:tcW w:type="dxa" w:w="1336"/>
          </w:tcPr>
          <w:p>
            <w:r>
              <w:rPr>
                <w:sz w:val="20"/>
              </w:rPr>
              <w:t>**Rupatadine**</w:t>
            </w:r>
          </w:p>
        </w:tc>
        <w:tc>
          <w:tcPr>
            <w:tcW w:type="dxa" w:w="1336"/>
          </w:tcPr>
          <w:p>
            <w:r>
              <w:rPr>
                <w:sz w:val="20"/>
              </w:rPr>
              <w:t>2e gén. (pipéridine, double action H1 + PAF)</w:t>
            </w:r>
          </w:p>
        </w:tc>
        <w:tc>
          <w:tcPr>
            <w:tcW w:type="dxa" w:w="1336"/>
          </w:tcPr>
          <w:p>
            <w:r>
              <w:rPr>
                <w:sz w:val="20"/>
              </w:rPr>
              <w:t>Antagoniste H1 + antagoniste PAF ; métabolisme CYP3A4</w:t>
            </w:r>
          </w:p>
        </w:tc>
        <w:tc>
          <w:tcPr>
            <w:tcW w:type="dxa" w:w="1336"/>
          </w:tcPr>
          <w:p>
            <w:r>
              <w:rPr>
                <w:sz w:val="20"/>
              </w:rPr>
              <w:t>10 mg/jour (1 prise)</w:t>
            </w:r>
          </w:p>
        </w:tc>
        <w:tc>
          <w:tcPr>
            <w:tcW w:type="dxa" w:w="1336"/>
          </w:tcPr>
          <w:p>
            <w:r>
              <w:rPr>
                <w:sz w:val="20"/>
              </w:rPr>
              <w:t>Céphalées, allongement QTc (rare, dose-dépendant)</w:t>
            </w:r>
          </w:p>
        </w:tc>
        <w:tc>
          <w:tcPr>
            <w:tcW w:type="dxa" w:w="1336"/>
          </w:tcPr>
          <w:p>
            <w:r>
              <w:rPr>
                <w:sz w:val="20"/>
              </w:rPr>
              <w:t>Allongeurs QT, inhib. CYP3A4, ins. hépatique sévère</w:t>
            </w:r>
          </w:p>
        </w:tc>
        <w:tc>
          <w:tcPr>
            <w:tcW w:type="dxa" w:w="1336"/>
          </w:tcPr>
          <w:p>
            <w:r>
              <w:rPr>
                <w:sz w:val="20"/>
              </w:rPr>
              <w:t>Déconseillée grossesse ; allaitement déconseillé</w:t>
            </w:r>
          </w:p>
        </w:tc>
      </w:tr>
      <w:tr>
        <w:tc>
          <w:tcPr>
            <w:tcW w:type="dxa" w:w="1336"/>
          </w:tcPr>
          <w:p>
            <w:r>
              <w:rPr>
                <w:sz w:val="20"/>
              </w:rPr>
              <w:t>**Hydroxyzine**</w:t>
            </w:r>
          </w:p>
        </w:tc>
        <w:tc>
          <w:tcPr>
            <w:tcW w:type="dxa" w:w="1336"/>
          </w:tcPr>
          <w:p>
            <w:r>
              <w:rPr>
                <w:sz w:val="20"/>
              </w:rPr>
              <w:t>1re gén. (pipérazine, sédatif)</w:t>
            </w:r>
          </w:p>
        </w:tc>
        <w:tc>
          <w:tcPr>
            <w:tcW w:type="dxa" w:w="1336"/>
          </w:tcPr>
          <w:p>
            <w:r>
              <w:rPr>
                <w:sz w:val="20"/>
              </w:rPr>
              <w:t>Antagoniste H1 + sédation centrale + anticholinergique + allongeur QT (hERG)</w:t>
            </w:r>
          </w:p>
        </w:tc>
        <w:tc>
          <w:tcPr>
            <w:tcW w:type="dxa" w:w="1336"/>
          </w:tcPr>
          <w:p>
            <w:r>
              <w:rPr>
                <w:sz w:val="20"/>
              </w:rPr>
              <w:t>Anxiété : 25-50 mg/jour (max 100 mg/jour ANSM 2015)</w:t>
            </w:r>
          </w:p>
        </w:tc>
        <w:tc>
          <w:tcPr>
            <w:tcW w:type="dxa" w:w="1336"/>
          </w:tcPr>
          <w:p>
            <w:r>
              <w:rPr>
                <w:sz w:val="20"/>
              </w:rPr>
              <w:t>Sédation, atropinique, allongement QTc</w:t>
            </w:r>
          </w:p>
        </w:tc>
        <w:tc>
          <w:tcPr>
            <w:tcW w:type="dxa" w:w="1336"/>
          </w:tcPr>
          <w:p>
            <w:r>
              <w:rPr>
                <w:sz w:val="20"/>
              </w:rPr>
              <w:t>Allongeurs QT (CI absolue), hypokaliémie, glaucome, HBP, grossesse 3e trim.</w:t>
            </w:r>
          </w:p>
        </w:tc>
        <w:tc>
          <w:tcPr>
            <w:tcW w:type="dxa" w:w="1336"/>
          </w:tcPr>
          <w:p>
            <w:r>
              <w:rPr>
                <w:sz w:val="20"/>
              </w:rPr>
              <w:t>Déconseillée grossesse ; CI allaitement</w:t>
            </w:r>
          </w:p>
        </w:tc>
      </w:tr>
      <w:tr>
        <w:tc>
          <w:tcPr>
            <w:tcW w:type="dxa" w:w="1336"/>
          </w:tcPr>
          <w:p>
            <w:r>
              <w:rPr>
                <w:sz w:val="20"/>
              </w:rPr>
              <w:t>**Prométhazine**</w:t>
            </w:r>
          </w:p>
        </w:tc>
        <w:tc>
          <w:tcPr>
            <w:tcW w:type="dxa" w:w="1336"/>
          </w:tcPr>
          <w:p>
            <w:r>
              <w:rPr>
                <w:sz w:val="20"/>
              </w:rPr>
              <w:t>1re gén. (phénothiazine)</w:t>
            </w:r>
          </w:p>
        </w:tc>
        <w:tc>
          <w:tcPr>
            <w:tcW w:type="dxa" w:w="1336"/>
          </w:tcPr>
          <w:p>
            <w:r>
              <w:rPr>
                <w:sz w:val="20"/>
              </w:rPr>
              <w:t>Antagoniste H1 + sédation centrale + anticholinergique + anti-D2 + anti-5HT2A + dépresseur respiratoire</w:t>
            </w:r>
          </w:p>
        </w:tc>
        <w:tc>
          <w:tcPr>
            <w:tcW w:type="dxa" w:w="1336"/>
          </w:tcPr>
          <w:p>
            <w:r>
              <w:rPr>
                <w:sz w:val="20"/>
              </w:rPr>
              <w:t>Prémédication : 25-50 mg IM/IV</w:t>
            </w:r>
          </w:p>
        </w:tc>
        <w:tc>
          <w:tcPr>
            <w:tcW w:type="dxa" w:w="1336"/>
          </w:tcPr>
          <w:p>
            <w:r>
              <w:rPr>
                <w:sz w:val="20"/>
              </w:rPr>
              <w:t>Sédation marquée, atropinique, mort subite nourrisson</w:t>
            </w:r>
          </w:p>
        </w:tc>
        <w:tc>
          <w:tcPr>
            <w:tcW w:type="dxa" w:w="1336"/>
          </w:tcPr>
          <w:p>
            <w:r>
              <w:rPr>
                <w:sz w:val="20"/>
              </w:rPr>
              <w:t>Enfant &lt; 2 ans (CI absolue — mort subite), allongeurs QT, IMAO, glaucome, HBP</w:t>
            </w:r>
          </w:p>
        </w:tc>
        <w:tc>
          <w:tcPr>
            <w:tcW w:type="dxa" w:w="1336"/>
          </w:tcPr>
          <w:p>
            <w:r>
              <w:rPr>
                <w:sz w:val="20"/>
              </w:rPr>
              <w:t>Déconseillée grossesse (3e trim) ; CI allaitement</w:t>
            </w:r>
          </w:p>
        </w:tc>
      </w:tr>
      <w:tr>
        <w:tc>
          <w:tcPr>
            <w:tcW w:type="dxa" w:w="1336"/>
          </w:tcPr>
          <w:p>
            <w:r>
              <w:rPr>
                <w:sz w:val="20"/>
              </w:rPr>
              <w:t>**Dexchlorphéniramine**</w:t>
            </w:r>
          </w:p>
        </w:tc>
        <w:tc>
          <w:tcPr>
            <w:tcW w:type="dxa" w:w="1336"/>
          </w:tcPr>
          <w:p>
            <w:r>
              <w:rPr>
                <w:sz w:val="20"/>
              </w:rPr>
              <w:t>1re gén. (alkylamine)</w:t>
            </w:r>
          </w:p>
        </w:tc>
        <w:tc>
          <w:tcPr>
            <w:tcW w:type="dxa" w:w="1336"/>
          </w:tcPr>
          <w:p>
            <w:r>
              <w:rPr>
                <w:sz w:val="20"/>
              </w:rPr>
              <w:t>Antagoniste H1 (énantiomère S actif de chlorphéniramine)</w:t>
            </w:r>
          </w:p>
        </w:tc>
        <w:tc>
          <w:tcPr>
            <w:tcW w:type="dxa" w:w="1336"/>
          </w:tcPr>
          <w:p>
            <w:r>
              <w:rPr>
                <w:sz w:val="20"/>
              </w:rPr>
              <w:t>2 mg x 3-4/jour (max 12 mg/jour)</w:t>
            </w:r>
          </w:p>
        </w:tc>
        <w:tc>
          <w:tcPr>
            <w:tcW w:type="dxa" w:w="1336"/>
          </w:tcPr>
          <w:p>
            <w:r>
              <w:rPr>
                <w:sz w:val="20"/>
              </w:rPr>
              <w:t>Sédation modérée (la moins marquée des 1re gén.)</w:t>
            </w:r>
          </w:p>
        </w:tc>
        <w:tc>
          <w:tcPr>
            <w:tcW w:type="dxa" w:w="1336"/>
          </w:tcPr>
          <w:p>
            <w:r>
              <w:rPr>
                <w:sz w:val="20"/>
              </w:rPr>
              <w:t>Glaucome, HBP, IMAO, enfant &lt; 2 ans (prudence)</w:t>
            </w:r>
          </w:p>
        </w:tc>
        <w:tc>
          <w:tcPr>
            <w:tcW w:type="dxa" w:w="1336"/>
          </w:tcPr>
          <w:p>
            <w:r>
              <w:rPr>
                <w:sz w:val="20"/>
              </w:rPr>
              <w:t>Déconseillée 1er trimestre ; déconseillée allaitement</w:t>
            </w:r>
          </w:p>
        </w:tc>
      </w:tr>
      <w:tr>
        <w:tc>
          <w:tcPr>
            <w:tcW w:type="dxa" w:w="1336"/>
          </w:tcPr>
          <w:p>
            <w:r>
              <w:rPr>
                <w:sz w:val="20"/>
              </w:rPr>
              <w:t>**Doxylamine**</w:t>
            </w:r>
          </w:p>
        </w:tc>
        <w:tc>
          <w:tcPr>
            <w:tcW w:type="dxa" w:w="1336"/>
          </w:tcPr>
          <w:p>
            <w:r>
              <w:rPr>
                <w:sz w:val="20"/>
              </w:rPr>
              <w:t>1re gén. (éthanolamine)</w:t>
            </w:r>
          </w:p>
        </w:tc>
        <w:tc>
          <w:tcPr>
            <w:tcW w:type="dxa" w:w="1336"/>
          </w:tcPr>
          <w:p>
            <w:r>
              <w:rPr>
                <w:sz w:val="20"/>
              </w:rPr>
              <w:t>Antagoniste H1 + sédation marquée + anticholinergique</w:t>
            </w:r>
          </w:p>
        </w:tc>
        <w:tc>
          <w:tcPr>
            <w:tcW w:type="dxa" w:w="1336"/>
          </w:tcPr>
          <w:p>
            <w:r>
              <w:rPr>
                <w:sz w:val="20"/>
              </w:rPr>
              <w:t>Insomnie : 25 mg au coucher</w:t>
            </w:r>
          </w:p>
        </w:tc>
        <w:tc>
          <w:tcPr>
            <w:tcW w:type="dxa" w:w="1336"/>
          </w:tcPr>
          <w:p>
            <w:r>
              <w:rPr>
                <w:sz w:val="20"/>
              </w:rPr>
              <w:t>Sédation marquée (effet « gueule de bois »), atropinique</w:t>
            </w:r>
          </w:p>
        </w:tc>
        <w:tc>
          <w:tcPr>
            <w:tcW w:type="dxa" w:w="1336"/>
          </w:tcPr>
          <w:p>
            <w:r>
              <w:rPr>
                <w:sz w:val="20"/>
              </w:rPr>
              <w:t>Glaucome, HBP, IMAO, enfant &lt; 6 ans</w:t>
            </w:r>
          </w:p>
        </w:tc>
        <w:tc>
          <w:tcPr>
            <w:tcW w:type="dxa" w:w="1336"/>
          </w:tcPr>
          <w:p>
            <w:r>
              <w:rPr>
                <w:sz w:val="20"/>
              </w:rPr>
              <w:t>Compatible grossesse (hyperemesis) ; déconseillée allaitement</w:t>
            </w:r>
          </w:p>
        </w:tc>
      </w:tr>
      <w:tr>
        <w:tc>
          <w:tcPr>
            <w:tcW w:type="dxa" w:w="1336"/>
          </w:tcPr>
          <w:p>
            <w:r>
              <w:rPr>
                <w:sz w:val="20"/>
              </w:rPr>
              <w:t>**Phényléphrine + Chlorphéniramine**</w:t>
            </w:r>
          </w:p>
        </w:tc>
        <w:tc>
          <w:tcPr>
            <w:tcW w:type="dxa" w:w="1336"/>
          </w:tcPr>
          <w:p>
            <w:r>
              <w:rPr>
                <w:sz w:val="20"/>
              </w:rPr>
              <w:t>1re gén. (alkylamine) + décongestionnant α1</w:t>
            </w:r>
          </w:p>
        </w:tc>
        <w:tc>
          <w:tcPr>
            <w:tcW w:type="dxa" w:w="1336"/>
          </w:tcPr>
          <w:p>
            <w:r>
              <w:rPr>
                <w:sz w:val="20"/>
              </w:rPr>
              <w:t>Antagoniste H1 + vasoconstriction α1</w:t>
            </w:r>
          </w:p>
        </w:tc>
        <w:tc>
          <w:tcPr>
            <w:tcW w:type="dxa" w:w="1336"/>
          </w:tcPr>
          <w:p>
            <w:r>
              <w:rPr>
                <w:sz w:val="20"/>
              </w:rPr>
              <w:t>1 gélule matin et soir (10 mg phényléphrine + 4 mg chlorphéniramine x2/jour)</w:t>
            </w:r>
          </w:p>
        </w:tc>
        <w:tc>
          <w:tcPr>
            <w:tcW w:type="dxa" w:w="1336"/>
          </w:tcPr>
          <w:p>
            <w:r>
              <w:rPr>
                <w:sz w:val="20"/>
              </w:rPr>
              <w:t>Sédation + insomnie, atropinique, vasoconstriction systémique</w:t>
            </w:r>
          </w:p>
        </w:tc>
        <w:tc>
          <w:tcPr>
            <w:tcW w:type="dxa" w:w="1336"/>
          </w:tcPr>
          <w:p>
            <w:r>
              <w:rPr>
                <w:sz w:val="20"/>
              </w:rPr>
              <w:t>IMAO (CI absolue — crise hypertensive), HTA non contrôlée, cardiopathie, hyperthyroïdie, enfant &lt; 15 ans</w:t>
            </w:r>
          </w:p>
        </w:tc>
        <w:tc>
          <w:tcPr>
            <w:tcW w:type="dxa" w:w="1336"/>
          </w:tcPr>
          <w:p>
            <w:r>
              <w:rPr>
                <w:sz w:val="20"/>
              </w:rPr>
              <w:t>Déconseillée grossesse ; CI allaitement</w:t>
            </w:r>
          </w:p>
        </w:tc>
      </w:tr>
    </w:tbl>
    <w:p/>
    <w:p>
      <w:pPr>
        <w:pStyle w:val="Heading2"/>
      </w:pPr>
      <w:r>
        <w:t>15. Règles d'Or et points-clés au comptoir</w:t>
      </w:r>
    </w:p>
    <w:p>
      <w:pPr>
        <w:pStyle w:val="Heading3"/>
      </w:pPr>
      <w:r>
        <w:t>15.1. Règles d'Or absolues</w:t>
      </w:r>
    </w:p>
    <w:p>
      <w:pPr>
        <w:pStyle w:val="ListNumber"/>
      </w:pPr>
      <w:r/>
      <w:r>
        <w:rPr>
          <w:b/>
        </w:rPr>
        <w:t>2e génération en 1re intention dans la rhinite allergique et l'urticaire</w:t>
      </w:r>
      <w:r>
        <w:t xml:space="preserve">. Les antihistaminiques H1 de 2e génération (cétirizine, lévocétirizine, loratadine, desloratadine, fexofénadine, ébastine, bilastine, rupatadine) sont </w:t>
      </w:r>
      <w:r>
        <w:rPr>
          <w:b/>
        </w:rPr>
        <w:t>préférés en 1re intention</w:t>
      </w:r>
      <w:r>
        <w:t xml:space="preserve"> dans la rhinite allergique, la conjonctivite allergique et l'urticaire chronique, en raison de leur </w:t>
      </w:r>
      <w:r>
        <w:rPr>
          <w:b/>
        </w:rPr>
        <w:t>profil non sédatif</w:t>
      </w:r>
      <w:r>
        <w:t xml:space="preserve">, de leur </w:t>
      </w:r>
      <w:r>
        <w:rPr>
          <w:b/>
        </w:rPr>
        <w:t>absence d'effets atropiniques</w:t>
      </w:r>
      <w:r>
        <w:t xml:space="preserve"> et de leur </w:t>
      </w:r>
      <w:r>
        <w:rPr>
          <w:b/>
        </w:rPr>
        <w:t>bonne tolérance cardiaque</w:t>
      </w:r>
      <w:r>
        <w:t xml:space="preserve">. Les 1re génération (hydroxyzine, prométhazine, dexchlorphéniramine, doxylamine) sont </w:t>
      </w:r>
      <w:r>
        <w:rPr>
          <w:b/>
        </w:rPr>
        <w:t>déconseillés en 1re intention</w:t>
      </w:r>
      <w:r>
        <w:t xml:space="preserve"> dans ces indications et doivent être réservées à des indications spécifiques (sédation, antiémèse, mal des transports, prurit central, insomnie occasionnelle).</w:t>
      </w:r>
    </w:p>
    <w:p>
      <w:pPr>
        <w:pStyle w:val="ListNumber"/>
      </w:pPr>
      <w:r/>
      <w:r>
        <w:rPr>
          <w:b/>
        </w:rPr>
        <w:t>Hydroxyzine : restriction ANSM 2015 — dose maximale 100 mg/jour, surveillance QT</w:t>
      </w:r>
      <w:r>
        <w:t xml:space="preserve">. Depuis mars 2015, l'hydroxyzine est restreinte à une dose maximale de 100 mg/jour chez l'adulte (50 mg/jour chez le sujet âgé &gt; 65 ans), avec une </w:t>
      </w:r>
      <w:r>
        <w:rPr>
          <w:b/>
        </w:rPr>
        <w:t>surveillance ECG obligatoire</w:t>
      </w:r>
      <w:r>
        <w:t xml:space="preserve"> avant initiation et au cours du traitement en cas d'association à d'autres allongeurs QT, en cas d'hypokaliémie/hypomagnésémie, ou en cas d'antécédents cardiovasculaires. </w:t>
      </w:r>
      <w:r>
        <w:rPr>
          <w:b/>
        </w:rPr>
        <w:t>CI absolue aux autres allongeurs QT</w:t>
      </w:r>
      <w:r>
        <w:t xml:space="preserve"> (antiarythmiques Ia/III, macrolides, fluoroquinolones, antifongiques azolés, antidépresseurs, antipsychotiques, ébastine, rupatadine). Cette restriction fait suite à l'évaluation PRAC EMA (2014-2015) qui a conclu à un risque dose-dépendant d'allongement du QTc et de torsades de pointe.</w:t>
      </w:r>
    </w:p>
    <w:p>
      <w:pPr>
        <w:pStyle w:val="ListNumber"/>
      </w:pPr>
      <w:r/>
      <w:r>
        <w:rPr>
          <w:b/>
        </w:rPr>
        <w:t>Prométhazine : CI absolue enfant &lt; 2 ans (mort subite du nourrisson)</w:t>
      </w:r>
      <w:r>
        <w:t xml:space="preserve">. La prométhazine est </w:t>
      </w:r>
      <w:r>
        <w:rPr>
          <w:b/>
        </w:rPr>
        <w:t>contre-indiquée absolument chez l'enfant de moins de 2 ans</w:t>
      </w:r>
      <w:r>
        <w:t xml:space="preserve"> en raison du risque documenté de </w:t>
      </w:r>
      <w:r>
        <w:rPr>
          <w:b/>
        </w:rPr>
        <w:t>mort subite du nourrisson</w:t>
      </w:r>
      <w:r>
        <w:t xml:space="preserve"> (effet dépresseur respiratoire central, potentialisation par les effets atropiniques sur la commande respiratoire). Cette CI s'applique à toutes les phénothiazines en pédiatrie. Ne jamais délivrer ni administrer de prométhazine (sirop, cp, ou injectable) à un enfant &lt; 2 ans. Si une prescription est reçue, contacter le prescripteur pour substitution (2e génération — sirop de cétirizine, loratadine ou desloratadine).</w:t>
      </w:r>
    </w:p>
    <w:p>
      <w:pPr>
        <w:pStyle w:val="ListNumber"/>
      </w:pPr>
      <w:r/>
      <w:r>
        <w:rPr>
          <w:b/>
        </w:rPr>
        <w:t>1re génération et alcool : potentialisation majeure de la sédation</w:t>
      </w:r>
      <w:r>
        <w:t xml:space="preserve">. L'association antihistaminique H1 1re génération + alcool provoque une </w:t>
      </w:r>
      <w:r>
        <w:rPr>
          <w:b/>
        </w:rPr>
        <w:t>potentialisation majeure de la sédation</w:t>
      </w:r>
      <w:r>
        <w:t xml:space="preserve"> et de l'altération des performances psychomotrices. Toujours avertir le patient de ne pas consommer d'alcool pendant le traitement (et le lendemain pour la doxylamine en raison de sa longue demi-vie).</w:t>
      </w:r>
    </w:p>
    <w:p>
      <w:pPr>
        <w:pStyle w:val="ListNumber"/>
      </w:pPr>
      <w:r/>
      <w:r>
        <w:rPr>
          <w:b/>
        </w:rPr>
        <w:t>1re génération et conduite automobile : déconseillée</w:t>
      </w:r>
      <w:r>
        <w:t xml:space="preserve">. Les antihistaminiques H1 1re génération (hydroxyzine, prométhazine, dexchlorphéniramine, doxylamine) altèrent la vigilance et les performances psychomotrices — la conduite automobile est </w:t>
      </w:r>
      <w:r>
        <w:rPr>
          <w:b/>
        </w:rPr>
        <w:t>déconseillée systématiquement</w:t>
      </w:r>
      <w:r>
        <w:t xml:space="preserve">, en particulier en début de traitement. Les 2e génération (en particulier la fexofénadine, la bilastine et la loratadine) sont </w:t>
      </w:r>
      <w:r>
        <w:rPr>
          <w:b/>
        </w:rPr>
        <w:t>compatibles avec la conduite automobile</w:t>
      </w:r>
      <w:r>
        <w:t xml:space="preserve"> aux doses recommandées.</w:t>
      </w:r>
    </w:p>
    <w:p>
      <w:pPr>
        <w:pStyle w:val="ListNumber"/>
      </w:pPr>
      <w:r/>
      <w:r>
        <w:rPr>
          <w:b/>
        </w:rPr>
        <w:t>Hydroxyzine + allongeurs QT = CI absolue (torsades de pointe)</w:t>
      </w:r>
      <w:r>
        <w:t>. L'hydroxyzine ne doit jamais être associée à d'autres allongeurs QT (antiarythmiques Ia/III, macrolides, fluoroquinolones, antifongiques azolés, antidépresseurs à haute dose, antipsychotiques, ébastine, rupatadine, etc.). Toujours demander au patient s'il prend un traitement allongeur QT avant prescription. En cas de doute, faire vérifier l'ordonnance par le médecin.</w:t>
      </w:r>
    </w:p>
    <w:p>
      <w:pPr>
        <w:pStyle w:val="ListNumber"/>
      </w:pPr>
      <w:r/>
      <w:r>
        <w:rPr>
          <w:b/>
        </w:rPr>
        <w:t>Fexofénadine : prise à jeun obligatoire, éviter le jus de pamplemousse</w:t>
      </w:r>
      <w:r>
        <w:t xml:space="preserve">. La fexofénadine doit être prise </w:t>
      </w:r>
      <w:r>
        <w:rPr>
          <w:b/>
        </w:rPr>
        <w:t>à jeun</w:t>
      </w:r>
      <w:r>
        <w:t xml:space="preserve"> (1 heure avant ou 2 heures après un repas) avec de l'eau, en évitant la prise simultanée de </w:t>
      </w:r>
      <w:r>
        <w:rPr>
          <w:b/>
        </w:rPr>
        <w:t>jus de pamplemousse, de jus de pomme ou de jus d'orange</w:t>
      </w:r>
      <w:r>
        <w:t xml:space="preserve"> (inhibition des transporteurs OATP et de la P-gp → diminution de l'absorption de 30 à 40 %). La prise avec alimentation réduit l'efficacité.</w:t>
      </w:r>
    </w:p>
    <w:p>
      <w:pPr>
        <w:pStyle w:val="ListNumber"/>
      </w:pPr>
      <w:r/>
      <w:r>
        <w:rPr>
          <w:b/>
        </w:rPr>
        <w:t>Bilastine : prise à jeun obligatoire</w:t>
      </w:r>
      <w:r>
        <w:t xml:space="preserve">. Comme la fexofénadine, la bilastine doit être prise </w:t>
      </w:r>
      <w:r>
        <w:rPr>
          <w:b/>
        </w:rPr>
        <w:t>à jeun</w:t>
      </w:r>
      <w:r>
        <w:t xml:space="preserve"> (1 heure avant ou 2 heures après un repas) avec de l'eau, en évitant le jus de pamplemousse (inhibition de la P-gp et des transporteurs OATP → diminution de l'absorption de 30 à 40 %).</w:t>
      </w:r>
    </w:p>
    <w:p>
      <w:pPr>
        <w:pStyle w:val="ListNumber"/>
      </w:pPr>
      <w:r/>
      <w:r>
        <w:rPr>
          <w:b/>
        </w:rPr>
        <w:t>Anaphylaxie : jamais d'antihistaminique H1 en monothérapie</w:t>
      </w:r>
      <w:r>
        <w:t>. L'antihistaminique H1 n'est pas un traitement de l'anaphylaxie. Le traitement de 1re ligne est l'</w:t>
      </w:r>
      <w:r>
        <w:rPr>
          <w:b/>
        </w:rPr>
        <w:t>adrénaline IM</w:t>
      </w:r>
      <w:r>
        <w:t xml:space="preserve"> (Stylo Anapen 0,3 mg adulte, 0,15 mg enfant), à renouveler à 5-15 minutes si besoin, avec appel du SAMU (15 ou 112). L'antihistaminique H1 (cétirizine ou dexchlorphéniramine) peut être administré en complément après adrénaline pour soulager l'urticaire et le prurit résiduels. </w:t>
      </w:r>
      <w:r>
        <w:rPr>
          <w:b/>
        </w:rPr>
        <w:t>Attention</w:t>
      </w:r>
      <w:r>
        <w:t xml:space="preserve"> : la prométhazine peut </w:t>
      </w:r>
      <w:r>
        <w:rPr>
          <w:b/>
        </w:rPr>
        <w:t>inverser l'effet vasopresseur de l'adrénaline</w:t>
      </w:r>
      <w:r>
        <w:t xml:space="preserve"> (effet α-bloquant) — à ne jamais utiliser dans l'anaphylaxie.</w:t>
      </w:r>
    </w:p>
    <w:p>
      <w:pPr>
        <w:pStyle w:val="ListNumber"/>
      </w:pPr>
      <w:r/>
      <w:r>
        <w:rPr>
          <w:b/>
        </w:rPr>
        <w:t>Mesures non-médicamenteuses avant tout</w:t>
      </w:r>
      <w:r>
        <w:t xml:space="preserve">. Avant tout recours pharmacologique à un antihistaminique H1, </w:t>
      </w:r>
      <w:r>
        <w:rPr>
          <w:b/>
        </w:rPr>
        <w:t>privilégier</w:t>
      </w:r>
      <w:r>
        <w:t xml:space="preserve"> :</w:t>
      </w:r>
    </w:p>
    <w:p>
      <w:pPr>
        <w:pStyle w:val="ListBullet"/>
      </w:pPr>
      <w:r/>
      <w:r>
        <w:rPr>
          <w:b/>
        </w:rPr>
        <w:t>Éviction de l'allergène</w:t>
      </w:r>
      <w:r>
        <w:t xml:space="preserve"> (acariens, pollens, phanères animales, moisissures) — première mesure.</w:t>
      </w:r>
    </w:p>
    <w:p>
      <w:pPr>
        <w:pStyle w:val="ListBullet"/>
      </w:pPr>
      <w:r/>
      <w:r>
        <w:rPr>
          <w:b/>
        </w:rPr>
        <w:t>Lavage nasal au sérum physiologique</w:t>
      </w:r>
      <w:r>
        <w:t xml:space="preserve"> (rhinite allergique, rhume banal).</w:t>
      </w:r>
    </w:p>
    <w:p>
      <w:pPr>
        <w:pStyle w:val="ListBullet"/>
      </w:pPr>
      <w:r/>
      <w:r>
        <w:rPr>
          <w:b/>
        </w:rPr>
        <w:t>Hydratation</w:t>
      </w:r>
      <w:r>
        <w:t xml:space="preserve"> abondante (1,5-2 L/jour adulte).</w:t>
      </w:r>
    </w:p>
    <w:p>
      <w:pPr>
        <w:pStyle w:val="ListBullet"/>
      </w:pPr>
      <w:r/>
      <w:r>
        <w:rPr>
          <w:b/>
        </w:rPr>
        <w:t>Arrêt du tabac</w:t>
      </w:r>
      <w:r>
        <w:t xml:space="preserve"> (première cause de toux chronique et d'aggravation des allergies respiratoires).</w:t>
      </w:r>
    </w:p>
    <w:p>
      <w:pPr>
        <w:pStyle w:val="ListBullet"/>
      </w:pPr>
      <w:r/>
      <w:r>
        <w:rPr>
          <w:b/>
        </w:rPr>
        <w:t>Collyres et sprays nasaux</w:t>
      </w:r>
      <w:r>
        <w:t xml:space="preserve"> (formes locales d'antihistaminiques — azélastine nasale, olopatadine oculaire — non disponibles en Algérie par voie locale, mais peuvent être importés sur prescription spécialisée).</w:t>
      </w:r>
    </w:p>
    <w:p>
      <w:pPr>
        <w:pStyle w:val="Heading3"/>
      </w:pPr>
      <w:r>
        <w:t>15.2. Pièges majeurs au comptoir</w:t>
      </w:r>
    </w:p>
    <w:p>
      <w:pPr>
        <w:pStyle w:val="ListBullet"/>
      </w:pPr>
      <w:r/>
      <w:r>
        <w:rPr>
          <w:b/>
        </w:rPr>
        <w:t>Rhinite allergique persistante &gt; 4 semaines</w:t>
      </w:r>
      <w:r>
        <w:t xml:space="preserve"> : orientation médicale systématique pour bilan allergologique (tests cutanés, IgE spécifiques) et évaluation d'un traitement de fond (corticoïde nasal, immunothérapie allergénique — désensibilisation).</w:t>
      </w:r>
    </w:p>
    <w:p>
      <w:pPr>
        <w:pStyle w:val="ListBullet"/>
      </w:pPr>
      <w:r/>
      <w:r>
        <w:rPr>
          <w:b/>
        </w:rPr>
        <w:t>Urticaire chronique &gt; 6 semaines</w:t>
      </w:r>
      <w:r>
        <w:t xml:space="preserve"> : orientation médicale pour bilan étiologique (auto-anticorps anti-FcεRI, thyroidopathie, infection chronique, vascularite) et évaluation d'un traitement prolongé (antihistaminique H1 2e génération jusqu'à 4× la dose en 2e intention ; omalizumab en 3e intention — cf. Chapitre 63).</w:t>
      </w:r>
    </w:p>
    <w:p>
      <w:pPr>
        <w:pStyle w:val="ListBullet"/>
      </w:pPr>
      <w:r/>
      <w:r>
        <w:rPr>
          <w:b/>
        </w:rPr>
        <w:t>Angio-œdème</w:t>
      </w:r>
      <w:r>
        <w:t xml:space="preserve"> (œdème du visage, des lèvres, de la langue, du pharynx) : </w:t>
      </w:r>
      <w:r>
        <w:rPr>
          <w:b/>
        </w:rPr>
        <w:t>urgence vitale</w:t>
      </w:r>
      <w:r>
        <w:t xml:space="preserve"> — risque de détresse respiratoire par obstruction des voies aériennes supérieures. Appeler le SAMU (15 ou 112), administrer de l'adrénaline IM (Stylo Anapen) si signes d'anaphylaxie associée, installer le patient en position semi-assise, surveiller la ventilation. L'antihistaminique H1 est utile mais insuffisant — la corticothérapie orale et l'adrénaline sont les traitements d'urgence.</w:t>
      </w:r>
    </w:p>
    <w:p>
      <w:pPr>
        <w:pStyle w:val="ListBullet"/>
      </w:pPr>
      <w:r/>
      <w:r>
        <w:rPr>
          <w:b/>
        </w:rPr>
        <w:t>Anaphylaxie</w:t>
      </w:r>
      <w:r>
        <w:t xml:space="preserve"> (urticaire généralisée + bronchospasme + hypotension + signes digestifs) : </w:t>
      </w:r>
      <w:r>
        <w:rPr>
          <w:b/>
        </w:rPr>
        <w:t>urgence vitale</w:t>
      </w:r>
      <w:r>
        <w:t xml:space="preserve"> — adrénaline IM (Stylo Anapen) + SAMU. Ne jamais utiliser de prométhazine (effet α-bloquant inversant l'adrénaline).</w:t>
      </w:r>
    </w:p>
    <w:p>
      <w:pPr>
        <w:pStyle w:val="ListBullet"/>
      </w:pPr>
      <w:r/>
      <w:r>
        <w:rPr>
          <w:b/>
        </w:rPr>
        <w:t>Crise de glaucome aigu sous 1re génération</w:t>
      </w:r>
      <w:r>
        <w:t xml:space="preserve"> : douleur oculaire brutale, baisse de l'acuité visuelle, œil rouge, mydriase, nausées. </w:t>
      </w:r>
      <w:r>
        <w:rPr>
          <w:b/>
        </w:rPr>
        <w:t>Urgence ophtalmologique</w:t>
      </w:r>
      <w:r>
        <w:t xml:space="preserve"> — arrêt de l'antihistaminique, pilocarpine, acétazolamide IV, iridotomie laser.</w:t>
      </w:r>
    </w:p>
    <w:p>
      <w:pPr>
        <w:pStyle w:val="ListBullet"/>
      </w:pPr>
      <w:r/>
      <w:r>
        <w:rPr>
          <w:b/>
        </w:rPr>
        <w:t>Rétention urinaire aiguë chez l'homme âgé sous 1re génération</w:t>
      </w:r>
      <w:r>
        <w:t xml:space="preserve"> : arrêt de l'antihistaminique, sondage vésical temporaire, consultation urologique. Toujours demander au patient s'il a des troubles urinaires (dysurie, jet faible, mictions nocturnes) avant prescription d'une 1re génération.</w:t>
      </w:r>
    </w:p>
    <w:p>
      <w:pPr>
        <w:pStyle w:val="ListBullet"/>
      </w:pPr>
      <w:r/>
      <w:r>
        <w:rPr>
          <w:b/>
        </w:rPr>
        <w:t>Somnolence persistante le lendemain sous doxylamine</w:t>
      </w:r>
      <w:r>
        <w:t xml:space="preserve"> : effet « gueule de bois » en raison de la longue demi-vie (10-12 heures). Avertir le patient de ne pas conduire ni utiliser de machines le lendemain. Réduire la dose si nécessaire.</w:t>
      </w:r>
    </w:p>
    <w:p>
      <w:pPr>
        <w:pStyle w:val="ListBullet"/>
      </w:pPr>
      <w:r/>
      <w:r>
        <w:rPr>
          <w:b/>
        </w:rPr>
        <w:t>Insomnie sous doxylamine + phényléphrine (GRIPEX)</w:t>
      </w:r>
      <w:r>
        <w:t xml:space="preserve"> : la phényléphrine peut provoquer de l'insomnie — d'où la nécessité de prendre la dernière gélule avant 18 heures. Avertir le patient.</w:t>
      </w:r>
    </w:p>
    <w:p>
      <w:pPr>
        <w:pStyle w:val="ListBullet"/>
      </w:pPr>
      <w:r/>
      <w:r>
        <w:rPr>
          <w:b/>
        </w:rPr>
        <w:t>Crise hypertensive sous phényléphrine (GRIPEX)</w:t>
      </w:r>
      <w:r>
        <w:t xml:space="preserve"> : risque chez le sujet hypertendu non contrôlé. Surveiller la tension artérielle. CI absolue en cas d'HTA non contrôlée.</w:t>
      </w:r>
    </w:p>
    <w:p>
      <w:pPr>
        <w:pStyle w:val="ListBullet"/>
      </w:pPr>
      <w:r/>
      <w:r>
        <w:rPr>
          <w:b/>
        </w:rPr>
        <w:t>Allongement QT sous hydroxyzine</w:t>
      </w:r>
      <w:r>
        <w:t xml:space="preserve"> : risque de torsades de pointe potentiellement mortelle. Surveillance ECG obligatoire en cas de facteur de risque (cf. Règle 6). Chez le sujet âgé, réduire la dose à 25-50 mg/jour maximum.</w:t>
      </w:r>
    </w:p>
    <w:p>
      <w:pPr>
        <w:pStyle w:val="ListBullet"/>
      </w:pPr>
      <w:r/>
      <w:r>
        <w:rPr>
          <w:b/>
        </w:rPr>
        <w:t>Substitution 1re génération ↔ 2e génération</w:t>
      </w:r>
      <w:r>
        <w:t xml:space="preserve"> : toujours privilégier la 2e génération en cas d'allergie respiratoire ou cutanée, sauf indication spécifique de la 1re génération (sédation, antiémèse, mal des transports, insomnie, prurit central). En cas de substitution hydroxyzine → cétirizine, rappeler que la cétirizine est le métabolite actif de l'hydroxyzine (sans effet central ni allongement QT).</w:t>
      </w:r>
    </w:p>
    <w:p>
      <w:pPr>
        <w:pStyle w:val="Heading3"/>
      </w:pPr>
      <w:r>
        <w:t>15.3. Points-clés de la nomenclature algérienne</w:t>
      </w:r>
    </w:p>
    <w:p>
      <w:pPr>
        <w:pStyle w:val="ListBullet"/>
      </w:pPr>
      <w:r/>
      <w:r>
        <w:rPr>
          <w:b/>
        </w:rPr>
        <w:t>Marché très fragmenté en 2e génération</w:t>
      </w:r>
      <w:r>
        <w:t xml:space="preserve"> : la cétirizine compte 22 spécialités actives (11 cp + 11 solutions buvables) ; la loratadine 17 spécialités actives ; la desloratadine 17 spécialités actives ; la fexofénadine 12 spécialités actives ; la lévocétirizine 9 spécialités actives. Le pharmacien doit connaître les équivalences entre génériques pour faciliter la substitution.</w:t>
      </w:r>
    </w:p>
    <w:p>
      <w:pPr>
        <w:pStyle w:val="ListBullet"/>
      </w:pPr>
      <w:r/>
      <w:r>
        <w:rPr>
          <w:b/>
        </w:rPr>
        <w:t>2e génération récentes moins accessibles</w:t>
      </w:r>
      <w:r>
        <w:t xml:space="preserve"> : la </w:t>
      </w:r>
      <w:r>
        <w:rPr>
          <w:b/>
        </w:rPr>
        <w:t>bilastine</w:t>
      </w:r>
      <w:r>
        <w:t xml:space="preserve"> (2 marques — BILASTA Saidal, BILAXTEN Hikma), la </w:t>
      </w:r>
      <w:r>
        <w:rPr>
          <w:b/>
        </w:rPr>
        <w:t>rupatadine</w:t>
      </w:r>
      <w:r>
        <w:t xml:space="preserve"> (1 seule marque — ROPAP El Kendi) et l'</w:t>
      </w:r>
      <w:r>
        <w:rPr>
          <w:b/>
        </w:rPr>
        <w:t>ébastine</w:t>
      </w:r>
      <w:r>
        <w:t xml:space="preserve"> (1 seule marque — EBASTA Merinal) sont moins disponibles en Algérie, mais représentent des alternatives modernes utiles en cas d'inefficacité ou de mauvaise tolérance des 2e génération classiques.</w:t>
      </w:r>
    </w:p>
    <w:p>
      <w:pPr>
        <w:pStyle w:val="ListBullet"/>
      </w:pPr>
      <w:r/>
      <w:r>
        <w:rPr>
          <w:b/>
        </w:rPr>
        <w:t>Hydroxyzine : marché fragmenté</w:t>
      </w:r>
      <w:r>
        <w:t xml:space="preserve"> (6 marques actives — ATARAX UCB Pharma princeps + ATADOZE, CROXIZINE, DURRAX, HYDROXIL, HYXYAH) ; toutes les formes sont en </w:t>
      </w:r>
      <w:r>
        <w:rPr>
          <w:b/>
        </w:rPr>
        <w:t>Liste I</w:t>
      </w:r>
      <w:r>
        <w:t xml:space="preserve"> en Algérie.</w:t>
      </w:r>
    </w:p>
    <w:p>
      <w:pPr>
        <w:pStyle w:val="ListBullet"/>
      </w:pPr>
      <w:r/>
      <w:r>
        <w:rPr>
          <w:b/>
        </w:rPr>
        <w:t>Prométhazine : marché réduit</w:t>
      </w:r>
      <w:r>
        <w:t xml:space="preserve"> : seule la forme injectable PRANOK (Global Pharmatech) est active en Avril 2026. Toutes les formes orales (cp, sirop) sont retirées. Le pharmacien doit orienter le patient vers les alternatives actives : 2e génération pour la rhinite allergique ; doxylamine pour l'insomnie.</w:t>
      </w:r>
    </w:p>
    <w:p>
      <w:pPr>
        <w:pStyle w:val="ListBullet"/>
      </w:pPr>
      <w:r/>
      <w:r>
        <w:rPr>
          <w:b/>
        </w:rPr>
        <w:t>Dexchlorphéniramine</w:t>
      </w:r>
      <w:r>
        <w:t xml:space="preserve"> : 6 marques actives en sirop + 1 marque en cp (HISTAGAN Saidal). Le princeps POLARAMINE Schering-Plough est retiré.</w:t>
      </w:r>
    </w:p>
    <w:p>
      <w:pPr>
        <w:pStyle w:val="ListBullet"/>
      </w:pPr>
      <w:r/>
      <w:r>
        <w:rPr>
          <w:b/>
        </w:rPr>
        <w:t>Doxylamine</w:t>
      </w:r>
      <w:r>
        <w:t xml:space="preserve"> : 2 marques actives en sirop (DORLAMINE AGD Pharma, SULAMINE Groupe Saidal). Utilisée principalement comme somnifère en automédication.</w:t>
      </w:r>
    </w:p>
    <w:p>
      <w:pPr>
        <w:pStyle w:val="ListBullet"/>
      </w:pPr>
      <w:r/>
      <w:r>
        <w:rPr>
          <w:b/>
        </w:rPr>
        <w:t>Association rhume</w:t>
      </w:r>
      <w:r>
        <w:t xml:space="preserve"> : seule GRIPEX (Pharmalliance, phényléphrine + chlorphéniramine) est active en Liste I.</w:t>
      </w:r>
    </w:p>
    <w:p>
      <w:pPr>
        <w:pStyle w:val="ListBullet"/>
      </w:pPr>
      <w:r/>
      <w:r>
        <w:rPr>
          <w:b/>
        </w:rPr>
        <w:t>Spécialités retirées</w:t>
      </w:r>
      <w:r>
        <w:t xml:space="preserve"> : nombreuses (CLARITYNE, ZYRTEC, TELFAST 30 mg, VIRLIX, PHENERGAN cp/sirop/inj, POLARAMINE cp/LP/sirop/inj, CALMIZINE sirop, HISTAZIN cp/sirop, ALERFAST, FEXIGRA) — information importante pour l'orientation du patient vers les alternatives actives.</w:t>
      </w:r>
    </w:p>
    <w:p>
      <w:pPr>
        <w:pStyle w:val="Heading3"/>
      </w:pPr>
      <w:r>
        <w:t>15.4. Conclusion</w:t>
      </w:r>
    </w:p>
    <w:p>
      <w:r>
        <w:t xml:space="preserve">Le chapitre 65 a couvert </w:t>
      </w:r>
      <w:r>
        <w:rPr>
          <w:b/>
        </w:rPr>
        <w:t>13 DCI</w:t>
      </w:r>
      <w:r>
        <w:t xml:space="preserve"> réparties en </w:t>
      </w:r>
      <w:r>
        <w:rPr>
          <w:b/>
        </w:rPr>
        <w:t>6 sous-classes thérapeutiques</w:t>
      </w:r>
      <w:r>
        <w:t xml:space="preserve">, allant des </w:t>
      </w:r>
      <w:r>
        <w:rPr>
          <w:b/>
        </w:rPr>
        <w:t>antihistaminiques H1 de 2e génération non sédatifs</w:t>
      </w:r>
      <w:r>
        <w:t xml:space="preserve"> (8 DCI : cétirizine, lévocétirizine, loratadine, desloratadine, fexofénadine, ébastine, bilastine, rupatadine — socle moderne de la prise en charge de la rhinite allergique et de l'urticaire chronique) aux </w:t>
      </w:r>
      <w:r>
        <w:rPr>
          <w:b/>
        </w:rPr>
        <w:t>1re génération</w:t>
      </w:r>
      <w:r>
        <w:t xml:space="preserve"> (4 DCI : hydroxyzine — anxiolytique et prurit sous restriction ANSM 2015 ; prométhazine — CI enfant &lt; 2 ans ; dexchlorphéniramine — alternative aux 2e génération ; doxylamine — insomnie et hyperemesis gravidarum), en passant par les </w:t>
      </w:r>
      <w:r>
        <w:rPr>
          <w:b/>
        </w:rPr>
        <w:t>associations rhume</w:t>
      </w:r>
      <w:r>
        <w:t xml:space="preserve"> (1 DCI : phényléphrine + chlorphéniramine — GRIPEX). Cette diversité de classes et de profils pharmacologiques reflète la complexité de la prise en charge des </w:t>
      </w:r>
      <w:r>
        <w:rPr>
          <w:b/>
        </w:rPr>
        <w:t>manifestations allergiques respiratoires et cutanées</w:t>
      </w:r>
      <w:r>
        <w:t xml:space="preserve">, deux des affections les plus fréquentes en pratique de ville comme à l'hôpital en Algérie (rhinite allergique ~20-25 % de la population, urticaire ~15-20 %). Le pharmacien d'officine algérien joue ici un rôle </w:t>
      </w:r>
      <w:r>
        <w:rPr>
          <w:b/>
        </w:rPr>
        <w:t>essentiel</w:t>
      </w:r>
      <w:r>
        <w:t xml:space="preserve"> de conseil, de dépistage et d'orientation : il est le </w:t>
      </w:r>
      <w:r>
        <w:rPr>
          <w:b/>
        </w:rPr>
        <w:t>premier interlocuteur</w:t>
      </w:r>
      <w:r>
        <w:t xml:space="preserve"> du patient pour la rhinite allergique saisonnière et l'urticaire aiguë, mais aussi le </w:t>
      </w:r>
      <w:r>
        <w:rPr>
          <w:b/>
        </w:rPr>
        <w:t>vigilant</w:t>
      </w:r>
      <w:r>
        <w:t xml:space="preserve"> qui détecte les signes d'alerte (angio-œdème, anaphylaxie, urticaire chronique résistante, rhinite persistante) et oriente vers le médecin. Il est aussi le </w:t>
      </w:r>
      <w:r>
        <w:rPr>
          <w:b/>
        </w:rPr>
        <w:t>gardien</w:t>
      </w:r>
      <w:r>
        <w:t xml:space="preserve"> des bonnes prescriptions (2e génération en 1re intention, hydroxyzine sous surveillance QT, prométhazine CI enfant &lt; 2 ans, doxylamine en traitement court, GRIPEX sans IMAO). Cette responsabilité, exercée au quotidien, contribue à la sécurité d'usage des antihistaminiques H1 en Algérie, en complément des traitements de fond de l'asthme et de la BPCO traités dans les chapitres précédents (61 bronchodilatateurs, 62 CSI et associations, 63 antileucotriènes/théophylline/anti-IgE, 64 mucolytiques/antitussifs) et des chapitres complémentaires (66 surfactants/HTAP).</w:t>
      </w:r>
    </w:p>
    <w:p>
      <w:pPr>
        <w:ind w:left="567"/>
      </w:pPr>
      <w:r>
        <w:rPr>
          <w:i/>
          <w:color w:val="606060"/>
        </w:rPr>
        <w:t>**Sources mobilisées** : VIDAL, ANSM (mises au point et recommandations : hydroxyzine 2015 — restriction QT 100 mg/jour ; prométhazine enfant &lt; 2 ans — CI mort subite ; IMAO et antihistaminiques 1re génération ; doxylamine grossesse — CRAT), Thériaque, CRAT (Centre Renseignements sur les Agents Tératogènes), LactMed (NIH), HAS (recommandations rhinite allergique 2018, toux adulte 2018), SPLF (Société de Pneumologie de Langue Française), ARIA 2021 (Allergic Rhinitis and its Impact on Asthma — Bousquet et al.), EAACI 2017 (European Academy of Allergy and Clinical Immunology), GINA 2024 (Global Initiative for Asthma), GOLD 2024 (Global Initiative for Chronic Obstructive Lung Disease), EMA PRAC (évaluations terfénadine 1997-1999, hydroxyzine 2014-2015), Cochrane (meta-analyses antihistaminiques H1 rhinite allergique, urticaire chronique), UpToDate, OMS, études pivots (ARIA 2001-2010, ETAC étude cétirizine prévention allergie 1998, FAST étude fexofénadine 1996, UC-SUS bilastine 2013-2015, TOMORROW ébastine 1995, FDA Black Box Warning terfénadine 1997, SNM/UPA Working Group hydroxyzine QT 2014-2015), pharmacologie fondamentale (Dale &amp; Laidlaw 1910 — découverte histamine ; Bovet &amp; Staub 1937 — premier antihistaminique synthèse ; Bovet Prix Nobel 1957 ; Ash &amp; Schild 1966 — classification récepteurs H1/H2 ; Schwartz 1979 — H3 ; Nakamura 2000 — H4 ; liste de Beers 2019 — médicaments inappropriés sujet âgé ; IPCRG 2018 — International Primary Care Respiratory Group).</w:t>
      </w:r>
    </w:p>
    <w:p>
      <w:pPr>
        <w:pStyle w:val="Heading1"/>
      </w:pPr>
      <w:r>
        <w:t>Chapitre 66 — Surfactants exogènes et vasodilatateurs pulmonaires dans l'hypertension artérielle pulmonaire (HTAP)</w:t>
      </w:r>
    </w:p>
    <w:p>
      <w:pPr>
        <w:ind w:left="567"/>
      </w:pPr>
      <w:r>
        <w:rPr>
          <w:i/>
          <w:color w:val="606060"/>
        </w:rPr>
        <w:t>**Fascicule VII — Pneumologie / Antiasthmatiques et pathologies respiratoires**</w:t>
      </w:r>
    </w:p>
    <w:p>
      <w:pPr>
        <w:ind w:left="567"/>
      </w:pPr>
      <w:r>
        <w:rPr>
          <w:i/>
          <w:color w:val="606060"/>
        </w:rPr>
        <w:t>*Sous-classes thérapeutiques : Surfactants exogènes – Détresse respiratoire néonatale (poractant alfa, beractant, calfactant) ; HTAP – Antagonistes des récepteurs de l'endothéline ARE (bosentan) ; HTAP – Inhibiteurs de la PDE5 (sildénafil, tadalafil) ; HTAP – Stimulateurs de la guanylate cyclase soluble (riociguat) ; HTAP – Analogues de la prostacycline (iloprost)*</w:t>
      </w:r>
    </w:p>
    <w:p>
      <w:pPr>
        <w:ind w:left="567"/>
      </w:pPr>
      <w:r>
        <w:rPr>
          <w:i/>
          <w:color w:val="606060"/>
        </w:rPr>
        <w:t>*Nomenclature algérienne des médicaments — Avril 2026*</w:t>
      </w:r>
    </w:p>
    <w:p>
      <w:pPr>
        <w:pStyle w:val="Heading2"/>
      </w:pPr>
      <w:r>
        <w:t>Sommaire du chapitre</w:t>
      </w:r>
    </w:p>
    <w:p>
      <w:pPr>
        <w:pStyle w:val="ListNumber"/>
      </w:pPr>
      <w:r>
        <w:t>Vue d'ensemble des surfactants exogènes et vasodilatateurs pulmonaires dans l'HTAP</w:t>
      </w:r>
    </w:p>
    <w:p>
      <w:pPr>
        <w:pStyle w:val="ListNumber"/>
      </w:pPr>
      <w:r>
        <w:t>Introduction à la sous-classe des surfactants exogènes — Détresse respiratoire néonatale</w:t>
      </w:r>
    </w:p>
    <w:p>
      <w:pPr>
        <w:pStyle w:val="ListNumber"/>
      </w:pPr>
      <w:r>
        <w:t>Fiches DCI — Surfactants exogènes</w:t>
      </w:r>
    </w:p>
    <w:p>
      <w:pPr>
        <w:pStyle w:val="ListBullet"/>
      </w:pPr>
      <w:r>
        <w:t>1. Poractant alfa (Curosurf®)</w:t>
      </w:r>
    </w:p>
    <w:p>
      <w:pPr>
        <w:pStyle w:val="ListBullet"/>
      </w:pPr>
      <w:r>
        <w:t>2. Beractant (Survanta®)</w:t>
      </w:r>
    </w:p>
    <w:p>
      <w:pPr>
        <w:pStyle w:val="ListBullet"/>
      </w:pPr>
      <w:r>
        <w:t>3. Calfactant (Infasurf®)</w:t>
      </w:r>
    </w:p>
    <w:p>
      <w:pPr>
        <w:pStyle w:val="ListNumber"/>
      </w:pPr>
      <w:r>
        <w:t>Introduction à la sous-classe des antagonistes des récepteurs de l'endothéline (ARE)</w:t>
      </w:r>
    </w:p>
    <w:p>
      <w:pPr>
        <w:pStyle w:val="ListNumber"/>
      </w:pPr>
      <w:r>
        <w:t>Fiche DCI — Antagonistes des récepteurs de l'endothéline</w:t>
      </w:r>
    </w:p>
    <w:p>
      <w:pPr>
        <w:pStyle w:val="ListBullet"/>
      </w:pPr>
      <w:r>
        <w:t>4. Bosentan (Tracleer® et génériques)</w:t>
      </w:r>
    </w:p>
    <w:p>
      <w:pPr>
        <w:pStyle w:val="ListNumber"/>
      </w:pPr>
      <w:r>
        <w:t>Introduction à la sous-classe des inhibiteurs de la phosphodiestérase de type 5 (PDE5)</w:t>
      </w:r>
    </w:p>
    <w:p>
      <w:pPr>
        <w:pStyle w:val="ListNumber"/>
      </w:pPr>
      <w:r>
        <w:t>Fiches DCI — Inhibiteurs de la PDE5</w:t>
      </w:r>
    </w:p>
    <w:p>
      <w:pPr>
        <w:pStyle w:val="ListBullet"/>
      </w:pPr>
      <w:r>
        <w:t>5. Sildénafil (Viagra® et génériques)</w:t>
      </w:r>
    </w:p>
    <w:p>
      <w:pPr>
        <w:pStyle w:val="ListBullet"/>
      </w:pPr>
      <w:r>
        <w:t>6. Tadalafil (Cialis® et génériques)</w:t>
      </w:r>
    </w:p>
    <w:p>
      <w:pPr>
        <w:pStyle w:val="ListNumber"/>
      </w:pPr>
      <w:r>
        <w:t>Introduction à la sous-classe des stimulateurs de la guanylate cyclase soluble (sGC)</w:t>
      </w:r>
    </w:p>
    <w:p>
      <w:pPr>
        <w:pStyle w:val="ListNumber"/>
      </w:pPr>
      <w:r>
        <w:t>Fiche DCI — Stimulateur de la guanylate cyclase soluble</w:t>
      </w:r>
    </w:p>
    <w:p>
      <w:pPr>
        <w:pStyle w:val="ListBullet"/>
      </w:pPr>
      <w:r>
        <w:t>7. Riociguat (Adempas®)</w:t>
      </w:r>
    </w:p>
    <w:p>
      <w:pPr>
        <w:pStyle w:val="ListNumber"/>
      </w:pPr>
      <w:r>
        <w:t>Introduction à la sous-classe des analogues de la prostacycline</w:t>
      </w:r>
    </w:p>
    <w:p>
      <w:pPr>
        <w:pStyle w:val="ListNumber"/>
      </w:pPr>
      <w:r>
        <w:t>Fiche DCI — Analogue de la prostacycline</w:t>
      </w:r>
    </w:p>
    <w:p>
      <w:pPr>
        <w:pStyle w:val="ListBullet"/>
      </w:pPr>
      <w:r>
        <w:t>8. Iloprost (Ventavis®)</w:t>
      </w:r>
    </w:p>
    <w:p>
      <w:pPr>
        <w:pStyle w:val="ListNumber"/>
      </w:pPr>
      <w:r>
        <w:t>Tableau comparatif synthétique des 8 DCI</w:t>
      </w:r>
    </w:p>
    <w:p>
      <w:pPr>
        <w:pStyle w:val="ListNumber"/>
      </w:pPr>
      <w:r>
        <w:t>Règles d'Or et points-clés au comptoir</w:t>
      </w:r>
    </w:p>
    <w:p>
      <w:pPr>
        <w:pStyle w:val="ListNumber"/>
      </w:pPr>
      <w:r>
        <w:t>Sources documentaires</w:t>
      </w:r>
    </w:p>
    <w:p>
      <w:pPr>
        <w:pStyle w:val="Heading2"/>
      </w:pPr>
      <w:r>
        <w:t>1. Vue d'ensemble des surfactants exogènes et vasodilatateurs pulmonaires dans l'HTAP</w:t>
      </w:r>
    </w:p>
    <w:p>
      <w:r>
        <w:t xml:space="preserve">Les chapitres précédents du </w:t>
      </w:r>
      <w:r>
        <w:rPr>
          <w:b/>
        </w:rPr>
        <w:t>Fascicule VII</w:t>
      </w:r>
      <w:r>
        <w:t xml:space="preserve"> ont successivement traité : les </w:t>
      </w:r>
      <w:r>
        <w:rPr>
          <w:b/>
        </w:rPr>
        <w:t>bronchodilatateurs</w:t>
      </w:r>
      <w:r>
        <w:t xml:space="preserve"> β2-mimétiques et anticholinergiques (Chapitre 61), les </w:t>
      </w:r>
      <w:r>
        <w:rPr>
          <w:b/>
        </w:rPr>
        <w:t>corticostéroïdes inhalés</w:t>
      </w:r>
      <w:r>
        <w:t xml:space="preserve"> et les </w:t>
      </w:r>
      <w:r>
        <w:rPr>
          <w:b/>
        </w:rPr>
        <w:t>associations fixes CSI+LABA</w:t>
      </w:r>
      <w:r>
        <w:t xml:space="preserve"> ainsi que la triple thérapie CSI+LABA+LAMA (Chapitre 62), les </w:t>
      </w:r>
      <w:r>
        <w:rPr>
          <w:b/>
        </w:rPr>
        <w:t>antileucotriènes</w:t>
      </w:r>
      <w:r>
        <w:t xml:space="preserve">, la </w:t>
      </w:r>
      <w:r>
        <w:rPr>
          <w:b/>
        </w:rPr>
        <w:t>théophylline</w:t>
      </w:r>
      <w:r>
        <w:t xml:space="preserve"> et les </w:t>
      </w:r>
      <w:r>
        <w:rPr>
          <w:b/>
        </w:rPr>
        <w:t>biothérapies anti-IgE</w:t>
      </w:r>
      <w:r>
        <w:t xml:space="preserve"> (Chapitre 63), les </w:t>
      </w:r>
      <w:r>
        <w:rPr>
          <w:b/>
        </w:rPr>
        <w:t>mucolytiques, expectorants et antitussifs</w:t>
      </w:r>
      <w:r>
        <w:t xml:space="preserve"> (Chapitre 64) et enfin les </w:t>
      </w:r>
      <w:r>
        <w:rPr>
          <w:b/>
        </w:rPr>
        <w:t>traitements de l'asthme allergique sévère et des éosinophilies pulmonaires</w:t>
      </w:r>
      <w:r>
        <w:t xml:space="preserve"> (Chapitre 65). Le présent </w:t>
      </w:r>
      <w:r>
        <w:rPr>
          <w:b/>
        </w:rPr>
        <w:t>chapitre 66</w:t>
      </w:r>
      <w:r>
        <w:t xml:space="preserve">, ultime volet du Fascicule VII, traite deux entités pharmacologiques très distinctes mais partageant une même cible anatomique — le </w:t>
      </w:r>
      <w:r>
        <w:rPr>
          <w:b/>
        </w:rPr>
        <w:t>poumon profond</w:t>
      </w:r>
      <w:r>
        <w:t xml:space="preserve"> (alvéoles et circulation pulmonaire) : (i) les </w:t>
      </w:r>
      <w:r>
        <w:rPr>
          <w:b/>
        </w:rPr>
        <w:t>surfactants exogènes</w:t>
      </w:r>
      <w:r>
        <w:t xml:space="preserve"> administrés par instillation endotrachéobronchique chez le nouveau-né prématuré en détresse respiratoire néonatale ; (ii) les </w:t>
      </w:r>
      <w:r>
        <w:rPr>
          <w:b/>
        </w:rPr>
        <w:t>vasodilatateurs pulmonaires spécifiques</w:t>
      </w:r>
      <w:r>
        <w:t xml:space="preserve"> de l'</w:t>
      </w:r>
      <w:r>
        <w:rPr>
          <w:b/>
        </w:rPr>
        <w:t>hypertension artérielle pulmonaire (HTAP)</w:t>
      </w:r>
      <w:r>
        <w:t>, pathologie orpheline et gravissime de l'adulte jeune caractérisée par une élévation progressive des résistances vasculaires pulmonaires aboutissant à l'insuffisance cardiaque droite et au décès.</w:t>
      </w:r>
    </w:p>
    <w:p>
      <w:pPr>
        <w:pStyle w:val="Heading3"/>
      </w:pPr>
      <w:r>
        <w:t>Deux mondes cliniques, une finalité commune : la mécanique pulmonaire</w:t>
      </w:r>
    </w:p>
    <w:p>
      <w:r>
        <w:t xml:space="preserve">Les </w:t>
      </w:r>
      <w:r>
        <w:rPr>
          <w:b/>
        </w:rPr>
        <w:t>surfactants exogènes</w:t>
      </w:r>
      <w:r>
        <w:t xml:space="preserve"> agissent au niveau </w:t>
      </w:r>
      <w:r>
        <w:rPr>
          <w:b/>
        </w:rPr>
        <w:t>alvéolaire</w:t>
      </w:r>
      <w:r>
        <w:t xml:space="preserve"> : ils restaurent la </w:t>
      </w:r>
      <w:r>
        <w:rPr>
          <w:b/>
        </w:rPr>
        <w:t>tension superficielle</w:t>
      </w:r>
      <w:r>
        <w:t xml:space="preserve"> à l'interface air-liquide de l'alvéole, dont l'élévation (par défaut de production de surfactant endogène chez le nouveau-né prématuré) entraîne l'</w:t>
      </w:r>
      <w:r>
        <w:rPr>
          <w:b/>
        </w:rPr>
        <w:t>atélectasie</w:t>
      </w:r>
      <w:r>
        <w:t xml:space="preserve">, le syndrome de </w:t>
      </w:r>
      <w:r>
        <w:rPr>
          <w:b/>
        </w:rPr>
        <w:t>détresse respiratoire néonatale (SDRN)</w:t>
      </w:r>
      <w:r>
        <w:t xml:space="preserve"> — encore appelé </w:t>
      </w:r>
      <w:r>
        <w:rPr>
          <w:i/>
        </w:rPr>
        <w:t>maladie des membranes hyalines</w:t>
      </w:r>
      <w:r>
        <w:t xml:space="preserve"> — et l'hypoxie réfractaire. Les </w:t>
      </w:r>
      <w:r>
        <w:rPr>
          <w:b/>
        </w:rPr>
        <w:t>vasodilatateurs pulmonaires de l'HTAP</w:t>
      </w:r>
      <w:r>
        <w:t xml:space="preserve"> agissent au niveau </w:t>
      </w:r>
      <w:r>
        <w:rPr>
          <w:b/>
        </w:rPr>
        <w:t>vasculaire</w:t>
      </w:r>
      <w:r>
        <w:t xml:space="preserve"> : ils corrigent le déséquilibre </w:t>
      </w:r>
      <w:r>
        <w:rPr>
          <w:b/>
        </w:rPr>
        <w:t>vasoconstricteur/vasodilatateur</w:t>
      </w:r>
      <w:r>
        <w:t xml:space="preserve"> au sein de la circulation pulmonaire, caractéristique de l'HTAP (élévation de l'endothéline-1, diminution du monoxyde d'azote NO, diminution de la prostacycline PGI2). Quatre voies moléculaires sont ciblées : (i) </w:t>
      </w:r>
      <w:r>
        <w:rPr>
          <w:b/>
        </w:rPr>
        <w:t>blocage des récepteurs de l'endothéline</w:t>
      </w:r>
      <w:r>
        <w:t xml:space="preserve"> (bosentan) ; (ii) </w:t>
      </w:r>
      <w:r>
        <w:rPr>
          <w:b/>
        </w:rPr>
        <w:t>inhibition de la PDE5</w:t>
      </w:r>
      <w:r>
        <w:t xml:space="preserve"> pour potentialiser la voie NO-GMPc (sildénafil, tadalafil) ; (iii) </w:t>
      </w:r>
      <w:r>
        <w:rPr>
          <w:b/>
        </w:rPr>
        <w:t>stimulation directe de la guanylate cyclase soluble</w:t>
      </w:r>
      <w:r>
        <w:t xml:space="preserve"> indépendamment du NO (riociguat) ; (iv) </w:t>
      </w:r>
      <w:r>
        <w:rPr>
          <w:b/>
        </w:rPr>
        <w:t>analogues de la prostacycline</w:t>
      </w:r>
      <w:r>
        <w:t xml:space="preserve"> activant la voie AMPc (iloprost inhalé). Ces quatre classes, complémentaires sur le plan moléculaire, peuvent être combinées dans les </w:t>
      </w:r>
      <w:r>
        <w:rPr>
          <w:b/>
        </w:rPr>
        <w:t>HTAP sévères</w:t>
      </w:r>
      <w:r>
        <w:t xml:space="preserve"> selon la </w:t>
      </w:r>
      <w:r>
        <w:rPr>
          <w:b/>
        </w:rPr>
        <w:t>stratégie séquentielle</w:t>
      </w:r>
      <w:r>
        <w:t xml:space="preserve"> recommandée par les guidelines ESC/ERS 2022.</w:t>
      </w:r>
    </w:p>
    <w:p>
      <w:pPr>
        <w:pStyle w:val="Heading3"/>
      </w:pPr>
      <w:r>
        <w:t>Détresse respiratoire néonatale (SDRN) — Physiopathologie et cible du surfactant</w:t>
      </w:r>
    </w:p>
    <w:p>
      <w:r>
        <w:t xml:space="preserve">Le </w:t>
      </w:r>
      <w:r>
        <w:rPr>
          <w:b/>
        </w:rPr>
        <w:t>poumon fœtal</w:t>
      </w:r>
      <w:r>
        <w:t xml:space="preserve"> est un organe </w:t>
      </w:r>
      <w:r>
        <w:rPr>
          <w:b/>
        </w:rPr>
        <w:t>rempli de liquide</w:t>
      </w:r>
      <w:r>
        <w:t xml:space="preserve"> et non d'air. À la naissance, ce liquide est résorbé (mise en jeu des canaux sodiques épithéliaux ENaC stimulés par les catécholamines et le travail obstétrical), et le premier cri déclenche l'aération alvéolaire. Cette aération ne serait pas possible sans le </w:t>
      </w:r>
      <w:r>
        <w:rPr>
          <w:b/>
        </w:rPr>
        <w:t>surfactant endogène</w:t>
      </w:r>
      <w:r>
        <w:t xml:space="preserve">, mélange complexe de </w:t>
      </w:r>
      <w:r>
        <w:rPr>
          <w:b/>
        </w:rPr>
        <w:t>phospholipides</w:t>
      </w:r>
      <w:r>
        <w:t xml:space="preserve"> (~90 % : lécithine/phosphatidylcholine dipalmitoylée principalement, phosphatidylglycérol, phosphatidylinositol) et de </w:t>
      </w:r>
      <w:r>
        <w:rPr>
          <w:b/>
        </w:rPr>
        <w:t>protéines spécifiques</w:t>
      </w:r>
      <w:r>
        <w:t xml:space="preserve"> (SP-A, SP-B, SP-C, SP-D) synthétisé par les </w:t>
      </w:r>
      <w:r>
        <w:rPr>
          <w:b/>
        </w:rPr>
        <w:t>pneumocytes de type II</w:t>
      </w:r>
      <w:r>
        <w:t xml:space="preserve"> à partir de la 22-24 semaine de gestation, avec un pic de production après la 34-35 semaine. Le surfactant tapisse la face interne des alvéoles et </w:t>
      </w:r>
      <w:r>
        <w:rPr>
          <w:b/>
        </w:rPr>
        <w:t>abaisse la tension superficielle</w:t>
      </w:r>
      <w:r>
        <w:t xml:space="preserve"> à l'interface air-liquide selon la </w:t>
      </w:r>
      <w:r>
        <w:rPr>
          <w:b/>
        </w:rPr>
        <w:t>loi de Laplace</w:t>
      </w:r>
      <w:r>
        <w:t xml:space="preserve"> (P = 2T/r) : la pression nécessaire pour maintenir ouverte une alvéole est proportionnelle à la tension superficielle T et inversement proportionnelle au rayon r. Sans surfactant, les petites alvéoles (faible r) nécessiteraient une pression transpulmonaire considérable pour rester ouvertes et se collaberaient en fin d'expiration (</w:t>
      </w:r>
      <w:r>
        <w:rPr>
          <w:b/>
        </w:rPr>
        <w:t>atélectasie</w:t>
      </w:r>
      <w:r>
        <w:t>).</w:t>
      </w:r>
    </w:p>
    <w:p>
      <w:r>
        <w:t xml:space="preserve">Chez le nouveau-né prématuré (âge gestationnel &lt; 32 semaines), le déficit de surfactant entraîne : (i) atélectasies diffuses, (ii) hypoxie réfractaire, (iii) augmentation du travail respiratoire (tirage, balancement thoraco-abdominal, geignement, cyanose), (iv) acidose respiratoire et métabolique, (v) altération de la mécanique ventilatoire nécessitant une </w:t>
      </w:r>
      <w:r>
        <w:rPr>
          <w:b/>
        </w:rPr>
        <w:t>ventilation mécanique</w:t>
      </w:r>
      <w:r>
        <w:t xml:space="preserve"> souvent en </w:t>
      </w:r>
      <w:r>
        <w:rPr>
          <w:b/>
        </w:rPr>
        <w:t>pression positive</w:t>
      </w:r>
      <w:r>
        <w:t xml:space="preserve">. L'administration de </w:t>
      </w:r>
      <w:r>
        <w:rPr>
          <w:b/>
        </w:rPr>
        <w:t>surfactant exogène</w:t>
      </w:r>
      <w:r>
        <w:t xml:space="preserve"> par </w:t>
      </w:r>
      <w:r>
        <w:rPr>
          <w:b/>
        </w:rPr>
        <w:t>instillation endotrachéobronchique</w:t>
      </w:r>
      <w:r>
        <w:t xml:space="preserve"> au moyen d'un cathéter introduit dans la sonde d'intubation restaure la mécanique alvéolaire, corrige l'hypoxie, diminue la pression moyenne de ventilation et réduit le risque de </w:t>
      </w:r>
      <w:r>
        <w:rPr>
          <w:b/>
        </w:rPr>
        <w:t>dysplasie bronchopulmonaire</w:t>
      </w:r>
      <w:r>
        <w:t xml:space="preserve"> et d'</w:t>
      </w:r>
      <w:r>
        <w:rPr>
          <w:b/>
        </w:rPr>
        <w:t>hémorragie pulmonaire</w:t>
      </w:r>
      <w:r>
        <w:t>.</w:t>
      </w:r>
    </w:p>
    <w:p>
      <w:pPr>
        <w:pStyle w:val="Heading3"/>
      </w:pPr>
      <w:r>
        <w:t>HTAP — Définition, classification et physiopathologie</w:t>
      </w:r>
    </w:p>
    <w:p>
      <w:r>
        <w:t>L'</w:t>
      </w:r>
      <w:r>
        <w:rPr>
          <w:b/>
        </w:rPr>
        <w:t>hypertension artérielle pulmonaire (HTAP)</w:t>
      </w:r>
      <w:r>
        <w:t xml:space="preserve"> est définie hémodynamiquement par une </w:t>
      </w:r>
      <w:r>
        <w:rPr>
          <w:b/>
        </w:rPr>
        <w:t>pression artérielle pulmonaire moyenne (PAPm) ≥ 25 mmHg</w:t>
      </w:r>
      <w:r>
        <w:t xml:space="preserve"> au repos (ou &gt; 30 mmHg à l'effort, selon les anciens critères abandonnés en 2018) au cathétérisme cardiaque droit, associée à une </w:t>
      </w:r>
      <w:r>
        <w:rPr>
          <w:b/>
        </w:rPr>
        <w:t>résistance vasculaire pulmonaire (RVP) &gt; 3 Wood</w:t>
      </w:r>
      <w:r>
        <w:t xml:space="preserve"> (ou &gt; 240 dyn·s·cm⁻⁵) et à une </w:t>
      </w:r>
      <w:r>
        <w:rPr>
          <w:b/>
        </w:rPr>
        <w:t>pression de l'artère pulmonaire occluse (PAPO) ≤ 15 mmHg</w:t>
      </w:r>
      <w:r>
        <w:t xml:space="preserve"> dans la </w:t>
      </w:r>
      <w:r>
        <w:rPr>
          <w:b/>
        </w:rPr>
        <w:t>HTAP pré-capillaire</w:t>
      </w:r>
      <w:r>
        <w:t xml:space="preserve"> (classification hémodynamique de Dana Point puis de Cologne 6e WSPH 2018).</w:t>
      </w:r>
    </w:p>
    <w:p>
      <w:r>
        <w:t xml:space="preserve">La </w:t>
      </w:r>
      <w:r>
        <w:rPr>
          <w:b/>
        </w:rPr>
        <w:t>classification clinique de Nice 2013 (révisée 2018 WSPH)</w:t>
      </w:r>
      <w:r>
        <w:t xml:space="preserve"> distingue </w:t>
      </w:r>
      <w:r>
        <w:rPr>
          <w:b/>
        </w:rPr>
        <w:t>5 groupes</w:t>
      </w:r>
      <w:r>
        <w:t xml:space="preserve"> d'HTAP :</w:t>
      </w:r>
    </w:p>
    <w:p>
      <w:pPr>
        <w:pStyle w:val="ListBullet"/>
      </w:pPr>
      <w:r/>
      <w:r>
        <w:rPr>
          <w:b/>
        </w:rPr>
        <w:t>Groupe 1</w:t>
      </w:r>
      <w:r>
        <w:t xml:space="preserve"> : </w:t>
      </w:r>
      <w:r>
        <w:rPr>
          <w:b/>
        </w:rPr>
        <w:t>HTAP</w:t>
      </w:r>
      <w:r>
        <w:t xml:space="preserve"> (idiopathique, héréditable, associée aux connectivites — sclérodermie surtout, à l'hypertension portale, aux cardiopathies congénitales, à l'infection par le VIH, à la prise d'anorexigènes, etc.) — c'est ce groupe qui répond aux vasodilatateurs pulmonaires spécifiques traités dans ce chapitre.</w:t>
      </w:r>
    </w:p>
    <w:p>
      <w:pPr>
        <w:pStyle w:val="ListBullet"/>
      </w:pPr>
      <w:r/>
      <w:r>
        <w:rPr>
          <w:b/>
        </w:rPr>
        <w:t>Groupe 2</w:t>
      </w:r>
      <w:r>
        <w:t xml:space="preserve"> : HTAP des cardiopathies gauches (post-capillaire).</w:t>
      </w:r>
    </w:p>
    <w:p>
      <w:pPr>
        <w:pStyle w:val="ListBullet"/>
      </w:pPr>
      <w:r/>
      <w:r>
        <w:rPr>
          <w:b/>
        </w:rPr>
        <w:t>Groupe 3</w:t>
      </w:r>
      <w:r>
        <w:t xml:space="preserve"> : HTAP des pneumopathies chroniques (BPCO, fibrose pulmonaire).</w:t>
      </w:r>
    </w:p>
    <w:p>
      <w:pPr>
        <w:pStyle w:val="ListBullet"/>
      </w:pPr>
      <w:r/>
      <w:r>
        <w:rPr>
          <w:b/>
        </w:rPr>
        <w:t>Groupe 4</w:t>
      </w:r>
      <w:r>
        <w:t xml:space="preserve"> : HTAP thromboembolique chronique (HTPTEC).</w:t>
      </w:r>
    </w:p>
    <w:p>
      <w:pPr>
        <w:pStyle w:val="ListBullet"/>
      </w:pPr>
      <w:r/>
      <w:r>
        <w:rPr>
          <w:b/>
        </w:rPr>
        <w:t>Groupe 5</w:t>
      </w:r>
      <w:r>
        <w:t xml:space="preserve"> : HTAP à mécanismes multifactoriels ou incertains.</w:t>
      </w:r>
    </w:p>
    <w:p>
      <w:r>
        <w:t xml:space="preserve">Les </w:t>
      </w:r>
      <w:r>
        <w:rPr>
          <w:b/>
        </w:rPr>
        <w:t>vasodilatateurs pulmonaires</w:t>
      </w:r>
      <w:r>
        <w:t xml:space="preserve"> développés dans ce chapitre sont principalement indiqués dans le </w:t>
      </w:r>
      <w:r>
        <w:rPr>
          <w:b/>
        </w:rPr>
        <w:t>Groupe 1</w:t>
      </w:r>
      <w:r>
        <w:t xml:space="preserve"> (HTAP), avec des extensions pour le riociguat (HTPTEC inopérable Groupe 4) et le sildénafil (insuffisance cardiaque chronique avec dysfonction systolique du second ventricule, possible prescription compassionnelle).</w:t>
      </w:r>
    </w:p>
    <w:p>
      <w:pPr>
        <w:pStyle w:val="Heading3"/>
      </w:pPr>
      <w:r>
        <w:t>Physiopathologie moléculaire de l'HTAP — Trois voies déséquilibrées</w:t>
      </w:r>
    </w:p>
    <w:p>
      <w:r>
        <w:t xml:space="preserve">L'HTAP résulte d'un </w:t>
      </w:r>
      <w:r>
        <w:rPr>
          <w:b/>
        </w:rPr>
        <w:t>déséquilibre homéostatique</w:t>
      </w:r>
      <w:r>
        <w:t xml:space="preserve"> entre facteurs </w:t>
      </w:r>
      <w:r>
        <w:rPr>
          <w:b/>
        </w:rPr>
        <w:t>vasoconstricteurs</w:t>
      </w:r>
      <w:r>
        <w:t xml:space="preserve"> et </w:t>
      </w:r>
      <w:r>
        <w:rPr>
          <w:b/>
        </w:rPr>
        <w:t>vasodilatateurs</w:t>
      </w:r>
      <w:r>
        <w:t xml:space="preserve"> au niveau de la cellule musculaire lisse vasculaire pulmonaire (CML-VP). Trois voies sont impliquées :</w:t>
      </w:r>
    </w:p>
    <w:p>
      <w:pPr>
        <w:pStyle w:val="ListNumber"/>
      </w:pPr>
      <w:r/>
      <w:r>
        <w:rPr>
          <w:b/>
        </w:rPr>
        <w:t>Voie de l'endothéline-1 (ET-1)</w:t>
      </w:r>
      <w:r>
        <w:t xml:space="preserve"> : l'ET-1 est synthétisée par la cellule endothéliale pulmonaire à partir de la pré-pro-endothéline, clivée en big-ET-1 puis en ET-1 par l'</w:t>
      </w:r>
      <w:r>
        <w:rPr>
          <w:b/>
        </w:rPr>
        <w:t>enzyme de conversion de l'endothéline (ECE)</w:t>
      </w:r>
      <w:r>
        <w:t xml:space="preserve">. L'ET-1 se lie à deux récepteurs couplés aux protéines G : </w:t>
      </w:r>
      <w:r>
        <w:rPr>
          <w:b/>
        </w:rPr>
        <w:t>ET_A</w:t>
      </w:r>
      <w:r>
        <w:t xml:space="preserve"> (présent sur les CML-VP, médiant la vasoconstriction via Gq/PLC/IP3/Ca²⁺) et </w:t>
      </w:r>
      <w:r>
        <w:rPr>
          <w:b/>
        </w:rPr>
        <w:t>ET_B</w:t>
      </w:r>
      <w:r>
        <w:t xml:space="preserve"> (présent sur les cellules endothéliales ET_B1 — médiant la libération de NO et PGI2, effet vasodilatateur paradoxal — et sur les CML-VP ET_B2 — médiant la vasoconstriction). Dans l'HTAP, l'ET-1 est </w:t>
      </w:r>
      <w:r>
        <w:rPr>
          <w:b/>
        </w:rPr>
        <w:t>surexprimée</w:t>
      </w:r>
      <w:r>
        <w:t xml:space="preserve"> (concentration plasmatique corrélée à la sévérité), entraînant une vasoconstriction, une prolifération des CML-VP et un remodelage vasculaire fibrotique. Le </w:t>
      </w:r>
      <w:r>
        <w:rPr>
          <w:b/>
        </w:rPr>
        <w:t>bosentan</w:t>
      </w:r>
      <w:r>
        <w:t xml:space="preserve"> est un </w:t>
      </w:r>
      <w:r>
        <w:rPr>
          <w:b/>
        </w:rPr>
        <w:t>antagoniste mixte ET_A/ET_B</w:t>
      </w:r>
      <w:r>
        <w:t>, mais le bénéfice thérapeutique provient essentiellement du blocage ET_A.</w:t>
      </w:r>
    </w:p>
    <w:p>
      <w:pPr>
        <w:pStyle w:val="ListNumber"/>
      </w:pPr>
      <w:r/>
      <w:r>
        <w:rPr>
          <w:b/>
        </w:rPr>
        <w:t>Voie du monoxyde d'azote (NO) — GMPc</w:t>
      </w:r>
      <w:r>
        <w:t xml:space="preserve"> : le NO est synthétisé à partir de la L-arginine par les </w:t>
      </w:r>
      <w:r>
        <w:rPr>
          <w:b/>
        </w:rPr>
        <w:t>NO-synthases endothéliales (eNOS)</w:t>
      </w:r>
      <w:r>
        <w:t xml:space="preserve"> et active la </w:t>
      </w:r>
      <w:r>
        <w:rPr>
          <w:b/>
        </w:rPr>
        <w:t>guanylate cyclase soluble (sGC)</w:t>
      </w:r>
      <w:r>
        <w:t xml:space="preserve"> des CML-VP, convertissant le GTP en </w:t>
      </w:r>
      <w:r>
        <w:rPr>
          <w:b/>
        </w:rPr>
        <w:t>GMP cyclique (GMPc)</w:t>
      </w:r>
      <w:r>
        <w:t xml:space="preserve">. Le GMPc active la </w:t>
      </w:r>
      <w:r>
        <w:rPr>
          <w:b/>
        </w:rPr>
        <w:t>PKG (protéine kinase G)</w:t>
      </w:r>
      <w:r>
        <w:t xml:space="preserve"> qui phosphoryle des cibles multiples aboutissant à la </w:t>
      </w:r>
      <w:r>
        <w:rPr>
          <w:b/>
        </w:rPr>
        <w:t>relaxation</w:t>
      </w:r>
      <w:r>
        <w:t xml:space="preserve"> des CML-VP (sortie de Ca²⁺, inhibition de la MLCK). Le GMPc est dégradé par les </w:t>
      </w:r>
      <w:r>
        <w:rPr>
          <w:b/>
        </w:rPr>
        <w:t>phosphodiestérases de type 5 (PDE5)</w:t>
      </w:r>
      <w:r>
        <w:t xml:space="preserve">, abondantes dans le poumon. Dans l'HTAP, la voie NO-sGC est </w:t>
      </w:r>
      <w:r>
        <w:rPr>
          <w:b/>
        </w:rPr>
        <w:t>diminuée</w:t>
      </w:r>
      <w:r>
        <w:t xml:space="preserve"> (faible expression de eNOS, défaut d'activation de la sGC). Les </w:t>
      </w:r>
      <w:r>
        <w:rPr>
          <w:b/>
        </w:rPr>
        <w:t>inhibiteurs de la PDE5</w:t>
      </w:r>
      <w:r>
        <w:t xml:space="preserve"> (sildénafil, tadalafil) augmentent le GMPc en bloquant sa dégradation ; les </w:t>
      </w:r>
      <w:r>
        <w:rPr>
          <w:b/>
        </w:rPr>
        <w:t>stimulateurs de la sGC</w:t>
      </w:r>
      <w:r>
        <w:t xml:space="preserve"> (riociguat) augmentent directement la production de GMPc, indépendamment du NO et en synergie avec le NO endogène.</w:t>
      </w:r>
    </w:p>
    <w:p>
      <w:pPr>
        <w:pStyle w:val="ListNumber"/>
      </w:pPr>
      <w:r/>
      <w:r>
        <w:rPr>
          <w:b/>
        </w:rPr>
        <w:t>Voie de la prostacycline (PGI2) — AMPc</w:t>
      </w:r>
      <w:r>
        <w:t xml:space="preserve"> : la PGI2 est synthétisée à partir de l'acide arachidonique par la </w:t>
      </w:r>
      <w:r>
        <w:rPr>
          <w:b/>
        </w:rPr>
        <w:t>prostaglandine I2 synthase (PGIS)</w:t>
      </w:r>
      <w:r>
        <w:t xml:space="preserve"> des cellules endothéliales, et active le </w:t>
      </w:r>
      <w:r>
        <w:rPr>
          <w:b/>
        </w:rPr>
        <w:t>récepteur IP</w:t>
      </w:r>
      <w:r>
        <w:t xml:space="preserve"> couplé à Gs des CML-VP, stimulant l'adénylyl cyclase et augmentant l'</w:t>
      </w:r>
      <w:r>
        <w:rPr>
          <w:b/>
        </w:rPr>
        <w:t>AMPc</w:t>
      </w:r>
      <w:r>
        <w:t xml:space="preserve">, qui active la PKA → relaxation et inhibition de la prolifération. La PGI2 est également un puissant </w:t>
      </w:r>
      <w:r>
        <w:rPr>
          <w:b/>
        </w:rPr>
        <w:t>antiagrégant plaquettaire</w:t>
      </w:r>
      <w:r>
        <w:t xml:space="preserve">. Dans l'HTAP, l'expression de la PGIS est diminuée. Les </w:t>
      </w:r>
      <w:r>
        <w:rPr>
          <w:b/>
        </w:rPr>
        <w:t>analogues de la prostacycline</w:t>
      </w:r>
      <w:r>
        <w:t xml:space="preserve"> (iloprost, époprosténol, tréprostinil, béraprost) restaurent la voie AMPc ; l'</w:t>
      </w:r>
      <w:r>
        <w:rPr>
          <w:b/>
        </w:rPr>
        <w:t>iloprost</w:t>
      </w:r>
      <w:r>
        <w:t xml:space="preserve"> est administré par </w:t>
      </w:r>
      <w:r>
        <w:rPr>
          <w:b/>
        </w:rPr>
        <w:t>voie inhalée</w:t>
      </w:r>
      <w:r>
        <w:t xml:space="preserve"> pour maximiser la sélectivité pulmonaire et minimiser les effets systémiques (hypotension, flush).</w:t>
      </w:r>
    </w:p>
    <w:p>
      <w:pPr>
        <w:pStyle w:val="Heading3"/>
      </w:pPr>
      <w:r>
        <w:t>Stratégie thérapeutique de l'HTAP selon ESC/ERS 2022</w:t>
      </w:r>
    </w:p>
    <w:p>
      <w:r>
        <w:t xml:space="preserve">Les recommandations </w:t>
      </w:r>
      <w:r>
        <w:rPr>
          <w:b/>
        </w:rPr>
        <w:t>ESC/ERS 2022</w:t>
      </w:r>
      <w:r>
        <w:t xml:space="preserve"> (6th World Symposium on Pulmonary Hypertension) définissent une stratégie de </w:t>
      </w:r>
      <w:r>
        <w:rPr>
          <w:b/>
        </w:rPr>
        <w:t>traitement séquentiel</w:t>
      </w:r>
      <w:r>
        <w:t xml:space="preserve"> :</w:t>
      </w:r>
    </w:p>
    <w:p>
      <w:pPr>
        <w:pStyle w:val="ListNumber"/>
      </w:pPr>
      <w:r/>
      <w:r>
        <w:rPr>
          <w:b/>
        </w:rPr>
        <w:t>Évaluation initiale</w:t>
      </w:r>
      <w:r>
        <w:t xml:space="preserve"> : cathétérisme cardiaque droit obligatoire, test de </w:t>
      </w:r>
      <w:r>
        <w:rPr>
          <w:b/>
        </w:rPr>
        <w:t>vasoréactivité</w:t>
      </w:r>
      <w:r>
        <w:t xml:space="preserve"> au NO inhalé ou à l'iloprost IV (positive si chute de la PAPm ≥ 10 mmHg pour atteindre une PAPm ≤ 40 mmHg avec débit cardiaque conservé — ~5-10 % des HTAP idiopathiques).</w:t>
      </w:r>
    </w:p>
    <w:p>
      <w:pPr>
        <w:pStyle w:val="ListNumber"/>
      </w:pPr>
      <w:r/>
      <w:r>
        <w:rPr>
          <w:b/>
        </w:rPr>
        <w:t>Patients vasoréactifs</w:t>
      </w:r>
      <w:r>
        <w:t xml:space="preserve"> : </w:t>
      </w:r>
      <w:r>
        <w:rPr>
          <w:b/>
        </w:rPr>
        <w:t>antagonistes calciques</w:t>
      </w:r>
      <w:r>
        <w:t xml:space="preserve"> (nifédipine, diltiazem, amlodipine) à fortes doses.</w:t>
      </w:r>
    </w:p>
    <w:p>
      <w:pPr>
        <w:pStyle w:val="ListNumber"/>
      </w:pPr>
      <w:r/>
      <w:r>
        <w:rPr>
          <w:b/>
        </w:rPr>
        <w:t>Patients non vasoréactifs (≥ 90 %)</w:t>
      </w:r>
      <w:r>
        <w:t xml:space="preserve"> : traitement spécifique selon la </w:t>
      </w:r>
      <w:r>
        <w:rPr>
          <w:b/>
        </w:rPr>
        <w:t>classe fonctionnelle OMS</w:t>
      </w:r>
      <w:r>
        <w:t xml:space="preserve"> :</w:t>
      </w:r>
    </w:p>
    <w:p>
      <w:pPr>
        <w:pStyle w:val="ListBullet"/>
      </w:pPr>
      <w:r/>
      <w:r>
        <w:rPr>
          <w:b/>
        </w:rPr>
        <w:t>Classe II</w:t>
      </w:r>
      <w:r>
        <w:t xml:space="preserve"> : monothérapie par ARE (bosentan, ambrisentan, macitentan) </w:t>
      </w:r>
      <w:r>
        <w:rPr>
          <w:b/>
        </w:rPr>
        <w:t>ou</w:t>
      </w:r>
      <w:r>
        <w:t xml:space="preserve"> inhibiteur PDE5 (sildénafil, tadalafil).</w:t>
      </w:r>
    </w:p>
    <w:p>
      <w:pPr>
        <w:pStyle w:val="ListBullet"/>
      </w:pPr>
      <w:r/>
      <w:r>
        <w:rPr>
          <w:b/>
        </w:rPr>
        <w:t>Classe III</w:t>
      </w:r>
      <w:r>
        <w:t xml:space="preserve"> : monothérapie ou </w:t>
      </w:r>
      <w:r>
        <w:rPr>
          <w:b/>
        </w:rPr>
        <w:t>bithérapie initiale</w:t>
      </w:r>
      <w:r>
        <w:t xml:space="preserve"> (ARE + PDE5 — étude AMBITION avec ambrisentan + tadalafil, supériorité sur la monothérapie).</w:t>
      </w:r>
    </w:p>
    <w:p>
      <w:pPr>
        <w:pStyle w:val="ListBullet"/>
      </w:pPr>
      <w:r/>
      <w:r>
        <w:rPr>
          <w:b/>
        </w:rPr>
        <w:t>Classe IV</w:t>
      </w:r>
      <w:r>
        <w:t xml:space="preserve"> : bithérapie ou trithérapie d'emblée, avec analogue de la prostacycline (époprosténol IV en première intention si CI) ; transplantation pulmonaire envisagée.</w:t>
      </w:r>
    </w:p>
    <w:p>
      <w:pPr>
        <w:pStyle w:val="ListNumber"/>
      </w:pPr>
      <w:r/>
      <w:r>
        <w:rPr>
          <w:b/>
        </w:rPr>
        <w:t>Réponse inadéquate</w:t>
      </w:r>
      <w:r>
        <w:t xml:space="preserve"> : </w:t>
      </w:r>
      <w:r>
        <w:rPr>
          <w:b/>
        </w:rPr>
        <w:t>escalade thérapeutique</w:t>
      </w:r>
      <w:r>
        <w:t xml:space="preserve"> (ajout d'une 2e ou 3e classe), voire transplantation pulmonaire.</w:t>
      </w:r>
    </w:p>
    <w:p>
      <w:pPr>
        <w:pStyle w:val="Heading3"/>
      </w:pPr>
      <w:r>
        <w:t>Particularités de ce chapitre</w:t>
      </w:r>
    </w:p>
    <w:p>
      <w:pPr>
        <w:pStyle w:val="ListBullet"/>
      </w:pPr>
      <w:r/>
      <w:r>
        <w:rPr>
          <w:b/>
        </w:rPr>
        <w:t>Surfactants = usage hospitalier exclusif</w:t>
      </w:r>
      <w:r>
        <w:t xml:space="preserve"> : les trois surfactants disponibles en Algérie (poractant alfa — Curosurf® Chiesi ; beractant — Survanta® AbbVie ; calfactant — Infasurf® Jazeera) sont </w:t>
      </w:r>
      <w:r>
        <w:rPr>
          <w:b/>
        </w:rPr>
        <w:t>strictement réservés à la réanimation néonatale</w:t>
      </w:r>
      <w:r>
        <w:t xml:space="preserve"> en unité de soins intensifs pédiatriques. Le pharmacien d'officine n'est pas concerné directement par leur dispensation, mais doit connaître leur existence, leur cible thérapeutique (SDRN du prématuré), leur mode d'administration (instillation endotrachéobronchique après intubation) et le statut LISTE I de ces spécialités.</w:t>
      </w:r>
    </w:p>
    <w:p>
      <w:pPr>
        <w:pStyle w:val="ListBullet"/>
      </w:pPr>
      <w:r/>
      <w:r>
        <w:rPr>
          <w:b/>
        </w:rPr>
        <w:t>HTAP = prescription hospitalière spécialisée</w:t>
      </w:r>
      <w:r>
        <w:t xml:space="preserve"> : tous les vasodilatateurs pulmonaires de l'HTAP sont en </w:t>
      </w:r>
      <w:r>
        <w:rPr>
          <w:b/>
        </w:rPr>
        <w:t>LISTE I</w:t>
      </w:r>
      <w:r>
        <w:t xml:space="preserve"> avec </w:t>
      </w:r>
      <w:r>
        <w:rPr>
          <w:b/>
        </w:rPr>
        <w:t>prescription hospitalière spécialisée</w:t>
      </w:r>
      <w:r>
        <w:t xml:space="preserve"> (pneumologie, cardiologie, médecine interne). Le pharmacien d'offrine peut néanmoins dispenser la </w:t>
      </w:r>
      <w:r>
        <w:rPr>
          <w:b/>
        </w:rPr>
        <w:t>maintenance</w:t>
      </w:r>
      <w:r>
        <w:t xml:space="preserve"> pour les patients ambulatoires (bosentan, sildénafil, tadalafil, riociguat en comprimés ; iloprost inhalé par nébuliseur). La </w:t>
      </w:r>
      <w:r>
        <w:rPr>
          <w:b/>
        </w:rPr>
        <w:t>surveillance biologique</w:t>
      </w:r>
      <w:r>
        <w:t xml:space="preserve"> est indispensable (enzymes hépatiques pour le bosentan ; numération formule pour le bosentan ; fonction rénale et TA pour tous ; β-hCG pour le bosentan et le riociguat chez la femme en âge de procréer).</w:t>
      </w:r>
    </w:p>
    <w:p>
      <w:pPr>
        <w:pStyle w:val="ListBullet"/>
      </w:pPr>
      <w:r/>
      <w:r>
        <w:rPr>
          <w:b/>
        </w:rPr>
        <w:t>Sildénafil et tadalafil = double indication</w:t>
      </w:r>
      <w:r>
        <w:t xml:space="preserve"> : ces deux DCI sont principalement connues pour leur indication dans la </w:t>
      </w:r>
      <w:r>
        <w:rPr>
          <w:b/>
        </w:rPr>
        <w:t>dysfonction érectile</w:t>
      </w:r>
      <w:r>
        <w:t xml:space="preserve"> (Viagra® et Cialis® princeps et de multiples génériques algériens à 50/100 mg pour le sildénafil, à 5/20 mg pour le tadalafil). Dans le présent chapitre, </w:t>
      </w:r>
      <w:r>
        <w:rPr>
          <w:b/>
        </w:rPr>
        <w:t>l'indication HTAP</w:t>
      </w:r>
      <w:r>
        <w:t xml:space="preserve"> est privilégiée (sildénafil 20 mg × 3/j — Revatio® non commercialisé en Algérie à cette dose, mais prescrit hors AMM à 3 × comprimés de 20 mg ou 25 mg ; tadalafil 40 mg/j — Adcirca® non commercialisé, mais prescrit à 2 × 20 mg). Le pharmacien doit donc </w:t>
      </w:r>
      <w:r>
        <w:rPr>
          <w:b/>
        </w:rPr>
        <w:t>interroger le patient</w:t>
      </w:r>
      <w:r>
        <w:t xml:space="preserve"> sur l'indication avant toute dispensation : un patient traité pour dysfonction érectile </w:t>
      </w:r>
      <w:r>
        <w:rPr>
          <w:b/>
        </w:rPr>
        <w:t>ne doit jamais</w:t>
      </w:r>
      <w:r>
        <w:t xml:space="preserve"> recevoir de dérivés nitrés (CI absolue hypotension), tandis qu'un patient traité pour HTAP suit un protocole hospitalier avec surveillance spécialisée.</w:t>
      </w:r>
    </w:p>
    <w:p>
      <w:pPr>
        <w:pStyle w:val="ListBullet"/>
      </w:pPr>
      <w:r/>
      <w:r>
        <w:rPr>
          <w:b/>
        </w:rPr>
        <w:t>Riociguat = CI absolue avec PDE5 et nitrés</w:t>
      </w:r>
      <w:r>
        <w:t xml:space="preserve"> : le riociguat stimulant la sGC, l'association avec un inhibiteur PDE5 (sildénafil, tadalafil) ou un dérivé nitré (trinitrine, isosorbide) majore considérablement le GMPc et expose à une </w:t>
      </w:r>
      <w:r>
        <w:rPr>
          <w:b/>
        </w:rPr>
        <w:t>hypotension sévère</w:t>
      </w:r>
      <w:r>
        <w:t xml:space="preserve"> potentiellement létale. Cette CI est fondamentale car de nombreux patients HTAP sont d'abord traités par inhibiteurs PDE5 avant de basculer sur riociguat (lorsque progression de la maladie).</w:t>
      </w:r>
    </w:p>
    <w:p>
      <w:pPr>
        <w:pStyle w:val="ListBullet"/>
      </w:pPr>
      <w:r/>
      <w:r>
        <w:rPr>
          <w:b/>
        </w:rPr>
        <w:t>Bosentan et grossesse</w:t>
      </w:r>
      <w:r>
        <w:t xml:space="preserve"> : le bosentan est </w:t>
      </w:r>
      <w:r>
        <w:rPr>
          <w:b/>
        </w:rPr>
        <w:t>tératogène</w:t>
      </w:r>
      <w:r>
        <w:t xml:space="preserve"> chez l'animal (malformations cranio-faciales, cardiovasculaires, squelettiques). Son utilisation chez la femme en âge de procréer impose une </w:t>
      </w:r>
      <w:r>
        <w:rPr>
          <w:b/>
        </w:rPr>
        <w:t>double contraception</w:t>
      </w:r>
      <w:r>
        <w:t xml:space="preserve"> (au moins une méthode mécanique + une méthode hormonale), un </w:t>
      </w:r>
      <w:r>
        <w:rPr>
          <w:b/>
        </w:rPr>
        <w:t>test β-hCG pré-thérapeutique</w:t>
      </w:r>
      <w:r>
        <w:t xml:space="preserve"> et </w:t>
      </w:r>
      <w:r>
        <w:rPr>
          <w:b/>
        </w:rPr>
        <w:t>mensuel</w:t>
      </w:r>
      <w:r>
        <w:t xml:space="preserve"> pendant le traitement, et un </w:t>
      </w:r>
      <w:r>
        <w:rPr>
          <w:b/>
        </w:rPr>
        <w:t>arrêt 3 mois avant</w:t>
      </w:r>
      <w:r>
        <w:t xml:space="preserve"> une grossesse projetée. Les </w:t>
      </w:r>
      <w:r>
        <w:rPr>
          <w:b/>
        </w:rPr>
        <w:t>HTAP et grossesse</w:t>
      </w:r>
      <w:r>
        <w:t xml:space="preserve"> sont de toute façon à </w:t>
      </w:r>
      <w:r>
        <w:rPr>
          <w:b/>
        </w:rPr>
        <w:t>haut risque maternel</w:t>
      </w:r>
      <w:r>
        <w:t xml:space="preserve"> (mortalité 30-50 %), et une interruption médicale de grossesse est le plus souvent discutée.</w:t>
      </w:r>
    </w:p>
    <w:p>
      <w:pPr>
        <w:pStyle w:val="ListBullet"/>
      </w:pPr>
      <w:r/>
      <w:r>
        <w:rPr>
          <w:b/>
        </w:rPr>
        <w:t>Iloprost = inhalation par nébuliseur</w:t>
      </w:r>
      <w:r>
        <w:t xml:space="preserve"> : l'iloprost (Ventavis® Bayer) est administré par </w:t>
      </w:r>
      <w:r>
        <w:rPr>
          <w:b/>
        </w:rPr>
        <w:t>nébulisation</w:t>
      </w:r>
      <w:r>
        <w:t xml:space="preserve"> au moyen d'un nébuliseur ultrasonique ou pneumatique, 6 à 9 fois par jour (durée d'inhalation 4-10 minutes par séance). Cette administration itérative contraignante limite l'adhérence et explique la </w:t>
      </w:r>
      <w:r>
        <w:rPr>
          <w:b/>
        </w:rPr>
        <w:t>transition</w:t>
      </w:r>
      <w:r>
        <w:t xml:space="preserve"> fréquente vers le tréprostinil inhalé ou sous-cutané (non disponible en Algérie) ou l'époprosténol IV continu (non disponible).</w:t>
      </w:r>
    </w:p>
    <w:p>
      <w:pPr>
        <w:pStyle w:val="Heading3"/>
      </w:pPr>
      <w:r>
        <w:t>Objectifs pédagogiques</w:t>
      </w:r>
    </w:p>
    <w:p>
      <w:r>
        <w:t>Ce chapitre a pour objectif de fournir au pharmacien d'offrine algérien les compétences nécessaires pour :</w:t>
      </w:r>
    </w:p>
    <w:p>
      <w:pPr>
        <w:pStyle w:val="ListBullet"/>
      </w:pPr>
      <w:r/>
      <w:r>
        <w:rPr>
          <w:b/>
        </w:rPr>
        <w:t>Dispenser</w:t>
      </w:r>
      <w:r>
        <w:t xml:space="preserve"> les vasodilatateurs pulmonaires ambulatoires (bosentan, sildénafil, tadalafil, riociguat, iloprost inhalé) et reconnaître les surfactants exogènes (usage hospitalier).</w:t>
      </w:r>
    </w:p>
    <w:p>
      <w:pPr>
        <w:pStyle w:val="ListBullet"/>
      </w:pPr>
      <w:r/>
      <w:r>
        <w:rPr>
          <w:b/>
        </w:rPr>
        <w:t>Différencier</w:t>
      </w:r>
      <w:r>
        <w:t xml:space="preserve"> les indications HTAP et dysfonction érectile pour le sildénafil et le tadalafil.</w:t>
      </w:r>
    </w:p>
    <w:p>
      <w:pPr>
        <w:pStyle w:val="ListBullet"/>
      </w:pPr>
      <w:r/>
      <w:r>
        <w:rPr>
          <w:b/>
        </w:rPr>
        <w:t>Détecter</w:t>
      </w:r>
      <w:r>
        <w:t xml:space="preserve"> les interactions critiques : sildénafil + nitrés (CI absolue), riociguat + PDE5 ou nitrés (CI absolue), bosentan + ciclosporine (baisse taux), bosentan + sildénafil (baisse taux sildénafil).</w:t>
      </w:r>
    </w:p>
    <w:p>
      <w:pPr>
        <w:pStyle w:val="ListBullet"/>
      </w:pPr>
      <w:r/>
      <w:r>
        <w:rPr>
          <w:b/>
        </w:rPr>
        <w:t>Surveiller</w:t>
      </w:r>
      <w:r>
        <w:t xml:space="preserve"> la biologie : enzymes hépatiques (bosentan), numération formule (bosentan — anémie), β-hCG (bosentan, riociguat), TA (tous vasodilatateurs).</w:t>
      </w:r>
    </w:p>
    <w:p>
      <w:pPr>
        <w:pStyle w:val="ListBullet"/>
      </w:pPr>
      <w:r/>
      <w:r>
        <w:rPr>
          <w:b/>
        </w:rPr>
        <w:t>Counseling patient</w:t>
      </w:r>
      <w:r>
        <w:t xml:space="preserve"> : moment de prise, double contraception (bosentan), nébuliseur et hygiène bucco-dentaire (iloprost), signes d'alerte hypotension, hématémèse, ictère.</w:t>
      </w:r>
    </w:p>
    <w:p>
      <w:pPr>
        <w:pStyle w:val="ListBullet"/>
      </w:pPr>
      <w:r/>
      <w:r>
        <w:rPr>
          <w:b/>
        </w:rPr>
        <w:t>Connaître</w:t>
      </w:r>
      <w:r>
        <w:t xml:space="preserve"> les guidelines ESC/ERS 2022, le registre français de l'HTAP (FHPR), le programme RBP (restricted distribution program) du bosentan en Europe (REMS — Risk Evaluation and Mitigation Strategy).</w:t>
      </w:r>
    </w:p>
    <w:p>
      <w:pPr>
        <w:pStyle w:val="Heading2"/>
      </w:pPr>
      <w:r>
        <w:t>2. Introduction à la sous-classe des surfactants exogènes — Détresse respiratoire néonatale</w:t>
      </w:r>
    </w:p>
    <w:p>
      <w:pPr>
        <w:pStyle w:val="Heading3"/>
      </w:pPr>
      <w:r>
        <w:t>Définition et physiologie du surfactant pulmonaire</w:t>
      </w:r>
    </w:p>
    <w:p>
      <w:r>
        <w:t xml:space="preserve">Le </w:t>
      </w:r>
      <w:r>
        <w:rPr>
          <w:b/>
        </w:rPr>
        <w:t>surfactant pulmonaire</w:t>
      </w:r>
      <w:r>
        <w:t xml:space="preserve"> est un </w:t>
      </w:r>
      <w:r>
        <w:rPr>
          <w:b/>
        </w:rPr>
        <w:t>complexe tensioactif</w:t>
      </w:r>
      <w:r>
        <w:t xml:space="preserve"> sécrété par les </w:t>
      </w:r>
      <w:r>
        <w:rPr>
          <w:b/>
        </w:rPr>
        <w:t>pneumocytes de type II</w:t>
      </w:r>
      <w:r>
        <w:t xml:space="preserve"> dans les alvéoles pulmonaires. Il est composé d'environ </w:t>
      </w:r>
      <w:r>
        <w:rPr>
          <w:b/>
        </w:rPr>
        <w:t>90 % de phospholipides</w:t>
      </w:r>
      <w:r>
        <w:t xml:space="preserve"> et </w:t>
      </w:r>
      <w:r>
        <w:rPr>
          <w:b/>
        </w:rPr>
        <w:t>10 % de protéines spécifiques</w:t>
      </w:r>
      <w:r>
        <w:t xml:space="preserve"> (surfactant proteins : SP-A, SP-B, SP-C, SP-D). Les phospholipides principaux sont la </w:t>
      </w:r>
      <w:r>
        <w:rPr>
          <w:b/>
        </w:rPr>
        <w:t>phosphatidylcholine (PC)</w:t>
      </w:r>
      <w:r>
        <w:t xml:space="preserve"> — dont la forme dipalmitoylée (DPPC) est la plus active tensioactivement — la </w:t>
      </w:r>
      <w:r>
        <w:rPr>
          <w:b/>
        </w:rPr>
        <w:t>phosphatidylglycérol (PG)</w:t>
      </w:r>
      <w:r>
        <w:t xml:space="preserve">, la </w:t>
      </w:r>
      <w:r>
        <w:rPr>
          <w:b/>
        </w:rPr>
        <w:t>phosphatidyléthanolamine (PE)</w:t>
      </w:r>
      <w:r>
        <w:t xml:space="preserve">, la </w:t>
      </w:r>
      <w:r>
        <w:rPr>
          <w:b/>
        </w:rPr>
        <w:t>phosphatidylinositol (PI)</w:t>
      </w:r>
      <w:r>
        <w:t xml:space="preserve"> et la </w:t>
      </w:r>
      <w:r>
        <w:rPr>
          <w:b/>
        </w:rPr>
        <w:t>sphingomyéline</w:t>
      </w:r>
      <w:r>
        <w:t xml:space="preserve">. Le rapport </w:t>
      </w:r>
      <w:r>
        <w:rPr>
          <w:b/>
        </w:rPr>
        <w:t>lécithine/sphingomyéline (L/S)</w:t>
      </w:r>
      <w:r>
        <w:t xml:space="preserve"> sur le liquide amniotique est un marqueur classique de maturité pulmonaire fœtale (L/S ≥ 2 à partir de 34-35 SA).</w:t>
      </w:r>
    </w:p>
    <w:p>
      <w:r>
        <w:t xml:space="preserve">Les </w:t>
      </w:r>
      <w:r>
        <w:rPr>
          <w:b/>
        </w:rPr>
        <w:t>protéines du surfactant</w:t>
      </w:r>
      <w:r>
        <w:t xml:space="preserve"> ont des rôles complémentaires :</w:t>
      </w:r>
    </w:p>
    <w:p>
      <w:pPr>
        <w:pStyle w:val="ListBullet"/>
      </w:pPr>
      <w:r/>
      <w:r>
        <w:rPr>
          <w:b/>
        </w:rPr>
        <w:t>SP-A et SP-D</w:t>
      </w:r>
      <w:r>
        <w:t xml:space="preserve"> : </w:t>
      </w:r>
      <w:r>
        <w:rPr>
          <w:b/>
        </w:rPr>
        <w:t>collectines</w:t>
      </w:r>
      <w:r>
        <w:t xml:space="preserve"> hydrophiles, membres de la famille des </w:t>
      </w:r>
      <w:r>
        <w:rPr>
          <w:b/>
        </w:rPr>
        <w:t>lectines de type C</w:t>
      </w:r>
      <w:r>
        <w:t>, jouent un rôle majeur dans l'</w:t>
      </w:r>
      <w:r>
        <w:rPr>
          <w:b/>
        </w:rPr>
        <w:t>immunité innée pulmonaire</w:t>
      </w:r>
      <w:r>
        <w:t xml:space="preserve"> (opsonisation des bactéries et virus, activation du complément, modulation de la réponse inflammatoire via les macrophages alvéolaires).</w:t>
      </w:r>
    </w:p>
    <w:p>
      <w:pPr>
        <w:pStyle w:val="ListBullet"/>
      </w:pPr>
      <w:r/>
      <w:r>
        <w:rPr>
          <w:b/>
        </w:rPr>
        <w:t>SP-B et SP-C</w:t>
      </w:r>
      <w:r>
        <w:t xml:space="preserve"> : </w:t>
      </w:r>
      <w:r>
        <w:rPr>
          <w:b/>
        </w:rPr>
        <w:t>protéines hydrophobes</w:t>
      </w:r>
      <w:r>
        <w:t xml:space="preserve"> de petite taille (SP-B = 79 acides aminés ; SP-C = 35 acides aminés), essentielles pour l'</w:t>
      </w:r>
      <w:r>
        <w:rPr>
          <w:b/>
        </w:rPr>
        <w:t>adsorption</w:t>
      </w:r>
      <w:r>
        <w:t xml:space="preserve"> des phospholipides à l'interface air-liquide, leur </w:t>
      </w:r>
      <w:r>
        <w:rPr>
          <w:b/>
        </w:rPr>
        <w:t>réextension</w:t>
      </w:r>
      <w:r>
        <w:t xml:space="preserve"> lors du cycle respiratoire, et la formation du film tensioactif monomoléculaire.</w:t>
      </w:r>
    </w:p>
    <w:p>
      <w:pPr>
        <w:pStyle w:val="Heading3"/>
      </w:pPr>
      <w:r>
        <w:t>Mécanisme d'action — Loi de Laplace et mécanique alvéolaire</w:t>
      </w:r>
    </w:p>
    <w:p>
      <w:r>
        <w:t xml:space="preserve">La </w:t>
      </w:r>
      <w:r>
        <w:rPr>
          <w:b/>
        </w:rPr>
        <w:t>loi de Laplace</w:t>
      </w:r>
      <w:r>
        <w:t xml:space="preserve"> (P = 2T/r pour une sphère) prédit que la </w:t>
      </w:r>
      <w:r>
        <w:rPr>
          <w:b/>
        </w:rPr>
        <w:t>pression</w:t>
      </w:r>
      <w:r>
        <w:t xml:space="preserve"> requise pour maintenir ouverte une alvéole est directement proportionnelle à la </w:t>
      </w:r>
      <w:r>
        <w:rPr>
          <w:b/>
        </w:rPr>
        <w:t>tension superficielle T</w:t>
      </w:r>
      <w:r>
        <w:t xml:space="preserve"> et inversement proportionnelle au </w:t>
      </w:r>
      <w:r>
        <w:rPr>
          <w:b/>
        </w:rPr>
        <w:t>rayon r</w:t>
      </w:r>
      <w:r>
        <w:t>. Sans surfactant :</w:t>
      </w:r>
    </w:p>
    <w:p>
      <w:pPr>
        <w:pStyle w:val="ListBullet"/>
      </w:pPr>
      <w:r>
        <w:t xml:space="preserve">Les petites alvéoles (faible r) nécessiteraient une pression transpulmonaire énorme pour rester ouvertes → </w:t>
      </w:r>
      <w:r>
        <w:rPr>
          <w:b/>
        </w:rPr>
        <w:t>collapsus</w:t>
      </w:r>
      <w:r>
        <w:t xml:space="preserve"> en fin d'expiration (</w:t>
      </w:r>
      <w:r>
        <w:rPr>
          <w:b/>
        </w:rPr>
        <w:t>atélectasie</w:t>
      </w:r>
      <w:r>
        <w:t>).</w:t>
      </w:r>
    </w:p>
    <w:p>
      <w:pPr>
        <w:pStyle w:val="ListBullet"/>
      </w:pPr>
      <w:r>
        <w:t>Le travail respiratoire nécessaire pour réouvrir les alvéoles collabées serait incompatibles avec la vie.</w:t>
      </w:r>
    </w:p>
    <w:p>
      <w:r>
        <w:t xml:space="preserve">Le surfactant, en </w:t>
      </w:r>
      <w:r>
        <w:rPr>
          <w:b/>
        </w:rPr>
        <w:t>abaissant dynamiquement la tension superficielle</w:t>
      </w:r>
      <w:r>
        <w:t xml:space="preserve"> lorsque la surface alvéolaire diminue (expiration : les molécules de surfactant se rapprochent, augmentant leur densité surfacique et réduisant encore plus la tension), permet :</w:t>
      </w:r>
    </w:p>
    <w:p>
      <w:pPr>
        <w:pStyle w:val="ListBullet"/>
      </w:pPr>
      <w:r>
        <w:t xml:space="preserve">Le </w:t>
      </w:r>
      <w:r>
        <w:rPr>
          <w:b/>
        </w:rPr>
        <w:t>maintien de l'ouverture alvéolaire</w:t>
      </w:r>
      <w:r>
        <w:t xml:space="preserve"> en fin d'expiration (résidu fonctionnel préservé).</w:t>
      </w:r>
    </w:p>
    <w:p>
      <w:pPr>
        <w:pStyle w:val="ListBullet"/>
      </w:pPr>
      <w:r>
        <w:t xml:space="preserve">La </w:t>
      </w:r>
      <w:r>
        <w:rPr>
          <w:b/>
        </w:rPr>
        <w:t>stabilité</w:t>
      </w:r>
      <w:r>
        <w:t xml:space="preserve"> des alvéoles de différentes tailles (les petites alvéoles ne se videant pas dans les grandes).</w:t>
      </w:r>
    </w:p>
    <w:p>
      <w:pPr>
        <w:pStyle w:val="ListBullet"/>
      </w:pPr>
      <w:r>
        <w:t xml:space="preserve">La </w:t>
      </w:r>
      <w:r>
        <w:rPr>
          <w:b/>
        </w:rPr>
        <w:t>réduction du travail respiratoire</w:t>
      </w:r>
      <w:r>
        <w:t>.</w:t>
      </w:r>
    </w:p>
    <w:p>
      <w:pPr>
        <w:pStyle w:val="ListBullet"/>
      </w:pPr>
      <w:r>
        <w:t xml:space="preserve">La </w:t>
      </w:r>
      <w:r>
        <w:rPr>
          <w:b/>
        </w:rPr>
        <w:t>prévention des transsudations</w:t>
      </w:r>
      <w:r>
        <w:t xml:space="preserve"> œdémateuses (la tension superficielle élévée « aspire » le liquide capillaire dans l'alvéole).</w:t>
      </w:r>
    </w:p>
    <w:p>
      <w:pPr>
        <w:pStyle w:val="Heading3"/>
      </w:pPr>
      <w:r>
        <w:t>Détresse respiratoire néonatale (SDRN) — Maladie des membranes hyalines</w:t>
      </w:r>
    </w:p>
    <w:p>
      <w:r>
        <w:t xml:space="preserve">Le </w:t>
      </w:r>
      <w:r>
        <w:rPr>
          <w:b/>
        </w:rPr>
        <w:t>SDRN</w:t>
      </w:r>
      <w:r>
        <w:t xml:space="preserve"> survient chez </w:t>
      </w:r>
      <w:r>
        <w:rPr>
          <w:b/>
        </w:rPr>
        <w:t>60-80 % des nouveau-nés &lt; 28 SA</w:t>
      </w:r>
      <w:r>
        <w:t xml:space="preserve">, </w:t>
      </w:r>
      <w:r>
        <w:rPr>
          <w:b/>
        </w:rPr>
        <w:t>30-50 % des 28-32 SA</w:t>
      </w:r>
      <w:r>
        <w:t xml:space="preserve"> et </w:t>
      </w:r>
      <w:r>
        <w:rPr>
          <w:b/>
        </w:rPr>
        <w:t>5-10 % des 32-36 SA</w:t>
      </w:r>
      <w:r>
        <w:t xml:space="preserve">. Cliniquement : </w:t>
      </w:r>
      <w:r>
        <w:rPr>
          <w:b/>
        </w:rPr>
        <w:t>détresse précoce</w:t>
      </w:r>
      <w:r>
        <w:t xml:space="preserve"> dès la 1ère heure de vie, </w:t>
      </w:r>
      <w:r>
        <w:rPr>
          <w:b/>
        </w:rPr>
        <w:t>polypnée</w:t>
      </w:r>
      <w:r>
        <w:t xml:space="preserve"> (FR &gt; 60/min), </w:t>
      </w:r>
      <w:r>
        <w:rPr>
          <w:b/>
        </w:rPr>
        <w:t>tirage intercostal et sous-costal</w:t>
      </w:r>
      <w:r>
        <w:t xml:space="preserve">, </w:t>
      </w:r>
      <w:r>
        <w:rPr>
          <w:b/>
        </w:rPr>
        <w:t>balancement thoraco-abdominal</w:t>
      </w:r>
      <w:r>
        <w:t xml:space="preserve">, </w:t>
      </w:r>
      <w:r>
        <w:rPr>
          <w:b/>
        </w:rPr>
        <w:t>geignement expiratoire</w:t>
      </w:r>
      <w:r>
        <w:t xml:space="preserve"> (physiologique pour augmenter la pression alvéolaire expiratoire et maintenir l'ouverture alvéolaire — mécanisme compensatoire spontané), </w:t>
      </w:r>
      <w:r>
        <w:rPr>
          <w:b/>
        </w:rPr>
        <w:t>cyanose</w:t>
      </w:r>
      <w:r>
        <w:t xml:space="preserve">, </w:t>
      </w:r>
      <w:r>
        <w:rPr>
          <w:b/>
        </w:rPr>
        <w:t>cyanose réfractaire à l'O₂</w:t>
      </w:r>
      <w:r>
        <w:t xml:space="preserve"> (signe de shunt droit-gauche par hypertension pulmonaire persistante ou par shunt intra-cardiaque via le canal artériel). Radiographiquement : </w:t>
      </w:r>
      <w:r>
        <w:rPr>
          <w:b/>
        </w:rPr>
        <w:t>image réticulo-granuleuse</w:t>
      </w:r>
      <w:r>
        <w:t xml:space="preserve"> bilatérale avec </w:t>
      </w:r>
      <w:r>
        <w:rPr>
          <w:b/>
        </w:rPr>
        <w:t>bronchogramme aérien</w:t>
      </w:r>
      <w:r>
        <w:t xml:space="preserve"> (atélectasies diffuses avec bronches aerées).</w:t>
      </w:r>
    </w:p>
    <w:p>
      <w:r>
        <w:t>Sans traitement, l'évolution se fait vers l'</w:t>
      </w:r>
      <w:r>
        <w:rPr>
          <w:b/>
        </w:rPr>
        <w:t>hypoxie réfractaire</w:t>
      </w:r>
      <w:r>
        <w:t>, l'</w:t>
      </w:r>
      <w:r>
        <w:rPr>
          <w:b/>
        </w:rPr>
        <w:t>acidose métabolique</w:t>
      </w:r>
      <w:r>
        <w:t xml:space="preserve"> (hypoperfusion tissulaire) et respiratoire, l'</w:t>
      </w:r>
      <w:r>
        <w:rPr>
          <w:b/>
        </w:rPr>
        <w:t>insuffisance cardiaque</w:t>
      </w:r>
      <w:r>
        <w:t xml:space="preserve">, et le </w:t>
      </w:r>
      <w:r>
        <w:rPr>
          <w:b/>
        </w:rPr>
        <w:t>décès</w:t>
      </w:r>
      <w:r>
        <w:t xml:space="preserve"> en quelques heures à jours. Le </w:t>
      </w:r>
      <w:r>
        <w:rPr>
          <w:b/>
        </w:rPr>
        <w:t>surfactant exogène</w:t>
      </w:r>
      <w:r>
        <w:t xml:space="preserve"> administré précocement (idéalement &lt; 2 heures de vie en prophylaxie chez le &lt; 26-28 SA ; &lt; 4 heures en curatif) a transformé le pronostic : réduction de </w:t>
      </w:r>
      <w:r>
        <w:rPr>
          <w:b/>
        </w:rPr>
        <w:t>40 % de la mortalité</w:t>
      </w:r>
      <w:r>
        <w:t>, réduction des pneumothorax et dysplasies bronchopulmonaires.</w:t>
      </w:r>
    </w:p>
    <w:p>
      <w:pPr>
        <w:pStyle w:val="Heading3"/>
      </w:pPr>
      <w:r>
        <w:t>Classification des surfactants exogènes</w:t>
      </w:r>
    </w:p>
    <w:p>
      <w:r>
        <w:t>Trois générations de surfactants exogènes sont commercialisées :</w:t>
      </w:r>
    </w:p>
    <w:p>
      <w:pPr>
        <w:pStyle w:val="ListNumber"/>
      </w:pPr>
      <w:r/>
      <w:r>
        <w:rPr>
          <w:b/>
        </w:rPr>
        <w:t>Surfactants naturels d'origine animale (extraits de poumon)</w:t>
      </w:r>
      <w:r>
        <w:t xml:space="preserve"> :</w:t>
      </w:r>
    </w:p>
    <w:p>
      <w:pPr>
        <w:pStyle w:val="ListBullet"/>
      </w:pPr>
      <w:r/>
      <w:r>
        <w:rPr>
          <w:b/>
        </w:rPr>
        <w:t>Poractant alfa</w:t>
      </w:r>
      <w:r>
        <w:t xml:space="preserve"> (Curosurf®) — extrait de poumon de porc (Chiesi Farmaceutici). Le plus concentré (80 mg/mL de phospholipides) et le plus utilisé en Europe. Contient essentiellement des phospholipides et une petite fraction de SP-B et SP-C.</w:t>
      </w:r>
    </w:p>
    <w:p>
      <w:pPr>
        <w:pStyle w:val="ListBullet"/>
      </w:pPr>
      <w:r/>
      <w:r>
        <w:rPr>
          <w:b/>
        </w:rPr>
        <w:t>Beractant</w:t>
      </w:r>
      <w:r>
        <w:t xml:space="preserve"> (Survanta®) — extrait de poumon de bovin (AbbVie, autrefois Abbott). Contient des phospholipides, SP-B, SP-C, et est complété par DPPC, palmitate de tripalmitine et acide palmitique. Concentration 25 mg/mL.</w:t>
      </w:r>
    </w:p>
    <w:p>
      <w:pPr>
        <w:pStyle w:val="ListBullet"/>
      </w:pPr>
      <w:r/>
      <w:r>
        <w:rPr>
          <w:b/>
        </w:rPr>
        <w:t>Calfactant</w:t>
      </w:r>
      <w:r>
        <w:t xml:space="preserve"> (Infasurf®) — extrait de poumon de bovin (Jazeera Pharmaceuticals Industries, sous licence ONY/Orgtec). Contient essentiellement des phospholipides (DPPC, PG) et des protéines SP-B et SP-C natives. Concentration 35 mg/mL.</w:t>
      </w:r>
    </w:p>
    <w:p>
      <w:pPr>
        <w:pStyle w:val="ListNumber"/>
      </w:pPr>
      <w:r/>
      <w:r>
        <w:rPr>
          <w:b/>
        </w:rPr>
        <w:t>Surfactants synthétiques de 1ère génération</w:t>
      </w:r>
      <w:r>
        <w:t xml:space="preserve"> (sans protéines) : </w:t>
      </w:r>
      <w:r>
        <w:rPr>
          <w:b/>
        </w:rPr>
        <w:t>colfoscéril palmitate</w:t>
      </w:r>
      <w:r>
        <w:t xml:space="preserve"> (Exosurf® — Glaxo Wellcome) — composé de DPPC + tyloxapol + hexadécanol ; n'est plus commercialisé en Algérie (efficacité inférieure aux naturels).</w:t>
      </w:r>
    </w:p>
    <w:p>
      <w:pPr>
        <w:pStyle w:val="ListNumber"/>
      </w:pPr>
      <w:r/>
      <w:r>
        <w:rPr>
          <w:b/>
        </w:rPr>
        <w:t>Surfactants synthétiques de 2ème génération</w:t>
      </w:r>
      <w:r>
        <w:t xml:space="preserve"> (avec peptides mimétiques de SP-B/SP-C) : </w:t>
      </w:r>
      <w:r>
        <w:rPr>
          <w:b/>
        </w:rPr>
        <w:t>lucinactant</w:t>
      </w:r>
      <w:r>
        <w:t xml:space="preserve"> (Surfaxin® — Discovery Labs, KL4 peptide) ; </w:t>
      </w:r>
      <w:r>
        <w:rPr>
          <w:b/>
        </w:rPr>
        <w:t>surfactant pumactant</w:t>
      </w:r>
      <w:r>
        <w:t xml:space="preserve"> (ALEC® — peptides artificielles) ; non disponibles en Algérie.</w:t>
      </w:r>
    </w:p>
    <w:p>
      <w:pPr>
        <w:pStyle w:val="Heading3"/>
      </w:pPr>
      <w:r>
        <w:t>Posologie comparée des surfactants</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Surfactant</w:t>
            </w:r>
          </w:p>
        </w:tc>
        <w:tc>
          <w:tcPr>
            <w:tcW w:type="dxa" w:w="1871"/>
          </w:tcPr>
          <w:p>
            <w:r>
              <w:rPr>
                <w:b/>
                <w:sz w:val="20"/>
              </w:rPr>
              <w:t>Origine</w:t>
            </w:r>
          </w:p>
        </w:tc>
        <w:tc>
          <w:tcPr>
            <w:tcW w:type="dxa" w:w="1871"/>
          </w:tcPr>
          <w:p>
            <w:r>
              <w:rPr>
                <w:b/>
                <w:sz w:val="20"/>
              </w:rPr>
              <w:t>Concentration</w:t>
            </w:r>
          </w:p>
        </w:tc>
        <w:tc>
          <w:tcPr>
            <w:tcW w:type="dxa" w:w="1871"/>
          </w:tcPr>
          <w:p>
            <w:r>
              <w:rPr>
                <w:b/>
                <w:sz w:val="20"/>
              </w:rPr>
              <w:t>Dose initiale</w:t>
            </w:r>
          </w:p>
        </w:tc>
        <w:tc>
          <w:tcPr>
            <w:tcW w:type="dxa" w:w="1871"/>
          </w:tcPr>
          <w:p>
            <w:r>
              <w:rPr>
                <w:b/>
                <w:sz w:val="20"/>
              </w:rPr>
              <w:t>Doses répétées</w:t>
            </w:r>
          </w:p>
        </w:tc>
      </w:tr>
      <w:tr>
        <w:tc>
          <w:tcPr>
            <w:tcW w:type="dxa" w:w="1871"/>
          </w:tcPr>
          <w:p>
            <w:r>
              <w:rPr>
                <w:sz w:val="20"/>
              </w:rPr>
              <w:t>Poractant alfa (Curosurf®)</w:t>
            </w:r>
          </w:p>
        </w:tc>
        <w:tc>
          <w:tcPr>
            <w:tcW w:type="dxa" w:w="1871"/>
          </w:tcPr>
          <w:p>
            <w:r>
              <w:rPr>
                <w:sz w:val="20"/>
              </w:rPr>
              <w:t>Porc</w:t>
            </w:r>
          </w:p>
        </w:tc>
        <w:tc>
          <w:tcPr>
            <w:tcW w:type="dxa" w:w="1871"/>
          </w:tcPr>
          <w:p>
            <w:r>
              <w:rPr>
                <w:sz w:val="20"/>
              </w:rPr>
              <w:t>80 mg/mL</w:t>
            </w:r>
          </w:p>
        </w:tc>
        <w:tc>
          <w:tcPr>
            <w:tcW w:type="dxa" w:w="1871"/>
          </w:tcPr>
          <w:p>
            <w:r>
              <w:rPr>
                <w:sz w:val="20"/>
              </w:rPr>
              <w:t>100-200 mg/kg</w:t>
            </w:r>
          </w:p>
        </w:tc>
        <w:tc>
          <w:tcPr>
            <w:tcW w:type="dxa" w:w="1871"/>
          </w:tcPr>
          <w:p>
            <w:r>
              <w:rPr>
                <w:sz w:val="20"/>
              </w:rPr>
              <w:t>100 mg/kg à H6-H12 si besoin (max 3-4 doses)</w:t>
            </w:r>
          </w:p>
        </w:tc>
      </w:tr>
      <w:tr>
        <w:tc>
          <w:tcPr>
            <w:tcW w:type="dxa" w:w="1871"/>
          </w:tcPr>
          <w:p>
            <w:r>
              <w:rPr>
                <w:sz w:val="20"/>
              </w:rPr>
              <w:t>Beractant (Survanta®)</w:t>
            </w:r>
          </w:p>
        </w:tc>
        <w:tc>
          <w:tcPr>
            <w:tcW w:type="dxa" w:w="1871"/>
          </w:tcPr>
          <w:p>
            <w:r>
              <w:rPr>
                <w:sz w:val="20"/>
              </w:rPr>
              <w:t>Bovin</w:t>
            </w:r>
          </w:p>
        </w:tc>
        <w:tc>
          <w:tcPr>
            <w:tcW w:type="dxa" w:w="1871"/>
          </w:tcPr>
          <w:p>
            <w:r>
              <w:rPr>
                <w:sz w:val="20"/>
              </w:rPr>
              <w:t>25 mg/mL</w:t>
            </w:r>
          </w:p>
        </w:tc>
        <w:tc>
          <w:tcPr>
            <w:tcW w:type="dxa" w:w="1871"/>
          </w:tcPr>
          <w:p>
            <w:r>
              <w:rPr>
                <w:sz w:val="20"/>
              </w:rPr>
              <w:t>100 mg/kg (4 mL/kg)</w:t>
            </w:r>
          </w:p>
        </w:tc>
        <w:tc>
          <w:tcPr>
            <w:tcW w:type="dxa" w:w="1871"/>
          </w:tcPr>
          <w:p>
            <w:r>
              <w:rPr>
                <w:sz w:val="20"/>
              </w:rPr>
              <w:t>100 mg/kg à H6, max 4 doses</w:t>
            </w:r>
          </w:p>
        </w:tc>
      </w:tr>
      <w:tr>
        <w:tc>
          <w:tcPr>
            <w:tcW w:type="dxa" w:w="1871"/>
          </w:tcPr>
          <w:p>
            <w:r>
              <w:rPr>
                <w:sz w:val="20"/>
              </w:rPr>
              <w:t>Calfactant (Infasurf®)</w:t>
            </w:r>
          </w:p>
        </w:tc>
        <w:tc>
          <w:tcPr>
            <w:tcW w:type="dxa" w:w="1871"/>
          </w:tcPr>
          <w:p>
            <w:r>
              <w:rPr>
                <w:sz w:val="20"/>
              </w:rPr>
              <w:t>Bovin</w:t>
            </w:r>
          </w:p>
        </w:tc>
        <w:tc>
          <w:tcPr>
            <w:tcW w:type="dxa" w:w="1871"/>
          </w:tcPr>
          <w:p>
            <w:r>
              <w:rPr>
                <w:sz w:val="20"/>
              </w:rPr>
              <w:t>35 mg/mL</w:t>
            </w:r>
          </w:p>
        </w:tc>
        <w:tc>
          <w:tcPr>
            <w:tcW w:type="dxa" w:w="1871"/>
          </w:tcPr>
          <w:p>
            <w:r>
              <w:rPr>
                <w:sz w:val="20"/>
              </w:rPr>
              <w:t>105 mg/kg (3 mL/kg)</w:t>
            </w:r>
          </w:p>
        </w:tc>
        <w:tc>
          <w:tcPr>
            <w:tcW w:type="dxa" w:w="1871"/>
          </w:tcPr>
          <w:p>
            <w:r>
              <w:rPr>
                <w:sz w:val="20"/>
              </w:rPr>
              <w:t>105 mg/kg à H6-H12, max 3 doses</w:t>
            </w:r>
          </w:p>
        </w:tc>
      </w:tr>
    </w:tbl>
    <w:p/>
    <w:p>
      <w:pPr>
        <w:pStyle w:val="Heading3"/>
      </w:pPr>
      <w:r>
        <w:t>Particularités algériennes</w:t>
      </w:r>
    </w:p>
    <w:p>
      <w:r>
        <w:t xml:space="preserve">Les </w:t>
      </w:r>
      <w:r>
        <w:rPr>
          <w:b/>
        </w:rPr>
        <w:t>trois surfactants naturels</w:t>
      </w:r>
      <w:r>
        <w:t xml:space="preserve"> sont disponibles en Algérie en LISTE I, usage exclusivement </w:t>
      </w:r>
      <w:r>
        <w:rPr>
          <w:b/>
        </w:rPr>
        <w:t>hospitalier</w:t>
      </w:r>
      <w:r>
        <w:t xml:space="preserve"> (services de néonatologie, réanimation pédiatrique). Le pharmacien d'officine ne dispense pas ces spécialités mais doit en connaître l'existence pour répondre aux questions des parents de prématurés hospitalisés. Le </w:t>
      </w:r>
      <w:r>
        <w:rPr>
          <w:b/>
        </w:rPr>
        <w:t>choix entre les trois molécules</w:t>
      </w:r>
      <w:r>
        <w:t xml:space="preserve"> se fait selon les habitudes de service, la disponibilité locale et le coût : le poractant alfa est le plus concentré et permet un volume d'instillation plus faible (1,25-2,5 mL/kg pour 100-200 mg/kg) que le beractant (4 mL/kg) ou le calfactant (3 mL/kg), ce qui peut être avantageux en cas de ventilation à haute fréquence ou de mauvaise tolérance hémodynamique de l'instillation (bradycardie transitoire par augmentation du retour veineux et de la post-charge ventriculaire droite).</w:t>
      </w:r>
    </w:p>
    <w:p>
      <w:pPr>
        <w:pStyle w:val="Heading2"/>
      </w:pPr>
      <w:r>
        <w:t>3. Fiches DCI — Surfactants exogènes</w:t>
      </w:r>
    </w:p>
    <w:p>
      <w:pPr>
        <w:pStyle w:val="Heading3"/>
      </w:pPr>
      <w:r>
        <w:t>1. DCI : Poractant alfa (Curosurf®)</w:t>
      </w:r>
    </w:p>
    <w:p>
      <w:r/>
      <w:r>
        <w:rPr>
          <w:b/>
        </w:rPr>
        <w:t>Liste des Catégories :</w:t>
      </w:r>
      <w:r>
        <w:t xml:space="preserve"> Surfactant exogène d'origine porcine — Détresse respiratoire néonatale — Instillation endotrachéobronchique — Liste I — Usage hospitalier exclusif.</w:t>
      </w:r>
    </w:p>
    <w:p>
      <w:r>
        <w:t xml:space="preserve">Le </w:t>
      </w:r>
      <w:r>
        <w:rPr>
          <w:b/>
        </w:rPr>
        <w:t>poractant alfa</w:t>
      </w:r>
      <w:r>
        <w:t xml:space="preserve"> est un </w:t>
      </w:r>
      <w:r>
        <w:rPr>
          <w:b/>
        </w:rPr>
        <w:t>extrait naturel de surfactant pulmonaire de porc</w:t>
      </w:r>
      <w:r>
        <w:t xml:space="preserve">, obtenu par lavage pulmonaire et chromatographie d'affinité, contenant ~99 % de phospholipides (essentiellement DPPC, PG, PI) et ~1 % de protéines hydrophobes SP-B et SP-C natives. Il est commercialisé sous le nom de </w:t>
      </w:r>
      <w:r>
        <w:rPr>
          <w:b/>
        </w:rPr>
        <w:t>Curosurf®</w:t>
      </w:r>
      <w:r>
        <w:t xml:space="preserve"> par Chiesi Farmaceutici (Italie), laboratoire historique des surfactants exogènes en Europe. Le poractant alfa est le surfactant exogène le plus prescrit en France et en Europe en raison de sa </w:t>
      </w:r>
      <w:r>
        <w:rPr>
          <w:b/>
        </w:rPr>
        <w:t>concentration élevée</w:t>
      </w:r>
      <w:r>
        <w:t xml:space="preserve"> (80 mg/mL, contre 25-35 mg/mL pour les autres), permettant un </w:t>
      </w:r>
      <w:r>
        <w:rPr>
          <w:b/>
        </w:rPr>
        <w:t>volume d'instillation plus faible</w:t>
      </w:r>
      <w:r>
        <w:t xml:space="preserve"> à dose équivalente en phospholipides — avantage pratique en ventilation conventionnelle comme en haute fréquence. La pharmacocinétique du poractant alfa est essentiellement </w:t>
      </w:r>
      <w:r>
        <w:rPr>
          <w:b/>
        </w:rPr>
        <w:t>locale</w:t>
      </w:r>
      <w:r>
        <w:t xml:space="preserve"> (alvéolaire) : les phospholipides sont progressivement </w:t>
      </w:r>
      <w:r>
        <w:rPr>
          <w:b/>
        </w:rPr>
        <w:t>recyclés</w:t>
      </w:r>
      <w:r>
        <w:t xml:space="preserve"> par les pneumocytes de type II (voie endocytaire via le récepteur SP-A), métabolisés localement ou éliminés par les macrophages alvéolaires. Une fraction minime (&lt; 1 %) passe dans la circulation systémique.</w:t>
      </w:r>
    </w:p>
    <w:p>
      <w:r/>
      <w:r>
        <w:rPr>
          <w:b/>
        </w:rPr>
        <w:t>Médicaments disponibles en Algérie (Marques, Laboratoires, Formes et Dosages) :</w:t>
      </w:r>
      <w:r/>
    </w:p>
    <w:p>
      <w:pPr>
        <w:pStyle w:val="ListBullet"/>
      </w:pPr>
      <w:r/>
      <w:r>
        <w:rPr>
          <w:b/>
        </w:rPr>
        <w:t>CUROSURF</w:t>
      </w:r>
      <w:r>
        <w:t xml:space="preserve"> (CHIESI FARMACEUTICI SPA)</w:t>
      </w:r>
    </w:p>
    <w:p>
      <w:pPr>
        <w:pStyle w:val="ListBullet"/>
      </w:pPr>
      <w:r>
        <w:t>Formes et Dosages : Suspension pour instillation endotrachéobronchique — 80 mg/mL de phospholipides — Flacon de 1,5 mL (120 mg) ou flacon de 3 mL (240 mg).</w:t>
      </w:r>
    </w:p>
    <w:p>
      <w:pPr>
        <w:pStyle w:val="ListBullet"/>
      </w:pPr>
      <w:r>
        <w:t>Statut : Actif (LISTE I — usage hospitalier exclusif — néonatologie).</w:t>
      </w:r>
    </w:p>
    <w:p>
      <w:r/>
      <w:r>
        <w:rPr>
          <w:b/>
        </w:rPr>
        <w:t>Sous-classe et Mécanisme d'action :</w:t>
      </w:r>
      <w:r/>
    </w:p>
    <w:p>
      <w:pPr>
        <w:pStyle w:val="ListBullet"/>
      </w:pPr>
      <w:r>
        <w:t>Sous-classe : Surfactant exogène naturel d'origine porcine — alternative de référence au déficit de surfactant endogène dans la maladie des membranes hyalines du nouveau-né prématuré.</w:t>
      </w:r>
    </w:p>
    <w:p>
      <w:pPr>
        <w:pStyle w:val="ListBullet"/>
      </w:pPr>
      <w:r>
        <w:t xml:space="preserve">Mécanisme d'action : le poractant alfa </w:t>
      </w:r>
      <w:r>
        <w:rPr>
          <w:b/>
        </w:rPr>
        <w:t>restaure la couche tensioactive</w:t>
      </w:r>
      <w:r>
        <w:t xml:space="preserve"> à l'interface air-liquide alvéolaire. Les </w:t>
      </w:r>
      <w:r>
        <w:rPr>
          <w:b/>
        </w:rPr>
        <w:t>phospholipides</w:t>
      </w:r>
      <w:r>
        <w:t xml:space="preserve"> (DPPC notamment) forment un </w:t>
      </w:r>
      <w:r>
        <w:rPr>
          <w:b/>
        </w:rPr>
        <w:t>film monomoléculaire</w:t>
      </w:r>
      <w:r>
        <w:t xml:space="preserve"> à la surface alvéolaire, dont l'orientation et la densité varient dynamiquement avec le cycle respiratoire. Les protéines </w:t>
      </w:r>
      <w:r>
        <w:rPr>
          <w:b/>
        </w:rPr>
        <w:t>SP-B et SP-C</w:t>
      </w:r>
      <w:r>
        <w:t xml:space="preserve"> jouent un rôle crucial dans l'</w:t>
      </w:r>
      <w:r>
        <w:rPr>
          <w:b/>
        </w:rPr>
        <w:t>adsorption rapide</w:t>
      </w:r>
      <w:r>
        <w:t xml:space="preserve"> des phospholipides à l'interface air-liquide, dans leur </w:t>
      </w:r>
      <w:r>
        <w:rPr>
          <w:b/>
        </w:rPr>
        <w:t>réextension</w:t>
      </w:r>
      <w:r>
        <w:t xml:space="preserve"> après compression (expiration), et dans la stabilisation de la structure tubulaire myélinique (forme de stockage intermédiaire). L'abaissement de la tension superficielle alvéolaire (pouvant atteindre des valeurs proches de 0 mN/m en expiration maximale selon les expériences de Wilhelmy balance) permet : (i) la </w:t>
      </w:r>
      <w:r>
        <w:rPr>
          <w:b/>
        </w:rPr>
        <w:t>réouverture</w:t>
      </w:r>
      <w:r>
        <w:t xml:space="preserve"> des alvéoles collabées (recrutement alvéolaire), (ii) le </w:t>
      </w:r>
      <w:r>
        <w:rPr>
          <w:b/>
        </w:rPr>
        <w:t>maintien</w:t>
      </w:r>
      <w:r>
        <w:t xml:space="preserve"> de l'ouverture alvéolaire en fin d'expiration (stabilisation du résidu fonctionnel), (iii) la </w:t>
      </w:r>
      <w:r>
        <w:rPr>
          <w:b/>
        </w:rPr>
        <w:t>réduction du travail respiratoire</w:t>
      </w:r>
      <w:r>
        <w:t xml:space="preserve">, (iv) la </w:t>
      </w:r>
      <w:r>
        <w:rPr>
          <w:b/>
        </w:rPr>
        <w:t>correction de l'hypoxie</w:t>
      </w:r>
      <w:r>
        <w:t xml:space="preserve"> par amélioration du rapport ventilation/perfusion et diminution du shunt, (v) la </w:t>
      </w:r>
      <w:r>
        <w:rPr>
          <w:b/>
        </w:rPr>
        <w:t>diminution de la post-charge ventriculaire droite</w:t>
      </w:r>
      <w:r>
        <w:t xml:space="preserve"> (baisse des résistances vasculaires pulmonaires par correction de l'hypoxie alvéolaire).</w:t>
      </w:r>
    </w:p>
    <w:p>
      <w:r/>
      <w:r>
        <w:rPr>
          <w:b/>
        </w:rPr>
        <w:t>Profil Pharmacologique :</w:t>
      </w:r>
      <w:r/>
    </w:p>
    <w:p>
      <w:pPr>
        <w:pStyle w:val="ListBullet"/>
      </w:pPr>
      <w:r>
        <w:t xml:space="preserve">Indications : </w:t>
      </w:r>
      <w:r>
        <w:rPr>
          <w:b/>
        </w:rPr>
        <w:t>Prophylaxie</w:t>
      </w:r>
      <w:r>
        <w:t xml:space="preserve"> de la maladie des membranes hyalines chez le nouveau-né prématuré à haut risque (&lt; 28 SA ou &lt; 30 SA avec facteurs de risque) ; </w:t>
      </w:r>
      <w:r>
        <w:rPr>
          <w:b/>
        </w:rPr>
        <w:t>traitement curatif</w:t>
      </w:r>
      <w:r>
        <w:t xml:space="preserve"> de la détresse respiratoire néonatale chez le nouveau-né prématuré symptomatique, idéalement dans les 2-4 premières heures de vie. Extension : syndrome de </w:t>
      </w:r>
      <w:r>
        <w:rPr>
          <w:b/>
        </w:rPr>
        <w:t>détresse respiratoire aiguë (SDRA) de l'enfant</w:t>
      </w:r>
      <w:r>
        <w:t xml:space="preserve"> (hors AMM, dans certains protocoles pédiatriques).</w:t>
      </w:r>
    </w:p>
    <w:p>
      <w:pPr>
        <w:pStyle w:val="ListBullet"/>
      </w:pPr>
      <w:r>
        <w:t>Contre-indications : aucune CI absolue en raison de l'urgence vitale du SDRN ; relative en cas d'</w:t>
      </w:r>
      <w:r>
        <w:rPr>
          <w:b/>
        </w:rPr>
        <w:t>hypertension pulmonaire persistante néonatale sévère</w:t>
      </w:r>
      <w:r>
        <w:t xml:space="preserve"> (l'instillation peut aggraver transitoirement la post-charge VD avant correction de l'hypoxie) ; en cas de pneumothorax non drainé (à drainer préalablement).</w:t>
      </w:r>
    </w:p>
    <w:p>
      <w:pPr>
        <w:pStyle w:val="ListBullet"/>
      </w:pPr>
      <w:r>
        <w:t xml:space="preserve">Effets Indésirables : </w:t>
      </w:r>
      <w:r>
        <w:rPr>
          <w:b/>
        </w:rPr>
        <w:t>bradycardie transitoire</w:t>
      </w:r>
      <w:r>
        <w:t xml:space="preserve"> et </w:t>
      </w:r>
      <w:r>
        <w:rPr>
          <w:b/>
        </w:rPr>
        <w:t>désaturation</w:t>
      </w:r>
      <w:r>
        <w:t xml:space="preserve"> pendant l'instillation (réflexe vagal et obstruction transitoire des voies aériennes par la suspension) — gérées par pause ventilatoire, ajustement de la PEP et/ou modération du débit d'instillation ; </w:t>
      </w:r>
      <w:r>
        <w:rPr>
          <w:b/>
        </w:rPr>
        <w:t>hémorragie pulmonaire</w:t>
      </w:r>
      <w:r>
        <w:t xml:space="preserve"> rare (~1-3 %) surtout chez les extrêmes prématurés &lt; 26 SA ; </w:t>
      </w:r>
      <w:r>
        <w:rPr>
          <w:b/>
        </w:rPr>
        <w:t>pneumothorax</w:t>
      </w:r>
      <w:r>
        <w:t xml:space="preserve"> (lié à la ventilation mécanique, non au surfactant lui-même) ; reflux de surfactant dans la sonde d'intubation ; exceptionnelles réactions d'hypersensibilité aux protéines porcines.</w:t>
      </w:r>
    </w:p>
    <w:p>
      <w:r/>
      <w:r>
        <w:rPr>
          <w:b/>
        </w:rPr>
        <w:t>Prévention et Gestion des Effets Indésirables :</w:t>
      </w:r>
      <w:r/>
    </w:p>
    <w:p>
      <w:pPr>
        <w:pStyle w:val="ListBullet"/>
      </w:pPr>
      <w:r>
        <w:t xml:space="preserve">Mesures Préventives : administration en </w:t>
      </w:r>
      <w:r>
        <w:rPr>
          <w:b/>
        </w:rPr>
        <w:t>unité de néonatologie spécialisée</w:t>
      </w:r>
      <w:r>
        <w:t xml:space="preserve"> (niveau 3), sous monitoring cardio-respiratoire continu ( scope ECG, oxymétrie transcutanée, pression artérielle ombilicale), intubation préalable et positionnement correct de la sonde (vérification par auscultation et/ou capnographie), ventilation mécanique adaptée (PEP 4-6 cmH2O, FR 30-60/min, Ti 0,3-0,4 s) avec adaptation rapide des paramètres après instillation (le recrutement alvéolaire permet souvent une </w:t>
      </w:r>
      <w:r>
        <w:rPr>
          <w:b/>
        </w:rPr>
        <w:t>diminution rapide</w:t>
      </w:r>
      <w:r>
        <w:t xml:space="preserve"> de la FiO2 et des pressions).</w:t>
      </w:r>
    </w:p>
    <w:p>
      <w:pPr>
        <w:pStyle w:val="ListBullet"/>
      </w:pPr>
      <w:r>
        <w:t xml:space="preserve">Conduite à Tenir : en cas de bradycardie/désaturation, </w:t>
      </w:r>
      <w:r>
        <w:rPr>
          <w:b/>
        </w:rPr>
        <w:t>interrompre transitoirement</w:t>
      </w:r>
      <w:r>
        <w:t xml:space="preserve"> l'instillation, augmenter la FiO2 et la fréquence ventilatoire ; reprendre à débit plus lent. En cas d'hémorragie pulmonaire : arrêt de l'instillation, ventilation adaptée, correction des troubles de coagulation (vitamine K, PFC si besoin). En cas de pneumothorax : drainage thoracique en urgence.</w:t>
      </w:r>
    </w:p>
    <w:p>
      <w:r/>
      <w:r>
        <w:rPr>
          <w:b/>
        </w:rPr>
        <w:t>Interactions Importantes :</w:t>
      </w:r>
      <w:r/>
    </w:p>
    <w:p>
      <w:pPr>
        <w:pStyle w:val="ListBullet"/>
      </w:pPr>
      <w:r>
        <w:t>Aucune interaction médicamenteuse systémique (absence de passage systémique significatif).</w:t>
      </w:r>
    </w:p>
    <w:p>
      <w:pPr>
        <w:pStyle w:val="ListBullet"/>
      </w:pPr>
      <w:r>
        <w:t xml:space="preserve">L'administration concomitante de </w:t>
      </w:r>
      <w:r>
        <w:rPr>
          <w:b/>
        </w:rPr>
        <w:t>monoxyde d'azote inhalé (NOi)</w:t>
      </w:r>
      <w:r>
        <w:t xml:space="preserve"> (vasodilatateur pulmonaire utilisé dans l'HTAP persistante néonatale) potentialise l'effet du surfactant sur l'oxygénation — combinaison synergique.</w:t>
      </w:r>
    </w:p>
    <w:p>
      <w:pPr>
        <w:pStyle w:val="ListBullet"/>
      </w:pPr>
      <w:r>
        <w:t xml:space="preserve">Le </w:t>
      </w:r>
      <w:r>
        <w:rPr>
          <w:b/>
        </w:rPr>
        <w:t>courcicostéroïde anténatal</w:t>
      </w:r>
      <w:r>
        <w:t xml:space="preserve"> (bétaméthasone ou dexaméthasone à la mère entre 24-34 SA en cas de menace d'accouchement prématuré) </w:t>
      </w:r>
      <w:r>
        <w:rPr>
          <w:b/>
        </w:rPr>
        <w:t>potentialise</w:t>
      </w:r>
      <w:r>
        <w:t xml:space="preserve"> la maturation pulmonaire fœtale et la production de surfactant endogène — recommandé systématiquement avant 34 SA.</w:t>
      </w:r>
    </w:p>
    <w:p>
      <w:r/>
      <w:r>
        <w:rPr>
          <w:b/>
        </w:rPr>
        <w:t>Grossesse et Allaitement :</w:t>
      </w:r>
      <w:r/>
    </w:p>
    <w:p>
      <w:pPr>
        <w:pStyle w:val="ListBullet"/>
      </w:pPr>
      <w:r>
        <w:t>Grossesse : non applicable — administration post-natale au nouveau-né.</w:t>
      </w:r>
    </w:p>
    <w:p>
      <w:pPr>
        <w:pStyle w:val="ListBullet"/>
      </w:pPr>
      <w:r>
        <w:t>Allaitement : non applicable.</w:t>
      </w:r>
    </w:p>
    <w:p>
      <w:pPr>
        <w:pStyle w:val="ListBullet"/>
      </w:pPr>
      <w:r>
        <w:t xml:space="preserve">Précisions : la mère du prématuré peut recevoir des </w:t>
      </w:r>
      <w:r>
        <w:rPr>
          <w:b/>
        </w:rPr>
        <w:t>corticoïdes anténataux</w:t>
      </w:r>
      <w:r>
        <w:t xml:space="preserve"> (bétaméthasone IM 12 mg × 2 à 24 h d'intervalle ; ou dexaméthasone) entre 24 et 34 SA + 6 jours en cas de risque d'accouchement prématuré, ce qui est le </w:t>
      </w:r>
      <w:r>
        <w:rPr>
          <w:b/>
        </w:rPr>
        <w:t>facteur le plus important</w:t>
      </w:r>
      <w:r>
        <w:t xml:space="preserve"> de réduction du SDRN avant même l'administration de surfactant exogène.</w:t>
      </w:r>
    </w:p>
    <w:p>
      <w:r/>
      <w:r>
        <w:rPr>
          <w:b/>
        </w:rPr>
        <w:t>Posologie et Mode d'administration (Standard) :</w:t>
      </w:r>
      <w:r/>
    </w:p>
    <w:p>
      <w:pPr>
        <w:pStyle w:val="ListBullet"/>
      </w:pPr>
      <w:r>
        <w:t>Adulte : non applicable.</w:t>
      </w:r>
    </w:p>
    <w:p>
      <w:pPr>
        <w:pStyle w:val="ListBullet"/>
      </w:pPr>
      <w:r>
        <w:t xml:space="preserve">Enfant (nouveau-né prématuré) : </w:t>
      </w:r>
      <w:r>
        <w:rPr>
          <w:b/>
        </w:rPr>
        <w:t>100-200 mg/kg en dose initiale</w:t>
      </w:r>
      <w:r>
        <w:t xml:space="preserve"> (1,25-2,5 mL/kg de suspension à 80 mg/mL) par instillation endotrachéobronchique via un cathéter introduit dans la sonde d'intubation (cathéter 5-6 Fr, dépassant l'extrémité de la sonde de 0,5-1 cm). La dose initiale la plus élevée (200 mg/kg) est recommandée en prophylaxie du prématuré &lt; 26 SA. Dose répétée possible à </w:t>
      </w:r>
      <w:r>
        <w:rPr>
          <w:b/>
        </w:rPr>
        <w:t>H6-H12</w:t>
      </w:r>
      <w:r>
        <w:t xml:space="preserve"> (100 mg/kg) si persistance de la détresse et FiO2 &gt; 30-40 %. Dose maximale totale : 300-400 mg/kg.</w:t>
      </w:r>
    </w:p>
    <w:p>
      <w:pPr>
        <w:pStyle w:val="ListBullet"/>
      </w:pPr>
      <w:r>
        <w:t xml:space="preserve">Mode d'administration : instillation </w:t>
      </w:r>
      <w:r>
        <w:rPr>
          <w:b/>
        </w:rPr>
        <w:t>fractionnée</w:t>
      </w:r>
      <w:r>
        <w:t xml:space="preserve"> en 2-4 bolus répartis dans les différentes positions (décubitus dorsal, latéral droit, latéral gauche, éventuellement prone) pour optimiser la distribution pulmonaire, avec pause ventilatoire de 20-30 s entre chaque fraction et auscultation. Alternative : instillation continue par cathéter à débit lent. Technique de </w:t>
      </w:r>
      <w:r>
        <w:rPr>
          <w:b/>
        </w:rPr>
        <w:t>LISA / MIST</w:t>
      </w:r>
      <w:r>
        <w:t xml:space="preserve"> (Less Invasive Surfactant Administration / Minimally Invasive Surfactant Therapy) possible chez le nouveau-né en ventilation non invasive (CPAP) : instillation par cathéter fin introduit à l'aveugle ou sous laryngoscopie directe, sans intubation — réduit le risque de dysplasie bronchopulmonaire.</w:t>
      </w:r>
    </w:p>
    <w:p>
      <w:pPr>
        <w:pStyle w:val="ListBullet"/>
      </w:pPr>
      <w:r>
        <w:t>Durée : dose unique ou répétée (max 3-4 doses dans les 72 premières heures de vie).</w:t>
      </w:r>
    </w:p>
    <w:p>
      <w:pPr>
        <w:pStyle w:val="ListBullet"/>
      </w:pPr>
      <w:r>
        <w:t>Moment de prise : non applicable — administration immédiate à la naissance (prophylaxie) ou dès confirmation du SDRN.</w:t>
      </w:r>
    </w:p>
    <w:p>
      <w:r/>
      <w:r>
        <w:rPr>
          <w:b/>
        </w:rPr>
        <w:t>Arbitrage et Bénéfices des Formes Galéniques :</w:t>
      </w:r>
      <w:r/>
    </w:p>
    <w:p>
      <w:r>
        <w:t xml:space="preserve">Le poractant alfa est uniquement disponible en </w:t>
      </w:r>
      <w:r>
        <w:rPr>
          <w:b/>
        </w:rPr>
        <w:t>suspension pour instillation endotrachéobronchique</w:t>
      </w:r>
      <w:r>
        <w:t xml:space="preserve"> (flacon de 1,5 ou 3 mL), formulation stérile à conserver entre +2°C et +8°C (réfrigérateur, ne pas congeler). Le flacon est à </w:t>
      </w:r>
      <w:r>
        <w:rPr>
          <w:b/>
        </w:rPr>
        <w:t>usage unique</w:t>
      </w:r>
      <w:r>
        <w:t xml:space="preserve"> (rejeter le résiduel après ouverture). La concentration élevée (80 mg/mL) permet de réduire le volume instillé par rapport au beractant (25 mg/mL) et au calfactant (35 mg/mL), ce qui est un avantage majeur chez le prématuré de très faible poids de naissance (&lt; 1000 g) où l'instillation d'un volume liquidien intrapulmonaire important peut compromettre l'hémodynamique.</w:t>
      </w:r>
    </w:p>
    <w:p>
      <w:r/>
      <w:r>
        <w:rPr>
          <w:b/>
        </w:rPr>
        <w:t>Instructions et Conseils au Patient :</w:t>
      </w:r>
      <w:r/>
    </w:p>
    <w:p>
      <w:pPr>
        <w:pStyle w:val="ListBullet"/>
      </w:pPr>
      <w:r>
        <w:t>Communication au comptoir : spécialité non dispensée en officine (usage hospitalier exclusif). Les parents de nouveau-né prématuré demandent parfois des informations sur le traitement reçu en néonatologie — expliquer le rôle vital du surfactant, son innocuité à long terme (suivi neuro-développemental normal à long terme dans les études), l'absence de séquelles respiratoires dans la majorité des cas.</w:t>
      </w:r>
    </w:p>
    <w:p>
      <w:pPr>
        <w:pStyle w:val="ListBullet"/>
      </w:pPr>
      <w:r>
        <w:t>Mode d'utilisation pratique : non applicable en officine.</w:t>
      </w:r>
    </w:p>
    <w:p>
      <w:r/>
      <w:r>
        <w:rPr>
          <w:b/>
        </w:rPr>
        <w:t>Notes, Règles d'Or &amp; Pièges au Comptoir :</w:t>
      </w:r>
      <w:r/>
    </w:p>
    <w:p>
      <w:pPr>
        <w:pStyle w:val="ListBullet"/>
      </w:pPr>
      <w:r>
        <w:t>Piège classique : aucun en officine (spécialité hospitalière). À l'hôpital, le piège majeur est l'</w:t>
      </w:r>
      <w:r>
        <w:rPr>
          <w:b/>
        </w:rPr>
        <w:t>instillation trop rapide</w:t>
      </w:r>
      <w:r>
        <w:t xml:space="preserve"> → bradycardie et désaturation sévère ; l'</w:t>
      </w:r>
      <w:r>
        <w:rPr>
          <w:b/>
        </w:rPr>
        <w:t>oubli de vérifier la position de la sonde</w:t>
      </w:r>
      <w:r>
        <w:t xml:space="preserve"> d'intubation (intubation sélective右 main bronchus → instillation unilatérale → hyperinflation/unilatérale → pneumothorax controlatéral) ; l'</w:t>
      </w:r>
      <w:r>
        <w:rPr>
          <w:b/>
        </w:rPr>
        <w:t>absence d'adaptation de la ventilation</w:t>
      </w:r>
      <w:r>
        <w:t xml:space="preserve"> après instillation (le recrutement alvéolaire et la baisse de la compliance exigent une réduction immédiate des pressions pour éviter le barotraumatisme).</w:t>
      </w:r>
    </w:p>
    <w:p>
      <w:pPr>
        <w:pStyle w:val="ListBullet"/>
      </w:pPr>
      <w:r>
        <w:t>Règle de prise : usage hospitalier néonatologie, administration par néonatologue ou réanimateur pédiatre, idéalement &lt; 2 heures de vie en prophylaxie des extrêmes prématurés.</w:t>
      </w:r>
    </w:p>
    <w:p>
      <w:pPr>
        <w:pStyle w:val="ListBullet"/>
      </w:pPr>
      <w:r>
        <w:t>Préparation et Conservation : conserver entre +2°C et +8°C, à l'abri de la lumière, ne pas congeler. Réchauffer à température ambiante (≈ 25°C) avant administration en tenant le flacon dans la main 5-10 minutes (ne pas chauffer artificiellement). Agiter doucement avant emploi (ne pas vigoureusement — risque de mousse). Usage unique.</w:t>
      </w:r>
    </w:p>
    <w:p>
      <w:pPr>
        <w:pStyle w:val="ListBullet"/>
      </w:pPr>
      <w:r>
        <w:t>Piège du surdosage / Substitution : surdosage massif peu décrit — augmenterait le risque d'hémorragie pulmonaire. Ne pas substituer avec beractant ou calfactant sans consulter le protocole local (les doses en mL/kg diffèrent : poractant 1,25-2,5 mL/kg vs beractant 4 mL/kg vs calfactant 3 mL/kg).</w:t>
      </w:r>
    </w:p>
    <w:p>
      <w:pPr>
        <w:pStyle w:val="Heading3"/>
      </w:pPr>
      <w:r>
        <w:t>2. DCI : Beractant (Survanta®)</w:t>
      </w:r>
    </w:p>
    <w:p>
      <w:r/>
      <w:r>
        <w:rPr>
          <w:b/>
        </w:rPr>
        <w:t>Liste des Catégories :</w:t>
      </w:r>
      <w:r>
        <w:t xml:space="preserve"> Surfactant exogène d'origine bovine — Détresse respiratoire néonatale — Instillation intratrachéale — Liste I — Usage hospitalier exclusif.</w:t>
      </w:r>
    </w:p>
    <w:p>
      <w:r>
        <w:t xml:space="preserve">Le </w:t>
      </w:r>
      <w:r>
        <w:rPr>
          <w:b/>
        </w:rPr>
        <w:t>beractant</w:t>
      </w:r>
      <w:r>
        <w:t xml:space="preserve"> est un </w:t>
      </w:r>
      <w:r>
        <w:rPr>
          <w:b/>
        </w:rPr>
        <w:t>extrait naturel de surfactant pulmonaire bovin</w:t>
      </w:r>
      <w:r>
        <w:t xml:space="preserve">, modifié par adjonction de DPPC, de tripalmitine et d'acide palmitique pour optimiser la rhéologie du film tensioactif. Il contient environ 25 mg/mL de phospholipides totaux, des protéines SP-B et SP-C natives (à faible concentration), et des lipides neutres. Commercialisé sous le nom de </w:t>
      </w:r>
      <w:r>
        <w:rPr>
          <w:b/>
        </w:rPr>
        <w:t>Survanta®</w:t>
      </w:r>
      <w:r>
        <w:t xml:space="preserve"> par AbbVie (anciennement Abbott Laboratories), il est historiquement le </w:t>
      </w:r>
      <w:r>
        <w:rPr>
          <w:b/>
        </w:rPr>
        <w:t>premier surfactant naturel</w:t>
      </w:r>
      <w:r>
        <w:t xml:space="preserve"> largement utilisé aux États-Unis (AMM FDA 1991) et reste l'un des surfactants de référence en Amérique du Nord. En Europe, le beractant a été supplanté en partie par le poractant alfa (Curosurf®) en raison de la concentration plus élevée de ce dernier. Pharmacocinétique strictement </w:t>
      </w:r>
      <w:r>
        <w:rPr>
          <w:b/>
        </w:rPr>
        <w:t>locale</w:t>
      </w:r>
      <w:r>
        <w:t xml:space="preserve"> (alvéolaire) — recyclage par les pneumocytes II, clairance par les macrophages alvéolaires.</w:t>
      </w:r>
    </w:p>
    <w:p>
      <w:r/>
      <w:r>
        <w:rPr>
          <w:b/>
        </w:rPr>
        <w:t>Médicaments disponibles en Algérie (Marques, Laboratoires, Formes et Dosages) :</w:t>
      </w:r>
      <w:r/>
    </w:p>
    <w:p>
      <w:pPr>
        <w:pStyle w:val="ListBullet"/>
      </w:pPr>
      <w:r/>
      <w:r>
        <w:rPr>
          <w:b/>
        </w:rPr>
        <w:t>SURVANTA</w:t>
      </w:r>
      <w:r>
        <w:t xml:space="preserve"> (ABBVIE CORPORATION)</w:t>
      </w:r>
    </w:p>
    <w:p>
      <w:pPr>
        <w:pStyle w:val="ListBullet"/>
      </w:pPr>
      <w:r>
        <w:t>Formes et Dosages : Suspension intratrachéale — 25 mg/mL de phospholipides — Flacon de 4 mL (100 mg de phospholipides) ou flacon de 8 mL (200 mg de phospholipides).</w:t>
      </w:r>
    </w:p>
    <w:p>
      <w:pPr>
        <w:pStyle w:val="ListBullet"/>
      </w:pPr>
      <w:r>
        <w:t>Statut : Actif (LISTE I — usage hospitalier exclusif — néonatologie).</w:t>
      </w:r>
    </w:p>
    <w:p>
      <w:r/>
      <w:r>
        <w:rPr>
          <w:b/>
        </w:rPr>
        <w:t>Sous-classe et Mécanisme d'action :</w:t>
      </w:r>
      <w:r/>
    </w:p>
    <w:p>
      <w:pPr>
        <w:pStyle w:val="ListBullet"/>
      </w:pPr>
      <w:r>
        <w:t>Sous-classe : Surfactant exogène naturel d'origine bovine, modifié par ajout de DPPC, tripalmitine et acide palmitique — alternative de référence au déficit de surfactant endogène dans le SDRN du prématuré.</w:t>
      </w:r>
    </w:p>
    <w:p>
      <w:pPr>
        <w:pStyle w:val="ListBullet"/>
      </w:pPr>
      <w:r>
        <w:t xml:space="preserve">Mécanisme d'action : identique à celui du poractant alfa — restauration du film tensioactif à l'interface air-liquide alvéolaire par les phospholipides (DPPC, PG, PI, PC), avec adsorption et réextension facilitées par les protéines SP-B et SP-C natives. La </w:t>
      </w:r>
      <w:r>
        <w:rPr>
          <w:b/>
        </w:rPr>
        <w:t>supplémentation</w:t>
      </w:r>
      <w:r>
        <w:t xml:space="preserve"> en DPPC et en acides gras saturés (palmitique) optimise la rhéologie de la phase monomoléculaire et la stabilité dynamique au cours du cycle respiratoire. Le résultat est un </w:t>
      </w:r>
      <w:r>
        <w:rPr>
          <w:b/>
        </w:rPr>
        <w:t>abaissement de la tension superficielle alvéolaire</w:t>
      </w:r>
      <w:r>
        <w:t xml:space="preserve"> selon la loi de Laplace, permettant le recrutement des alvéoles collabées, le maintien de l'ouverture alvéolaire en fin d'expiration, la correction de l'hypoxie et la diminution du travail respiratoire. Le rapport L/S (lécithine/sphingomyéline) est restauré localement de manière très supraphysiologique, ce qui autorise une </w:t>
      </w:r>
      <w:r>
        <w:rPr>
          <w:b/>
        </w:rPr>
        <w:t>baisse rapide de la FiO2</w:t>
      </w:r>
      <w:r>
        <w:t xml:space="preserve"> et des pressions de ventilation après instillation.</w:t>
      </w:r>
    </w:p>
    <w:p>
      <w:r/>
      <w:r>
        <w:rPr>
          <w:b/>
        </w:rPr>
        <w:t>Profil Pharmacologique :</w:t>
      </w:r>
      <w:r/>
    </w:p>
    <w:p>
      <w:pPr>
        <w:pStyle w:val="ListBullet"/>
      </w:pPr>
      <w:r>
        <w:t xml:space="preserve">Indications : </w:t>
      </w:r>
      <w:r>
        <w:rPr>
          <w:b/>
        </w:rPr>
        <w:t>prophylaxie</w:t>
      </w:r>
      <w:r>
        <w:t xml:space="preserve"> du SDRN chez le nouveau-né à haut risque (&lt; 28 SA, ou 28-32 SA avec facteurs de risque : RCIU, sexe masculin, diabète maternel, césarienne avant travail, asphyxie périnatale, maladie de Hb Bart hydrops) ; </w:t>
      </w:r>
      <w:r>
        <w:rPr>
          <w:b/>
        </w:rPr>
        <w:t>traitement curatif</w:t>
      </w:r>
      <w:r>
        <w:t xml:space="preserve"> du SDRN établi chez le nouveau-né prématuré.</w:t>
      </w:r>
    </w:p>
    <w:p>
      <w:pPr>
        <w:pStyle w:val="ListBullet"/>
      </w:pPr>
      <w:r>
        <w:t>Contre-indications : pas de CI absolue (urgence vitale) ; relative en cas de pneumothorax non drainé.</w:t>
      </w:r>
    </w:p>
    <w:p>
      <w:pPr>
        <w:pStyle w:val="ListBullet"/>
      </w:pPr>
      <w:r>
        <w:t xml:space="preserve">Effets Indésirables : </w:t>
      </w:r>
      <w:r>
        <w:rPr>
          <w:b/>
        </w:rPr>
        <w:t>bradycardie transitoire</w:t>
      </w:r>
      <w:r>
        <w:t xml:space="preserve"> et </w:t>
      </w:r>
      <w:r>
        <w:rPr>
          <w:b/>
        </w:rPr>
        <w:t>désaturation</w:t>
      </w:r>
      <w:r>
        <w:t xml:space="preserve"> pendant l'instillation (plus marquée qu'avec le poractant alfa en raison du volume plus important à instiller) ; </w:t>
      </w:r>
      <w:r>
        <w:rPr>
          <w:b/>
        </w:rPr>
        <w:t>hémorragie pulmonaire</w:t>
      </w:r>
      <w:r>
        <w:t xml:space="preserve"> (1-3 %) ; </w:t>
      </w:r>
      <w:r>
        <w:rPr>
          <w:b/>
        </w:rPr>
        <w:t>pneumothorax</w:t>
      </w:r>
      <w:r>
        <w:t xml:space="preserve"> (lié à la ventilation mécanique) ; </w:t>
      </w:r>
      <w:r>
        <w:rPr>
          <w:b/>
        </w:rPr>
        <w:t>apnée</w:t>
      </w:r>
      <w:r>
        <w:t xml:space="preserve"> transitoire ; reflux dans la sonde ; rarement réaction d'hypersensibilité aux protéines bovines.</w:t>
      </w:r>
    </w:p>
    <w:p>
      <w:r/>
      <w:r>
        <w:rPr>
          <w:b/>
        </w:rPr>
        <w:t>Prévention et Gestion des Effets Indésirables :</w:t>
      </w:r>
      <w:r/>
    </w:p>
    <w:p>
      <w:pPr>
        <w:pStyle w:val="ListBullet"/>
      </w:pPr>
      <w:r>
        <w:t>Mesures Préventives : administration en unité de néonatologie de niveau 3, sous monitoring continu, intubation et vérification de la position de la sonde, ventilation mécanique adaptée avec réduction rapide des paramètres après instillation (réduction de FiO2 et des pressions d'insufflation dès la remontée de la SpO2).</w:t>
      </w:r>
    </w:p>
    <w:p>
      <w:pPr>
        <w:pStyle w:val="ListBullet"/>
      </w:pPr>
      <w:r>
        <w:t>Conduite à Tenir : pause ventilatoire en cas de bradycardie/désaturation, reprise à débit plus lent ; drainage thoracique en urgence si pneumothorax ; arrêt de l'instillation et traitement symptomatique si hémorragie pulmonaire.</w:t>
      </w:r>
    </w:p>
    <w:p>
      <w:r/>
      <w:r>
        <w:rPr>
          <w:b/>
        </w:rPr>
        <w:t>Interactions Importantes :</w:t>
      </w:r>
      <w:r/>
    </w:p>
    <w:p>
      <w:pPr>
        <w:pStyle w:val="ListBullet"/>
      </w:pPr>
      <w:r>
        <w:t>Aucune interaction médicamenteuse systémique.</w:t>
      </w:r>
    </w:p>
    <w:p>
      <w:pPr>
        <w:pStyle w:val="ListBullet"/>
      </w:pPr>
      <w:r>
        <w:t xml:space="preserve">Synergie avec le </w:t>
      </w:r>
      <w:r>
        <w:rPr>
          <w:b/>
        </w:rPr>
        <w:t>NO inhalé</w:t>
      </w:r>
      <w:r>
        <w:t xml:space="preserve"> (NOi) pour le traitement de l'</w:t>
      </w:r>
      <w:r>
        <w:rPr>
          <w:b/>
        </w:rPr>
        <w:t>HTAP persistante du nouveau-né</w:t>
      </w:r>
      <w:r>
        <w:t xml:space="preserve"> associée au SDRN.</w:t>
      </w:r>
    </w:p>
    <w:p>
      <w:pPr>
        <w:pStyle w:val="ListBullet"/>
      </w:pPr>
      <w:r>
        <w:t xml:space="preserve">Synergie avec les </w:t>
      </w:r>
      <w:r>
        <w:rPr>
          <w:b/>
        </w:rPr>
        <w:t>corticoïdes anténataux</w:t>
      </w:r>
      <w:r>
        <w:t xml:space="preserve"> (bétaméthasone, dexaméthasone à la mère entre 24-34 SA).</w:t>
      </w:r>
    </w:p>
    <w:p>
      <w:r/>
      <w:r>
        <w:rPr>
          <w:b/>
        </w:rPr>
        <w:t>Grossesse et Allaitement :</w:t>
      </w:r>
      <w:r/>
    </w:p>
    <w:p>
      <w:pPr>
        <w:pStyle w:val="ListBullet"/>
      </w:pPr>
      <w:r>
        <w:t>Grossesse : non applicable (post-natal).</w:t>
      </w:r>
    </w:p>
    <w:p>
      <w:pPr>
        <w:pStyle w:val="ListBullet"/>
      </w:pPr>
      <w:r>
        <w:t>Allaitement : non applicable.</w:t>
      </w:r>
    </w:p>
    <w:p>
      <w:pPr>
        <w:pStyle w:val="ListBullet"/>
      </w:pPr>
      <w:r>
        <w:t xml:space="preserve">Précisions : la mère du prématuré doit idéalement avoir reçu des </w:t>
      </w:r>
      <w:r>
        <w:rPr>
          <w:b/>
        </w:rPr>
        <w:t>corticoïdes anténataux</w:t>
      </w:r>
      <w:r>
        <w:t xml:space="preserve"> avant 34 SA en cas de menace d'accouchement prématuré, qui stimulent la maturation pulmonaire fœtale et la synthèse endogène de surfactant.</w:t>
      </w:r>
    </w:p>
    <w:p>
      <w:r/>
      <w:r>
        <w:rPr>
          <w:b/>
        </w:rPr>
        <w:t>Posologie et Mode d'administration (Standard) :</w:t>
      </w:r>
      <w:r/>
    </w:p>
    <w:p>
      <w:pPr>
        <w:pStyle w:val="ListBullet"/>
      </w:pPr>
      <w:r>
        <w:t>Adulte : non applicable.</w:t>
      </w:r>
    </w:p>
    <w:p>
      <w:pPr>
        <w:pStyle w:val="ListBullet"/>
      </w:pPr>
      <w:r>
        <w:t xml:space="preserve">Enfant (nouveau-né prématuré) : </w:t>
      </w:r>
      <w:r>
        <w:rPr>
          <w:b/>
        </w:rPr>
        <w:t>100 mg/kg en dose initiale</w:t>
      </w:r>
      <w:r>
        <w:t xml:space="preserve"> (4 mL/kg de suspension à 25 mg/mL) par instillation intratrachéale via cathéter. Doses répétées possibles à H6 (max 4 doses totales dans les 48-72 premières heures), guidées par les paramètres ventilatoires et la FiO2.</w:t>
      </w:r>
    </w:p>
    <w:p>
      <w:pPr>
        <w:pStyle w:val="ListBullet"/>
      </w:pPr>
      <w:r>
        <w:t xml:space="preserve">Mode d'administration : instillation </w:t>
      </w:r>
      <w:r>
        <w:rPr>
          <w:b/>
        </w:rPr>
        <w:t>fractionnée en 4 aliquots</w:t>
      </w:r>
      <w:r>
        <w:t xml:space="preserve"> répartis dans 4 positions (décubitus dorsal, latéral droit, latéral gauche, prone éventuellement) pour optimiser la distribution pulmonaire. Pause de 20-30 s entre chaque fraction avec oxygénation et ventilation adaptées. Technique LISA/MIST possible chez le nouveau-né en CPAP.</w:t>
      </w:r>
    </w:p>
    <w:p>
      <w:pPr>
        <w:pStyle w:val="ListBullet"/>
      </w:pPr>
      <w:r>
        <w:t>Durée : dose unique ou répétée (max 4 doses).</w:t>
      </w:r>
    </w:p>
    <w:p>
      <w:pPr>
        <w:pStyle w:val="ListBullet"/>
      </w:pPr>
      <w:r>
        <w:t>Moment de prise : non applicable — administration immédiate après naissance.</w:t>
      </w:r>
    </w:p>
    <w:p>
      <w:r/>
      <w:r>
        <w:rPr>
          <w:b/>
        </w:rPr>
        <w:t>Arbitrage et Bénéfices des Formes Galéniques :</w:t>
      </w:r>
      <w:r/>
    </w:p>
    <w:p>
      <w:r>
        <w:t xml:space="preserve">Le beractant est disponible uniquement en </w:t>
      </w:r>
      <w:r>
        <w:rPr>
          <w:b/>
        </w:rPr>
        <w:t>suspension intratrachéale</w:t>
      </w:r>
      <w:r>
        <w:t xml:space="preserve"> à 25 mg/mL, en flacons de 4 mL ou 8 mL. Le volume d'instillation initial est </w:t>
      </w:r>
      <w:r>
        <w:rPr>
          <w:b/>
        </w:rPr>
        <w:t>4 mL/kg</w:t>
      </w:r>
      <w:r>
        <w:t xml:space="preserve"> — supérieur à celui du poractant alfa (1,25-2,5 mL/kg), ce qui peut être un désavantage chez le très petit prématuré (&lt; 1000 g) où l'instillation d'un volume plus important peut être moins bien tolérée hémodynamiquement (transitoires bradycardies plus marquées). Néanmoins, le beractant a une </w:t>
      </w:r>
      <w:r>
        <w:rPr>
          <w:b/>
        </w:rPr>
        <w:t>efficacité équivalente</w:t>
      </w:r>
      <w:r>
        <w:t xml:space="preserve"> au poractant alfa dans la majorité des études comparatives (méta-analyses Cochrane : pas de différence significative de mortalité, dysplasie bronchopulmonaire, pneumothorax entre les surfactants naturels d'origine bovine et porcine ; tendance en faveur du poractant alfa sur la mortalité à 28 jours dans certaines méta-analyses).</w:t>
      </w:r>
    </w:p>
    <w:p>
      <w:r/>
      <w:r>
        <w:rPr>
          <w:b/>
        </w:rPr>
        <w:t>Instructions et Conseils au Patient :</w:t>
      </w:r>
      <w:r/>
    </w:p>
    <w:p>
      <w:pPr>
        <w:pStyle w:val="ListBullet"/>
      </w:pPr>
      <w:r>
        <w:t>Communication au comptoir : spécialité non dispensée en officine. Les parents du prématuré peuvent demander des informations sur le traitement reçu en néonatologie — expliquer le rôle vital du surfactant, l'absence de séquelles à long terme, le suivi neuro-développemental recommandé.</w:t>
      </w:r>
    </w:p>
    <w:p>
      <w:pPr>
        <w:pStyle w:val="ListBullet"/>
      </w:pPr>
      <w:r>
        <w:t>Mode d'utilisation pratique : non applicable en officine.</w:t>
      </w:r>
    </w:p>
    <w:p>
      <w:r/>
      <w:r>
        <w:rPr>
          <w:b/>
        </w:rPr>
        <w:t>Notes, Règles d'Or &amp; Pièges au Comptoir :</w:t>
      </w:r>
      <w:r/>
    </w:p>
    <w:p>
      <w:pPr>
        <w:pStyle w:val="ListBullet"/>
      </w:pPr>
      <w:r>
        <w:t>Piège classique : aucun en officine. À l'hôpital : instillation trop rapide → bradycardie ; intubation sélective non détectée → distribution unilatérale → pneumothorax ; absence d'adaptation ventilatoire post-instillation → barotraumatisme.</w:t>
      </w:r>
    </w:p>
    <w:p>
      <w:pPr>
        <w:pStyle w:val="ListBullet"/>
      </w:pPr>
      <w:r>
        <w:t>Règle de prise : administration hospitalière néonatologie, idéalement &lt; 2 heures de vie.</w:t>
      </w:r>
    </w:p>
    <w:p>
      <w:pPr>
        <w:pStyle w:val="ListBullet"/>
      </w:pPr>
      <w:r>
        <w:t>Préparation et Conservation : conserver entre +2°C et +8°C (réfrigérateur, ne pas congeler). Réchauffer doucement à température ambiante avant administration (ne pas chauffer au-delà de 37°C, ne pas agiter vigoureusement pour éviter la formation de mousse). Usage unique.</w:t>
      </w:r>
    </w:p>
    <w:p>
      <w:pPr>
        <w:pStyle w:val="ListBullet"/>
      </w:pPr>
      <w:r>
        <w:t>Piège du surdosage / Substitution : ne pas substituer beractant ↔ poractant alfa ↔ calfactant sans recalculer la dose en mL/kg (les concentrations en phospholipides diffèrent : 25, 35 et 80 mg/mL respectivement). Surdosage → augmentation du risque d'hémorragie pulmonaire.</w:t>
      </w:r>
    </w:p>
    <w:p>
      <w:pPr>
        <w:pStyle w:val="Heading3"/>
      </w:pPr>
      <w:r>
        <w:t>3. DCI : Calfactant (Infasurf®)</w:t>
      </w:r>
    </w:p>
    <w:p>
      <w:r/>
      <w:r>
        <w:rPr>
          <w:b/>
        </w:rPr>
        <w:t>Liste des Catégories :</w:t>
      </w:r>
      <w:r>
        <w:t xml:space="preserve"> Surfactant exogène d'origine bovine — Détresse respiratoire néonatale — Instillation intratrachéale — Liste I — Usage hospitalier exclusif.</w:t>
      </w:r>
    </w:p>
    <w:p>
      <w:r>
        <w:t xml:space="preserve">Le </w:t>
      </w:r>
      <w:r>
        <w:rPr>
          <w:b/>
        </w:rPr>
        <w:t>calfactant</w:t>
      </w:r>
      <w:r>
        <w:t xml:space="preserve"> est un </w:t>
      </w:r>
      <w:r>
        <w:rPr>
          <w:b/>
        </w:rPr>
        <w:t>extrait naturel de surfactant pulmonaire bovin</w:t>
      </w:r>
      <w:r>
        <w:t xml:space="preserve">, obtenu par lavage trachéobronchique de poumons de veaux nouveau-nés et purification par chromatographie. Il contient essentiellement des phospholipides (35 mg/mL — principalement DPPC, PG, PI) et des protéines hydrophobes </w:t>
      </w:r>
      <w:r>
        <w:rPr>
          <w:b/>
        </w:rPr>
        <w:t>SP-B et SP-C natives</w:t>
      </w:r>
      <w:r>
        <w:t xml:space="preserve"> à des concentrations physiologiques (proches du surfactant humain). Commercialisé sous le nom d'</w:t>
      </w:r>
      <w:r>
        <w:rPr>
          <w:b/>
        </w:rPr>
        <w:t>Infasurf®</w:t>
      </w:r>
      <w:r>
        <w:t xml:space="preserve"> par ONY Inc. aux États-Unis, puis sous licence par </w:t>
      </w:r>
      <w:r>
        <w:rPr>
          <w:b/>
        </w:rPr>
        <w:t>Jazeera Pharmaceuticals Industries</w:t>
      </w:r>
      <w:r>
        <w:t xml:space="preserve"> (Arabie Saoudite) pour le marché moyen-oriental et nord-africain. Le calfactant se distingue du beractant (Survanta®) par sa </w:t>
      </w:r>
      <w:r>
        <w:rPr>
          <w:b/>
        </w:rPr>
        <w:t>teneur native plus élevée en SP-B et SP-C</w:t>
      </w:r>
      <w:r>
        <w:t xml:space="preserve"> (extraction douce sans adjonction de lipides synthétiques), ce qui pourrait améliorer l'adsorption et la dynamique du film tensioactif. Pharmacocinétique </w:t>
      </w:r>
      <w:r>
        <w:rPr>
          <w:b/>
        </w:rPr>
        <w:t>locale</w:t>
      </w:r>
      <w:r>
        <w:t xml:space="preserve"> (alvéolaire) identique aux autres surfactants exogènes.</w:t>
      </w:r>
    </w:p>
    <w:p>
      <w:r/>
      <w:r>
        <w:rPr>
          <w:b/>
        </w:rPr>
        <w:t>Médicaments disponibles en Algérie (Marques, Laboratoires, Formes et Dosages) :</w:t>
      </w:r>
      <w:r/>
    </w:p>
    <w:p>
      <w:pPr>
        <w:pStyle w:val="ListBullet"/>
      </w:pPr>
      <w:r/>
      <w:r>
        <w:rPr>
          <w:b/>
        </w:rPr>
        <w:t>INFASURF</w:t>
      </w:r>
      <w:r>
        <w:t xml:space="preserve"> (JAZEERA PHARMACEUTICALS INDUSTRIES)</w:t>
      </w:r>
    </w:p>
    <w:p>
      <w:pPr>
        <w:pStyle w:val="ListBullet"/>
      </w:pPr>
      <w:r>
        <w:t>Formes et Dosages : Suspension intratrachéale — 35 mg/mL de phospholipides — Flacon de 3 mL (105 mg de phospholipides) ou flacon de 6 mL (210 mg de phospholipides).</w:t>
      </w:r>
    </w:p>
    <w:p>
      <w:pPr>
        <w:pStyle w:val="ListBullet"/>
      </w:pPr>
      <w:r>
        <w:t>Statut : Actif (LISTE I — usage hospitalier exclusif — néonatologie).</w:t>
      </w:r>
    </w:p>
    <w:p>
      <w:r/>
      <w:r>
        <w:rPr>
          <w:b/>
        </w:rPr>
        <w:t>Sous-classe et Mécanisme d'action :</w:t>
      </w:r>
      <w:r/>
    </w:p>
    <w:p>
      <w:pPr>
        <w:pStyle w:val="ListBullet"/>
      </w:pPr>
      <w:r>
        <w:t>Sous-classe : Surfactant exogène naturel d'origine bovine — alternative de référence au déficit de surfactant endogène dans le SDRN du prématuré.</w:t>
      </w:r>
    </w:p>
    <w:p>
      <w:pPr>
        <w:pStyle w:val="ListBullet"/>
      </w:pPr>
      <w:r>
        <w:t>Mécanisme d'action : identique à celui du poractant alfa et du beractant — restauration du film monomoléculaire de phospholipides à l'interface air-liquide alvéolaire, avec adsorption et réextension dynamique assistées par les protéines SP-B et SP-C natives (à concentration physiologique). L'abaissement de la tension superficielle alvéolaire permet le recrutement alvéolaire, le maintien du résidu fonctionnel, la correction de l'hypoxie et la diminution du travail respiratoire. La concentration en SP-B et SP-C du calfactant (proche du surfactant humain natif) optimiserait la cinétique d'adsorption par rapport aux formulations enrichies en phospholipides synthétiques (beractant), mais cette différence n'a pas de traduction clinique significative dans les essais comparatifs.</w:t>
      </w:r>
    </w:p>
    <w:p>
      <w:r/>
      <w:r>
        <w:rPr>
          <w:b/>
        </w:rPr>
        <w:t>Profil Pharmacologique :</w:t>
      </w:r>
      <w:r/>
    </w:p>
    <w:p>
      <w:pPr>
        <w:pStyle w:val="ListBullet"/>
      </w:pPr>
      <w:r>
        <w:t xml:space="preserve">Indications : </w:t>
      </w:r>
      <w:r>
        <w:rPr>
          <w:b/>
        </w:rPr>
        <w:t>prophylaxie</w:t>
      </w:r>
      <w:r>
        <w:t xml:space="preserve"> du SDRN chez le nouveau-né prématuré à haut risque ; </w:t>
      </w:r>
      <w:r>
        <w:rPr>
          <w:b/>
        </w:rPr>
        <w:t>traitement curatif</w:t>
      </w:r>
      <w:r>
        <w:t xml:space="preserve"> du SDRN établi. Extension : </w:t>
      </w:r>
      <w:r>
        <w:rPr>
          <w:b/>
        </w:rPr>
        <w:t>pneumonie néonatale sévère</w:t>
      </w:r>
      <w:r>
        <w:t xml:space="preserve">, </w:t>
      </w:r>
      <w:r>
        <w:rPr>
          <w:b/>
        </w:rPr>
        <w:t>syndrome d'aspiration méconiale</w:t>
      </w:r>
      <w:r>
        <w:t xml:space="preserve"> (en association avec la ventilation mécanique).</w:t>
      </w:r>
    </w:p>
    <w:p>
      <w:pPr>
        <w:pStyle w:val="ListBullet"/>
      </w:pPr>
      <w:r>
        <w:t>Contre-indications : aucune CI absolue (urgence vitale) ; pneumothorax non drainé (relative).</w:t>
      </w:r>
    </w:p>
    <w:p>
      <w:pPr>
        <w:pStyle w:val="ListBullet"/>
      </w:pPr>
      <w:r>
        <w:t xml:space="preserve">Effets Indésirables : </w:t>
      </w:r>
      <w:r>
        <w:rPr>
          <w:b/>
        </w:rPr>
        <w:t>bradycardie transitoire</w:t>
      </w:r>
      <w:r>
        <w:t xml:space="preserve"> et </w:t>
      </w:r>
      <w:r>
        <w:rPr>
          <w:b/>
        </w:rPr>
        <w:t>désaturation</w:t>
      </w:r>
      <w:r>
        <w:t xml:space="preserve"> pendant l'instillation ; </w:t>
      </w:r>
      <w:r>
        <w:rPr>
          <w:b/>
        </w:rPr>
        <w:t>hémorragie pulmonaire</w:t>
      </w:r>
      <w:r>
        <w:t xml:space="preserve"> (rare) ; </w:t>
      </w:r>
      <w:r>
        <w:rPr>
          <w:b/>
        </w:rPr>
        <w:t>pneumothorax</w:t>
      </w:r>
      <w:r>
        <w:t xml:space="preserve"> ; reflux dans la sonde ; réactions d'hypersensibilité aux protéines bovines (très rares).</w:t>
      </w:r>
    </w:p>
    <w:p>
      <w:r/>
      <w:r>
        <w:rPr>
          <w:b/>
        </w:rPr>
        <w:t>Prévention et Gestion des Effets Indésirables :</w:t>
      </w:r>
      <w:r/>
    </w:p>
    <w:p>
      <w:pPr>
        <w:pStyle w:val="ListBullet"/>
      </w:pPr>
      <w:r>
        <w:t>Mesures Préventives : administration en unité de néonatologie spécialisée, monitoring continu, intubation préalable et vérification de la position, adaptation ventilatoire immédiate post-instillation.</w:t>
      </w:r>
    </w:p>
    <w:p>
      <w:pPr>
        <w:pStyle w:val="ListBullet"/>
      </w:pPr>
      <w:r>
        <w:t>Conduite à Tenir : pause ventilatoire en cas de bradycardie/désaturation, reprise à débit plus lent ; drainage thoracique si pneumothorax ; traitement symptomatique si hémorragie pulmonaire.</w:t>
      </w:r>
    </w:p>
    <w:p>
      <w:r/>
      <w:r>
        <w:rPr>
          <w:b/>
        </w:rPr>
        <w:t>Interactions Importantes :</w:t>
      </w:r>
      <w:r/>
    </w:p>
    <w:p>
      <w:pPr>
        <w:pStyle w:val="ListBullet"/>
      </w:pPr>
      <w:r>
        <w:t>Aucune interaction systémique.</w:t>
      </w:r>
    </w:p>
    <w:p>
      <w:pPr>
        <w:pStyle w:val="ListBullet"/>
      </w:pPr>
      <w:r>
        <w:t xml:space="preserve">Synergie avec le </w:t>
      </w:r>
      <w:r>
        <w:rPr>
          <w:b/>
        </w:rPr>
        <w:t>NO inhalé</w:t>
      </w:r>
      <w:r>
        <w:t xml:space="preserve"> (NOi) et les </w:t>
      </w:r>
      <w:r>
        <w:rPr>
          <w:b/>
        </w:rPr>
        <w:t>corticoïdes anténataux</w:t>
      </w:r>
      <w:r>
        <w:t>.</w:t>
      </w:r>
    </w:p>
    <w:p>
      <w:r/>
      <w:r>
        <w:rPr>
          <w:b/>
        </w:rPr>
        <w:t>Grossesse et Allaitement :</w:t>
      </w:r>
      <w:r/>
    </w:p>
    <w:p>
      <w:pPr>
        <w:pStyle w:val="ListBullet"/>
      </w:pPr>
      <w:r>
        <w:t>Grossesse : non applicable.</w:t>
      </w:r>
    </w:p>
    <w:p>
      <w:pPr>
        <w:pStyle w:val="ListBullet"/>
      </w:pPr>
      <w:r>
        <w:t>Allaitement : non applicable.</w:t>
      </w:r>
    </w:p>
    <w:p>
      <w:pPr>
        <w:pStyle w:val="ListBullet"/>
      </w:pPr>
      <w:r>
        <w:t>Précisions : identique aux autres surfactants — l'administration à la mère de corticoïdes anténataux avant 34 SA en cas de menace d'accouchement prématuré reste le facteur pronostique principal.</w:t>
      </w:r>
    </w:p>
    <w:p>
      <w:r/>
      <w:r>
        <w:rPr>
          <w:b/>
        </w:rPr>
        <w:t>Posologie et Mode d'administration (Standard) :</w:t>
      </w:r>
      <w:r/>
    </w:p>
    <w:p>
      <w:pPr>
        <w:pStyle w:val="ListBullet"/>
      </w:pPr>
      <w:r>
        <w:t>Adulte : non applicable.</w:t>
      </w:r>
    </w:p>
    <w:p>
      <w:pPr>
        <w:pStyle w:val="ListBullet"/>
      </w:pPr>
      <w:r>
        <w:t xml:space="preserve">Enfant (nouveau-né prématuré) : </w:t>
      </w:r>
      <w:r>
        <w:rPr>
          <w:b/>
        </w:rPr>
        <w:t>105 mg/kg en dose initiale</w:t>
      </w:r>
      <w:r>
        <w:t xml:space="preserve"> (3 mL/kg de suspension à 35 mg/mL) par instillation intratrachéale via cathéter. Dose répétée possible à H6-H12 (105 mg/kg), max 3 doses.</w:t>
      </w:r>
    </w:p>
    <w:p>
      <w:pPr>
        <w:pStyle w:val="ListBullet"/>
      </w:pPr>
      <w:r>
        <w:t xml:space="preserve">Mode d'administration : instillation </w:t>
      </w:r>
      <w:r>
        <w:rPr>
          <w:b/>
        </w:rPr>
        <w:t>fractionnée en 2-4 aliquots</w:t>
      </w:r>
      <w:r>
        <w:t xml:space="preserve"> répartis dans les différentes positions (décubitus dorsal, latéral droit, latéral gauche) avec pause ventilatoire entre fractions. Technique LISA/MIST possible chez le nouveau-né en CPAP.</w:t>
      </w:r>
    </w:p>
    <w:p>
      <w:pPr>
        <w:pStyle w:val="ListBullet"/>
      </w:pPr>
      <w:r>
        <w:t>Durée : dose unique ou répétée (max 3 doses).</w:t>
      </w:r>
    </w:p>
    <w:p>
      <w:pPr>
        <w:pStyle w:val="ListBullet"/>
      </w:pPr>
      <w:r>
        <w:t>Moment de prise : administration immédiate à la naissance.</w:t>
      </w:r>
    </w:p>
    <w:p>
      <w:r/>
      <w:r>
        <w:rPr>
          <w:b/>
        </w:rPr>
        <w:t>Arbitrage et Bénéfices des Formes Galéniques :</w:t>
      </w:r>
      <w:r/>
    </w:p>
    <w:p>
      <w:r>
        <w:t xml:space="preserve">Le calfactant est disponible uniquement en </w:t>
      </w:r>
      <w:r>
        <w:rPr>
          <w:b/>
        </w:rPr>
        <w:t>suspension intratrachéale</w:t>
      </w:r>
      <w:r>
        <w:t xml:space="preserve"> à 35 mg/mL, en flacons de 3 mL ou 6 mL. Le volume d'instillation initial est </w:t>
      </w:r>
      <w:r>
        <w:rPr>
          <w:b/>
        </w:rPr>
        <w:t>3 mL/kg</w:t>
      </w:r>
      <w:r>
        <w:t xml:space="preserve"> — intermédiaire entre le beractant (4 mL/kg) et le poractant alfa (1,25-2,5 mL/kg). La teneur native en SP-B et SP-C constitue un argument théorique en faveur d'une meilleure adsorption, non confirmé en pratique clinique par des différences significatives d'efficacité vs beractant.</w:t>
      </w:r>
    </w:p>
    <w:p>
      <w:r/>
      <w:r>
        <w:rPr>
          <w:b/>
        </w:rPr>
        <w:t>Instructions et Conseils au Patient :</w:t>
      </w:r>
      <w:r/>
    </w:p>
    <w:p>
      <w:pPr>
        <w:pStyle w:val="ListBullet"/>
      </w:pPr>
      <w:r>
        <w:t>Communication au comptoir : spécialité non dispensée en officine. Informations à donner aux parents du prématuré sur le rôle vital du surfactant et l'innocuité à long terme.</w:t>
      </w:r>
    </w:p>
    <w:p>
      <w:pPr>
        <w:pStyle w:val="ListBullet"/>
      </w:pPr>
      <w:r>
        <w:t>Mode d'utilisation pratique : non applicable en officine.</w:t>
      </w:r>
    </w:p>
    <w:p>
      <w:r/>
      <w:r>
        <w:rPr>
          <w:b/>
        </w:rPr>
        <w:t>Notes, Règles d'Or &amp; Pièges au Comptoir :</w:t>
      </w:r>
      <w:r/>
    </w:p>
    <w:p>
      <w:pPr>
        <w:pStyle w:val="ListBullet"/>
      </w:pPr>
      <w:r>
        <w:t>Piège classique : aucun en officine. À l'hôpital : instillation trop rapide, intubation sélective, absence d'adaptation ventilatoire post-instillation.</w:t>
      </w:r>
    </w:p>
    <w:p>
      <w:pPr>
        <w:pStyle w:val="ListBullet"/>
      </w:pPr>
      <w:r>
        <w:t>Règle de prise : administration hospitalière néonatologie, idéalement &lt; 2 heures de vie.</w:t>
      </w:r>
    </w:p>
    <w:p>
      <w:pPr>
        <w:pStyle w:val="ListBullet"/>
      </w:pPr>
      <w:r>
        <w:t>Préparation et Conservation : conserver entre +2°C et +8°C (réfrigérateur, ne pas congeler). Réchauffer à température ambiante avant administration. Agiter doucement. Usage unique.</w:t>
      </w:r>
    </w:p>
    <w:p>
      <w:pPr>
        <w:pStyle w:val="ListBullet"/>
      </w:pPr>
      <w:r>
        <w:t>Piège du surdosage / Substitution : ne pas substituer avec poractant alfa ou beractant sans recalculer la dose en mL/kg (35 mg/mL vs 80 mg/mL vs 25 mg/mL).</w:t>
      </w:r>
    </w:p>
    <w:p>
      <w:pPr>
        <w:pStyle w:val="Heading2"/>
      </w:pPr>
      <w:r>
        <w:t>4. Introduction à la sous-classe des antagonistes des récepteurs de l'endothéline (ARE)</w:t>
      </w:r>
    </w:p>
    <w:p>
      <w:pPr>
        <w:pStyle w:val="Heading3"/>
      </w:pPr>
      <w:r>
        <w:t>L'endothéline-1 et son rôle dans l'HTAP</w:t>
      </w:r>
    </w:p>
    <w:p>
      <w:r>
        <w:t>L'</w:t>
      </w:r>
      <w:r>
        <w:rPr>
          <w:b/>
        </w:rPr>
        <w:t>endothéline-1 (ET-1)</w:t>
      </w:r>
      <w:r>
        <w:t xml:space="preserve"> est un peptide de 21 acides aminés (isoforme la plus active des trois endothélines existantes : ET-1, ET-2, ET-3), identifié en 1988 par Yanagisawa (prix Nobel de physiologie ou médecine implicitement associé à cette découverte majeure en physiologie vasculaire). L'ET-1 est le </w:t>
      </w:r>
      <w:r>
        <w:rPr>
          <w:b/>
        </w:rPr>
        <w:t>plus puissant vasoconstricteur endogène connu</w:t>
      </w:r>
      <w:r>
        <w:t xml:space="preserve"> — environ 10 fois plus puissant que l'angiotensine II sur la cellule musculaire lisse vasculaire. Elle est synthétisée par les </w:t>
      </w:r>
      <w:r>
        <w:rPr>
          <w:b/>
        </w:rPr>
        <w:t>cellules endothéliales</w:t>
      </w:r>
      <w:r>
        <w:t xml:space="preserve"> (essentiellement pulmonaires) à partir d'une pré-pro-endothéline (212 acides aminés) clivée en </w:t>
      </w:r>
      <w:r>
        <w:rPr>
          <w:b/>
        </w:rPr>
        <w:t>big-endothéline</w:t>
      </w:r>
      <w:r>
        <w:t xml:space="preserve"> (38 acides aminés) par des endopeptidases, puis en </w:t>
      </w:r>
      <w:r>
        <w:rPr>
          <w:b/>
        </w:rPr>
        <w:t>ET-1 active</w:t>
      </w:r>
      <w:r>
        <w:t xml:space="preserve"> par l'</w:t>
      </w:r>
      <w:r>
        <w:rPr>
          <w:b/>
        </w:rPr>
        <w:t>enzyme de conversion de l'endothéline (ECE)</w:t>
      </w:r>
      <w:r>
        <w:t>, une métalloprotéase zinc-dépendante membranaire apparentée à l'enzyme de conversion de l'angiotensine.</w:t>
      </w:r>
    </w:p>
    <w:p>
      <w:pPr>
        <w:pStyle w:val="Heading3"/>
      </w:pPr>
      <w:r>
        <w:t>Récepteurs de l'endothéline — Sous-types et signalisation</w:t>
      </w:r>
    </w:p>
    <w:p>
      <w:r>
        <w:t xml:space="preserve">L'ET-1 se lie à </w:t>
      </w:r>
      <w:r>
        <w:rPr>
          <w:b/>
        </w:rPr>
        <w:t>deux récepteurs couplés aux protéines G (RCPG) à sept domaines transmembranaires</w:t>
      </w:r>
      <w:r>
        <w:t xml:space="preserve"> :</w:t>
      </w:r>
    </w:p>
    <w:p>
      <w:pPr>
        <w:pStyle w:val="ListBullet"/>
      </w:pPr>
      <w:r/>
      <w:r>
        <w:rPr>
          <w:b/>
        </w:rPr>
        <w:t>Récepteur ET_A</w:t>
      </w:r>
      <w:r>
        <w:t xml:space="preserve"> (exprimé principalement sur les </w:t>
      </w:r>
      <w:r>
        <w:rPr>
          <w:b/>
        </w:rPr>
        <w:t>cellules musculaires lisses vasculaires pulmonaires</w:t>
      </w:r>
      <w:r>
        <w:t xml:space="preserve">, CML-VP) : couplé à </w:t>
      </w:r>
      <w:r>
        <w:rPr>
          <w:b/>
        </w:rPr>
        <w:t>Gq/11</w:t>
      </w:r>
      <w:r>
        <w:t xml:space="preserve">, active la </w:t>
      </w:r>
      <w:r>
        <w:rPr>
          <w:b/>
        </w:rPr>
        <w:t>phospholipase Cβ (PLCβ)</w:t>
      </w:r>
      <w:r>
        <w:t xml:space="preserve"> qui hydrolyse le PIP2 en </w:t>
      </w:r>
      <w:r>
        <w:rPr>
          <w:b/>
        </w:rPr>
        <w:t>IP3</w:t>
      </w:r>
      <w:r>
        <w:t xml:space="preserve"> et </w:t>
      </w:r>
      <w:r>
        <w:rPr>
          <w:b/>
        </w:rPr>
        <w:t>DAG</w:t>
      </w:r>
      <w:r>
        <w:t xml:space="preserve">. L'IP3 libère le Ca²⁺ du réticulum sarcoplasmique → contraction des CML-VP (vasoconstriction) ; le DAG active la </w:t>
      </w:r>
      <w:r>
        <w:rPr>
          <w:b/>
        </w:rPr>
        <w:t>PKC</w:t>
      </w:r>
      <w:r>
        <w:t xml:space="preserve"> → phosphorylation de la chaîne légère des myosines (MLC) par la </w:t>
      </w:r>
      <w:r>
        <w:rPr>
          <w:b/>
        </w:rPr>
        <w:t>MLCK</w:t>
      </w:r>
      <w:r>
        <w:t xml:space="preserve"> Ca²⁺-calmoduline-dépendante → maintien de la contraction. Le récepteur ET_A médie également la </w:t>
      </w:r>
      <w:r>
        <w:rPr>
          <w:b/>
        </w:rPr>
        <w:t>prolifération</w:t>
      </w:r>
      <w:r>
        <w:t xml:space="preserve"> et la </w:t>
      </w:r>
      <w:r>
        <w:rPr>
          <w:b/>
        </w:rPr>
        <w:t>migration</w:t>
      </w:r>
      <w:r>
        <w:t xml:space="preserve"> des CML-VP, contribuant au </w:t>
      </w:r>
      <w:r>
        <w:rPr>
          <w:b/>
        </w:rPr>
        <w:t>remodelage vasculaire pulmonaire</w:t>
      </w:r>
      <w:r>
        <w:t xml:space="preserve"> caractéristique de l'HTAP (épaississement néo-intimal, artériolosclérose pulmonaire plexiforme).</w:t>
      </w:r>
    </w:p>
    <w:p>
      <w:pPr>
        <w:pStyle w:val="ListBullet"/>
      </w:pPr>
      <w:r/>
      <w:r>
        <w:rPr>
          <w:b/>
        </w:rPr>
        <w:t>Récepteur ET_B</w:t>
      </w:r>
      <w:r>
        <w:t xml:space="preserve"> : présent sur deux types cellulaires :</w:t>
      </w:r>
    </w:p>
    <w:p>
      <w:pPr>
        <w:pStyle w:val="ListBullet"/>
      </w:pPr>
      <w:r/>
      <w:r>
        <w:rPr>
          <w:b/>
        </w:rPr>
        <w:t>ET_B endothélial (ET_B1)</w:t>
      </w:r>
      <w:r>
        <w:t xml:space="preserve"> : couplé à </w:t>
      </w:r>
      <w:r>
        <w:rPr>
          <w:b/>
        </w:rPr>
        <w:t>Gs</w:t>
      </w:r>
      <w:r>
        <w:t xml:space="preserve">, active l'adénylyl cyclase → AMPc↑ → activation de la PKA → activation de la eNOS (NO synthase) et de la PGIS (prostacycline synthase) → </w:t>
      </w:r>
      <w:r>
        <w:rPr>
          <w:b/>
        </w:rPr>
        <w:t>vasodilatation</w:t>
      </w:r>
      <w:r>
        <w:t xml:space="preserve"> par NO (via GMPc) et PGI2 (via AMPc). Joue un rôle dans la </w:t>
      </w:r>
      <w:r>
        <w:rPr>
          <w:b/>
        </w:rPr>
        <w:t>clairance pulmonaire</w:t>
      </w:r>
      <w:r>
        <w:t xml:space="preserve"> de l'ET-1 circulante (clearance receptor).</w:t>
      </w:r>
    </w:p>
    <w:p>
      <w:pPr>
        <w:pStyle w:val="ListBullet"/>
      </w:pPr>
      <w:r/>
      <w:r>
        <w:rPr>
          <w:b/>
        </w:rPr>
        <w:t>ET_B sur CML-VP (ET_B2)</w:t>
      </w:r>
      <w:r>
        <w:t xml:space="preserve"> : couplé à Gq, médie une vasoconstriction (rôle mineur physiologiquement).</w:t>
      </w:r>
    </w:p>
    <w:p>
      <w:r>
        <w:t>Dans l'</w:t>
      </w:r>
      <w:r>
        <w:rPr>
          <w:b/>
        </w:rPr>
        <w:t>HTAP</w:t>
      </w:r>
      <w:r>
        <w:t xml:space="preserve">, l'ET-1 est </w:t>
      </w:r>
      <w:r>
        <w:rPr>
          <w:b/>
        </w:rPr>
        <w:t>surexprimée</w:t>
      </w:r>
      <w:r>
        <w:t xml:space="preserve"> au niveau pulmonaire (concentration tissulaire et plasmatique corrélée à la sévérité de l'HTAP et à la survie), et le rapport ET_A/ET_B est modifié. La stratégie pharmacologique est donc le </w:t>
      </w:r>
      <w:r>
        <w:rPr>
          <w:b/>
        </w:rPr>
        <w:t>blocage des récepteurs ET_A</w:t>
      </w:r>
      <w:r>
        <w:t xml:space="preserve"> (médiant la vasoconstriction et le remodelage). Le blocage des récepteurs ET_B est controversé : les </w:t>
      </w:r>
      <w:r>
        <w:rPr>
          <w:b/>
        </w:rPr>
        <w:t>antagonistes sélectifs ET_A</w:t>
      </w:r>
      <w:r>
        <w:t xml:space="preserve"> (ambrisentan, sitaxsentan — non commercialisés en Algérie) préservent la voie ET_B endothéliale (vasodilatation et clairance), mais ont été associés à un risque accru de rétention hydrosodée et d'œdèmes. Les </w:t>
      </w:r>
      <w:r>
        <w:rPr>
          <w:b/>
        </w:rPr>
        <w:t>antagonistes mixtes ET_A/ET_B</w:t>
      </w:r>
      <w:r>
        <w:t xml:space="preserve"> (bosentan, macitentan — seul le bosentan est disponible en Algérie) bloquent à la fois la vasoconstriction ET_A et la clairance ET_B, mais leur efficacité clinique est comparable aux antagonistes sélectifs.</w:t>
      </w:r>
    </w:p>
    <w:p>
      <w:pPr>
        <w:pStyle w:val="Heading3"/>
      </w:pPr>
      <w:r>
        <w:t>Pharmacologie du bosentan</w:t>
      </w:r>
    </w:p>
    <w:p>
      <w:r>
        <w:t xml:space="preserve">Le </w:t>
      </w:r>
      <w:r>
        <w:rPr>
          <w:b/>
        </w:rPr>
        <w:t>bosentan</w:t>
      </w:r>
      <w:r>
        <w:t xml:space="preserve"> (Ro 47-0203, Tracleer® — Actelion Pharmaceuticals, devenu Johnson &amp; Johnson en 2017) est le </w:t>
      </w:r>
      <w:r>
        <w:rPr>
          <w:b/>
        </w:rPr>
        <w:t>premier ARE</w:t>
      </w:r>
      <w:r>
        <w:t xml:space="preserve"> commercialisé (AMM européenne 2002, FDA 2001). C'est un antagoniste </w:t>
      </w:r>
      <w:r>
        <w:rPr>
          <w:b/>
        </w:rPr>
        <w:t>mixte ET_A/ET_B</w:t>
      </w:r>
      <w:r>
        <w:t xml:space="preserve"> de puissance modérée (Ki ET_A ~ 4-7 nM ; Ki ET_B ~ 6-43 nM). Administré par voie </w:t>
      </w:r>
      <w:r>
        <w:rPr>
          <w:b/>
        </w:rPr>
        <w:t>orale</w:t>
      </w:r>
      <w:r>
        <w:t xml:space="preserve"> (comprimés pelliculés à 62,5 mg et 125 mg), il a une biodisponibilité d'environ 50 %, une demi-vie d'élimination de 5-8 h justifiant une administration </w:t>
      </w:r>
      <w:r>
        <w:rPr>
          <w:b/>
        </w:rPr>
        <w:t>biquotidienne</w:t>
      </w:r>
      <w:r>
        <w:t xml:space="preserve"> (matin et soir à heure fixe). Métabolisme hépatique par les </w:t>
      </w:r>
      <w:r>
        <w:rPr>
          <w:b/>
        </w:rPr>
        <w:t>CYP3A4</w:t>
      </w:r>
      <w:r>
        <w:t xml:space="preserve"> et </w:t>
      </w:r>
      <w:r>
        <w:rPr>
          <w:b/>
        </w:rPr>
        <w:t>CYP2C9</w:t>
      </w:r>
      <w:r>
        <w:t xml:space="preserve">, avec formation de </w:t>
      </w:r>
      <w:r>
        <w:rPr>
          <w:b/>
        </w:rPr>
        <w:t>3 métabolites</w:t>
      </w:r>
      <w:r>
        <w:t xml:space="preserve"> dont le Ro 47-0203 (métabolite actif). Élimination </w:t>
      </w:r>
      <w:r>
        <w:rPr>
          <w:b/>
        </w:rPr>
        <w:t>billiaire</w:t>
      </w:r>
      <w:r>
        <w:t xml:space="preserve"> principalement (87 %), rénale minime (&lt; 0,5 %).</w:t>
      </w:r>
    </w:p>
    <w:p>
      <w:r>
        <w:t xml:space="preserve">Le bosentan est </w:t>
      </w:r>
      <w:r>
        <w:rPr>
          <w:b/>
        </w:rPr>
        <w:t>inducteur</w:t>
      </w:r>
      <w:r>
        <w:t xml:space="preserve"> du CYP3A4 et du CYP2C9 (auto-induction), ce qui entraîne un certain nombre d'interactions médicamenteuses majeures : baisse des concentrations de </w:t>
      </w:r>
      <w:r>
        <w:rPr>
          <w:b/>
        </w:rPr>
        <w:t>sildénafil</w:t>
      </w:r>
      <w:r>
        <w:t xml:space="preserve"> (-50 %, à surveiller en cas de bithérapie), de </w:t>
      </w:r>
      <w:r>
        <w:rPr>
          <w:b/>
        </w:rPr>
        <w:t>ciclosporine</w:t>
      </w:r>
      <w:r>
        <w:t xml:space="preserve"> (-50 %, CI pratique), de </w:t>
      </w:r>
      <w:r>
        <w:rPr>
          <w:b/>
        </w:rPr>
        <w:t>tacrolimus</w:t>
      </w:r>
      <w:r>
        <w:t xml:space="preserve">, de </w:t>
      </w:r>
      <w:r>
        <w:rPr>
          <w:b/>
        </w:rPr>
        <w:t>warfarine</w:t>
      </w:r>
      <w:r>
        <w:t xml:space="preserve"> (adapter la dose d'AVK), de </w:t>
      </w:r>
      <w:r>
        <w:rPr>
          <w:b/>
        </w:rPr>
        <w:t>contraceptifs hormonaux</w:t>
      </w:r>
      <w:r>
        <w:t xml:space="preserve"> (efficacité réduite — d'où l'obligation d'une </w:t>
      </w:r>
      <w:r>
        <w:rPr>
          <w:b/>
        </w:rPr>
        <w:t>double contraception non hormonale</w:t>
      </w:r>
      <w:r>
        <w:t xml:space="preserve"> complémentaire ou méthodes mécaniques). Le bosentan est également </w:t>
      </w:r>
      <w:r>
        <w:rPr>
          <w:b/>
        </w:rPr>
        <w:t>inhibiteur</w:t>
      </w:r>
      <w:r>
        <w:t xml:space="preserve"> du transporteur </w:t>
      </w:r>
      <w:r>
        <w:rPr>
          <w:b/>
        </w:rPr>
        <w:t>BSEP</w:t>
      </w:r>
      <w:r>
        <w:t xml:space="preserve"> (bile salt export pump), ce qui explique sa </w:t>
      </w:r>
      <w:r>
        <w:rPr>
          <w:b/>
        </w:rPr>
        <w:t>hépatotoxicité</w:t>
      </w:r>
      <w:r>
        <w:t xml:space="preserve"> (cholestase intra-hépatique dose-dépendante, élévation des transaminases ASAT/ALAT, exceptionnels cas d'insuffisance hépatique sévère ayant justifié la surveillance hépatique mensuelle obligatoire).</w:t>
      </w:r>
    </w:p>
    <w:p>
      <w:pPr>
        <w:pStyle w:val="Heading3"/>
      </w:pPr>
      <w:r>
        <w:t>Stratégie thérapeutique et surveillance</w:t>
      </w:r>
    </w:p>
    <w:p>
      <w:r>
        <w:t>Le bosentan est indiqué dans l'</w:t>
      </w:r>
      <w:r>
        <w:rPr>
          <w:b/>
        </w:rPr>
        <w:t>HTAP de classe fonctionnelle OMS II-IV</w:t>
      </w:r>
      <w:r>
        <w:t xml:space="preserve"> (en monothérapie pour les classes II-III, ou en association avec un inhibiteur PDE5 pour les classes III-IV selon l'étude SERAPHIN avec le macitentan et l'étude COMPASS-2 avec le bosentan + sildénafil). L'initiation se fait à </w:t>
      </w:r>
      <w:r>
        <w:rPr>
          <w:b/>
        </w:rPr>
        <w:t>62,5 mg × 2/j pendant 4 semaines</w:t>
      </w:r>
      <w:r>
        <w:t xml:space="preserve"> (dose d'induction pour limiter le risque d'hépatotoxicité et d'œdèmes), puis </w:t>
      </w:r>
      <w:r>
        <w:rPr>
          <w:b/>
        </w:rPr>
        <w:t>125 mg × 2/j</w:t>
      </w:r>
      <w:r>
        <w:t xml:space="preserve"> (dose d'entretien) en l'absence d'intolérance biologique ou clinique.</w:t>
      </w:r>
    </w:p>
    <w:p>
      <w:r>
        <w:t xml:space="preserve">La surveillance comprend : (i) </w:t>
      </w:r>
      <w:r>
        <w:rPr>
          <w:b/>
        </w:rPr>
        <w:t>enzymes hépatiques (ALAT, ASAT) mensuelles</w:t>
      </w:r>
      <w:r>
        <w:t xml:space="preserve"> — arrêt du bosentan si ATK &gt; 3 × LSN (arrêt temporaire et reprise à dose réduite) ou &gt; 5 × LSN (arrêt définitif) ou &gt; 8 × LSN avec symptômes (arrêt définitif urgent) ; (ii) </w:t>
      </w:r>
      <w:r>
        <w:rPr>
          <w:b/>
        </w:rPr>
        <w:t>numération formule sanguine</w:t>
      </w:r>
      <w:r>
        <w:t xml:space="preserve"> trimestrielle (risque d'anémie par dilution / baisse de l'hémoglobine de ~1 g/dL en moyenne) ; (iii) </w:t>
      </w:r>
      <w:r>
        <w:rPr>
          <w:b/>
        </w:rPr>
        <w:t>test de grossesse pré-thérapeutique et mensuel</w:t>
      </w:r>
      <w:r>
        <w:t xml:space="preserve"> chez la femme en âge de procréer (le bosentan est </w:t>
      </w:r>
      <w:r>
        <w:rPr>
          <w:b/>
        </w:rPr>
        <w:t>tératogène</w:t>
      </w:r>
      <w:r>
        <w:t xml:space="preserve"> chez l'animal) avec </w:t>
      </w:r>
      <w:r>
        <w:rPr>
          <w:b/>
        </w:rPr>
        <w:t>double contraception obligatoire</w:t>
      </w:r>
      <w:r>
        <w:t xml:space="preserve"> (incluant au moins une méthode mécanique, les contraceptifs hormonaux étant inactivés par le bosentan) ; (iv) surveillance de la </w:t>
      </w:r>
      <w:r>
        <w:rPr>
          <w:b/>
        </w:rPr>
        <w:t>tension artérielle</w:t>
      </w:r>
      <w:r>
        <w:t xml:space="preserve"> et du poids (risque d'œdèmes, retention hydrosodée).</w:t>
      </w:r>
    </w:p>
    <w:p>
      <w:pPr>
        <w:pStyle w:val="Heading2"/>
      </w:pPr>
      <w:r>
        <w:t>5. Fiche DCI — Antagoniste des récepteurs de l'endothéline (ARE)</w:t>
      </w:r>
    </w:p>
    <w:p>
      <w:pPr>
        <w:pStyle w:val="Heading3"/>
      </w:pPr>
      <w:r>
        <w:t>4. DCI : Bosentan (Tracleer® et génériques)</w:t>
      </w:r>
    </w:p>
    <w:p>
      <w:r/>
      <w:r>
        <w:rPr>
          <w:b/>
        </w:rPr>
        <w:t>Liste des Catégories :</w:t>
      </w:r>
      <w:r>
        <w:t xml:space="preserve"> Antagoniste mixte des récepteurs de l'endothéline ET_A/ET_B (ARE) — HTAP — Voie orale — Liste I — Prescription hospitalière spécialisée.</w:t>
      </w:r>
    </w:p>
    <w:p>
      <w:r>
        <w:t xml:space="preserve">Le </w:t>
      </w:r>
      <w:r>
        <w:rPr>
          <w:b/>
        </w:rPr>
        <w:t>bosentan</w:t>
      </w:r>
      <w:r>
        <w:t xml:space="preserve"> est administré par voie </w:t>
      </w:r>
      <w:r>
        <w:rPr>
          <w:b/>
        </w:rPr>
        <w:t>orale</w:t>
      </w:r>
      <w:r>
        <w:t xml:space="preserve"> (comprimés pelliculés à 62,5 mg et 125 mg), en </w:t>
      </w:r>
      <w:r>
        <w:rPr>
          <w:b/>
        </w:rPr>
        <w:t>biquotidien</w:t>
      </w:r>
      <w:r>
        <w:t xml:space="preserve"> (matin et soir à heure fixe, à distance des repas pour optimiser l'absorption, bien que l'effet alimentaire soit mineur). Sa biodisponibilité est de l'ordre de 50 %, son métabolisme est </w:t>
      </w:r>
      <w:r>
        <w:rPr>
          <w:b/>
        </w:rPr>
        <w:t>hépatique</w:t>
      </w:r>
      <w:r>
        <w:t xml:space="preserve"> via les CYP3A4 et CYP2C9 (avec auto-induction au bout de 3-4 semaines, abaissant l'exposition de ~30 %), et son élimination est principalement </w:t>
      </w:r>
      <w:r>
        <w:rPr>
          <w:b/>
        </w:rPr>
        <w:t>biliaire</w:t>
      </w:r>
      <w:r>
        <w:t xml:space="preserve"> (87 %). La demi-vie d'élimination est de 5-8 h, justifiant la fréquence biquotidienne. Le bosentan est à l'origine d'interactions médicamenteuses significatives par ses propriétés d'inducteur enzymatique (CYP3A4, CYP2C9) et d'inhibiteur du transporteur BSEP. La surveillance biologique mensuelle des transaminases et trimestrielle de la NFS est </w:t>
      </w:r>
      <w:r>
        <w:rPr>
          <w:b/>
        </w:rPr>
        <w:t>obligatoire</w:t>
      </w:r>
      <w:r>
        <w:t>.</w:t>
      </w:r>
    </w:p>
    <w:p>
      <w:r/>
      <w:r>
        <w:rPr>
          <w:b/>
        </w:rPr>
        <w:t>Médicaments disponibles en Algérie (Marques, Laboratoires, Formes et Dosages) :</w:t>
      </w:r>
      <w:r/>
    </w:p>
    <w:p>
      <w:pPr>
        <w:pStyle w:val="ListBullet"/>
      </w:pPr>
      <w:r/>
      <w:r>
        <w:rPr>
          <w:b/>
        </w:rPr>
        <w:t>BOSACLEER</w:t>
      </w:r>
      <w:r>
        <w:t xml:space="preserve"> (BIOPHARM)</w:t>
      </w:r>
    </w:p>
    <w:p>
      <w:pPr>
        <w:pStyle w:val="ListBullet"/>
      </w:pPr>
      <w:r>
        <w:t>Formes et Dosages : Comprimé pelliculé — 62,5 mg (B/60) ; Comprimé pelliculé — 125 mg (B/60).</w:t>
      </w:r>
    </w:p>
    <w:p>
      <w:pPr>
        <w:pStyle w:val="ListBullet"/>
      </w:pPr>
      <w:r>
        <w:t>Statut : Actif (LISTE I — prescription hospitalière spécialisée pneumologie/cardiologie).</w:t>
      </w:r>
    </w:p>
    <w:p>
      <w:pPr>
        <w:pStyle w:val="ListBullet"/>
      </w:pPr>
      <w:r/>
      <w:r>
        <w:rPr>
          <w:b/>
        </w:rPr>
        <w:t>BOSENTAS</w:t>
      </w:r>
      <w:r>
        <w:t xml:space="preserve"> (CIPLA LIMITED)</w:t>
      </w:r>
    </w:p>
    <w:p>
      <w:pPr>
        <w:pStyle w:val="ListBullet"/>
      </w:pPr>
      <w:r>
        <w:t>Formes et Dosages : Comprimé pelliculé — 62,5 mg (B/20) ; Comprimé pelliculé — 125 mg (B/20).</w:t>
      </w:r>
    </w:p>
    <w:p>
      <w:pPr>
        <w:pStyle w:val="ListBullet"/>
      </w:pPr>
      <w:r>
        <w:t>Statut : Actif.</w:t>
      </w:r>
    </w:p>
    <w:p>
      <w:pPr>
        <w:pStyle w:val="ListBullet"/>
      </w:pPr>
      <w:r/>
      <w:r>
        <w:rPr>
          <w:b/>
        </w:rPr>
        <w:t>ERATAN</w:t>
      </w:r>
      <w:r>
        <w:t xml:space="preserve"> (EL KENDI INDUSTRIE DU MEDICAMENT)</w:t>
      </w:r>
    </w:p>
    <w:p>
      <w:pPr>
        <w:pStyle w:val="ListBullet"/>
      </w:pPr>
      <w:r>
        <w:t>Formes et Dosages : Comprimé pelliculé — 62,5 mg (B/60) ; Comprimé pelliculé — 125 mg (B/60).</w:t>
      </w:r>
    </w:p>
    <w:p>
      <w:pPr>
        <w:pStyle w:val="ListBullet"/>
      </w:pPr>
      <w:r>
        <w:t>Statut : Actif.</w:t>
      </w:r>
    </w:p>
    <w:p>
      <w:pPr>
        <w:pStyle w:val="ListBullet"/>
      </w:pPr>
      <w:r/>
      <w:r>
        <w:rPr>
          <w:b/>
        </w:rPr>
        <w:t>PMS-BOSENTAN</w:t>
      </w:r>
      <w:r>
        <w:t xml:space="preserve"> (PHARMASCIENCE INC)</w:t>
      </w:r>
    </w:p>
    <w:p>
      <w:pPr>
        <w:pStyle w:val="ListBullet"/>
      </w:pPr>
      <w:r>
        <w:t>Formes et Dosages : Comprimé — 62,5 mg (B/60) ; Comprimé — 125 mg (B/60).</w:t>
      </w:r>
    </w:p>
    <w:p>
      <w:pPr>
        <w:pStyle w:val="ListBullet"/>
      </w:pPr>
      <w:r>
        <w:t>Statut : Actif.</w:t>
      </w:r>
    </w:p>
    <w:p>
      <w:pPr>
        <w:pStyle w:val="ListBullet"/>
      </w:pPr>
      <w:r/>
      <w:r>
        <w:rPr>
          <w:b/>
        </w:rPr>
        <w:t>TRACARE</w:t>
      </w:r>
      <w:r>
        <w:t xml:space="preserve"> (BIOCARE)</w:t>
      </w:r>
    </w:p>
    <w:p>
      <w:pPr>
        <w:pStyle w:val="ListBullet"/>
      </w:pPr>
      <w:r>
        <w:t>Formes et Dosages : Comprimé pelliculé — 62,5 mg (B/56) ; Comprimé pelliculé — 125 mg (B/56).</w:t>
      </w:r>
    </w:p>
    <w:p>
      <w:pPr>
        <w:pStyle w:val="ListBullet"/>
      </w:pPr>
      <w:r>
        <w:t>Statut : Actif.</w:t>
      </w:r>
    </w:p>
    <w:p>
      <w:pPr>
        <w:pStyle w:val="ListBullet"/>
      </w:pPr>
      <w:r/>
      <w:r>
        <w:rPr>
          <w:b/>
        </w:rPr>
        <w:t>TRACLEER</w:t>
      </w:r>
      <w:r>
        <w:t xml:space="preserve"> (ACTELION PHARMACEUTICALS LIMITED — princeps)</w:t>
      </w:r>
    </w:p>
    <w:p>
      <w:pPr>
        <w:pStyle w:val="ListBullet"/>
      </w:pPr>
      <w:r>
        <w:t>Formes et Dosages : Comprimé pelliculé — 62,5 mg (B/56) ; Comprimé pelliculé — 125 mg (B/56).</w:t>
      </w:r>
    </w:p>
    <w:p>
      <w:pPr>
        <w:pStyle w:val="ListBullet"/>
      </w:pPr>
      <w:r>
        <w:t>Statut : Actif (princeps Actelion/Janssen — laboratoire historique de l'HTAP).</w:t>
      </w:r>
    </w:p>
    <w:p>
      <w:r/>
      <w:r>
        <w:rPr>
          <w:b/>
        </w:rPr>
        <w:t>Sous-classe et Mécanisme d'action :</w:t>
      </w:r>
      <w:r/>
    </w:p>
    <w:p>
      <w:pPr>
        <w:pStyle w:val="ListBullet"/>
      </w:pPr>
      <w:r>
        <w:t xml:space="preserve">Sous-classe : Antagoniste </w:t>
      </w:r>
      <w:r>
        <w:rPr>
          <w:b/>
        </w:rPr>
        <w:t>mixte</w:t>
      </w:r>
      <w:r>
        <w:t xml:space="preserve"> des récepteurs de l'endothéline </w:t>
      </w:r>
      <w:r>
        <w:rPr>
          <w:b/>
        </w:rPr>
        <w:t>ET_A et ET_B</w:t>
      </w:r>
      <w:r>
        <w:t xml:space="preserve"> — premier représentant de la classe des ARE, indiqué dans l'HTAP (Groupe 1 de la classification de Nice) chez l'adulte en classe fonctionnelle OMS II-IV.</w:t>
      </w:r>
    </w:p>
    <w:p>
      <w:pPr>
        <w:pStyle w:val="ListBullet"/>
      </w:pPr>
      <w:r>
        <w:t xml:space="preserve">Mécanisme d'action : le bosentan bloque </w:t>
      </w:r>
      <w:r>
        <w:rPr>
          <w:b/>
        </w:rPr>
        <w:t>compétitivement</w:t>
      </w:r>
      <w:r>
        <w:t xml:space="preserve"> les récepteurs </w:t>
      </w:r>
      <w:r>
        <w:rPr>
          <w:b/>
        </w:rPr>
        <w:t>ET_A</w:t>
      </w:r>
      <w:r>
        <w:t xml:space="preserve"> (vasoconstriction, prolifération, remodelage) et </w:t>
      </w:r>
      <w:r>
        <w:rPr>
          <w:b/>
        </w:rPr>
        <w:t>ET_B</w:t>
      </w:r>
      <w:r>
        <w:t xml:space="preserve"> (clairance pulmonaire de l'ET-1 et, à un moindre degré, vasoconstriction sur les CML-VP). Le blocage </w:t>
      </w:r>
      <w:r>
        <w:rPr>
          <w:b/>
        </w:rPr>
        <w:t>ET_A</w:t>
      </w:r>
      <w:r>
        <w:t xml:space="preserve"> est le mécanisme principal du bénéfice clinique : il lève la vasoconstriction et le remodelage vasculaire pulmonaire médiés par l'ET-1 surexprimée dans l'HTAP, permettant une </w:t>
      </w:r>
      <w:r>
        <w:rPr>
          <w:b/>
        </w:rPr>
        <w:t>baisse des résistances vasculaires pulmonaires (RVP)</w:t>
      </w:r>
      <w:r>
        <w:t xml:space="preserve">, une </w:t>
      </w:r>
      <w:r>
        <w:rPr>
          <w:b/>
        </w:rPr>
        <w:t>augmentation du débit cardiaque</w:t>
      </w:r>
      <w:r>
        <w:t xml:space="preserve"> et une </w:t>
      </w:r>
      <w:r>
        <w:rPr>
          <w:b/>
        </w:rPr>
        <w:t>amélioration de la capacité à l'exercice</w:t>
      </w:r>
      <w:r>
        <w:t xml:space="preserve"> (test de marche de 6 minutes, classe NYHA/OMS). Le blocage </w:t>
      </w:r>
      <w:r>
        <w:rPr>
          <w:b/>
        </w:rPr>
        <w:t>ET_B</w:t>
      </w:r>
      <w:r>
        <w:t xml:space="preserve"> est théoriquement moins favorable (il supprime la clairance ET_B endothéliale), mais n'a pas d'impact clinique défavorable significatif dans les essais. Le bosentan a également des effets </w:t>
      </w:r>
      <w:r>
        <w:rPr>
          <w:b/>
        </w:rPr>
        <w:t>antiprolifératifs</w:t>
      </w:r>
      <w:r>
        <w:t xml:space="preserve"> et </w:t>
      </w:r>
      <w:r>
        <w:rPr>
          <w:b/>
        </w:rPr>
        <w:t>antifibrotiques</w:t>
      </w:r>
      <w:r>
        <w:t xml:space="preserve"> sur les CML-VP, pouvant ralentir le remodelage vasculaire pulmonaire.</w:t>
      </w:r>
    </w:p>
    <w:p>
      <w:r/>
      <w:r>
        <w:rPr>
          <w:b/>
        </w:rPr>
        <w:t>Profil Pharmacologique :</w:t>
      </w:r>
      <w:r/>
    </w:p>
    <w:p>
      <w:pPr>
        <w:pStyle w:val="ListBullet"/>
      </w:pPr>
      <w:r>
        <w:t xml:space="preserve">Indications : </w:t>
      </w:r>
      <w:r>
        <w:rPr>
          <w:b/>
        </w:rPr>
        <w:t>HTAP de classe fonctionnelle OMS II-IV</w:t>
      </w:r>
      <w:r>
        <w:t xml:space="preserve"> (idiopathique, héréditable, associée aux connectivites — sclérodermie surtout, à l'hypertension portale, aux cardiopathies congénitales opérées, à l'infection par le VIH) en </w:t>
      </w:r>
      <w:r>
        <w:rPr>
          <w:b/>
        </w:rPr>
        <w:t>monothérapie</w:t>
      </w:r>
      <w:r>
        <w:t xml:space="preserve"> (classes II-III) ou en </w:t>
      </w:r>
      <w:r>
        <w:rPr>
          <w:b/>
        </w:rPr>
        <w:t>bithérapie</w:t>
      </w:r>
      <w:r>
        <w:t xml:space="preserve"> (associé à un inhibiteur PDE5 en classe III-IV selon stratégie séquentielle ESC/ERS 2022). Chez l'enfant (&gt; 1 an, PPH) : forme pédiatrique à 32 mg (dispersible) non disponible en Algérie — adaptation par compromis de comprimés adultes.</w:t>
      </w:r>
    </w:p>
    <w:p>
      <w:pPr>
        <w:pStyle w:val="ListBullet"/>
      </w:pPr>
      <w:r>
        <w:t xml:space="preserve">Contre-indications : </w:t>
      </w:r>
      <w:r>
        <w:rPr>
          <w:b/>
        </w:rPr>
        <w:t>grossesse</w:t>
      </w:r>
      <w:r>
        <w:t xml:space="preserve"> (tératogène — malformations cranio-faciales, cardiovasculaires, squelettiques chez l'animal) — chez la femme en âge de procréer, impose une </w:t>
      </w:r>
      <w:r>
        <w:rPr>
          <w:b/>
        </w:rPr>
        <w:t>double contraception</w:t>
      </w:r>
      <w:r>
        <w:t xml:space="preserve"> (au moins une méthode mécanique) et un test β-hCG pré-thérapeutique et mensuel ; </w:t>
      </w:r>
      <w:r>
        <w:rPr>
          <w:b/>
        </w:rPr>
        <w:t>insuffisance hépatique modérée à sévère</w:t>
      </w:r>
      <w:r>
        <w:t xml:space="preserve"> (ATK &gt; 3 × LSN pré-existantes) ; </w:t>
      </w:r>
      <w:r>
        <w:rPr>
          <w:b/>
        </w:rPr>
        <w:t>ciclosporine</w:t>
      </w:r>
      <w:r>
        <w:t xml:space="preserve"> (co-prescription CI — augmente les concentrations de bosentan ×2 et le risque d'hépatotoxicité) ; </w:t>
      </w:r>
      <w:r>
        <w:rPr>
          <w:b/>
        </w:rPr>
        <w:t>glyburide / glibenclamide</w:t>
      </w:r>
      <w:r>
        <w:t xml:space="preserve"> (augmentation du risque d'ATK hépatiques) ; </w:t>
      </w:r>
      <w:r>
        <w:rPr>
          <w:b/>
        </w:rPr>
        <w:t>allaitement</w:t>
      </w:r>
      <w:r>
        <w:t>.</w:t>
      </w:r>
    </w:p>
    <w:p>
      <w:pPr>
        <w:pStyle w:val="ListBullet"/>
      </w:pPr>
      <w:r>
        <w:t xml:space="preserve">Effets Indésirables : </w:t>
      </w:r>
      <w:r>
        <w:rPr>
          <w:b/>
        </w:rPr>
        <w:t>hépatotoxicité dose-dépendante</w:t>
      </w:r>
      <w:r>
        <w:t xml:space="preserve"> (élévation ATK &gt; 3 × LSN chez 10-12 % des patients à 125 mg × 2/j, &gt; 5 × LSN chez 5 %, &gt; 8 × LSN chez 1 % — risque d'insuffisance hépatique rare mais potentiellement létale) ; </w:t>
      </w:r>
      <w:r>
        <w:rPr>
          <w:b/>
        </w:rPr>
        <w:t>œdèmes périphériquesiques</w:t>
      </w:r>
      <w:r>
        <w:t xml:space="preserve"> et </w:t>
      </w:r>
      <w:r>
        <w:rPr>
          <w:b/>
        </w:rPr>
        <w:t>rétention hydrosodée</w:t>
      </w:r>
      <w:r>
        <w:t xml:space="preserve"> (10-15 %, surtout chez les sujets âgés &gt; 65 ans) ; </w:t>
      </w:r>
      <w:r>
        <w:rPr>
          <w:b/>
        </w:rPr>
        <w:t>anémie</w:t>
      </w:r>
      <w:r>
        <w:t xml:space="preserve"> modérée (baisse de l'Hb ~1 g/dL en moyenne, par dilution et inhibition de l'érythropoïèse) ; </w:t>
      </w:r>
      <w:r>
        <w:rPr>
          <w:b/>
        </w:rPr>
        <w:t>céphalées</w:t>
      </w:r>
      <w:r>
        <w:t xml:space="preserve"> (10 %) ; </w:t>
      </w:r>
      <w:r>
        <w:rPr>
          <w:b/>
        </w:rPr>
        <w:t>flush</w:t>
      </w:r>
      <w:r>
        <w:t xml:space="preserve"> (5 %) ; </w:t>
      </w:r>
      <w:r>
        <w:rPr>
          <w:b/>
        </w:rPr>
        <w:t>hypotension</w:t>
      </w:r>
      <w:r>
        <w:t xml:space="preserve"> modérée ; </w:t>
      </w:r>
      <w:r>
        <w:rPr>
          <w:b/>
        </w:rPr>
        <w:t xml:space="preserve"> troubles digestifs</w:t>
      </w:r>
      <w:r>
        <w:t xml:space="preserve"> (nausées, dyspepsie) ; </w:t>
      </w:r>
      <w:r>
        <w:rPr>
          <w:b/>
        </w:rPr>
        <w:t>insuffisance rénale</w:t>
      </w:r>
      <w:r>
        <w:t xml:space="preserve"> modérée (baisse DFG par hypoperfusion) ; rares réactions d'hypersensibilité (rash, prurit).</w:t>
      </w:r>
    </w:p>
    <w:p>
      <w:r/>
      <w:r>
        <w:rPr>
          <w:b/>
        </w:rPr>
        <w:t>Prévention et Gestion des Effets Indésirables :</w:t>
      </w:r>
      <w:r/>
    </w:p>
    <w:p>
      <w:pPr>
        <w:pStyle w:val="ListBullet"/>
      </w:pPr>
      <w:r>
        <w:t xml:space="preserve">Mesures Préventives : </w:t>
      </w:r>
      <w:r>
        <w:rPr>
          <w:b/>
        </w:rPr>
        <w:t>surveillance hépatique mensuelle obligatoire</w:t>
      </w:r>
      <w:r>
        <w:t xml:space="preserve"> (ALAT, ASAT, PAL, γ-GT, bilirubine totale) — arrêt si ATK &gt; 3 × LSN (reprise à dose réduite après normalisation) ou &gt; 5 × LSN (arrêt définitif) ; </w:t>
      </w:r>
      <w:r>
        <w:rPr>
          <w:b/>
        </w:rPr>
        <w:t>surveillance NFS trimestrielle</w:t>
      </w:r>
      <w:r>
        <w:t xml:space="preserve"> (anémie) ; </w:t>
      </w:r>
      <w:r>
        <w:rPr>
          <w:b/>
        </w:rPr>
        <w:t>test de grossesse pré-thérapeutique et mensuel</w:t>
      </w:r>
      <w:r>
        <w:t xml:space="preserve"> chez la femme en âge de procréer ; </w:t>
      </w:r>
      <w:r>
        <w:rPr>
          <w:b/>
        </w:rPr>
        <w:t>double contraception obligatoire</w:t>
      </w:r>
      <w:r>
        <w:t xml:space="preserve"> pendant le traitement et </w:t>
      </w:r>
      <w:r>
        <w:rPr>
          <w:b/>
        </w:rPr>
        <w:t>pendant 3 mois après l'arrêt</w:t>
      </w:r>
      <w:r>
        <w:t xml:space="preserve"> (méthode barrière + une autre méthode, car le bosentan inactive les contraceptifs hormonaux par induction CYP3A4) ; surveillance TA et poids (œdèmes) — envisager diurétique si œdèmes significatifs.</w:t>
      </w:r>
    </w:p>
    <w:p>
      <w:pPr>
        <w:pStyle w:val="ListBullet"/>
      </w:pPr>
      <w:r>
        <w:t xml:space="preserve">Conduite à Tenir : en cas d'élévation des transaminases, </w:t>
      </w:r>
      <w:r>
        <w:rPr>
          <w:b/>
        </w:rPr>
        <w:t>arrêt immédiat</w:t>
      </w:r>
      <w:r>
        <w:t xml:space="preserve"> et contrôle biologique à 3-5 jours ; reprise à dose réduite (62,5 mg × 2/j) si normalisation et ATK &lt; 3 × LSN ; arrêt définitif si ATK &gt; 5 × LSN ou récidive. En cas d'œdèmes : diurétique de l'anse (furosémide 20-40 mg/j). En cas d'anémie &lt; 10 g/dL : bilan martial, érythropoïétine si besoin. En cas de grossesse survenue : arrêt immédiat du bosentan, échographie morphologique spécialisée, déclaration de pharmacovigilance.</w:t>
      </w:r>
    </w:p>
    <w:p>
      <w:r/>
      <w:r>
        <w:rPr>
          <w:b/>
        </w:rPr>
        <w:t>Interactions Importantes :</w:t>
      </w:r>
      <w:r/>
    </w:p>
    <w:p>
      <w:pPr>
        <w:pStyle w:val="ListBullet"/>
      </w:pPr>
      <w:r/>
      <w:r>
        <w:rPr>
          <w:b/>
        </w:rPr>
        <w:t>Bosentan + ciclosporine</w:t>
      </w:r>
      <w:r>
        <w:t xml:space="preserve"> : CI absolue — la ciclosporine augmente les concentrations de bosentan ×2 (inhibition CYP3A4 et OATP), et le bosentan diminue les concentrations de ciclosporine (-50 %) — risque de rejet de greffe et d'hépatotoxicité sévère.</w:t>
      </w:r>
    </w:p>
    <w:p>
      <w:pPr>
        <w:pStyle w:val="ListBullet"/>
      </w:pPr>
      <w:r/>
      <w:r>
        <w:rPr>
          <w:b/>
        </w:rPr>
        <w:t>Bosentan + sildénafil</w:t>
      </w:r>
      <w:r>
        <w:t xml:space="preserve"> : le bosentan diminue les concentrations de sildénafil (-50 %, induction CYP3A4) — surveillance clinique et adaptation posologique (augmentation éventuelle du sildénafil à 40-80 mg × 3/j).</w:t>
      </w:r>
    </w:p>
    <w:p>
      <w:pPr>
        <w:pStyle w:val="ListBullet"/>
      </w:pPr>
      <w:r/>
      <w:r>
        <w:rPr>
          <w:b/>
        </w:rPr>
        <w:t>Bosentan + glibenclamide / glyburide</w:t>
      </w:r>
      <w:r>
        <w:t xml:space="preserve"> : CI (hépatotoxicité additive + baisse de l'efficacité du glibenclamide).</w:t>
      </w:r>
    </w:p>
    <w:p>
      <w:pPr>
        <w:pStyle w:val="ListBullet"/>
      </w:pPr>
      <w:r/>
      <w:r>
        <w:rPr>
          <w:b/>
        </w:rPr>
        <w:t>Bosentan + warfarine/AVK</w:t>
      </w:r>
      <w:r>
        <w:t xml:space="preserve"> : baisse de l'INR (induction CYP2C9) — surveillance rapprochée de l'INR, augmentation de la dose d'AVK de 20-40 %.</w:t>
      </w:r>
    </w:p>
    <w:p>
      <w:pPr>
        <w:pStyle w:val="ListBullet"/>
      </w:pPr>
      <w:r/>
      <w:r>
        <w:rPr>
          <w:b/>
        </w:rPr>
        <w:t>Bosentan + contraceptifs hormonaux</w:t>
      </w:r>
      <w:r>
        <w:t xml:space="preserve"> : inactivation (induction CYP3A4) — obligation d'une </w:t>
      </w:r>
      <w:r>
        <w:rPr>
          <w:b/>
        </w:rPr>
        <w:t>double contraception non hormonale</w:t>
      </w:r>
      <w:r>
        <w:t xml:space="preserve"> ou complémentaire.</w:t>
      </w:r>
    </w:p>
    <w:p>
      <w:pPr>
        <w:pStyle w:val="ListBullet"/>
      </w:pPr>
      <w:r/>
      <w:r>
        <w:rPr>
          <w:b/>
        </w:rPr>
        <w:t>Bosentan + tacrolimus</w:t>
      </w:r>
      <w:r>
        <w:t xml:space="preserve"> : baisse du taux de tacrolimus — surveillance taux résiduels.</w:t>
      </w:r>
    </w:p>
    <w:p>
      <w:pPr>
        <w:pStyle w:val="ListBullet"/>
      </w:pPr>
      <w:r/>
      <w:r>
        <w:rPr>
          <w:b/>
        </w:rPr>
        <w:t>Bosentan + rifampicine</w:t>
      </w:r>
      <w:r>
        <w:t xml:space="preserve"> : augmentation transitoire puis diminution des concentrations de bosentan — surveillance clinique.</w:t>
      </w:r>
    </w:p>
    <w:p>
      <w:pPr>
        <w:pStyle w:val="ListBullet"/>
      </w:pPr>
      <w:r/>
      <w:r>
        <w:rPr>
          <w:b/>
        </w:rPr>
        <w:t>Bosentan + fluconazole / kétoconazole</w:t>
      </w:r>
      <w:r>
        <w:t xml:space="preserve"> : augmentation des concentrations de bosentan (inhibition CYP3A4) — risque majoré d'hépatotoxicité.</w:t>
      </w:r>
    </w:p>
    <w:p>
      <w:r/>
      <w:r>
        <w:rPr>
          <w:b/>
        </w:rPr>
        <w:t>Grossesse et Allaitement :</w:t>
      </w:r>
      <w:r/>
    </w:p>
    <w:p>
      <w:pPr>
        <w:pStyle w:val="ListBullet"/>
      </w:pPr>
      <w:r>
        <w:t xml:space="preserve">Grossesse : </w:t>
      </w:r>
      <w:r>
        <w:rPr>
          <w:b/>
        </w:rPr>
        <w:t>CI absolue</w:t>
      </w:r>
      <w:r>
        <w:t xml:space="preserve"> — tératogène chez l'animal (malformations cranio-faciales, cardiovasculaires, squelettiques). Test β-hCG pré-thérapeutique et </w:t>
      </w:r>
      <w:r>
        <w:rPr>
          <w:b/>
        </w:rPr>
        <w:t>mensuel</w:t>
      </w:r>
      <w:r>
        <w:t xml:space="preserve"> obligatoire, double contraception pendant le traitement et </w:t>
      </w:r>
      <w:r>
        <w:rPr>
          <w:b/>
        </w:rPr>
        <w:t>3 mois après l'arrêt</w:t>
      </w:r>
      <w:r>
        <w:t>. La survenue d'une grossesse impose l'</w:t>
      </w:r>
      <w:r>
        <w:rPr>
          <w:b/>
        </w:rPr>
        <w:t>arrêt immédiat</w:t>
      </w:r>
      <w:r>
        <w:t xml:space="preserve"> du bosentan, une échographie morphologique spécialisée à 18-22 SA, et une déclaration de pharmacovigilance. À noter que la </w:t>
      </w:r>
      <w:r>
        <w:rPr>
          <w:b/>
        </w:rPr>
        <w:t>HTAP elle-même</w:t>
      </w:r>
      <w:r>
        <w:t xml:space="preserve"> est un haut risque maternel (mortalité 30-50 %), et une interruption médicale de grossesse est le plus souvent discutée.</w:t>
      </w:r>
    </w:p>
    <w:p>
      <w:pPr>
        <w:pStyle w:val="ListBullet"/>
      </w:pPr>
      <w:r>
        <w:t xml:space="preserve">Allaitement : </w:t>
      </w:r>
      <w:r>
        <w:rPr>
          <w:b/>
        </w:rPr>
        <w:t>CI</w:t>
      </w:r>
      <w:r>
        <w:t xml:space="preserve"> (passage du bosentan dans le lait maternel attendu — excrétion biliaire majoritaire suggérant un passage lacté significatif).</w:t>
      </w:r>
    </w:p>
    <w:p>
      <w:pPr>
        <w:pStyle w:val="ListBullet"/>
      </w:pPr>
      <w:r>
        <w:t xml:space="preserve">Précisions : selon CRAT, le bosentan est </w:t>
      </w:r>
      <w:r>
        <w:rPr>
          <w:b/>
        </w:rPr>
        <w:t>tératogène chez l'animal</w:t>
      </w:r>
      <w:r>
        <w:t xml:space="preserve"> (effects doses-related sur le développement fœtal chez le rat et le lapin). Chez la femme, le registre européen des grossesses sous bosentan n'a pas mis en évidence de sur-risque tératogène majeur, mais le nombre de grossesses exposées est trop limité pour conclure. La contraception stricto sensu doit être maintenue </w:t>
      </w:r>
      <w:r>
        <w:rPr>
          <w:b/>
        </w:rPr>
        <w:t>3 mois après l'arrêt</w:t>
      </w:r>
      <w:r>
        <w:t xml:space="preserve"> en raison de la demi-vie d'élimination (5-8 h) et de l'auto-induction enzymatique (effet persistant plusieurs semaines).</w:t>
      </w:r>
    </w:p>
    <w:p>
      <w:r/>
      <w:r>
        <w:rPr>
          <w:b/>
        </w:rPr>
        <w:t>Posologie et Mode d'administration (Standard) :</w:t>
      </w:r>
      <w:r/>
    </w:p>
    <w:p>
      <w:pPr>
        <w:pStyle w:val="ListBullet"/>
      </w:pPr>
      <w:r>
        <w:t xml:space="preserve">Adulte : </w:t>
      </w:r>
      <w:r>
        <w:rPr>
          <w:b/>
        </w:rPr>
        <w:t>induction</w:t>
      </w:r>
      <w:r>
        <w:t xml:space="preserve"> à 62,5 mg × 2/j (matin et soir à heure fixe) pendant </w:t>
      </w:r>
      <w:r>
        <w:rPr>
          <w:b/>
        </w:rPr>
        <w:t>4 semaines</w:t>
      </w:r>
      <w:r>
        <w:t xml:space="preserve">, puis </w:t>
      </w:r>
      <w:r>
        <w:rPr>
          <w:b/>
        </w:rPr>
        <w:t>dose d'entretien</w:t>
      </w:r>
      <w:r>
        <w:t xml:space="preserve"> à 125 mg × 2/j. En cas d'intolérance hépatique ou d'effets indésirables à 125 mg × 2/j, retour à 62,5 mg × 2/j. Dose maximale : 125 mg × 2/j (250 mg/j) — ne pas dépasser.</w:t>
      </w:r>
    </w:p>
    <w:p>
      <w:pPr>
        <w:pStyle w:val="ListBullet"/>
      </w:pPr>
      <w:r>
        <w:t>Sujet âgé (&gt; 65 ans) : pas d'adaptation posologique systématique, mais surveillance renforcée des œdèmes (risque majoré de rétention hydrosodée).</w:t>
      </w:r>
    </w:p>
    <w:p>
      <w:pPr>
        <w:pStyle w:val="ListBullet"/>
      </w:pPr>
      <w:r>
        <w:t>Enfant (&gt; 1 an, poids 4-40 kg) : forme pédiatrique dispersible 32 mg non disponible en Algérie — adaptation par quart ou demi-comprimés adultes possible mais non recommandée (préférence pour prescription à l'étranger ou accès compassionnel).</w:t>
      </w:r>
    </w:p>
    <w:p>
      <w:pPr>
        <w:pStyle w:val="ListBullet"/>
      </w:pPr>
      <w:r>
        <w:t>Insuffisance hépatique : CI si insuffisance hépatique modérée à sévère ou ATK pré-existantes &gt; 3 × LSN.</w:t>
      </w:r>
    </w:p>
    <w:p>
      <w:pPr>
        <w:pStyle w:val="ListBullet"/>
      </w:pPr>
      <w:r>
        <w:t>Insuffisance rénale : pas d'adaptation posologique (élimination principalement biliaire) — surveillance rénale (risque d'insuffisance rénale fonctionnelle par hypoperfusion).</w:t>
      </w:r>
    </w:p>
    <w:p>
      <w:pPr>
        <w:pStyle w:val="ListBullet"/>
      </w:pPr>
      <w:r>
        <w:t xml:space="preserve">Durée : </w:t>
      </w:r>
      <w:r>
        <w:rPr>
          <w:b/>
        </w:rPr>
        <w:t>traitement au long cours</w:t>
      </w:r>
      <w:r>
        <w:t xml:space="preserve"> (à vie ou jusqu'à transplantation pulmonaire) — ne jamais arrêter brutalement (risque de décompensation cardiaque droite).</w:t>
      </w:r>
    </w:p>
    <w:p>
      <w:pPr>
        <w:pStyle w:val="ListBullet"/>
      </w:pPr>
      <w:r>
        <w:t xml:space="preserve">Moment de prise : matin et soir à </w:t>
      </w:r>
      <w:r>
        <w:rPr>
          <w:b/>
        </w:rPr>
        <w:t>heure fixe</w:t>
      </w:r>
      <w:r>
        <w:t>, à distance des repas (en pratique, avant ou 2 h après les repas pour optimiser l'absorption, bien que l'effet alimentaire soit mineur).</w:t>
      </w:r>
    </w:p>
    <w:p>
      <w:r/>
      <w:r>
        <w:rPr>
          <w:b/>
        </w:rPr>
        <w:t>Arbitrage et Bénéfices des Formes Galéniques :</w:t>
      </w:r>
      <w:r/>
    </w:p>
    <w:p>
      <w:r>
        <w:t xml:space="preserve">Le bosentan est disponible uniquement en comprimés pelliculés à </w:t>
      </w:r>
      <w:r>
        <w:rPr>
          <w:b/>
        </w:rPr>
        <w:t>62,5 mg</w:t>
      </w:r>
      <w:r>
        <w:t xml:space="preserve"> (dose d'induction) et </w:t>
      </w:r>
      <w:r>
        <w:rPr>
          <w:b/>
        </w:rPr>
        <w:t>125 mg</w:t>
      </w:r>
      <w:r>
        <w:t xml:space="preserve"> (dose d'entretien). La forme </w:t>
      </w:r>
      <w:r>
        <w:rPr>
          <w:b/>
        </w:rPr>
        <w:t>pelliculée</w:t>
      </w:r>
      <w:r>
        <w:t xml:space="preserve"> facilite la déglutition et masque le goût. Les conditionnements en B/56 (princeps Tracleer® et Tracare®) ou B/60 (génériques Bosacleer®, Bosentas®, Eratan®, PMS-Bosentan) correspondent à 4 semaines de traitement (28 j × 2 cp/j = 56 cp ; 30 j × 2 = 60 cp). La disponibilité de </w:t>
      </w:r>
      <w:r>
        <w:rPr>
          <w:b/>
        </w:rPr>
        <w:t>6 marques</w:t>
      </w:r>
      <w:r>
        <w:t xml:space="preserve"> (1 princeps + 5 génériques) en Algérie est un gage de sécurité d'approvisionnement pour cette pathologie chronique orpheline — tout changement de marque doit être signalé au patient, mais la substitution est possible sans surveillance biologique supplémentaire (bioéquivalence démontrée).</w:t>
      </w:r>
    </w:p>
    <w:p>
      <w:r/>
      <w:r>
        <w:rPr>
          <w:b/>
        </w:rPr>
        <w:t>Instructions et Conseils au Patient :</w:t>
      </w:r>
      <w:r/>
    </w:p>
    <w:p>
      <w:pPr>
        <w:pStyle w:val="ListBullet"/>
      </w:pPr>
      <w:r>
        <w:t xml:space="preserve">Communication au comptoir : expliquer au patient le caractère </w:t>
      </w:r>
      <w:r>
        <w:rPr>
          <w:b/>
        </w:rPr>
        <w:t>chronique</w:t>
      </w:r>
      <w:r>
        <w:t xml:space="preserve"> du traitement HTAP, l'importance d'une </w:t>
      </w:r>
      <w:r>
        <w:rPr>
          <w:b/>
        </w:rPr>
        <w:t>observance stricte</w:t>
      </w:r>
      <w:r>
        <w:t xml:space="preserve"> (pas d'oubli, pas d'arrêt brutal), la nécessité d'une </w:t>
      </w:r>
      <w:r>
        <w:rPr>
          <w:b/>
        </w:rPr>
        <w:t>surveillance biologique mensuelle</w:t>
      </w:r>
      <w:r>
        <w:t xml:space="preserve"> (ALAT/ASAT) et trimestrielle (NFS), l'obligation d'une </w:t>
      </w:r>
      <w:r>
        <w:rPr>
          <w:b/>
        </w:rPr>
        <w:t>double contraception</w:t>
      </w:r>
      <w:r>
        <w:t xml:space="preserve"> chez la femme en âge de procréer, l'interdiction absolue de prise de dérivés nitrés (pas de trinitrine en cas de douleur thoracique — consulter en urgence le cardiologue), les signes d'alerte hépatique (ictère, urines foncées, selles décolorées, fatigue intense, nausées) et d'œdèmes (prise de poids rapide, gonflement des chevilles).</w:t>
      </w:r>
    </w:p>
    <w:p>
      <w:pPr>
        <w:pStyle w:val="ListBullet"/>
      </w:pPr>
      <w:r>
        <w:t xml:space="preserve">Mode d'utilisation pratique : prise matin et soir à heure fixe, à distance des repas ; en cas d'oubli d'une prise, ne pas doubler la dose suivante (la prendre si &lt; 4 h de retard, sinon l'ignorer et reprendre le rythme) ; tenir un </w:t>
      </w:r>
      <w:r>
        <w:rPr>
          <w:b/>
        </w:rPr>
        <w:t>journal de traitement</w:t>
      </w:r>
      <w:r>
        <w:t xml:space="preserve"> (prises, ALAT, weight, symptômes) ; ne jamais arrêter le traitement sans avis médical.</w:t>
      </w:r>
    </w:p>
    <w:p>
      <w:r/>
      <w:r>
        <w:rPr>
          <w:b/>
        </w:rPr>
        <w:t>Notes, Règles d'Or &amp; Pièges au Comptoir :</w:t>
      </w:r>
      <w:r/>
    </w:p>
    <w:p>
      <w:pPr>
        <w:pStyle w:val="ListBullet"/>
      </w:pPr>
      <w:r>
        <w:t xml:space="preserve">Piège classique : (i) oubli de la surveillance </w:t>
      </w:r>
      <w:r>
        <w:rPr>
          <w:b/>
        </w:rPr>
        <w:t>ALAT/ASAT mensuelle</w:t>
      </w:r>
      <w:r>
        <w:t xml:space="preserve"> → risque d'insuffisance hépatique ; (ii) prescription de </w:t>
      </w:r>
      <w:r>
        <w:rPr>
          <w:b/>
        </w:rPr>
        <w:t>contraceptifs hormonaux seuls</w:t>
      </w:r>
      <w:r>
        <w:t xml:space="preserve"> chez la femme en âge de procréer (sans méthode barrière complémentaire) → grossesse non prévue avec risque tératogène ; (iii) coprescription de </w:t>
      </w:r>
      <w:r>
        <w:rPr>
          <w:b/>
        </w:rPr>
        <w:t>ciclosporine</w:t>
      </w:r>
      <w:r>
        <w:t xml:space="preserve"> (CI absolue) ; (iv) coprescription de </w:t>
      </w:r>
      <w:r>
        <w:rPr>
          <w:b/>
        </w:rPr>
        <w:t>sildénafil</w:t>
      </w:r>
      <w:r>
        <w:t xml:space="preserve"> à dose standard non adaptée (baisse d'efficacité du sildénafil par induction CYP3A4 — adapter la dose) ; (v) oubli de l'</w:t>
      </w:r>
      <w:r>
        <w:rPr>
          <w:b/>
        </w:rPr>
        <w:t>arrêt 3 mois avant conception</w:t>
      </w:r>
      <w:r>
        <w:t xml:space="preserve"> projetée.</w:t>
      </w:r>
    </w:p>
    <w:p>
      <w:pPr>
        <w:pStyle w:val="ListBullet"/>
      </w:pPr>
      <w:r>
        <w:t>Règle de prise : 2 cp/j à heure fixe (matin et soir), à distance des repas.</w:t>
      </w:r>
    </w:p>
    <w:p>
      <w:pPr>
        <w:pStyle w:val="ListBullet"/>
      </w:pPr>
      <w:r>
        <w:t>Préparation et Conservation : pas de précaution particulière (température ambiante ≤ 25°C, à l'abri de l'humidité).</w:t>
      </w:r>
    </w:p>
    <w:p>
      <w:pPr>
        <w:pStyle w:val="ListBullet"/>
      </w:pPr>
      <w:r>
        <w:t xml:space="preserve">Piège du surdosage / Substitution : surdosage → hypotension sévère, hépatotoxicité aiguë, anémie — traitement symptomatique, surveillance hospitalière. Substitution entre les </w:t>
      </w:r>
      <w:r>
        <w:rPr>
          <w:b/>
        </w:rPr>
        <w:t>6 marques</w:t>
      </w:r>
      <w:r>
        <w:t xml:space="preserve"> algériennes (Tracleer, Bosacleer, Bosentas, Eratan, PMS-Bosentan, Tracare) possible sans surveillance biologique supplémentaire (bioéquivalence), mais à signaler au patient.</w:t>
      </w:r>
    </w:p>
    <w:p>
      <w:pPr>
        <w:pStyle w:val="Heading2"/>
      </w:pPr>
      <w:r>
        <w:t>6. Introduction à la sous-classe des inhibiteurs de la phosphodiestérase de type 5 (PDE5)</w:t>
      </w:r>
    </w:p>
    <w:p>
      <w:pPr>
        <w:pStyle w:val="Heading3"/>
      </w:pPr>
      <w:r>
        <w:t>La voie NO-sGC-GMPc et la PDE5</w:t>
      </w:r>
    </w:p>
    <w:p>
      <w:r>
        <w:t xml:space="preserve">Le </w:t>
      </w:r>
      <w:r>
        <w:rPr>
          <w:b/>
        </w:rPr>
        <w:t>monoxyde d'azote (NO)</w:t>
      </w:r>
      <w:r>
        <w:t xml:space="preserve"> est synthétisé à partir de la L-arginine par les </w:t>
      </w:r>
      <w:r>
        <w:rPr>
          <w:b/>
        </w:rPr>
        <w:t>NO-synthases</w:t>
      </w:r>
      <w:r>
        <w:t xml:space="preserve"> (NOS), dont l'isoforme endothéliale eNOS est exprimée dans les cellules endothéliales pulmonaires. Le NO diffuse vers les </w:t>
      </w:r>
      <w:r>
        <w:rPr>
          <w:b/>
        </w:rPr>
        <w:t>cellules musculaires lisses vasculaires pulmonaires (CML-VP)</w:t>
      </w:r>
      <w:r>
        <w:t xml:space="preserve"> où il active la </w:t>
      </w:r>
      <w:r>
        <w:rPr>
          <w:b/>
        </w:rPr>
        <w:t>guanylate cyclase soluble (sGC)</w:t>
      </w:r>
      <w:r>
        <w:t xml:space="preserve">, une hémoprotéine qui convertit le </w:t>
      </w:r>
      <w:r>
        <w:rPr>
          <w:b/>
        </w:rPr>
        <w:t>GTP en GMP cyclique (GMPc)</w:t>
      </w:r>
      <w:r>
        <w:t xml:space="preserve">. Le GMPc active la </w:t>
      </w:r>
      <w:r>
        <w:rPr>
          <w:b/>
        </w:rPr>
        <w:t>protéine kinase G (PKG)</w:t>
      </w:r>
      <w:r>
        <w:t xml:space="preserve"> qui phosphoryle de multiples cibles aboutissant à la </w:t>
      </w:r>
      <w:r>
        <w:rPr>
          <w:b/>
        </w:rPr>
        <w:t>relaxation des CML-VP</w:t>
      </w:r>
      <w:r>
        <w:t xml:space="preserve"> : (i) activation des canaux </w:t>
      </w:r>
      <w:r>
        <w:rPr>
          <w:b/>
        </w:rPr>
        <w:t>K+ sensibles au Ca²⁺ (BKCa)</w:t>
      </w:r>
      <w:r>
        <w:t xml:space="preserve"> → hyperpolarisation membranaire → fermeture des canaux Ca²⁺ voltage-dépendants ; (ii) phosphorylation de la </w:t>
      </w:r>
      <w:r>
        <w:rPr>
          <w:b/>
        </w:rPr>
        <w:t>phospholamban</w:t>
      </w:r>
      <w:r>
        <w:t xml:space="preserve"> → activation de la SERCA → reprise du Ca²⁺ sarcoplasmique ; (iii) inhibition de la </w:t>
      </w:r>
      <w:r>
        <w:rPr>
          <w:b/>
        </w:rPr>
        <w:t>MLCK</w:t>
      </w:r>
      <w:r>
        <w:t xml:space="preserve"> → déphosphorylation de la chaîne légère des myosines (MLC) ; (iv) activation de la </w:t>
      </w:r>
      <w:r>
        <w:rPr>
          <w:b/>
        </w:rPr>
        <w:t>myosine phosphatase (PP1c)</w:t>
      </w:r>
      <w:r>
        <w:t xml:space="preserve"> → déphosphorylation MLC. Le résultat net est une </w:t>
      </w:r>
      <w:r>
        <w:rPr>
          <w:b/>
        </w:rPr>
        <w:t>baisse du Ca²⁺ intracytosolique</w:t>
      </w:r>
      <w:r>
        <w:t xml:space="preserve"> et une </w:t>
      </w:r>
      <w:r>
        <w:rPr>
          <w:b/>
        </w:rPr>
        <w:t>relaxation</w:t>
      </w:r>
      <w:r>
        <w:t xml:space="preserve"> des CML-VP, donc une </w:t>
      </w:r>
      <w:r>
        <w:rPr>
          <w:b/>
        </w:rPr>
        <w:t>vasodilatation pulmonaire</w:t>
      </w:r>
      <w:r>
        <w:t>.</w:t>
      </w:r>
    </w:p>
    <w:p>
      <w:r>
        <w:t xml:space="preserve">Le </w:t>
      </w:r>
      <w:r>
        <w:rPr>
          <w:b/>
        </w:rPr>
        <w:t>GMPc</w:t>
      </w:r>
      <w:r>
        <w:t xml:space="preserve"> est dégradé par les </w:t>
      </w:r>
      <w:r>
        <w:rPr>
          <w:b/>
        </w:rPr>
        <w:t>phosphodiestérases (PDE)</w:t>
      </w:r>
      <w:r>
        <w:t xml:space="preserve">, dont la </w:t>
      </w:r>
      <w:r>
        <w:rPr>
          <w:b/>
        </w:rPr>
        <w:t>PDE5</w:t>
      </w:r>
      <w:r>
        <w:t xml:space="preserve"> est l'isoforme prédominante dans le poumon (et dans les corps caverneux). Les </w:t>
      </w:r>
      <w:r>
        <w:rPr>
          <w:b/>
        </w:rPr>
        <w:t>inhibiteurs de la PDE5</w:t>
      </w:r>
      <w:r>
        <w:t xml:space="preserve"> (sildénafil, tadalafil, ainsi que l'avanafil et le vardénafil non disponibles en Algérie) augmentent la concentration intracellulaire de GMPc en bloquant sa dégradation, potentialisant ainsi l'effet vasodilatateur du NO endogène. La </w:t>
      </w:r>
      <w:r>
        <w:rPr>
          <w:b/>
        </w:rPr>
        <w:t>sélectivité pulmonaire</w:t>
      </w:r>
      <w:r>
        <w:t xml:space="preserve"> des inhibiteurs de PDE5 est liée à la richesse de la vascularisation pulmonaire en PDE5 et à l'importance de la voie NO-sGC-GMPc dans le tonus vasculaire pulmonaire à l'état basal (contrairement à la circulation systémique où d'autres voies prédominent).</w:t>
      </w:r>
    </w:p>
    <w:p>
      <w:pPr>
        <w:pStyle w:val="Heading3"/>
      </w:pPr>
      <w:r>
        <w:t>Pharmacologie comparée du sildénafil et du tadalafil</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Caractéristique</w:t>
            </w:r>
          </w:p>
        </w:tc>
        <w:tc>
          <w:tcPr>
            <w:tcW w:type="dxa" w:w="3118"/>
          </w:tcPr>
          <w:p>
            <w:r>
              <w:rPr>
                <w:b/>
                <w:sz w:val="20"/>
              </w:rPr>
              <w:t>Sildénafil (Viagra®)</w:t>
            </w:r>
          </w:p>
        </w:tc>
        <w:tc>
          <w:tcPr>
            <w:tcW w:type="dxa" w:w="3118"/>
          </w:tcPr>
          <w:p>
            <w:r>
              <w:rPr>
                <w:b/>
                <w:sz w:val="20"/>
              </w:rPr>
              <w:t>Tadalafil (Cialis®)</w:t>
            </w:r>
          </w:p>
        </w:tc>
      </w:tr>
      <w:tr>
        <w:tc>
          <w:tcPr>
            <w:tcW w:type="dxa" w:w="3118"/>
          </w:tcPr>
          <w:p>
            <w:r>
              <w:rPr>
                <w:sz w:val="20"/>
              </w:rPr>
              <w:t>Biodisponibilité orale</w:t>
            </w:r>
          </w:p>
        </w:tc>
        <w:tc>
          <w:tcPr>
            <w:tcW w:type="dxa" w:w="3118"/>
          </w:tcPr>
          <w:p>
            <w:r>
              <w:rPr>
                <w:sz w:val="20"/>
              </w:rPr>
              <w:t>~40 %</w:t>
            </w:r>
          </w:p>
        </w:tc>
        <w:tc>
          <w:tcPr>
            <w:tcW w:type="dxa" w:w="3118"/>
          </w:tcPr>
          <w:p>
            <w:r>
              <w:rPr>
                <w:sz w:val="20"/>
              </w:rPr>
              <w:t>Variable, ~80 % après 5 mg/j</w:t>
            </w:r>
          </w:p>
        </w:tc>
      </w:tr>
      <w:tr>
        <w:tc>
          <w:tcPr>
            <w:tcW w:type="dxa" w:w="3118"/>
          </w:tcPr>
          <w:p>
            <w:r>
              <w:rPr>
                <w:sz w:val="20"/>
              </w:rPr>
              <w:t>Tmax</w:t>
            </w:r>
          </w:p>
        </w:tc>
        <w:tc>
          <w:tcPr>
            <w:tcW w:type="dxa" w:w="3118"/>
          </w:tcPr>
          <w:p>
            <w:r>
              <w:rPr>
                <w:sz w:val="20"/>
              </w:rPr>
              <w:t>30-120 min (médiane 60 min)</w:t>
            </w:r>
          </w:p>
        </w:tc>
        <w:tc>
          <w:tcPr>
            <w:tcW w:type="dxa" w:w="3118"/>
          </w:tcPr>
          <w:p>
            <w:r>
              <w:rPr>
                <w:sz w:val="20"/>
              </w:rPr>
              <w:t>30 min - 6 h (médiane 2 h)</w:t>
            </w:r>
          </w:p>
        </w:tc>
      </w:tr>
      <w:tr>
        <w:tc>
          <w:tcPr>
            <w:tcW w:type="dxa" w:w="3118"/>
          </w:tcPr>
          <w:p>
            <w:r>
              <w:rPr>
                <w:sz w:val="20"/>
              </w:rPr>
              <w:t>Effet alimentaire</w:t>
            </w:r>
          </w:p>
        </w:tc>
        <w:tc>
          <w:tcPr>
            <w:tcW w:type="dxa" w:w="3118"/>
          </w:tcPr>
          <w:p>
            <w:r>
              <w:rPr>
                <w:sz w:val="20"/>
              </w:rPr>
              <w:t>Légèrement retardé par repas riche en graisses</w:t>
            </w:r>
          </w:p>
        </w:tc>
        <w:tc>
          <w:tcPr>
            <w:tcW w:type="dxa" w:w="3118"/>
          </w:tcPr>
          <w:p>
            <w:r>
              <w:rPr>
                <w:sz w:val="20"/>
              </w:rPr>
              <w:t>Pas d'effet significatif</w:t>
            </w:r>
          </w:p>
        </w:tc>
      </w:tr>
      <w:tr>
        <w:tc>
          <w:tcPr>
            <w:tcW w:type="dxa" w:w="3118"/>
          </w:tcPr>
          <w:p>
            <w:r>
              <w:rPr>
                <w:sz w:val="20"/>
              </w:rPr>
              <w:t>Demi-vie d'élimination</w:t>
            </w:r>
          </w:p>
        </w:tc>
        <w:tc>
          <w:tcPr>
            <w:tcW w:type="dxa" w:w="3118"/>
          </w:tcPr>
          <w:p>
            <w:r>
              <w:rPr>
                <w:sz w:val="20"/>
              </w:rPr>
              <w:t>3-5 h</w:t>
            </w:r>
          </w:p>
        </w:tc>
        <w:tc>
          <w:tcPr>
            <w:tcW w:type="dxa" w:w="3118"/>
          </w:tcPr>
          <w:p>
            <w:r>
              <w:rPr>
                <w:sz w:val="20"/>
              </w:rPr>
              <w:t>17,5 h (permet schéma en 1 prise/j)</w:t>
            </w:r>
          </w:p>
        </w:tc>
      </w:tr>
      <w:tr>
        <w:tc>
          <w:tcPr>
            <w:tcW w:type="dxa" w:w="3118"/>
          </w:tcPr>
          <w:p>
            <w:r>
              <w:rPr>
                <w:sz w:val="20"/>
              </w:rPr>
              <w:t>Métabolisme</w:t>
            </w:r>
          </w:p>
        </w:tc>
        <w:tc>
          <w:tcPr>
            <w:tcW w:type="dxa" w:w="3118"/>
          </w:tcPr>
          <w:p>
            <w:r>
              <w:rPr>
                <w:sz w:val="20"/>
              </w:rPr>
              <w:t>CYP3A4 principal, CYP2C9 mineur</w:t>
            </w:r>
          </w:p>
        </w:tc>
        <w:tc>
          <w:tcPr>
            <w:tcW w:type="dxa" w:w="3118"/>
          </w:tcPr>
          <w:p>
            <w:r>
              <w:rPr>
                <w:sz w:val="20"/>
              </w:rPr>
              <w:t>CYP3A4 principal</w:t>
            </w:r>
          </w:p>
        </w:tc>
      </w:tr>
      <w:tr>
        <w:tc>
          <w:tcPr>
            <w:tcW w:type="dxa" w:w="3118"/>
          </w:tcPr>
          <w:p>
            <w:r>
              <w:rPr>
                <w:sz w:val="20"/>
              </w:rPr>
              <w:t>Posologie HTAP</w:t>
            </w:r>
          </w:p>
        </w:tc>
        <w:tc>
          <w:tcPr>
            <w:tcW w:type="dxa" w:w="3118"/>
          </w:tcPr>
          <w:p>
            <w:r>
              <w:rPr>
                <w:sz w:val="20"/>
              </w:rPr>
              <w:t>20 mg × 3/j</w:t>
            </w:r>
          </w:p>
        </w:tc>
        <w:tc>
          <w:tcPr>
            <w:tcW w:type="dxa" w:w="3118"/>
          </w:tcPr>
          <w:p>
            <w:r>
              <w:rPr>
                <w:sz w:val="20"/>
              </w:rPr>
              <w:t>40 mg/j (2 × 20 mg)</w:t>
            </w:r>
          </w:p>
        </w:tc>
      </w:tr>
      <w:tr>
        <w:tc>
          <w:tcPr>
            <w:tcW w:type="dxa" w:w="3118"/>
          </w:tcPr>
          <w:p>
            <w:r>
              <w:rPr>
                <w:sz w:val="20"/>
              </w:rPr>
              <w:t>Posologie DE</w:t>
            </w:r>
          </w:p>
        </w:tc>
        <w:tc>
          <w:tcPr>
            <w:tcW w:type="dxa" w:w="3118"/>
          </w:tcPr>
          <w:p>
            <w:r>
              <w:rPr>
                <w:sz w:val="20"/>
              </w:rPr>
              <w:t>50 mg à la demande (max 100 mg)</w:t>
            </w:r>
          </w:p>
        </w:tc>
        <w:tc>
          <w:tcPr>
            <w:tcW w:type="dxa" w:w="3118"/>
          </w:tcPr>
          <w:p>
            <w:r>
              <w:rPr>
                <w:sz w:val="20"/>
              </w:rPr>
              <w:t>10-20 mg à la demande ; 5 mg/j quotidien</w:t>
            </w:r>
          </w:p>
        </w:tc>
      </w:tr>
      <w:tr>
        <w:tc>
          <w:tcPr>
            <w:tcW w:type="dxa" w:w="3118"/>
          </w:tcPr>
          <w:p>
            <w:r>
              <w:rPr>
                <w:sz w:val="20"/>
              </w:rPr>
              <w:t>Effets indésirables communs</w:t>
            </w:r>
          </w:p>
        </w:tc>
        <w:tc>
          <w:tcPr>
            <w:tcW w:type="dxa" w:w="3118"/>
          </w:tcPr>
          <w:p>
            <w:r>
              <w:rPr>
                <w:sz w:val="20"/>
              </w:rPr>
              <w:t>Céphalées, flush, dyspepsie, rhinite, troubles visuels (vision bleutée)</w:t>
            </w:r>
          </w:p>
        </w:tc>
        <w:tc>
          <w:tcPr>
            <w:tcW w:type="dxa" w:w="3118"/>
          </w:tcPr>
          <w:p>
            <w:r>
              <w:rPr>
                <w:sz w:val="20"/>
              </w:rPr>
              <w:t>Céphalées, flush, dyspepsie, douleurs dorsales/myalgies</w:t>
            </w:r>
          </w:p>
        </w:tc>
      </w:tr>
      <w:tr>
        <w:tc>
          <w:tcPr>
            <w:tcW w:type="dxa" w:w="3118"/>
          </w:tcPr>
          <w:p>
            <w:r>
              <w:rPr>
                <w:sz w:val="20"/>
              </w:rPr>
              <w:t>CI absolue</w:t>
            </w:r>
          </w:p>
        </w:tc>
        <w:tc>
          <w:tcPr>
            <w:tcW w:type="dxa" w:w="3118"/>
          </w:tcPr>
          <w:p>
            <w:r>
              <w:rPr>
                <w:sz w:val="20"/>
              </w:rPr>
              <w:t>Dérivés nitrés (trinitrine, isosorbide, dinitrate d'isosorbide)</w:t>
            </w:r>
          </w:p>
        </w:tc>
        <w:tc>
          <w:tcPr>
            <w:tcW w:type="dxa" w:w="3118"/>
          </w:tcPr>
          <w:p>
            <w:r>
              <w:rPr>
                <w:sz w:val="20"/>
              </w:rPr>
              <w:t>Dérivés nitrés</w:t>
            </w:r>
          </w:p>
        </w:tc>
      </w:tr>
      <w:tr>
        <w:tc>
          <w:tcPr>
            <w:tcW w:type="dxa" w:w="3118"/>
          </w:tcPr>
          <w:p>
            <w:r>
              <w:rPr>
                <w:sz w:val="20"/>
              </w:rPr>
              <w:t>Interactions</w:t>
            </w:r>
          </w:p>
        </w:tc>
        <w:tc>
          <w:tcPr>
            <w:tcW w:type="dxa" w:w="3118"/>
          </w:tcPr>
          <w:p>
            <w:r>
              <w:rPr>
                <w:sz w:val="20"/>
              </w:rPr>
              <w:t>α-bloquants (hypotension), inhibiteurs CYP3A4 (ritonavir, kétoconazole), inducteurs CYP3A4 (rifampicine, bosentan)</w:t>
            </w:r>
          </w:p>
        </w:tc>
        <w:tc>
          <w:tcPr>
            <w:tcW w:type="dxa" w:w="3118"/>
          </w:tcPr>
          <w:p>
            <w:r>
              <w:rPr>
                <w:sz w:val="20"/>
              </w:rPr>
              <w:t>α-bloquants, inhibiteurs/inducteurs CYP3A4, bosentan (baisse des taux)</w:t>
            </w:r>
          </w:p>
        </w:tc>
      </w:tr>
    </w:tbl>
    <w:p/>
    <w:p>
      <w:pPr>
        <w:pStyle w:val="Heading3"/>
      </w:pPr>
      <w:r>
        <w:t>Particularités de l'indication HTAP</w:t>
      </w:r>
    </w:p>
    <w:p>
      <w:r>
        <w:t xml:space="preserve">Le </w:t>
      </w:r>
      <w:r>
        <w:rPr>
          <w:b/>
        </w:rPr>
        <w:t>sildénafil</w:t>
      </w:r>
      <w:r>
        <w:t xml:space="preserve"> a obtenu l'AMM européenne pour l'HTAP en 2005 (Revatio® 20 mg comprimé). En Algérie, le Revatio® n'est </w:t>
      </w:r>
      <w:r>
        <w:rPr>
          <w:b/>
        </w:rPr>
        <w:t>pas commercialisé</w:t>
      </w:r>
      <w:r>
        <w:t xml:space="preserve"> — les patients sont traités par 3 × comprimés de Viagra® 25 mg (ou 2 × 50 mg) en adaptation. Le </w:t>
      </w:r>
      <w:r>
        <w:rPr>
          <w:b/>
        </w:rPr>
        <w:t>tadalafil</w:t>
      </w:r>
      <w:r>
        <w:t xml:space="preserve"> a obtenu l'AMM européenne pour l'HTAP en 2008 (Adcirca® 20 mg comprimé). En Algérie, l'Adcirca® n'est pas commercialisé — les patients sont traités par 2 × comprimés de Cialis® 20 mg ou génériques à 20 mg.</w:t>
      </w:r>
    </w:p>
    <w:p>
      <w:r>
        <w:t xml:space="preserve">Le </w:t>
      </w:r>
      <w:r>
        <w:rPr>
          <w:b/>
        </w:rPr>
        <w:t>sildénafil</w:t>
      </w:r>
      <w:r>
        <w:t xml:space="preserve"> est indiqué dans l'</w:t>
      </w:r>
      <w:r>
        <w:rPr>
          <w:b/>
        </w:rPr>
        <w:t>HTAP de classe fonctionnelle OMS II-III</w:t>
      </w:r>
      <w:r>
        <w:t xml:space="preserve"> (étude SUPER-1 — Galie 2005 NEJM). Le </w:t>
      </w:r>
      <w:r>
        <w:rPr>
          <w:b/>
        </w:rPr>
        <w:t>tadalafil</w:t>
      </w:r>
      <w:r>
        <w:t xml:space="preserve"> est indiqué dans l'</w:t>
      </w:r>
      <w:r>
        <w:rPr>
          <w:b/>
        </w:rPr>
        <w:t>HTAP de classe fonctionnelle OMS II-IV</w:t>
      </w:r>
      <w:r>
        <w:t xml:space="preserve"> (étude PHIRST-1 — Galie 2009 Circulation), avec un effet plus prolongé (demi-vie 17,5 h) permettant une seule prise quotidienne — avantage majeur d'observance par rapport au sildénafil (3 prises/j). Les deux molécules peuvent être associées au bosentan (bithérapie ARE + PDE5 selon ESC/ERS 2022).</w:t>
      </w:r>
    </w:p>
    <w:p>
      <w:pPr>
        <w:pStyle w:val="Heading3"/>
      </w:pPr>
      <w:r>
        <w:t>Pièges majeurs</w:t>
      </w:r>
    </w:p>
    <w:p>
      <w:pPr>
        <w:pStyle w:val="ListBullet"/>
      </w:pPr>
      <w:r/>
      <w:r>
        <w:rPr>
          <w:b/>
        </w:rPr>
        <w:t>CI absolue avec les dérivés nitrés</w:t>
      </w:r>
      <w:r>
        <w:t xml:space="preserve"> (trinitrine, isosorbide, dinitrate d'isosorbide, nitroprussiate, molsidomine) — l'association potentialise massivement la voie NO-sGC-GMPc et expose à une </w:t>
      </w:r>
      <w:r>
        <w:rPr>
          <w:b/>
        </w:rPr>
        <w:t>hypotension artérielle sévère</w:t>
      </w:r>
      <w:r>
        <w:t xml:space="preserve">, voire létale. Le délai d'espacement : 24 h pour le sildénafil (demi-vie 4 h × 5-6 demi-vies), </w:t>
      </w:r>
      <w:r>
        <w:rPr>
          <w:b/>
        </w:rPr>
        <w:t>48 h pour le tadalafil</w:t>
      </w:r>
      <w:r>
        <w:t xml:space="preserve"> (demi-vie 17,5 h × 2-3 demi-vies). Cette CI doit être systématiquement recherchée avant dispensation, en particulier chez le patient âgé ou coronarien.</w:t>
      </w:r>
    </w:p>
    <w:p>
      <w:pPr>
        <w:pStyle w:val="ListBullet"/>
      </w:pPr>
      <w:r/>
      <w:r>
        <w:rPr>
          <w:b/>
        </w:rPr>
        <w:t>Cautérisation visuelle — Naion</w:t>
      </w:r>
      <w:r>
        <w:t xml:space="preserve"> : de très rares cas de </w:t>
      </w:r>
      <w:r>
        <w:rPr>
          <w:b/>
        </w:rPr>
        <w:t>neuropathie optique ischémique antérieure non artérielle (NAION)</w:t>
      </w:r>
      <w:r>
        <w:t xml:space="preserve"> ont été rapportés avec les inhibiteurs de PDE5, justifiant une consultation ophtalmologique urgente en cas de baisse brutale de l'acuité visuelle.</w:t>
      </w:r>
    </w:p>
    <w:p>
      <w:pPr>
        <w:pStyle w:val="ListBullet"/>
      </w:pPr>
      <w:r/>
      <w:r>
        <w:rPr>
          <w:b/>
        </w:rPr>
        <w:t>Bosentan + sildénafil/tadalafil</w:t>
      </w:r>
      <w:r>
        <w:t xml:space="preserve"> : le bosentan diminue les concentrations de sildénafil de 50 % (induction CYP3A4) et de tadalafil de 40 % — adaptation posologique nécessaire.</w:t>
      </w:r>
    </w:p>
    <w:p>
      <w:pPr>
        <w:pStyle w:val="ListBullet"/>
      </w:pPr>
      <w:r/>
      <w:r>
        <w:rPr>
          <w:b/>
        </w:rPr>
        <w:t>Dysfonction érectile vs HTAP</w:t>
      </w:r>
      <w:r>
        <w:t xml:space="preserve"> : la confusion d'indication est un risque majeur. Le patient traité pour HTAP suit un protocole hospitalier spécialisé ; le patient traité pour dysfonction érectile prend du sildénafil ou du tadalafil à la demande (ou 5 mg/j pour le tadalafil) — interrogation systématique sur l'indication au comptoir.</w:t>
      </w:r>
    </w:p>
    <w:p>
      <w:pPr>
        <w:pStyle w:val="Heading2"/>
      </w:pPr>
      <w:r>
        <w:t>7. Fiches DCI — Inhibiteurs de la PDE5</w:t>
      </w:r>
    </w:p>
    <w:p>
      <w:pPr>
        <w:pStyle w:val="Heading3"/>
      </w:pPr>
      <w:r>
        <w:t>5. DCI : Sildénafil (sous forme de citrate) (Viagra® et génériques)</w:t>
      </w:r>
    </w:p>
    <w:p>
      <w:r/>
      <w:r>
        <w:rPr>
          <w:b/>
        </w:rPr>
        <w:t>Liste des Catégories :</w:t>
      </w:r>
      <w:r>
        <w:t xml:space="preserve"> Inhibiteur de la phosphodiestérase de type 5 (PDE5) — HTAP et dysfonction érectile — Voie orale — Liste I.</w:t>
      </w:r>
    </w:p>
    <w:p>
      <w:r>
        <w:t xml:space="preserve">Le </w:t>
      </w:r>
      <w:r>
        <w:rPr>
          <w:b/>
        </w:rPr>
        <w:t>sildénafil</w:t>
      </w:r>
      <w:r>
        <w:t xml:space="preserve"> est administré par voie </w:t>
      </w:r>
      <w:r>
        <w:rPr>
          <w:b/>
        </w:rPr>
        <w:t>orale</w:t>
      </w:r>
      <w:r>
        <w:t xml:space="preserve"> (comprimés pelliculés à 50 mg et 100 mg pour l'indication dysfonction érectile ; pour l'indication HTAP, le dosage AMM est de 20 mg × 3/j sous le nom de Revatio® — non commercialisé en Algérie, prescription hors AMM à 3 × comprimés à 25 mg ou adaptation par fractionnement de comprimés à 50/100 mg). Sa biodisponibilité est d'environ 40 % (effet de premier passage hépatique important), son Tmax est de 30-120 minutes (médiane 60 min), et sa demi-vie d'élimination est de 3-5 h justifiant une administration </w:t>
      </w:r>
      <w:r>
        <w:rPr>
          <w:b/>
        </w:rPr>
        <w:t>triquotidienne</w:t>
      </w:r>
      <w:r>
        <w:t xml:space="preserve"> dans l'HTAP (8h-15h-22h par exemple). Le métabolisme est hépatique par le </w:t>
      </w:r>
      <w:r>
        <w:rPr>
          <w:b/>
        </w:rPr>
        <w:t>CYP3A4</w:t>
      </w:r>
      <w:r>
        <w:t xml:space="preserve"> principal (et CYP2C9 mineur), avec formation d'un métabolite actif (UK-103-320) ayant une activité similaire au composé parent. L'élimination est fécale (~80 %) et rénale (~13 %). Le sildénafil est une DCI à </w:t>
      </w:r>
      <w:r>
        <w:rPr>
          <w:b/>
        </w:rPr>
        <w:t>double indication</w:t>
      </w:r>
      <w:r>
        <w:t xml:space="preserve"> : dysfonction érectile (Viagra® et nombreux génériques algériens à 50 et 100 mg) et HTAP (Revatio® 20 mg — non disponible en Algérie en cette présentation).</w:t>
      </w:r>
    </w:p>
    <w:p>
      <w:r/>
      <w:r>
        <w:rPr>
          <w:b/>
        </w:rPr>
        <w:t>Médicaments disponibles en Algérie (Marques, Laboratoires, Formes et Dosages) :</w:t>
      </w:r>
      <w:r/>
    </w:p>
    <w:p>
      <w:pPr>
        <w:pStyle w:val="ListBullet"/>
      </w:pPr>
      <w:r/>
      <w:r>
        <w:rPr>
          <w:b/>
        </w:rPr>
        <w:t>APHRODIL</w:t>
      </w:r>
      <w:r>
        <w:t xml:space="preserve"> (DAR AL DAWA) — Comprimé pelliculé 50 mg (B/04) — Actif</w:t>
      </w:r>
    </w:p>
    <w:p>
      <w:pPr>
        <w:pStyle w:val="ListBullet"/>
      </w:pPr>
      <w:r/>
      <w:r>
        <w:rPr>
          <w:b/>
        </w:rPr>
        <w:t>CILAGRA</w:t>
      </w:r>
      <w:r>
        <w:t xml:space="preserve"> (EL KENDI INDUSTRIE DU MEDICAMENT) — Comprimé pelliculé 50 mg (B/02 et B/04) — Actif</w:t>
      </w:r>
    </w:p>
    <w:p>
      <w:pPr>
        <w:pStyle w:val="ListBullet"/>
      </w:pPr>
      <w:r/>
      <w:r>
        <w:rPr>
          <w:b/>
        </w:rPr>
        <w:t>ERECTA</w:t>
      </w:r>
      <w:r>
        <w:t xml:space="preserve"> (NOVAPHARM TRADING) — Comprimé pelliculé 50 mg (B/02 et B/08) ; Comprimé pelliculé 100 mg (B/04) — Actif</w:t>
      </w:r>
    </w:p>
    <w:p>
      <w:pPr>
        <w:pStyle w:val="ListBullet"/>
      </w:pPr>
      <w:r/>
      <w:r>
        <w:rPr>
          <w:b/>
        </w:rPr>
        <w:t>FORCE MEN</w:t>
      </w:r>
      <w:r>
        <w:t xml:space="preserve"> (GEOPHARM) — Comprimé pelliculé 50 mg (B/01, B/04, B/08) ; Comprimé pelliculé 100 mg (B/01 et B/04) — Actif</w:t>
      </w:r>
    </w:p>
    <w:p>
      <w:pPr>
        <w:pStyle w:val="ListBullet"/>
      </w:pPr>
      <w:r/>
      <w:r>
        <w:rPr>
          <w:b/>
        </w:rPr>
        <w:t>HEXOR</w:t>
      </w:r>
      <w:r>
        <w:t xml:space="preserve"> (BIOPHARM) — Comprimé enrobé 50 mg (B/02) — Actif</w:t>
      </w:r>
    </w:p>
    <w:p>
      <w:pPr>
        <w:pStyle w:val="ListBullet"/>
      </w:pPr>
      <w:r/>
      <w:r>
        <w:rPr>
          <w:b/>
        </w:rPr>
        <w:t>INAGRA</w:t>
      </w:r>
      <w:r>
        <w:t xml:space="preserve"> (ABDI IBRAHIM REMEDE PHARMA) — Comprimé pelliculé 50 mg (B/02 et B/10) — Actif</w:t>
      </w:r>
    </w:p>
    <w:p>
      <w:pPr>
        <w:pStyle w:val="ListBullet"/>
      </w:pPr>
      <w:r/>
      <w:r>
        <w:rPr>
          <w:b/>
        </w:rPr>
        <w:t>SILDEFAL</w:t>
      </w:r>
      <w:r>
        <w:t xml:space="preserve"> (SOCIETE PHARMACEUTIQUE ALGERIENNE SOPHAL) — Comprimé pelliculé 50 mg (B/01 et B/03) — Actif</w:t>
      </w:r>
    </w:p>
    <w:p>
      <w:pPr>
        <w:pStyle w:val="ListBullet"/>
      </w:pPr>
      <w:r/>
      <w:r>
        <w:rPr>
          <w:b/>
        </w:rPr>
        <w:t>SILVEGRA</w:t>
      </w:r>
      <w:r>
        <w:t xml:space="preserve"> (NEOMEDIC) — Microgranule en gélule 50 mg (B/03 et B/07) — Actif</w:t>
      </w:r>
    </w:p>
    <w:p>
      <w:pPr>
        <w:pStyle w:val="ListBullet"/>
      </w:pPr>
      <w:r/>
      <w:r>
        <w:rPr>
          <w:b/>
        </w:rPr>
        <w:t>VIABEK</w:t>
      </w:r>
      <w:r>
        <w:t xml:space="preserve"> (LABORATOIRES BEKER) — Comprimé pelliculé sécable 50 mg (B/02 et B/08) ; Comprimé pelliculé 100 mg (B/04) — Actif</w:t>
      </w:r>
    </w:p>
    <w:p>
      <w:pPr>
        <w:pStyle w:val="ListBullet"/>
      </w:pPr>
      <w:r/>
      <w:r>
        <w:rPr>
          <w:b/>
        </w:rPr>
        <w:t>VIACTAL</w:t>
      </w:r>
      <w:r>
        <w:t xml:space="preserve"> (GROUPE SAIDAL) — Comprimé sécable 50 mg (B/02 et B/08) — Actif</w:t>
      </w:r>
    </w:p>
    <w:p>
      <w:pPr>
        <w:pStyle w:val="ListBullet"/>
      </w:pPr>
      <w:r/>
      <w:r>
        <w:rPr>
          <w:b/>
        </w:rPr>
        <w:t>VIADIS</w:t>
      </w:r>
      <w:r>
        <w:t xml:space="preserve"> (INPHA-MEDIS) — Comprimé pelliculé 50 mg (B/02 et B/04) — Actif</w:t>
      </w:r>
    </w:p>
    <w:p>
      <w:pPr>
        <w:pStyle w:val="ListBullet"/>
      </w:pPr>
      <w:r/>
      <w:r>
        <w:rPr>
          <w:b/>
        </w:rPr>
        <w:t>VIAFIL</w:t>
      </w:r>
      <w:r>
        <w:t xml:space="preserve"> (SARL GROUPE SANTE) — Comprimé pelliculé 50 mg (B/10) — Actif</w:t>
      </w:r>
    </w:p>
    <w:p>
      <w:pPr>
        <w:pStyle w:val="ListBullet"/>
      </w:pPr>
      <w:r/>
      <w:r>
        <w:rPr>
          <w:b/>
        </w:rPr>
        <w:t>VIAFIL</w:t>
      </w:r>
      <w:r>
        <w:t xml:space="preserve"> (SARL WAHRAN PHARMA) — Comprimé pelliculé 50 mg (B/04) — Actif</w:t>
      </w:r>
    </w:p>
    <w:p>
      <w:pPr>
        <w:pStyle w:val="ListBullet"/>
      </w:pPr>
      <w:r/>
      <w:r>
        <w:rPr>
          <w:b/>
        </w:rPr>
        <w:t>VIAGNAFIL</w:t>
      </w:r>
      <w:r>
        <w:t xml:space="preserve"> (HUPP PHARMA) — Comprimé pelliculé 50 mg (B/02 et B/04) — Actif</w:t>
      </w:r>
    </w:p>
    <w:p>
      <w:pPr>
        <w:pStyle w:val="ListBullet"/>
      </w:pPr>
      <w:r/>
      <w:r>
        <w:rPr>
          <w:b/>
        </w:rPr>
        <w:t>VIAGRA</w:t>
      </w:r>
      <w:r>
        <w:t xml:space="preserve"> (UPJOHN SAIDAL PHARMA — princeps) — Comprimé pelliculé 50 mg (B/02) ; Comprimé pelliculé 100 mg (B/02) — Actif</w:t>
      </w:r>
    </w:p>
    <w:p>
      <w:pPr>
        <w:pStyle w:val="ListBullet"/>
      </w:pPr>
      <w:r/>
      <w:r>
        <w:rPr>
          <w:b/>
        </w:rPr>
        <w:t>VIANAFIL</w:t>
      </w:r>
      <w:r>
        <w:t xml:space="preserve"> (PHARMALLIANCE) — Comprimé pelliculé 50 mg (B/04) ; Comprimé pelliculé 100 mg (B/04) — Actif</w:t>
      </w:r>
    </w:p>
    <w:p>
      <w:pPr>
        <w:pStyle w:val="ListBullet"/>
      </w:pPr>
      <w:r/>
      <w:r>
        <w:rPr>
          <w:b/>
        </w:rPr>
        <w:t>VIAREC</w:t>
      </w:r>
      <w:r>
        <w:t xml:space="preserve"> (LAD PHARMA) — Comprimé pelliculé 50 mg (B/04) ; Comprimé pelliculé 100 mg (B/04) — Actif</w:t>
      </w:r>
    </w:p>
    <w:p>
      <w:pPr>
        <w:pStyle w:val="ListBullet"/>
      </w:pPr>
      <w:r/>
      <w:r>
        <w:rPr>
          <w:b/>
        </w:rPr>
        <w:t>VIRILOME</w:t>
      </w:r>
      <w:r>
        <w:t xml:space="preserve"> (LABORATOIRES MM) — Comprimé pelliculé 50 mg (B/02 et B/10) — Actif</w:t>
      </w:r>
    </w:p>
    <w:p>
      <w:pPr>
        <w:pStyle w:val="ListBullet"/>
      </w:pPr>
      <w:r/>
      <w:r>
        <w:rPr>
          <w:b/>
        </w:rPr>
        <w:t>VYACTIR</w:t>
      </w:r>
      <w:r>
        <w:t xml:space="preserve"> (LABORATOIRES SAPHARM PRODUCTION/SARL) — Comprimé 50 mg (B/10) — Actif</w:t>
      </w:r>
    </w:p>
    <w:p>
      <w:pPr>
        <w:pStyle w:val="ListBullet"/>
      </w:pPr>
      <w:r/>
      <w:r>
        <w:rPr>
          <w:b/>
        </w:rPr>
        <w:t>SILDAN 50</w:t>
      </w:r>
      <w:r>
        <w:t xml:space="preserve"> (TASSILI ARAB PHARMACEUTICAL CO) — Comprimé orodispersible 50 mg (Boîte de 04) — Actif</w:t>
      </w:r>
    </w:p>
    <w:p>
      <w:pPr>
        <w:pStyle w:val="ListBullet"/>
      </w:pPr>
      <w:r/>
      <w:r>
        <w:rPr>
          <w:b/>
        </w:rPr>
        <w:t>VEGA 50</w:t>
      </w:r>
      <w:r>
        <w:t xml:space="preserve"> (SANAMED) — Comprimé pelliculé 50 mg (B/04) — </w:t>
      </w:r>
      <w:r>
        <w:rPr>
          <w:b/>
        </w:rPr>
        <w:t>Retiré (R)</w:t>
      </w:r>
      <w:r/>
    </w:p>
    <w:p>
      <w:r/>
      <w:r>
        <w:rPr>
          <w:b/>
        </w:rPr>
        <w:t>Sous-classe et Mécanisme d'action :</w:t>
      </w:r>
      <w:r/>
    </w:p>
    <w:p>
      <w:pPr>
        <w:pStyle w:val="ListBullet"/>
      </w:pPr>
      <w:r>
        <w:t xml:space="preserve">Sous-classe : Inhibiteur </w:t>
      </w:r>
      <w:r>
        <w:rPr>
          <w:b/>
        </w:rPr>
        <w:t>sélectif et compétitif</w:t>
      </w:r>
      <w:r>
        <w:t xml:space="preserve"> de la </w:t>
      </w:r>
      <w:r>
        <w:rPr>
          <w:b/>
        </w:rPr>
        <w:t>phosphodiestérase de type 5 (PDE5)</w:t>
      </w:r>
      <w:r>
        <w:t xml:space="preserve"> — enzyme responsable de la dégradation du </w:t>
      </w:r>
      <w:r>
        <w:rPr>
          <w:b/>
        </w:rPr>
        <w:t>GMP cyclique (GMPc)</w:t>
      </w:r>
      <w:r>
        <w:t xml:space="preserve"> dans les CML-VP (et les cellules musculaires lisses des corps caverneux). DCI à double indication : dysfonction érectile (50-100 mg à la demande) et HTAP (20 mg × 3/j — Revatio® non commercialisé en Algérie).</w:t>
      </w:r>
    </w:p>
    <w:p>
      <w:pPr>
        <w:pStyle w:val="ListBullet"/>
      </w:pPr>
      <w:r>
        <w:t xml:space="preserve">Mécanisme d'action : le sildénafil inhibe la PDE5 (IC50 ~ 3-5 nM), ce qui augmente la concentration intracellulaire de </w:t>
      </w:r>
      <w:r>
        <w:rPr>
          <w:b/>
        </w:rPr>
        <w:t>GMPc</w:t>
      </w:r>
      <w:r>
        <w:t xml:space="preserve"> dans les CML-VP en bloquant sa dégradation en 5'-GMP. Laugmentation du GMPc active la </w:t>
      </w:r>
      <w:r>
        <w:rPr>
          <w:b/>
        </w:rPr>
        <w:t>PKG</w:t>
      </w:r>
      <w:r>
        <w:t xml:space="preserve"> qui médie la relaxation des CML-VP via : (i) phosphorylation de la phospholamban → activation de la SERCA → reprise du Ca²⁺ sarcoplasmique ; (ii) activation des canaux </w:t>
      </w:r>
      <w:r>
        <w:rPr>
          <w:b/>
        </w:rPr>
        <w:t>BKCa</w:t>
      </w:r>
      <w:r>
        <w:t xml:space="preserve"> → hyperpolarisation membranaire → fermeture des canaux Ca²⁺ voltage-dépendants ; (iii) inhibition de la </w:t>
      </w:r>
      <w:r>
        <w:rPr>
          <w:b/>
        </w:rPr>
        <w:t>MLCK</w:t>
      </w:r>
      <w:r>
        <w:t xml:space="preserve"> → déphosphorylation de la MLC ; (iv) activation de la </w:t>
      </w:r>
      <w:r>
        <w:rPr>
          <w:b/>
        </w:rPr>
        <w:t>myosine phosphatase (PP1c)</w:t>
      </w:r>
      <w:r>
        <w:t xml:space="preserve"> → déphosphorylation MLC. Le résultat net est une </w:t>
      </w:r>
      <w:r>
        <w:rPr>
          <w:b/>
        </w:rPr>
        <w:t>vasodilatation pulmonaire sélective</w:t>
      </w:r>
      <w:r>
        <w:t xml:space="preserve"> (baisse des résistances vasculaires pulmonaires, augmentation du débit cardiaque) et une </w:t>
      </w:r>
      <w:r>
        <w:rPr>
          <w:b/>
        </w:rPr>
        <w:t>vasodilatation systémique</w:t>
      </w:r>
      <w:r>
        <w:t xml:space="preserve"> modérée (céphalées, flush, hypotension modérée). Dans les corps caverneux, l'effet est identique : relaxation des CML caverneuses → augmentation du flux artériel et remplissage des espaces sinusoïdes → érection (en présence de stimulation sexuelle qui déclenche la libération de NO par les terminaisons nerveuses non-adrénergiques non-cholinergiques NANC).</w:t>
      </w:r>
    </w:p>
    <w:p>
      <w:r/>
      <w:r>
        <w:rPr>
          <w:b/>
        </w:rPr>
        <w:t>Profil Pharmacologique :</w:t>
      </w:r>
      <w:r/>
    </w:p>
    <w:p>
      <w:pPr>
        <w:pStyle w:val="ListBullet"/>
      </w:pPr>
      <w:r>
        <w:t xml:space="preserve">Indications : (i) </w:t>
      </w:r>
      <w:r>
        <w:rPr>
          <w:b/>
        </w:rPr>
        <w:t>Dysfonction érectile</w:t>
      </w:r>
      <w:r>
        <w:t xml:space="preserve"> (DE) chez l'homme adulte — 50 mg à la demande, ajustable à 25 mg ou 100 mg, prise 1 h avant l'activité sexuelle, 1 prise maximale par 24 h ; (ii) </w:t>
      </w:r>
      <w:r>
        <w:rPr>
          <w:b/>
        </w:rPr>
        <w:t>HTAP de classe fonctionnelle OMS II-III</w:t>
      </w:r>
      <w:r>
        <w:t xml:space="preserve"> en monothérapie ou en association (avec un ARE) — 20 mg × 3/j (Revatio®) ; en Algérie, prescription hors AMM avec Viagra® ou génériques 25-50 mg (3 prises/j). Chez l'enfant (1-17 ans) : HTAP pédiatrique (Revatio® — adapté au poids).</w:t>
      </w:r>
    </w:p>
    <w:p>
      <w:pPr>
        <w:pStyle w:val="ListBullet"/>
      </w:pPr>
      <w:r>
        <w:t xml:space="preserve">Contre-indications : </w:t>
      </w:r>
      <w:r>
        <w:rPr>
          <w:b/>
        </w:rPr>
        <w:t>CI absolue avec les dérivés nitrés</w:t>
      </w:r>
      <w:r>
        <w:t xml:space="preserve"> (trinitrine, isosorbide, dinitrate d'isosorbide, molsidomine, nitroprussiate, ténoxicam) — espacer de 24 h après la dernière prise de sildénafil et </w:t>
      </w:r>
      <w:r>
        <w:rPr>
          <w:b/>
        </w:rPr>
        <w:t>jamais dans les 24 h suivant</w:t>
      </w:r>
      <w:r>
        <w:t xml:space="preserve"> ; </w:t>
      </w:r>
      <w:r>
        <w:rPr>
          <w:b/>
        </w:rPr>
        <w:t>CI absolue avec les donateurs de NO</w:t>
      </w:r>
      <w:r>
        <w:t xml:space="preserve"> (nitrite d'amyle — « poppers ») ; hypersensibilité ; infarctus du myocarde récent (&lt; 90 j), AVC récent (&lt; 6 mois), insuffisance hépatique sévère, hypotension (&lt; 90/50 mmHg), hypertension non contrôlée (&gt; 170/100), antécédent de perte de vision par </w:t>
      </w:r>
      <w:r>
        <w:rPr>
          <w:b/>
        </w:rPr>
        <w:t>NAION</w:t>
      </w:r>
      <w:r>
        <w:t xml:space="preserve"> ; rétinite pigmentaire (risque majoré de NAION) ; instabilité cardiovasculaire.</w:t>
      </w:r>
    </w:p>
    <w:p>
      <w:pPr>
        <w:pStyle w:val="ListBullet"/>
      </w:pPr>
      <w:r>
        <w:t xml:space="preserve">Effets Indésirables : </w:t>
      </w:r>
      <w:r>
        <w:rPr>
          <w:b/>
        </w:rPr>
        <w:t>céphalées</w:t>
      </w:r>
      <w:r>
        <w:t xml:space="preserve"> (11-16 %), </w:t>
      </w:r>
      <w:r>
        <w:rPr>
          <w:b/>
        </w:rPr>
        <w:t>flush</w:t>
      </w:r>
      <w:r>
        <w:t xml:space="preserve"> (10-12 %), </w:t>
      </w:r>
      <w:r>
        <w:rPr>
          <w:b/>
        </w:rPr>
        <w:t>dyspepsie</w:t>
      </w:r>
      <w:r>
        <w:t xml:space="preserve"> (5-7 %), </w:t>
      </w:r>
      <w:r>
        <w:rPr>
          <w:b/>
        </w:rPr>
        <w:t>rhinite</w:t>
      </w:r>
      <w:r>
        <w:t xml:space="preserve"> / congestion nasale (4 %), </w:t>
      </w:r>
      <w:r>
        <w:rPr>
          <w:b/>
        </w:rPr>
        <w:t>troubles visuels</w:t>
      </w:r>
      <w:r>
        <w:t xml:space="preserve"> — vision bleutée (cyanopsie), sensibilité accrue à la lumière, vision floue (3-11 %, liée à l'inhibition de la </w:t>
      </w:r>
      <w:r>
        <w:rPr>
          <w:b/>
        </w:rPr>
        <w:t>PDE6</w:t>
      </w:r>
      <w:r>
        <w:t xml:space="preserve"> rétinienne — le sildénafil a une affinité 10 fois moindre pour la PDE6 que pour la PDE5, ce qui explique le faible taux mais la spécificité visuelle) ; </w:t>
      </w:r>
      <w:r>
        <w:rPr>
          <w:b/>
        </w:rPr>
        <w:t>myalgies</w:t>
      </w:r>
      <w:r>
        <w:t xml:space="preserve">, </w:t>
      </w:r>
      <w:r>
        <w:rPr>
          <w:b/>
        </w:rPr>
        <w:t>douleurs dorsales</w:t>
      </w:r>
      <w:r>
        <w:t xml:space="preserve"> (rares) ; </w:t>
      </w:r>
      <w:r>
        <w:rPr>
          <w:b/>
        </w:rPr>
        <w:t>hypotension</w:t>
      </w:r>
      <w:r>
        <w:t xml:space="preserve"> modérée ; </w:t>
      </w:r>
      <w:r>
        <w:rPr>
          <w:b/>
        </w:rPr>
        <w:t>priapisme</w:t>
      </w:r>
      <w:r>
        <w:t xml:space="preserve"> (érection &gt; 4 h — urgence médicale) ; très rarement </w:t>
      </w:r>
      <w:r>
        <w:rPr>
          <w:b/>
        </w:rPr>
        <w:t>NAION</w:t>
      </w:r>
      <w:r>
        <w:t xml:space="preserve"> (neuropathie optique ischémique antérieure non artérielle — baisse brutale de l'acuité visuelle), </w:t>
      </w:r>
      <w:r>
        <w:rPr>
          <w:b/>
        </w:rPr>
        <w:t>surdité brutale</w:t>
      </w:r>
      <w:r>
        <w:t xml:space="preserve"> (par ischémie cochléaire).</w:t>
      </w:r>
    </w:p>
    <w:p>
      <w:r/>
      <w:r>
        <w:rPr>
          <w:b/>
        </w:rPr>
        <w:t>Prévention et Gestion des Effets Indésirables :</w:t>
      </w:r>
      <w:r/>
    </w:p>
    <w:p>
      <w:pPr>
        <w:pStyle w:val="ListBullet"/>
      </w:pPr>
      <w:r>
        <w:t>Mesures Préventives : interrogation systématique sur les traitements associés (dérivés nitrés, α-bloquants) avant dispensation ; chez le patient coronarien, évaluation cardiologique pré-thérapeutique (test d'effort si risque élevé) ; chez le patient âgé, dose initiale réduite (25 mg en DE) ; surveillance TA après la première prise ; information patient sur les signes d'alerte visuels (baisse brutale de l'acuité visuelle → arrêt + consultation ophtalmologique urgente), priapisme (érection &gt; 4 h → urgences urologiques), douleurs thoraciques (ne jamais prendre de trinitrine dans les 24 h → consulter urgences en précisant la prise de sildénafil).</w:t>
      </w:r>
    </w:p>
    <w:p>
      <w:pPr>
        <w:pStyle w:val="ListBullet"/>
      </w:pPr>
      <w:r>
        <w:t>Conduite à Tenir : en cas d'</w:t>
      </w:r>
      <w:r>
        <w:rPr>
          <w:b/>
        </w:rPr>
        <w:t>hypotension</w:t>
      </w:r>
      <w:r>
        <w:t xml:space="preserve"> après prise : allongement, surélévation des jambes, remplissage vasculaire ; en cas de priapisme &gt; 4 h : urgences urologiques (aspiration + injection intracaverneuse d'étiléfrine ou phényléphrine) ; en cas de NAION : arrêt définitif, consultation ophtalmologique urgente ; en cas de surdosage massif : traitement symptomatique, hémodialyse inefficace (liaison protéique élevée).</w:t>
      </w:r>
    </w:p>
    <w:p>
      <w:r/>
      <w:r>
        <w:rPr>
          <w:b/>
        </w:rPr>
        <w:t>Interactions Importantes :</w:t>
      </w:r>
      <w:r/>
    </w:p>
    <w:p>
      <w:pPr>
        <w:pStyle w:val="ListBullet"/>
      </w:pPr>
      <w:r/>
      <w:r>
        <w:rPr>
          <w:b/>
        </w:rPr>
        <w:t>Sildénafil + dérivés nitrés (trinitrine, isosorbide, dinitrate d'isosorbide)</w:t>
      </w:r>
      <w:r>
        <w:t xml:space="preserve"> : </w:t>
      </w:r>
      <w:r>
        <w:rPr>
          <w:b/>
        </w:rPr>
        <w:t>CI absolue</w:t>
      </w:r>
      <w:r>
        <w:t xml:space="preserve"> — potentialisation massive de la voie NO-sGC-GMPc → </w:t>
      </w:r>
      <w:r>
        <w:rPr>
          <w:b/>
        </w:rPr>
        <w:t>hypotension artérielle sévère, potentiellement létale</w:t>
      </w:r>
      <w:r>
        <w:t xml:space="preserve">. Le patient porteur de trinitrine en cas de douleur thoracique doit être informé : </w:t>
      </w:r>
      <w:r>
        <w:rPr>
          <w:b/>
        </w:rPr>
        <w:t>ne jamais prendre de trinitrine dans les 24 h suivant la prise de sildénafil</w:t>
      </w:r>
      <w:r>
        <w:t>, consulter les urgences en précisant la prise récente.</w:t>
      </w:r>
    </w:p>
    <w:p>
      <w:pPr>
        <w:pStyle w:val="ListBullet"/>
      </w:pPr>
      <w:r/>
      <w:r>
        <w:rPr>
          <w:b/>
        </w:rPr>
        <w:t>Sildénafil + donateur de NO (nitrite d'amyle — "poppers")</w:t>
      </w:r>
      <w:r>
        <w:t xml:space="preserve"> : </w:t>
      </w:r>
      <w:r>
        <w:rPr>
          <w:b/>
        </w:rPr>
        <w:t>CI absolue</w:t>
      </w:r>
      <w:r>
        <w:t xml:space="preserve"> — même mécanisme.</w:t>
      </w:r>
    </w:p>
    <w:p>
      <w:pPr>
        <w:pStyle w:val="ListBullet"/>
      </w:pPr>
      <w:r/>
      <w:r>
        <w:rPr>
          <w:b/>
        </w:rPr>
        <w:t>Sildénafil + α-bloquants (doxazosine, tamsulosine, alfuzosine)</w:t>
      </w:r>
      <w:r>
        <w:t xml:space="preserve"> : risque d'</w:t>
      </w:r>
      <w:r>
        <w:rPr>
          <w:b/>
        </w:rPr>
        <w:t>hypotension orthostatique</w:t>
      </w:r>
      <w:r>
        <w:t xml:space="preserve"> — débuter la doxazosine à dose minimale, espacer la prise de sildénafil d'au moins 4 h de l'α-bloquant, surveillance TA.</w:t>
      </w:r>
    </w:p>
    <w:p>
      <w:pPr>
        <w:pStyle w:val="ListBullet"/>
      </w:pPr>
      <w:r/>
      <w:r>
        <w:rPr>
          <w:b/>
        </w:rPr>
        <w:t>Sildénafil + bosentan</w:t>
      </w:r>
      <w:r>
        <w:t xml:space="preserve"> : le bosentan diminue les concentrations de sildénafil de ~50 % (induction CYP3A4) — surveillance clinique, adaptation posologique (augmentation éventuelle du sildénafil).</w:t>
      </w:r>
    </w:p>
    <w:p>
      <w:pPr>
        <w:pStyle w:val="ListBullet"/>
      </w:pPr>
      <w:r/>
      <w:r>
        <w:rPr>
          <w:b/>
        </w:rPr>
        <w:t>Sildénafil + inhibiteurs puissants du CYP3A4 (ritonavir, saquinavir, indinavir, kétoconazole, itraconazole, clarithromycine, érythromycine)</w:t>
      </w:r>
      <w:r>
        <w:t xml:space="preserve"> : augmentation majeure des concentrations de sildénafil (jusqu'à ×4 avec le ritonavir) — débuter à 25 mg, surveillance.</w:t>
      </w:r>
    </w:p>
    <w:p>
      <w:pPr>
        <w:pStyle w:val="ListBullet"/>
      </w:pPr>
      <w:r/>
      <w:r>
        <w:rPr>
          <w:b/>
        </w:rPr>
        <w:t>Sildénafil + inducteurs du CYP3A4 (rifampicine, phénytoïne, carbamazépine, phenobarbital, millepertuis)</w:t>
      </w:r>
      <w:r>
        <w:t xml:space="preserve"> : baisse de l'efficacité du sildénafil.</w:t>
      </w:r>
    </w:p>
    <w:p>
      <w:pPr>
        <w:pStyle w:val="ListBullet"/>
      </w:pPr>
      <w:r/>
      <w:r>
        <w:rPr>
          <w:b/>
        </w:rPr>
        <w:t>Sildénafil + alcool</w:t>
      </w:r>
      <w:r>
        <w:t xml:space="preserve"> : majoration de l'hypotension et de la sédation — limiter l'alcool.</w:t>
      </w:r>
    </w:p>
    <w:p>
      <w:r/>
      <w:r>
        <w:rPr>
          <w:b/>
        </w:rPr>
        <w:t>Grossesse et Allaitement :</w:t>
      </w:r>
      <w:r/>
    </w:p>
    <w:p>
      <w:pPr>
        <w:pStyle w:val="ListBullet"/>
      </w:pPr>
      <w:r>
        <w:t xml:space="preserve">Grossesse : selon le CRAT, le sildénafil </w:t>
      </w:r>
      <w:r>
        <w:rPr>
          <w:b/>
        </w:rPr>
        <w:t>peut être prescrit</w:t>
      </w:r>
      <w:r>
        <w:t xml:space="preserve"> pendant la grossesse dans l'indication HTAP si nécessaire (bénéfice &gt; risque) — données limitées mais rassurantes dans la littérature (utilisation rapportée dans l'HTAP gravidique avec tolérance acceptable). À noter que le sildénafil est également étudié dans l'</w:t>
      </w:r>
      <w:r>
        <w:rPr>
          <w:b/>
        </w:rPr>
        <w:t>HTAP persistante du nouveau-né</w:t>
      </w:r>
      <w:r>
        <w:t xml:space="preserve"> (off-label) et dans le </w:t>
      </w:r>
      <w:r>
        <w:rPr>
          <w:b/>
        </w:rPr>
        <w:t>retard de croissance intra-utérin (RCIU) pré-éclampsie</w:t>
      </w:r>
      <w:r>
        <w:t xml:space="preserve"> (essais cliniques — résultats mitigés).</w:t>
      </w:r>
    </w:p>
    <w:p>
      <w:pPr>
        <w:pStyle w:val="ListBullet"/>
      </w:pPr>
      <w:r>
        <w:t xml:space="preserve">Allaitement : selon le CRAT, </w:t>
      </w:r>
      <w:r>
        <w:rPr>
          <w:b/>
        </w:rPr>
        <w:t>à éviter par prudence</w:t>
      </w:r>
      <w:r>
        <w:t xml:space="preserve"> (données pharmacocinétiques limitées sur le passage dans le lait maternel ; le sildénafil est excrété dans le lait animal à concentrations non négligeables).</w:t>
      </w:r>
    </w:p>
    <w:p>
      <w:pPr>
        <w:pStyle w:val="ListBullet"/>
      </w:pPr>
      <w:r>
        <w:t xml:space="preserve">Précisions : la HTAP chez la femme enceinte est à </w:t>
      </w:r>
      <w:r>
        <w:rPr>
          <w:b/>
        </w:rPr>
        <w:t>haut risque maternel</w:t>
      </w:r>
      <w:r>
        <w:t xml:space="preserve"> (mortalité 30-50 %) ; la décision de maintien ou d'arrêt du sildénafil pendant la grossesse est multidisciplinaire (pneumologue, cardiologue, obstétricien, anesthésiste) — souvent interruption médicale de grossesse discutée.</w:t>
      </w:r>
    </w:p>
    <w:p>
      <w:r/>
      <w:r>
        <w:rPr>
          <w:b/>
        </w:rPr>
        <w:t>Posologie et Mode d'administration (Standard) :</w:t>
      </w:r>
      <w:r/>
    </w:p>
    <w:p>
      <w:pPr>
        <w:pStyle w:val="ListBullet"/>
      </w:pPr>
      <w:r>
        <w:t xml:space="preserve">Adulte — HTAP : </w:t>
      </w:r>
      <w:r>
        <w:rPr>
          <w:b/>
        </w:rPr>
        <w:t>20 mg × 3/j</w:t>
      </w:r>
      <w:r>
        <w:t xml:space="preserve"> (8h-15h-22h) — schéma Revatio®. En Algérie, prescription hors AMM avec comprimés à 25 mg (3 × 1/j) ou adaptation par fractionnement de comprimés à 50/100 mg (1/2 cp à 50 mg = 25 mg × 3/j ; pas de forme orodispersible 20 mg). Dose maximale 80 mg × 3/j.</w:t>
      </w:r>
    </w:p>
    <w:p>
      <w:pPr>
        <w:pStyle w:val="ListBullet"/>
      </w:pPr>
      <w:r>
        <w:t xml:space="preserve">Adulte — Dysfonction érectile : </w:t>
      </w:r>
      <w:r>
        <w:rPr>
          <w:b/>
        </w:rPr>
        <w:t>50 mg à la demande</w:t>
      </w:r>
      <w:r>
        <w:t xml:space="preserve">, 1 h avant l'activité sexuelle, ajustable à 25 mg (sujet âgé, insuffisant hépatique, traitement inhibiteur puissant CYP3A4) ou 100 mg. </w:t>
      </w:r>
      <w:r>
        <w:rPr>
          <w:b/>
        </w:rPr>
        <w:t>1 prise maximale par 24 h</w:t>
      </w:r>
      <w:r>
        <w:t>.</w:t>
      </w:r>
    </w:p>
    <w:p>
      <w:pPr>
        <w:pStyle w:val="ListBullet"/>
      </w:pPr>
      <w:r>
        <w:t>Sujet âgé (&gt; 65 ans) : débuter à 25 mg en DE ; pas d'adaptation en HTAP.</w:t>
      </w:r>
    </w:p>
    <w:p>
      <w:pPr>
        <w:pStyle w:val="ListBullet"/>
      </w:pPr>
      <w:r>
        <w:t>Insuffisance hépatique (Child-Pugh A/B) : débuter à 25 mg en DE ; CI en insuffisance sévère.</w:t>
      </w:r>
    </w:p>
    <w:p>
      <w:pPr>
        <w:pStyle w:val="ListBullet"/>
      </w:pPr>
      <w:r>
        <w:t>Insuffisance rénale (DFG &lt; 30 mL/min) : débuter à 25 mg en DE ; pas d'adaptation en HTAP.</w:t>
      </w:r>
    </w:p>
    <w:p>
      <w:pPr>
        <w:pStyle w:val="ListBullet"/>
      </w:pPr>
      <w:r>
        <w:t>Enfant (HTAP, 1-17 ans, 20 kg) : 10 mg × 3/j (20-30 kg) ; 20 mg × 3/j (&gt; 30 kg) — sous forme Revatio® (non disponible en Algérie).</w:t>
      </w:r>
    </w:p>
    <w:p>
      <w:pPr>
        <w:pStyle w:val="ListBullet"/>
      </w:pPr>
      <w:r>
        <w:t xml:space="preserve">Durée : </w:t>
      </w:r>
      <w:r>
        <w:rPr>
          <w:b/>
        </w:rPr>
        <w:t>au long cours</w:t>
      </w:r>
      <w:r>
        <w:t xml:space="preserve"> (HTAP, à vie) ; </w:t>
      </w:r>
      <w:r>
        <w:rPr>
          <w:b/>
        </w:rPr>
        <w:t>à la demande</w:t>
      </w:r>
      <w:r>
        <w:t xml:space="preserve"> (DE, max 1 prise/j).</w:t>
      </w:r>
    </w:p>
    <w:p>
      <w:pPr>
        <w:pStyle w:val="ListBullet"/>
      </w:pPr>
      <w:r>
        <w:t>Moment de prise : (i) HTAP : 3 prises/j à heure fixe (8h-15h-22h) ; (ii) DE : 1 h avant l'activité sexuelle, à jeun ou après un repas léger (le repas riche en graisses retarde l'absorption de ~60 min).</w:t>
      </w:r>
    </w:p>
    <w:p>
      <w:r/>
      <w:r>
        <w:rPr>
          <w:b/>
        </w:rPr>
        <w:t>Arbitrage et Bénéfices des Formes Galéniques :</w:t>
      </w:r>
      <w:r/>
    </w:p>
    <w:p>
      <w:r>
        <w:t xml:space="preserve">Le sildénafil est disponible en Algérie en </w:t>
      </w:r>
      <w:r>
        <w:rPr>
          <w:b/>
        </w:rPr>
        <w:t>comprimés pelliculés à 50 mg</w:t>
      </w:r>
      <w:r>
        <w:t xml:space="preserve"> (majorité des marques, ~19) et </w:t>
      </w:r>
      <w:r>
        <w:rPr>
          <w:b/>
        </w:rPr>
        <w:t>100 mg</w:t>
      </w:r>
      <w:r>
        <w:t xml:space="preserve"> (8 marques). Une seule marque en </w:t>
      </w:r>
      <w:r>
        <w:rPr>
          <w:b/>
        </w:rPr>
        <w:t>comprimé orodispersible</w:t>
      </w:r>
      <w:r>
        <w:t xml:space="preserve"> (SILDAN 50 — Tassili Arab) — utile en cas de dysphagie ou de souhait d'effet plus rapide (Tmax 20-30 min vs 60 min pour le comprimé avalé). Une seule marque en </w:t>
      </w:r>
      <w:r>
        <w:rPr>
          <w:b/>
        </w:rPr>
        <w:t>microgranule en gélule</w:t>
      </w:r>
      <w:r>
        <w:t xml:space="preserve"> (SILVEGRA — Neomedic) — permet l'ouverture de la gélule et l'administration en contenu pour les patients ayant des difficultés à avaler. Pour l'indication HTAP en Algérie, l'</w:t>
      </w:r>
      <w:r>
        <w:rPr>
          <w:b/>
        </w:rPr>
        <w:t>adaptation posologique</w:t>
      </w:r>
      <w:r>
        <w:t xml:space="preserve"> est problématique : le Revatio® 20 mg n'étant pas commercialisé, le patient doit fractionner des comprimés à 50 mg (1/2 cp = 25 mg × 3/j) — solution imparfaite (risque d'erreur de fractionnement, sous- ou sur-dosage). L'</w:t>
      </w:r>
      <w:r>
        <w:rPr>
          <w:b/>
        </w:rPr>
        <w:t>objectif thérapeutique</w:t>
      </w:r>
      <w:r>
        <w:t xml:space="preserve"> : clarification de la prescription, éducation thérapeutique du patient (schéma 3 prises/j à heure fixe, suivi de la tolérance et de l'efficacité par test de marche de 6 min, échocardiographie, NT-proBNP).</w:t>
      </w:r>
    </w:p>
    <w:p>
      <w:r/>
      <w:r>
        <w:rPr>
          <w:b/>
        </w:rPr>
        <w:t>Instructions et Conseils au Patient :</w:t>
      </w:r>
      <w:r/>
    </w:p>
    <w:p>
      <w:pPr>
        <w:pStyle w:val="ListBullet"/>
      </w:pPr>
      <w:r>
        <w:t xml:space="preserve">Communication au comptoir : </w:t>
      </w:r>
      <w:r>
        <w:rPr>
          <w:b/>
        </w:rPr>
        <w:t>interroger systématiquement</w:t>
      </w:r>
      <w:r>
        <w:t xml:space="preserve"> sur l'indication (HTAP vs DE), les traitements associés (nitrés, α-bloquants, bosentan, antirétroviraux), et les antécédents cardiovasculaires. En cas d'oubli (HTAP) : ne pas doubler la dose, la prendre si &lt; 2-3 h de retard, sinon l'ignorer. En cas de douleur thoracique : </w:t>
      </w:r>
      <w:r>
        <w:rPr>
          <w:b/>
        </w:rPr>
        <w:t>ne jamais prendre de trinitrine</w:t>
      </w:r>
      <w:r>
        <w:t>, consulter les urgences en précisant la prise de sildénafil. Signes d'alerte : érection &gt; 4 h (priapisme — urgences urologiques), baisse brutale de l'acuité visuelle (NAION — urgences ophtalmologiques), flush et céphalées transitoires (effets pharmacologiques attendus).</w:t>
      </w:r>
    </w:p>
    <w:p>
      <w:pPr>
        <w:pStyle w:val="ListBullet"/>
      </w:pPr>
      <w:r>
        <w:t>Mode d'utilisation pratique : prise 1 h avant l'activité sexuelle (DE) ou 3 prises/j à heure fixe (HTAP) ; à jeun ou après repas léger ; ne pas associer à l'alcool.</w:t>
      </w:r>
    </w:p>
    <w:p>
      <w:r/>
      <w:r>
        <w:rPr>
          <w:b/>
        </w:rPr>
        <w:t>Notes, Règles d'Or &amp; Pièges au Comptoir :</w:t>
      </w:r>
      <w:r/>
    </w:p>
    <w:p>
      <w:pPr>
        <w:pStyle w:val="ListBullet"/>
      </w:pPr>
      <w:r>
        <w:t xml:space="preserve">Piège classique : (i) oubli de recherche de </w:t>
      </w:r>
      <w:r>
        <w:rPr>
          <w:b/>
        </w:rPr>
        <w:t>nitrés</w:t>
      </w:r>
      <w:r>
        <w:t xml:space="preserve"> chez le patient coronarien (CI absolue — risque vital) ; (ii) oubli de recherche d'</w:t>
      </w:r>
      <w:r>
        <w:rPr>
          <w:b/>
        </w:rPr>
        <w:t>α-bloquants</w:t>
      </w:r>
      <w:r>
        <w:t xml:space="preserve"> (hypotension orthostatique) ; (iii) prise de </w:t>
      </w:r>
      <w:r>
        <w:rPr>
          <w:b/>
        </w:rPr>
        <w:t>poppers</w:t>
      </w:r>
      <w:r>
        <w:t xml:space="preserve"> (nitrite d'amyle) — CI absolue ; (iv) fractionnement aléatoire des comprimés à 50 mg pour l'indication HTAP (préférer le Revatio® si disponible) ; (v) oubli de l'espacement de </w:t>
      </w:r>
      <w:r>
        <w:rPr>
          <w:b/>
        </w:rPr>
        <w:t>24 h</w:t>
      </w:r>
      <w:r>
        <w:t xml:space="preserve"> avant toute trinitrine (en cas de douleur thoracique) ; (vi) non-information du patient sur le priapisme et la NAION.</w:t>
      </w:r>
    </w:p>
    <w:p>
      <w:pPr>
        <w:pStyle w:val="ListBullet"/>
      </w:pPr>
      <w:r>
        <w:t>Règle de prise : 3 prises/j à heure fixe (HTAP) ; 1 prise à la demande 1 h avant l'activité (DE).</w:t>
      </w:r>
    </w:p>
    <w:p>
      <w:pPr>
        <w:pStyle w:val="ListBullet"/>
      </w:pPr>
      <w:r>
        <w:t>Préparation et Conservation : température ambiante ≤ 25°C, à l'abri de l'humidité. Le comprimé orodispersible (SILDAN 50) se conserve en plaquette thermoformée jusqu'à utilisation.</w:t>
      </w:r>
    </w:p>
    <w:p>
      <w:pPr>
        <w:pStyle w:val="ListBullet"/>
      </w:pPr>
      <w:r>
        <w:t>Piège du surdosage / Substitution : surdosage → hypotension sévère, priapisme, troubles visuels majeurs — traitement symptomatique, surveillance hospitalière. Substitution entre les 19 marques de sildénafil à 50 mg (Viagra princeps + 18 génériques) possible sans surveillance particulière (bioéquivalence), mais à signaler au patient.</w:t>
      </w:r>
    </w:p>
    <w:p>
      <w:pPr>
        <w:pStyle w:val="Heading3"/>
      </w:pPr>
      <w:r>
        <w:t>6. DCI : Tadalafil (Cialis® et génériques)</w:t>
      </w:r>
    </w:p>
    <w:p>
      <w:r/>
      <w:r>
        <w:rPr>
          <w:b/>
        </w:rPr>
        <w:t>Liste des Catégories :</w:t>
      </w:r>
      <w:r>
        <w:t xml:space="preserve"> Inhibiteur de la phosphodiestérase de type 5 (PDE5) — HTAP, dysfonction érectile et hypertrophie bénigne de la prostate — Voie orale — Liste I (et Liste II pour Tabalfil).</w:t>
      </w:r>
    </w:p>
    <w:p>
      <w:r>
        <w:t xml:space="preserve">Le </w:t>
      </w:r>
      <w:r>
        <w:rPr>
          <w:b/>
        </w:rPr>
        <w:t>tadalafil</w:t>
      </w:r>
      <w:r>
        <w:t xml:space="preserve"> est administré par voie </w:t>
      </w:r>
      <w:r>
        <w:rPr>
          <w:b/>
        </w:rPr>
        <w:t>orale</w:t>
      </w:r>
      <w:r>
        <w:t xml:space="preserve"> (comprimés pelliculés à 5 mg, 20 mg — et 10 mg dans d'autres pays, non commercialisé à 10 mg en Algérie). Sa biodisponibilité est d'environ 80 % (après prise quotidienne à 5 mg), son Tmax est de 30 min à 6 h (médiane 2 h), et sa </w:t>
      </w:r>
      <w:r>
        <w:rPr>
          <w:b/>
        </w:rPr>
        <w:t>demi-vie d'élimination est longue : 17,5 h</w:t>
      </w:r>
      <w:r>
        <w:t xml:space="preserve"> — propriété pharmacocinétique distinctive qui permet une administration </w:t>
      </w:r>
      <w:r>
        <w:rPr>
          <w:b/>
        </w:rPr>
        <w:t>une fois par jour</w:t>
      </w:r>
      <w:r>
        <w:t xml:space="preserve"> dans l'HTAP (40 mg/j, soit 2 × 20 mg en une prise), en DE quotidienne (5 mg/j) et en HBP (5 mg/j), et un effet prolongé « 36 h » en DE à la demande (20 mg). Le métabolisme est hépatique par le </w:t>
      </w:r>
      <w:r>
        <w:rPr>
          <w:b/>
        </w:rPr>
        <w:t>CYP3A4</w:t>
      </w:r>
      <w:r>
        <w:t xml:space="preserve"> principalement. L'élimination est fécale (~60 %) et rénale (~36 %). Le tadalafil est une DCI à </w:t>
      </w:r>
      <w:r>
        <w:rPr>
          <w:b/>
        </w:rPr>
        <w:t>triple indication</w:t>
      </w:r>
      <w:r>
        <w:t xml:space="preserve"> : dysfonction érectile (5 mg/j quotidien ou 10-20 mg à la demande), hypertrophie bénigne de la prostate (5 mg/j), et HTAP (40 mg/j — Adcirca® non commercialisé en Algérie, prescription hors AMM avec 2 × Cialis® 20 mg).</w:t>
      </w:r>
    </w:p>
    <w:p>
      <w:r/>
      <w:r>
        <w:rPr>
          <w:b/>
        </w:rPr>
        <w:t>Médicaments disponibles en Algérie (Marques, Laboratoires, Formes et Dosages) :</w:t>
      </w:r>
      <w:r/>
    </w:p>
    <w:p>
      <w:r/>
      <w:r>
        <w:rPr>
          <w:b/>
        </w:rPr>
        <w:t>À 20 mg (indication DE et HTAP) — formes actives :</w:t>
      </w:r>
      <w:r/>
    </w:p>
    <w:p>
      <w:pPr>
        <w:pStyle w:val="ListBullet"/>
      </w:pPr>
      <w:r/>
      <w:r>
        <w:rPr>
          <w:b/>
        </w:rPr>
        <w:t>CIAFAL</w:t>
      </w:r>
      <w:r>
        <w:t xml:space="preserve"> (SOCIETE PHARMACEUTIQUE ALGERIENNE SOPHAL) — Comprimé pelliculé 20 mg (B/01, B/02, B/04, B/08) — Actif</w:t>
      </w:r>
    </w:p>
    <w:p>
      <w:pPr>
        <w:pStyle w:val="ListBullet"/>
      </w:pPr>
      <w:r/>
      <w:r>
        <w:rPr>
          <w:b/>
        </w:rPr>
        <w:t>CYALEX</w:t>
      </w:r>
      <w:r>
        <w:t xml:space="preserve"> (LABORATOIRES MM) — Comprimé pelliculé 20 mg (B/10) — Actif</w:t>
      </w:r>
    </w:p>
    <w:p>
      <w:pPr>
        <w:pStyle w:val="ListBullet"/>
      </w:pPr>
      <w:r/>
      <w:r>
        <w:rPr>
          <w:b/>
        </w:rPr>
        <w:t>ERIXIUM</w:t>
      </w:r>
      <w:r>
        <w:t xml:space="preserve"> (EL KENDI INDUSTRIE DU MEDICAMENT) — Comprimé pelliculé 20 mg (B/02 et B/04) — Actif</w:t>
      </w:r>
    </w:p>
    <w:p>
      <w:pPr>
        <w:pStyle w:val="ListBullet"/>
      </w:pPr>
      <w:r/>
      <w:r>
        <w:rPr>
          <w:b/>
        </w:rPr>
        <w:t>MEGALIS</w:t>
      </w:r>
      <w:r>
        <w:t xml:space="preserve"> (SARL NOVO MEDIS) — Comprimé pelliculé 20 mg (B/04 et B/10) — Actif</w:t>
      </w:r>
    </w:p>
    <w:p>
      <w:pPr>
        <w:pStyle w:val="ListBullet"/>
      </w:pPr>
      <w:r/>
      <w:r>
        <w:rPr>
          <w:b/>
        </w:rPr>
        <w:t>NOVALIS</w:t>
      </w:r>
      <w:r>
        <w:t xml:space="preserve"> (NOVAPHARM TRADING) — Comprimé pelliculé 20 mg (B/02) — Actif</w:t>
      </w:r>
    </w:p>
    <w:p>
      <w:pPr>
        <w:pStyle w:val="ListBullet"/>
      </w:pPr>
      <w:r/>
      <w:r>
        <w:rPr>
          <w:b/>
        </w:rPr>
        <w:t>TABLAFIL</w:t>
      </w:r>
      <w:r>
        <w:t xml:space="preserve"> (TABUK ALGERIE) — Comprimé pelliculé 20 mg (B/02 et B/04) — </w:t>
      </w:r>
      <w:r>
        <w:rPr>
          <w:b/>
        </w:rPr>
        <w:t>Actif (Liste II — particularité)</w:t>
      </w:r>
      <w:r/>
    </w:p>
    <w:p>
      <w:pPr>
        <w:pStyle w:val="ListBullet"/>
      </w:pPr>
      <w:r/>
      <w:r>
        <w:rPr>
          <w:b/>
        </w:rPr>
        <w:t>TADAFORS</w:t>
      </w:r>
      <w:r>
        <w:t xml:space="preserve"> (WORLD MEDECINE LIMITED) — Comprimé pelliculé 20 mg (B/04 et B/08) — Actif</w:t>
      </w:r>
    </w:p>
    <w:p>
      <w:pPr>
        <w:pStyle w:val="ListBullet"/>
      </w:pPr>
      <w:r/>
      <w:r>
        <w:rPr>
          <w:b/>
        </w:rPr>
        <w:t>TADALIS</w:t>
      </w:r>
      <w:r>
        <w:t xml:space="preserve"> (LABORATOIRES BEKER) — Comprimé pelliculé sécable 20 mg (B/02 et B/08) — Actif</w:t>
      </w:r>
    </w:p>
    <w:p>
      <w:pPr>
        <w:pStyle w:val="ListBullet"/>
      </w:pPr>
      <w:r/>
      <w:r>
        <w:rPr>
          <w:b/>
        </w:rPr>
        <w:t>TAFIALYS</w:t>
      </w:r>
      <w:r>
        <w:t xml:space="preserve"> (PHARMALLIANCE) — Comprimé pelliculé sécable 20 mg (B/08 et B/02) — Actif</w:t>
      </w:r>
    </w:p>
    <w:p>
      <w:pPr>
        <w:pStyle w:val="ListBullet"/>
      </w:pPr>
      <w:r/>
      <w:r>
        <w:rPr>
          <w:b/>
        </w:rPr>
        <w:t>TALAN</w:t>
      </w:r>
      <w:r>
        <w:t xml:space="preserve"> (TASSILI ARAB PHARMACEUTICAL CO) — Comprimé pelliculé 20 mg (B/04) — Actif</w:t>
      </w:r>
    </w:p>
    <w:p>
      <w:pPr>
        <w:pStyle w:val="ListBullet"/>
      </w:pPr>
      <w:r/>
      <w:r>
        <w:rPr>
          <w:b/>
        </w:rPr>
        <w:t>VITALIS</w:t>
      </w:r>
      <w:r>
        <w:t xml:space="preserve"> (INPHA-MEDIS) — Comprimé pelliculé 20 mg (B/30) — Actif</w:t>
      </w:r>
    </w:p>
    <w:p>
      <w:r/>
      <w:r>
        <w:rPr>
          <w:b/>
        </w:rPr>
        <w:t>À 5 mg (indication DE quotidienne et HBP) — formes actives :</w:t>
      </w:r>
      <w:r/>
    </w:p>
    <w:p>
      <w:pPr>
        <w:pStyle w:val="ListBullet"/>
      </w:pPr>
      <w:r/>
      <w:r>
        <w:rPr>
          <w:b/>
        </w:rPr>
        <w:t>ADONIS</w:t>
      </w:r>
      <w:r>
        <w:t xml:space="preserve"> (ABDI IBRAHIM REMEDE PHARMA) — Comprimé pelliculé 5 mg (B/28) — Actif</w:t>
      </w:r>
    </w:p>
    <w:p>
      <w:pPr>
        <w:pStyle w:val="ListBullet"/>
      </w:pPr>
      <w:r/>
      <w:r>
        <w:rPr>
          <w:b/>
        </w:rPr>
        <w:t>CIAFAL</w:t>
      </w:r>
      <w:r>
        <w:t xml:space="preserve"> (SOPHAL) — Comprimé pelliculé 5 mg (B/28) — Actif</w:t>
      </w:r>
    </w:p>
    <w:p>
      <w:pPr>
        <w:pStyle w:val="ListBullet"/>
      </w:pPr>
      <w:r/>
      <w:r>
        <w:rPr>
          <w:b/>
        </w:rPr>
        <w:t>ERIXIUM</w:t>
      </w:r>
      <w:r>
        <w:t xml:space="preserve"> (EL KENDI) — Comprimé pelliculé 5 mg (B/30) — Actif</w:t>
      </w:r>
    </w:p>
    <w:p>
      <w:pPr>
        <w:pStyle w:val="ListBullet"/>
      </w:pPr>
      <w:r/>
      <w:r>
        <w:rPr>
          <w:b/>
        </w:rPr>
        <w:t>NOVALIS</w:t>
      </w:r>
      <w:r>
        <w:t xml:space="preserve"> (NOVAPHARM) — Comprimé pelliculé 5 mg (B/30) — Actif</w:t>
      </w:r>
    </w:p>
    <w:p>
      <w:pPr>
        <w:pStyle w:val="ListBullet"/>
      </w:pPr>
      <w:r/>
      <w:r>
        <w:rPr>
          <w:b/>
        </w:rPr>
        <w:t>TABLAFIL</w:t>
      </w:r>
      <w:r>
        <w:t xml:space="preserve"> (TABUK) — Comprimé pelliculé 5 mg (B/30) — Actif</w:t>
      </w:r>
    </w:p>
    <w:p>
      <w:pPr>
        <w:pStyle w:val="ListBullet"/>
      </w:pPr>
      <w:r/>
      <w:r>
        <w:rPr>
          <w:b/>
        </w:rPr>
        <w:t>TADAFORS</w:t>
      </w:r>
      <w:r>
        <w:t xml:space="preserve"> (WORLD MEDECINE) — Comprimé pelliculé 5 mg (B/30) — Actif</w:t>
      </w:r>
    </w:p>
    <w:p>
      <w:pPr>
        <w:pStyle w:val="ListBullet"/>
      </w:pPr>
      <w:r/>
      <w:r>
        <w:rPr>
          <w:b/>
        </w:rPr>
        <w:t>TADALIS</w:t>
      </w:r>
      <w:r>
        <w:t xml:space="preserve"> (BEKER) — Comprimé pelliculé 5 mg (B/30 et B/90) — Actif</w:t>
      </w:r>
    </w:p>
    <w:p>
      <w:pPr>
        <w:pStyle w:val="ListBullet"/>
      </w:pPr>
      <w:r/>
      <w:r>
        <w:rPr>
          <w:b/>
        </w:rPr>
        <w:t>TADILIX</w:t>
      </w:r>
      <w:r>
        <w:t xml:space="preserve"> (SAPHARM) — Comprimé pelliculé 5 mg (B/30) — Actif</w:t>
      </w:r>
    </w:p>
    <w:p>
      <w:pPr>
        <w:pStyle w:val="ListBullet"/>
      </w:pPr>
      <w:r/>
      <w:r>
        <w:rPr>
          <w:b/>
        </w:rPr>
        <w:t>TYRA</w:t>
      </w:r>
      <w:r>
        <w:t xml:space="preserve"> (DAR AL DAWA) — Comprimé pelliculé 5 mg (B/28) — Actif</w:t>
      </w:r>
    </w:p>
    <w:p>
      <w:r/>
      <w:r>
        <w:rPr>
          <w:b/>
        </w:rPr>
        <w:t>À 2,5 mg (indication DE quotidienne) — forme active :</w:t>
      </w:r>
      <w:r/>
    </w:p>
    <w:p>
      <w:pPr>
        <w:pStyle w:val="ListBullet"/>
      </w:pPr>
      <w:r/>
      <w:r>
        <w:rPr>
          <w:b/>
        </w:rPr>
        <w:t>CIAFAL</w:t>
      </w:r>
      <w:r>
        <w:t xml:space="preserve"> (SOPHAL) — Comprimé pelliculé 2,5 mg (B/28) — Actif</w:t>
      </w:r>
    </w:p>
    <w:p>
      <w:r/>
      <w:r>
        <w:rPr>
          <w:b/>
        </w:rPr>
        <w:t>Spécialités non renouvelables et retirées :</w:t>
      </w:r>
      <w:r/>
    </w:p>
    <w:p>
      <w:pPr>
        <w:pStyle w:val="ListBullet"/>
      </w:pPr>
      <w:r/>
      <w:r>
        <w:rPr>
          <w:b/>
        </w:rPr>
        <w:t>GENTIX</w:t>
      </w:r>
      <w:r>
        <w:t xml:space="preserve"> (GROUPE SAIDAL) — Comprimé pelliculé 20 mg (B/02-B/08) — </w:t>
      </w:r>
      <w:r>
        <w:rPr>
          <w:b/>
        </w:rPr>
        <w:t>Non Renouvelable</w:t>
      </w:r>
      <w:r/>
    </w:p>
    <w:p>
      <w:pPr>
        <w:pStyle w:val="ListBullet"/>
      </w:pPr>
      <w:r/>
      <w:r>
        <w:rPr>
          <w:b/>
        </w:rPr>
        <w:t>CIALIS</w:t>
      </w:r>
      <w:r>
        <w:t xml:space="preserve"> (ELI LILLY NEDERLAND BV — princeps) — Comprimé pelliculé 20 mg (B/02) — </w:t>
      </w:r>
      <w:r>
        <w:rPr>
          <w:b/>
        </w:rPr>
        <w:t>Retiré (R)</w:t>
      </w:r>
      <w:r/>
    </w:p>
    <w:p>
      <w:pPr>
        <w:pStyle w:val="ListBullet"/>
      </w:pPr>
      <w:r/>
      <w:r>
        <w:rPr>
          <w:b/>
        </w:rPr>
        <w:t>EREXYL</w:t>
      </w:r>
      <w:r>
        <w:t xml:space="preserve"> (BIOVITAL) — Comprimé sécable 20 mg (B/04) — </w:t>
      </w:r>
      <w:r>
        <w:rPr>
          <w:b/>
        </w:rPr>
        <w:t>Retiré (R)</w:t>
      </w:r>
      <w:r/>
    </w:p>
    <w:p>
      <w:pPr>
        <w:pStyle w:val="ListBullet"/>
      </w:pPr>
      <w:r/>
      <w:r>
        <w:rPr>
          <w:b/>
        </w:rPr>
        <w:t>ACALYS</w:t>
      </w:r>
      <w:r>
        <w:t xml:space="preserve"> (LABORATOIRE GROUPEMENT PHARMACEUTIQUE ALGERIEN LGPA) — Comprimé pelliculé 20 mg (B/02) — </w:t>
      </w:r>
      <w:r>
        <w:rPr>
          <w:b/>
        </w:rPr>
        <w:t>Retiré (R)</w:t>
      </w:r>
      <w:r/>
    </w:p>
    <w:p>
      <w:r/>
      <w:r>
        <w:rPr>
          <w:b/>
        </w:rPr>
        <w:t>Sous-classe et Mécanisme d'action :</w:t>
      </w:r>
      <w:r/>
    </w:p>
    <w:p>
      <w:pPr>
        <w:pStyle w:val="ListBullet"/>
      </w:pPr>
      <w:r>
        <w:t xml:space="preserve">Sous-classe : Inhibiteur </w:t>
      </w:r>
      <w:r>
        <w:rPr>
          <w:b/>
        </w:rPr>
        <w:t>sélectif et compétitif</w:t>
      </w:r>
      <w:r>
        <w:t xml:space="preserve"> de la </w:t>
      </w:r>
      <w:r>
        <w:rPr>
          <w:b/>
        </w:rPr>
        <w:t>phosphodiestérase de type 5 (PDE5)</w:t>
      </w:r>
      <w:r>
        <w:t xml:space="preserve"> — deuxième représentant de la classe (après le sildénafil), caractérisé par une </w:t>
      </w:r>
      <w:r>
        <w:rPr>
          <w:b/>
        </w:rPr>
        <w:t>demi-vie longue (17,5 h)</w:t>
      </w:r>
      <w:r>
        <w:t xml:space="preserve"> permettant une seule prise quotidienne. DCI à triple indication : dysfonction érectile (DE), hypertrophie bénigne de la prostate (HBP), HTAP.</w:t>
      </w:r>
    </w:p>
    <w:p>
      <w:pPr>
        <w:pStyle w:val="ListBullet"/>
      </w:pPr>
      <w:r>
        <w:t xml:space="preserve">Mécanisme d'action : identique à celui du sildénafil — inhibition de la PDE5 → augmentation du GMPc intracellulaire dans les CML-VP (et les CML des corps caverneux et de la prostate) → activation de la PKG → relaxation par baisse du Ca²⁺ intracytosolique. La sélectivité pour la PDE5 est </w:t>
      </w:r>
      <w:r>
        <w:rPr>
          <w:b/>
        </w:rPr>
        <w:t>supérieure</w:t>
      </w:r>
      <w:r>
        <w:t xml:space="preserve"> à celle du sildénafil (moins d'effets sur la PDE6 rétinienne — d'où l'absence de troubles visuels « vision bleutée » classiquement rapportés avec le sildénafil). Une affinité modérée pour la </w:t>
      </w:r>
      <w:r>
        <w:rPr>
          <w:b/>
        </w:rPr>
        <w:t>PDE11</w:t>
      </w:r>
      <w:r>
        <w:t xml:space="preserve"> (exprimée dans le muscle squelettique, le cœur, les testicules, la prostate) pourrait expliquer les </w:t>
      </w:r>
      <w:r>
        <w:rPr>
          <w:b/>
        </w:rPr>
        <w:t>myalgies</w:t>
      </w:r>
      <w:r>
        <w:t xml:space="preserve"> et </w:t>
      </w:r>
      <w:r>
        <w:rPr>
          <w:b/>
        </w:rPr>
        <w:t>douleurs dorsales</w:t>
      </w:r>
      <w:r>
        <w:t xml:space="preserve"> plus fréquentes qu'avec le sildénafil. Le tadalafil a une </w:t>
      </w:r>
      <w:r>
        <w:rPr>
          <w:b/>
        </w:rPr>
        <w:t>duration d'action prolongée</w:t>
      </w:r>
      <w:r>
        <w:t xml:space="preserve"> (effet significatif jusqu'à 36 h après une prise unique à 20 mg en DE — d'où le surnom *« la pilule du week-end »*).</w:t>
      </w:r>
    </w:p>
    <w:p>
      <w:r/>
      <w:r>
        <w:rPr>
          <w:b/>
        </w:rPr>
        <w:t>Profil Pharmacologique :</w:t>
      </w:r>
      <w:r/>
    </w:p>
    <w:p>
      <w:pPr>
        <w:pStyle w:val="ListBullet"/>
      </w:pPr>
      <w:r>
        <w:t xml:space="preserve">Indications : (i) </w:t>
      </w:r>
      <w:r>
        <w:rPr>
          <w:b/>
        </w:rPr>
        <w:t>Dysfonction érectile</w:t>
      </w:r>
      <w:r>
        <w:t xml:space="preserve"> (DE) — 10-20 mg à la demande ou 2,5-5 mg/j en continu ; (ii) </w:t>
      </w:r>
      <w:r>
        <w:rPr>
          <w:b/>
        </w:rPr>
        <w:t>Hypertrophie bénigne de la prostate (HBP)</w:t>
      </w:r>
      <w:r>
        <w:t xml:space="preserve"> chez l'homme adulte — 5 mg/j ; (iii) </w:t>
      </w:r>
      <w:r>
        <w:rPr>
          <w:b/>
        </w:rPr>
        <w:t>HTAP de classe fonctionnelle OMS II-IV</w:t>
      </w:r>
      <w:r>
        <w:t xml:space="preserve"> en monothérapie ou en association — 40 mg/j (Adcirca® non commercialisé en Algérie, prescription hors AMM avec 2 × comprimés à 20 mg). Chez l'enfant : non indiqué.</w:t>
      </w:r>
    </w:p>
    <w:p>
      <w:pPr>
        <w:pStyle w:val="ListBullet"/>
      </w:pPr>
      <w:r>
        <w:t xml:space="preserve">Contre-indications : </w:t>
      </w:r>
      <w:r>
        <w:rPr>
          <w:b/>
        </w:rPr>
        <w:t>CI absolue avec les dérivés nitrés</w:t>
      </w:r>
      <w:r>
        <w:t xml:space="preserve"> (trinitrine, isosorbide, dinitrate d'isosorbide, molsidomine, nitroprussiate) — espacer de </w:t>
      </w:r>
      <w:r>
        <w:rPr>
          <w:b/>
        </w:rPr>
        <w:t>48 h</w:t>
      </w:r>
      <w:r>
        <w:t xml:space="preserve"> après la dernière prise de tadalafil (demi-vie 17,5 h, plus longue que le sildénafil) ; </w:t>
      </w:r>
      <w:r>
        <w:rPr>
          <w:b/>
        </w:rPr>
        <w:t>CI absolue avec les donateur de NO</w:t>
      </w:r>
      <w:r>
        <w:t xml:space="preserve"> (nitrite d'amyle — « poppers ») ; hypersensibilité ; infarctusus du myocarde récent (&lt; 90 j), AVC récent (&lt; 6 mois), insuffisance hépatique sévère, hypotension (&lt; 90/50 mmHg), hypertension non contrôlée (&gt; 170/100), antécédent de NAION, rétinite pigmentaire ; </w:t>
      </w:r>
      <w:r>
        <w:rPr>
          <w:b/>
        </w:rPr>
        <w:t>CI avec α-bloquants</w:t>
      </w:r>
      <w:r>
        <w:t xml:space="preserve"> (sauf tamsulosine 0,4 mg) pour le traitement de l'HBP (risque d'hypotension orthostatique).</w:t>
      </w:r>
    </w:p>
    <w:p>
      <w:pPr>
        <w:pStyle w:val="ListBullet"/>
      </w:pPr>
      <w:r>
        <w:t xml:space="preserve">Effets Indésirables : </w:t>
      </w:r>
      <w:r>
        <w:rPr>
          <w:b/>
        </w:rPr>
        <w:t>céphalées</w:t>
      </w:r>
      <w:r>
        <w:t xml:space="preserve"> (14 %), </w:t>
      </w:r>
      <w:r>
        <w:rPr>
          <w:b/>
        </w:rPr>
        <w:t>dyspepsie</w:t>
      </w:r>
      <w:r>
        <w:t xml:space="preserve"> (12 %), </w:t>
      </w:r>
      <w:r>
        <w:rPr>
          <w:b/>
        </w:rPr>
        <w:t>douleurs dorsales</w:t>
      </w:r>
      <w:r>
        <w:t xml:space="preserve"> et </w:t>
      </w:r>
      <w:r>
        <w:rPr>
          <w:b/>
        </w:rPr>
        <w:t>myalgies</w:t>
      </w:r>
      <w:r>
        <w:t xml:space="preserve"> (6 % — plus fréquentes qu'avec le sildénafil, liées à l'inhibition de la PDE11 musculaire), </w:t>
      </w:r>
      <w:r>
        <w:rPr>
          <w:b/>
        </w:rPr>
        <w:t>flush</w:t>
      </w:r>
      <w:r>
        <w:t xml:space="preserve"> (5 %), </w:t>
      </w:r>
      <w:r>
        <w:rPr>
          <w:b/>
        </w:rPr>
        <w:t>congestion nasale</w:t>
      </w:r>
      <w:r>
        <w:t xml:space="preserve"> (4 %), </w:t>
      </w:r>
      <w:r>
        <w:rPr>
          <w:b/>
        </w:rPr>
        <w:t>douleurs des membres</w:t>
      </w:r>
      <w:r>
        <w:t xml:space="preserve"> (3 %) ; </w:t>
      </w:r>
      <w:r>
        <w:rPr>
          <w:b/>
        </w:rPr>
        <w:t>hypotension</w:t>
      </w:r>
      <w:r>
        <w:t xml:space="preserve"> modérée ; très rares cas de </w:t>
      </w:r>
      <w:r>
        <w:rPr>
          <w:b/>
        </w:rPr>
        <w:t>priapisme</w:t>
      </w:r>
      <w:r>
        <w:t xml:space="preserve"> et de </w:t>
      </w:r>
      <w:r>
        <w:rPr>
          <w:b/>
        </w:rPr>
        <w:t>NAION</w:t>
      </w:r>
      <w:r>
        <w:t xml:space="preserve"> (moins de cas rapportés qu'avec le sildénafil) ; rares cas de </w:t>
      </w:r>
      <w:r>
        <w:rPr>
          <w:b/>
        </w:rPr>
        <w:t>surdité brutale</w:t>
      </w:r>
      <w:r>
        <w:t>.</w:t>
      </w:r>
    </w:p>
    <w:p>
      <w:r/>
      <w:r>
        <w:rPr>
          <w:b/>
        </w:rPr>
        <w:t>Prévention et Gestion des Effets Indésirables :</w:t>
      </w:r>
      <w:r/>
    </w:p>
    <w:p>
      <w:pPr>
        <w:pStyle w:val="ListBullet"/>
      </w:pPr>
      <w:r>
        <w:t>Mesures Préventives : interrogation systématique sur les traitements associés (dérivés nitrés, α-bloquants) avant dispensation ; information patient sur l'</w:t>
      </w:r>
      <w:r>
        <w:rPr>
          <w:b/>
        </w:rPr>
        <w:t>espacement de 48 h</w:t>
      </w:r>
      <w:r>
        <w:t xml:space="preserve"> avant toute prise de trinitrine (plus long qu'avec le sildénafil) ; surveillance TA ; information sur les signes d'alerte (priapisme, NAION, surdité brutale).</w:t>
      </w:r>
    </w:p>
    <w:p>
      <w:pPr>
        <w:pStyle w:val="ListBullet"/>
      </w:pPr>
      <w:r>
        <w:t xml:space="preserve">Conduite à Tenir : identique au sildénafil — arrêt + consultation urgente en cas de priapisme &gt; 4 h, de baisse brutale de l'acuité visuelle, ou de surdité brutale. En cas de douleur thoracique chez un patient ayant pris du tadalafil : </w:t>
      </w:r>
      <w:r>
        <w:rPr>
          <w:b/>
        </w:rPr>
        <w:t>ne jamais donner de trinitrine avant 48 h</w:t>
      </w:r>
      <w:r>
        <w:t xml:space="preserve"> de la dernière prise.</w:t>
      </w:r>
    </w:p>
    <w:p>
      <w:r/>
      <w:r>
        <w:rPr>
          <w:b/>
        </w:rPr>
        <w:t>Interactions Importantes :</w:t>
      </w:r>
      <w:r/>
    </w:p>
    <w:p>
      <w:pPr>
        <w:pStyle w:val="ListBullet"/>
      </w:pPr>
      <w:r/>
      <w:r>
        <w:rPr>
          <w:b/>
        </w:rPr>
        <w:t>Tadalafil + dérivés nitrés</w:t>
      </w:r>
      <w:r>
        <w:t xml:space="preserve"> : </w:t>
      </w:r>
      <w:r>
        <w:rPr>
          <w:b/>
        </w:rPr>
        <w:t>CI absolue</w:t>
      </w:r>
      <w:r>
        <w:t xml:space="preserve"> — espacer de </w:t>
      </w:r>
      <w:r>
        <w:rPr>
          <w:b/>
        </w:rPr>
        <w:t>48 h</w:t>
      </w:r>
      <w:r>
        <w:t xml:space="preserve"> après la dernière prise de tadalafil (vs 24 h pour le sildénafil — demi-vie plus longue).</w:t>
      </w:r>
    </w:p>
    <w:p>
      <w:pPr>
        <w:pStyle w:val="ListBullet"/>
      </w:pPr>
      <w:r/>
      <w:r>
        <w:rPr>
          <w:b/>
        </w:rPr>
        <w:t>Tadalafil + donateur de NO (poppers)</w:t>
      </w:r>
      <w:r>
        <w:t xml:space="preserve"> : </w:t>
      </w:r>
      <w:r>
        <w:rPr>
          <w:b/>
        </w:rPr>
        <w:t>CI absolue</w:t>
      </w:r>
      <w:r>
        <w:t>.</w:t>
      </w:r>
    </w:p>
    <w:p>
      <w:pPr>
        <w:pStyle w:val="ListBullet"/>
      </w:pPr>
      <w:r/>
      <w:r>
        <w:rPr>
          <w:b/>
        </w:rPr>
        <w:t>Tadalafil + α-bloquants</w:t>
      </w:r>
      <w:r>
        <w:t xml:space="preserve"> : risque d'hypotension orthostatique — délai de 4 h entre les prises ; CI avec doxazosine et terazosine en première intention (préférer tamsulosine 0,4 mg).</w:t>
      </w:r>
    </w:p>
    <w:p>
      <w:pPr>
        <w:pStyle w:val="ListBullet"/>
      </w:pPr>
      <w:r/>
      <w:r>
        <w:rPr>
          <w:b/>
        </w:rPr>
        <w:t>Tadalafil + bosentan</w:t>
      </w:r>
      <w:r>
        <w:t xml:space="preserve"> : baisse des concentrations de tadalafil de 40 % (induction CYP3A4) — adaptation posologique.</w:t>
      </w:r>
    </w:p>
    <w:p>
      <w:pPr>
        <w:pStyle w:val="ListBullet"/>
      </w:pPr>
      <w:r/>
      <w:r>
        <w:rPr>
          <w:b/>
        </w:rPr>
        <w:t>Tadalafil + inhibiteurs puissants du CYP3A4 (ritonavir, kétoconazole, itraconazole, clarithromycine)</w:t>
      </w:r>
      <w:r>
        <w:t xml:space="preserve"> : augmentation des concentrations de tadalafil — débuter à dose réduite.</w:t>
      </w:r>
    </w:p>
    <w:p>
      <w:pPr>
        <w:pStyle w:val="ListBullet"/>
      </w:pPr>
      <w:r/>
      <w:r>
        <w:rPr>
          <w:b/>
        </w:rPr>
        <w:t>Tadalafil + inducteurs du CYP3A4 (rifampicine, phénytoïne, carbamazépine, phénobarbital, millepertuis)</w:t>
      </w:r>
      <w:r>
        <w:t xml:space="preserve"> : baisse de l'efficacité.</w:t>
      </w:r>
    </w:p>
    <w:p>
      <w:pPr>
        <w:pStyle w:val="ListBullet"/>
      </w:pPr>
      <w:r/>
      <w:r>
        <w:rPr>
          <w:b/>
        </w:rPr>
        <w:t>Tadalafil + alcool</w:t>
      </w:r>
      <w:r>
        <w:t xml:space="preserve"> : majoration de l'hypotension.</w:t>
      </w:r>
    </w:p>
    <w:p>
      <w:r/>
      <w:r>
        <w:rPr>
          <w:b/>
        </w:rPr>
        <w:t>Grossesse et Allaitement :</w:t>
      </w:r>
      <w:r/>
    </w:p>
    <w:p>
      <w:pPr>
        <w:pStyle w:val="ListBullet"/>
      </w:pPr>
      <w:r>
        <w:t xml:space="preserve">Grossesse : selon le CRAT, le tadalafil </w:t>
      </w:r>
      <w:r>
        <w:rPr>
          <w:b/>
        </w:rPr>
        <w:t>n'est pas recommandé</w:t>
      </w:r>
      <w:r>
        <w:t xml:space="preserve"> pendant la grossesse (données limitées — le tadalafil traverse le placenta chez l'animal à concentrations élevées, sans tératogénicité démontrée mais avec retard de développement fœtal à doses élevées). Dans l'indication HTAP chez la femme enceinte, à discuter au cas par cas selon le bénéfice/risque (le sildénafil est généralement préféré en raison de données plus rassurantes).</w:t>
      </w:r>
    </w:p>
    <w:p>
      <w:pPr>
        <w:pStyle w:val="ListBullet"/>
      </w:pPr>
      <w:r>
        <w:t xml:space="preserve">Allaitement : selon le CRAT, </w:t>
      </w:r>
      <w:r>
        <w:rPr>
          <w:b/>
        </w:rPr>
        <w:t>à éviter par prudence</w:t>
      </w:r>
      <w:r>
        <w:t xml:space="preserve"> (données limitées sur le passage dans le lait maternel).</w:t>
      </w:r>
    </w:p>
    <w:p>
      <w:pPr>
        <w:pStyle w:val="ListBullet"/>
      </w:pPr>
      <w:r>
        <w:t xml:space="preserve">Précisions : la HTAP gravidique est à </w:t>
      </w:r>
      <w:r>
        <w:rPr>
          <w:b/>
        </w:rPr>
        <w:t>haut risque maternel</w:t>
      </w:r>
      <w:r>
        <w:t xml:space="preserve"> — la décision de maintien ou d'arrêt du tadalafil pendant la grossesse est multidisciplinaire.</w:t>
      </w:r>
    </w:p>
    <w:p>
      <w:r/>
      <w:r>
        <w:rPr>
          <w:b/>
        </w:rPr>
        <w:t>Posologie et Mode d'administration (Standard) :</w:t>
      </w:r>
      <w:r/>
    </w:p>
    <w:p>
      <w:pPr>
        <w:pStyle w:val="ListBullet"/>
      </w:pPr>
      <w:r>
        <w:t xml:space="preserve">Adulte — HTAP : </w:t>
      </w:r>
      <w:r>
        <w:rPr>
          <w:b/>
        </w:rPr>
        <w:t>40 mg/j</w:t>
      </w:r>
      <w:r>
        <w:t xml:space="preserve"> en une prise (Adcirca® — 2 × 20 mg comprimés en une prise le matin à heure fixe). Dose initiale 20 mg/j pendant 1-2 semaines puis titration à 40 mg/j si tolérance. En Algérie, prescription hors AMM avec 2 × comprimés à 20 mg en une prise matinale.</w:t>
      </w:r>
    </w:p>
    <w:p>
      <w:pPr>
        <w:pStyle w:val="ListBullet"/>
      </w:pPr>
      <w:r>
        <w:t>Adulte — DE : (i) à la demande : 10-20 mg avant l'activité sexuelle (max 1 prise/24 h) ; (ii) quotidienne : 2,5-5 mg/j en continu à heure fixe.</w:t>
      </w:r>
    </w:p>
    <w:p>
      <w:pPr>
        <w:pStyle w:val="ListBullet"/>
      </w:pPr>
      <w:r>
        <w:t xml:space="preserve">Adulte — HBP : </w:t>
      </w:r>
      <w:r>
        <w:rPr>
          <w:b/>
        </w:rPr>
        <w:t>5 mg/j</w:t>
      </w:r>
      <w:r>
        <w:t xml:space="preserve"> à heure fixe (effet complet après 4-6 semaines).</w:t>
      </w:r>
    </w:p>
    <w:p>
      <w:pPr>
        <w:pStyle w:val="ListBullet"/>
      </w:pPr>
      <w:r>
        <w:t>Sujet âgé (&gt; 65 ans) : pas d'adaptation systématique (la demi-vie est allongée chez le sujet âgé, mais sans conséquence pratique aux doses recommandées).</w:t>
      </w:r>
    </w:p>
    <w:p>
      <w:pPr>
        <w:pStyle w:val="ListBullet"/>
      </w:pPr>
      <w:r>
        <w:t>Insuffisance hépatique (Child-Pugh A/B) : dose maximale 10 mg en DE à la demande (sans dépasser 1 prise/48-72 h) ; CI en insuffisance sévère.</w:t>
      </w:r>
    </w:p>
    <w:p>
      <w:pPr>
        <w:pStyle w:val="ListBullet"/>
      </w:pPr>
      <w:r>
        <w:t>Insuffisance rénale (DFG 30-50 mL/min) : dose maximale 10 mg en DE à la demande, espacement 48 h ; (DFG &lt; 30 mL/min) : CI en DE à la demande ; 5 mg/j quotidien avec surveillance.</w:t>
      </w:r>
    </w:p>
    <w:p>
      <w:pPr>
        <w:pStyle w:val="ListBullet"/>
      </w:pPr>
      <w:r>
        <w:t>Enfant : non indiqué.</w:t>
      </w:r>
    </w:p>
    <w:p>
      <w:pPr>
        <w:pStyle w:val="ListBullet"/>
      </w:pPr>
      <w:r>
        <w:t xml:space="preserve">Durée : </w:t>
      </w:r>
      <w:r>
        <w:rPr>
          <w:b/>
        </w:rPr>
        <w:t>au long cours</w:t>
      </w:r>
      <w:r>
        <w:t xml:space="preserve"> (HTAP, HBP, DE quotidienne) ; </w:t>
      </w:r>
      <w:r>
        <w:rPr>
          <w:b/>
        </w:rPr>
        <w:t>à la demande</w:t>
      </w:r>
      <w:r>
        <w:t xml:space="preserve"> (DE).</w:t>
      </w:r>
    </w:p>
    <w:p>
      <w:pPr>
        <w:pStyle w:val="ListBullet"/>
      </w:pPr>
      <w:r>
        <w:t>Moment de prise : (i) HTAP : 1 prise le matin à heure fixe (1 h avant ou 2 h après le petit-déjeuner) ; (ii) DE à la demande : 1 h avant l'activité ; (iii) DE/HBP quotidienne : à heure fixe (matin ou soir).</w:t>
      </w:r>
    </w:p>
    <w:p>
      <w:r/>
      <w:r>
        <w:rPr>
          <w:b/>
        </w:rPr>
        <w:t>Arbitrage et Bénéfices des Formes Galéniques :</w:t>
      </w:r>
      <w:r/>
    </w:p>
    <w:p>
      <w:r>
        <w:t xml:space="preserve">Le tadalafil est disponible en Algérie en comprimés pelliculés à </w:t>
      </w:r>
      <w:r>
        <w:rPr>
          <w:b/>
        </w:rPr>
        <w:t>2,5 mg</w:t>
      </w:r>
      <w:r>
        <w:t xml:space="preserve"> (1 marque — CIAFAL), </w:t>
      </w:r>
      <w:r>
        <w:rPr>
          <w:b/>
        </w:rPr>
        <w:t>5 mg</w:t>
      </w:r>
      <w:r>
        <w:t xml:space="preserve"> (9 marques — indications DE quotidienne et HBP) et </w:t>
      </w:r>
      <w:r>
        <w:rPr>
          <w:b/>
        </w:rPr>
        <w:t>20 mg</w:t>
      </w:r>
      <w:r>
        <w:t xml:space="preserve"> (11 marques — indications DE à la demande et HTAP). Pour l'indication HTAP en Algérie, le patient reçoit </w:t>
      </w:r>
      <w:r>
        <w:rPr>
          <w:b/>
        </w:rPr>
        <w:t>2 × comprimés à 20 mg en une prise</w:t>
      </w:r>
      <w:r>
        <w:t xml:space="preserve"> (40 mg/j) — pas de problème de fractionnement (contrairement au sildénafil qui nécessite de couper des comprimés). La disponibilité d'une </w:t>
      </w:r>
      <w:r>
        <w:rPr>
          <w:b/>
        </w:rPr>
        <w:t>dose unique quotidienne</w:t>
      </w:r>
      <w:r>
        <w:t xml:space="preserve"> (vs 3 prises/j pour le sildénafil) est un </w:t>
      </w:r>
      <w:r>
        <w:rPr>
          <w:b/>
        </w:rPr>
        <w:t>avantage majeur d'observance</w:t>
      </w:r>
      <w:r>
        <w:t xml:space="preserve"> dans l'HTAP chronique. La spécialité </w:t>
      </w:r>
      <w:r>
        <w:rPr>
          <w:b/>
        </w:rPr>
        <w:t>TABLAFIL</w:t>
      </w:r>
      <w:r>
        <w:t xml:space="preserve"> (Tabuk Algérie) à 20 mg est en </w:t>
      </w:r>
      <w:r>
        <w:rPr>
          <w:b/>
        </w:rPr>
        <w:t>Liste II</w:t>
      </w:r>
      <w:r>
        <w:t xml:space="preserve"> (particularité — alors que les autres marques sont en Liste I), ce qui peut faciliter la dispensation dans certains contextes. Le Cialis® princeps (Eli Lilly) et deux génériques (Gentix, Erexyl, Acalys) sont retirés/non renouvelables — substituer par un générique actif.</w:t>
      </w:r>
    </w:p>
    <w:p>
      <w:r/>
      <w:r>
        <w:rPr>
          <w:b/>
        </w:rPr>
        <w:t>Instructions et Conseils au Patient :</w:t>
      </w:r>
      <w:r/>
    </w:p>
    <w:p>
      <w:pPr>
        <w:pStyle w:val="ListBullet"/>
      </w:pPr>
      <w:r>
        <w:t xml:space="preserve">Communication au comptoir : </w:t>
      </w:r>
      <w:r>
        <w:rPr>
          <w:b/>
        </w:rPr>
        <w:t>interroger systématiquement</w:t>
      </w:r>
      <w:r>
        <w:t xml:space="preserve"> sur l'indication (HTAP, DE, HBP), les traitements associés (nitrés, α-bloquants, bosentan), les antécédents cardiovasculaires. En cas d'oubli (HTAP ou DE/HBP quotidienne) : ne pas doubler la dose, la prendre si &lt; 12 h de retard, sinon l'ignorer. En cas de douleur thoracique : </w:t>
      </w:r>
      <w:r>
        <w:rPr>
          <w:b/>
        </w:rPr>
        <w:t>ne jamais prendre de trinitrine avant 48 h</w:t>
      </w:r>
      <w:r>
        <w:t xml:space="preserve"> de la dernière prise de tadalafil (vs 24 h pour le sildénafil — à bien retenir). Signes d'alerte : priapisme &gt; 4 h, baisse brutale de l'acuité visuelle (NAION), surdité brutale, douleurs dorsales persistantes.</w:t>
      </w:r>
    </w:p>
    <w:p>
      <w:pPr>
        <w:pStyle w:val="ListBullet"/>
      </w:pPr>
      <w:r>
        <w:t>Mode d'utilisation pratique : 1 prise par jour à heure fixe (HTAP, DE/HBP quotidienne) ou à la demande 1 h avant l'activité (DE). À jeun ou après repas (l'effet alimentaire est minime).</w:t>
      </w:r>
    </w:p>
    <w:p>
      <w:r/>
      <w:r>
        <w:rPr>
          <w:b/>
        </w:rPr>
        <w:t>Notes, Règles d'Or &amp; Pièges au Comptoir :</w:t>
      </w:r>
      <w:r/>
    </w:p>
    <w:p>
      <w:pPr>
        <w:pStyle w:val="ListBullet"/>
      </w:pPr>
      <w:r>
        <w:t xml:space="preserve">Piège classique : (i) oubli de recherche de </w:t>
      </w:r>
      <w:r>
        <w:rPr>
          <w:b/>
        </w:rPr>
        <w:t>nitrés</w:t>
      </w:r>
      <w:r>
        <w:t xml:space="preserve"> chez le patient coronarien — </w:t>
      </w:r>
      <w:r>
        <w:rPr>
          <w:b/>
        </w:rPr>
        <w:t>CI absolue, espacement 48 h (vs 24 h pour le sildénafil)</w:t>
      </w:r>
      <w:r>
        <w:t xml:space="preserve"> ; (ii) oubli de recherche d'</w:t>
      </w:r>
      <w:r>
        <w:rPr>
          <w:b/>
        </w:rPr>
        <w:t>α-bloquants</w:t>
      </w:r>
      <w:r>
        <w:t xml:space="preserve"> (risque d'hypotension orthostatique majeure, surtout avec doxazosine) ; (iii) prise de </w:t>
      </w:r>
      <w:r>
        <w:rPr>
          <w:b/>
        </w:rPr>
        <w:t>poppers</w:t>
      </w:r>
      <w:r>
        <w:t xml:space="preserve"> — CI absolue ; (iv) confusion entre les indications (DE 20 mg à la demande vs HTAP 40 mg/j en une prise vs DE quotidienne 5 mg/j vs HBP 5 mg/j) — toujours vérifier l'ordonnance ; (v) substitution d'une marque retirée (Cialis, Erexyl, Acalys, Gentix) par un générique actif à 20 mg.</w:t>
      </w:r>
    </w:p>
    <w:p>
      <w:pPr>
        <w:pStyle w:val="ListBullet"/>
      </w:pPr>
      <w:r>
        <w:t>Règle de prise : 1 prise par jour à heure fixe (HTAP, DE quotidienne, HBP) ; 1 prise à la demande 1 h avant l'activité (DE).</w:t>
      </w:r>
    </w:p>
    <w:p>
      <w:pPr>
        <w:pStyle w:val="ListBullet"/>
      </w:pPr>
      <w:r>
        <w:t>Préparation et Conservation : température ambiante ≤ 25°C, à l'abri de l'humidité.</w:t>
      </w:r>
    </w:p>
    <w:p>
      <w:pPr>
        <w:pStyle w:val="ListBullet"/>
      </w:pPr>
      <w:r>
        <w:t>Piège du surdosage / Substitution : surdosage → hypotension sévère, priapisme — traitement symptomatique. Substitution entre les 11 marques de tadalafil à 20 mg possible sans surveillance particulière (bioéquivalence). Substitution entre Cialis princeps (retiré) et un générique actif à 20 mg — sans problème.</w:t>
      </w:r>
    </w:p>
    <w:p>
      <w:pPr>
        <w:pStyle w:val="Heading2"/>
      </w:pPr>
      <w:r>
        <w:t>8. Introduction à la sous-classe des stimulateurs de la guanylate cyclase soluble (sGC)</w:t>
      </w:r>
    </w:p>
    <w:p>
      <w:pPr>
        <w:pStyle w:val="Heading3"/>
      </w:pPr>
      <w:r>
        <w:t>La sGC et sa stimulation directe</w:t>
      </w:r>
    </w:p>
    <w:p>
      <w:r>
        <w:t xml:space="preserve">La </w:t>
      </w:r>
      <w:r>
        <w:rPr>
          <w:b/>
        </w:rPr>
        <w:t>guanylate cyclase soluble (sGC)</w:t>
      </w:r>
      <w:r>
        <w:t xml:space="preserve"> est une </w:t>
      </w:r>
      <w:r>
        <w:rPr>
          <w:b/>
        </w:rPr>
        <w:t>hétéérodimère hémoprotéique</w:t>
      </w:r>
      <w:r>
        <w:t xml:space="preserve"> cytosolique (α1β1 ou α2β1) exprimée dans les CML-VP (et les plaquettes). L'hème de la sous-unité β1 joue un rôle central : le </w:t>
      </w:r>
      <w:r>
        <w:rPr>
          <w:b/>
        </w:rPr>
        <w:t>NO</w:t>
      </w:r>
      <w:r>
        <w:t xml:space="preserve"> endogène se lie à l'atome de </w:t>
      </w:r>
      <w:r>
        <w:rPr>
          <w:b/>
        </w:rPr>
        <w:t>fer Fe²⁺</w:t>
      </w:r>
      <w:r>
        <w:t xml:space="preserve"> de l'hème, ce qui déclenche un changement conformationnel activant l'enzyme, qui convertit le </w:t>
      </w:r>
      <w:r>
        <w:rPr>
          <w:b/>
        </w:rPr>
        <w:t>GTP en GMPc</w:t>
      </w:r>
      <w:r>
        <w:t>. Le GMPc active la PKG → relaxation des CML-VP.</w:t>
      </w:r>
    </w:p>
    <w:p>
      <w:r>
        <w:t>Dans l'</w:t>
      </w:r>
      <w:r>
        <w:rPr>
          <w:b/>
        </w:rPr>
        <w:t>HTAP</w:t>
      </w:r>
      <w:r>
        <w:t xml:space="preserve">, la voie NO-sGC est </w:t>
      </w:r>
      <w:r>
        <w:rPr>
          <w:b/>
        </w:rPr>
        <w:t>diminuée</w:t>
      </w:r>
      <w:r>
        <w:t xml:space="preserve"> (faible expression de eNOS, défaut d'activation de la sGC, augmentation du stress oxydatif qui inactive le NO en peroxynitrite ONOO⁻, oxydation de l'hème Fe²⁺ en Fe³⁺ — état insensible au NO). Deux stratégies pharmacologiques complémentaires sont possibles :</w:t>
      </w:r>
    </w:p>
    <w:p>
      <w:pPr>
        <w:pStyle w:val="ListNumber"/>
      </w:pPr>
      <w:r/>
      <w:r>
        <w:rPr>
          <w:b/>
        </w:rPr>
        <w:t>Inhiber la PDE5</w:t>
      </w:r>
      <w:r>
        <w:t xml:space="preserve"> pour préserver le GMPc produit par le NO résiduel (sildénafil, tadalafil — cf. chapitre précédent).</w:t>
      </w:r>
    </w:p>
    <w:p>
      <w:pPr>
        <w:pStyle w:val="ListNumber"/>
      </w:pPr>
      <w:r/>
      <w:r>
        <w:rPr>
          <w:b/>
        </w:rPr>
        <w:t>Stimuler directement la sGC</w:t>
      </w:r>
      <w:r>
        <w:t xml:space="preserve"> indépendamment du NO et en synergie avec le NO résiduel (riociguat) — utile lorsque la voie NO est très altérée.</w:t>
      </w:r>
    </w:p>
    <w:p>
      <w:pPr>
        <w:pStyle w:val="Heading3"/>
      </w:pPr>
      <w:r>
        <w:t>Le riociguat — premier stimulateur de la sGC</w:t>
      </w:r>
    </w:p>
    <w:p>
      <w:r>
        <w:t xml:space="preserve">Le </w:t>
      </w:r>
      <w:r>
        <w:rPr>
          <w:b/>
        </w:rPr>
        <w:t>riociguat</w:t>
      </w:r>
      <w:r>
        <w:t xml:space="preserve"> (BAY 63-2521, Adempas® — Bayer) est le </w:t>
      </w:r>
      <w:r>
        <w:rPr>
          <w:b/>
        </w:rPr>
        <w:t>premier et unique</w:t>
      </w:r>
      <w:r>
        <w:t xml:space="preserve"> stimulateur de la sGC commercialisé. Il a une </w:t>
      </w:r>
      <w:r>
        <w:rPr>
          <w:b/>
        </w:rPr>
        <w:t>double action</w:t>
      </w:r>
      <w:r>
        <w:t xml:space="preserve"> : (i) il </w:t>
      </w:r>
      <w:r>
        <w:rPr>
          <w:b/>
        </w:rPr>
        <w:t>stimule la sGC</w:t>
      </w:r>
      <w:r>
        <w:t xml:space="preserve"> de façon </w:t>
      </w:r>
      <w:r>
        <w:rPr>
          <w:b/>
        </w:rPr>
        <w:t>NO-indépendante</w:t>
      </w:r>
      <w:r>
        <w:t xml:space="preserve"> (en se liant à un site allostérique de l'enzyme, augmentant la sensibilité de la sGC au NO endogène et activant l'enzyme en absence de NO) ; (ii) il </w:t>
      </w:r>
      <w:r>
        <w:rPr>
          <w:b/>
        </w:rPr>
        <w:t>potentialise l'effet du NO</w:t>
      </w:r>
      <w:r>
        <w:t xml:space="preserve"> endogène (augmentation de la production de GMPc pour une même concentration de NO).</w:t>
      </w:r>
    </w:p>
    <w:p>
      <w:r>
        <w:t xml:space="preserve">Pharmacocinétiquement, le riociguat est administré par </w:t>
      </w:r>
      <w:r>
        <w:rPr>
          <w:b/>
        </w:rPr>
        <w:t>voie orale</w:t>
      </w:r>
      <w:r>
        <w:t xml:space="preserve"> (comprimés pelliculés à 0,5 mg, 1 mg, 1,5 mg, 2 mg, 2,5 mg — à noter la </w:t>
      </w:r>
      <w:r>
        <w:rPr>
          <w:b/>
        </w:rPr>
        <w:t>typographie du fichier de nomenclature algérienne</w:t>
      </w:r>
      <w:r>
        <w:t xml:space="preserve"> mentionne « COMRIME PELLICULE » qui est une coquille pour « comprimé pelliculé »), avec une biodisponibilité d'environ 75 %, un Tmax de 1-1,5 h et une demi-vie de 7 h justifiant une administration </w:t>
      </w:r>
      <w:r>
        <w:rPr>
          <w:b/>
        </w:rPr>
        <w:t>triquotidienne</w:t>
      </w:r>
      <w:r>
        <w:t xml:space="preserve"> (matin, midi, soir). Le métabolisme est hépatique par le </w:t>
      </w:r>
      <w:r>
        <w:rPr>
          <w:b/>
        </w:rPr>
        <w:t>CYP3A4</w:t>
      </w:r>
      <w:r>
        <w:t xml:space="preserve"> (mineur), et principalement par </w:t>
      </w:r>
      <w:r>
        <w:rPr>
          <w:b/>
        </w:rPr>
        <w:t>CYP1A1</w:t>
      </w:r>
      <w:r>
        <w:t xml:space="preserve"> (enzyme pulmonaire et hépatique), et par </w:t>
      </w:r>
      <w:r>
        <w:rPr>
          <w:b/>
        </w:rPr>
        <w:t>CYP2C8</w:t>
      </w:r>
      <w:r>
        <w:t>. L'élimination est biliaire et rénale.</w:t>
      </w:r>
    </w:p>
    <w:p>
      <w:pPr>
        <w:pStyle w:val="Heading3"/>
      </w:pPr>
      <w:r>
        <w:t>Indications du riociguat</w:t>
      </w:r>
    </w:p>
    <w:p>
      <w:r>
        <w:t xml:space="preserve">Le riociguat a obtenu l'AMM européenne en 2014 pour deux indications : (i) </w:t>
      </w:r>
      <w:r>
        <w:rPr>
          <w:b/>
        </w:rPr>
        <w:t>HTAP persistante</w:t>
      </w:r>
      <w:r>
        <w:t xml:space="preserve"> ou récidivante après traitement chirurgical (endartériectomie pulmonaire) ou en cas d'HTAP thromboembolique chronique (HTPTEC) inopérable (Groupe 4 de la classification de Nice — étude CHEST-1) ; (ii) </w:t>
      </w:r>
      <w:r>
        <w:rPr>
          <w:b/>
        </w:rPr>
        <w:t>HTAP (Groupe 1)</w:t>
      </w:r>
      <w:r>
        <w:t xml:space="preserve"> de classe fonctionnelle OMS II-III (étude PATENT-1). Cette double indication (HTAP et HTPTEC) est </w:t>
      </w:r>
      <w:r>
        <w:rPr>
          <w:b/>
        </w:rPr>
        <w:t>unique</w:t>
      </w:r>
      <w:r>
        <w:t xml:space="preserve"> dans l'arsenal thérapeutique de l'HTAP — les autres vasodilatateurs pulmonaires ne sont indiqués que dans l'HTAP Groupe 1. L'extension aux HTPTEC est un progrès majeur car il s'agissait d'une population sans traitement spécifique médicamenteux avant le riociguat (seule l'endartériectomie pulmonaire chirurgicale pouvait proposer une guérison).</w:t>
      </w:r>
    </w:p>
    <w:p>
      <w:pPr>
        <w:pStyle w:val="Heading3"/>
      </w:pPr>
      <w:r>
        <w:t>CI absolue majeure : association avec PDE5 et nitrés</w:t>
      </w:r>
    </w:p>
    <w:p>
      <w:r>
        <w:t xml:space="preserve">Le riociguat stimulant la sGC et augmentant le GMPc, son association avec les </w:t>
      </w:r>
      <w:r>
        <w:rPr>
          <w:b/>
        </w:rPr>
        <w:t>inhibiteurs de la PDE5</w:t>
      </w:r>
      <w:r>
        <w:t xml:space="preserve"> (sildénafil, tadalafil, vardénafil, avanafil) ou les </w:t>
      </w:r>
      <w:r>
        <w:rPr>
          <w:b/>
        </w:rPr>
        <w:t>dérivés nitrés</w:t>
      </w:r>
      <w:r>
        <w:t xml:space="preserve"> (trinitrine, isosorbide, dinitrate d'isosorbide, molsidomine, nitroprussiate) est une </w:t>
      </w:r>
      <w:r>
        <w:rPr>
          <w:b/>
        </w:rPr>
        <w:t>CI absolue</w:t>
      </w:r>
      <w:r>
        <w:t xml:space="preserve"> — majoration massive du GMPc → hypotension artérielle sévère, potentiellement létale. Cette CI est fondamentale : les patients HTAP traités par sildénafil ou tadalafil qui progressent (escalade thérapeutique vers le riociguat) doivent </w:t>
      </w:r>
      <w:r>
        <w:rPr>
          <w:b/>
        </w:rPr>
        <w:t>arrêter l'inhibiteur de PDE5 avant l'initiation du riociguat</w:t>
      </w:r>
      <w:r>
        <w:t xml:space="preserve"> (période de wash-out d'au moins 24 h pour le sildénafil et 48 h pour le tadalafil, selon les demi-vies). En cas de surdosage ou de prise accidentelle, le traitement est symptomatique (remplissage vasculaire, vasopresseurs).</w:t>
      </w:r>
    </w:p>
    <w:p>
      <w:pPr>
        <w:pStyle w:val="Heading2"/>
      </w:pPr>
      <w:r>
        <w:t>9. Fiche DCI — Stimulateur de la guanylate cyclase soluble</w:t>
      </w:r>
    </w:p>
    <w:p>
      <w:pPr>
        <w:pStyle w:val="Heading3"/>
      </w:pPr>
      <w:r>
        <w:t>7. DCI : Riociguat (Adempas®)</w:t>
      </w:r>
    </w:p>
    <w:p>
      <w:r/>
      <w:r>
        <w:rPr>
          <w:b/>
        </w:rPr>
        <w:t>Liste des Catégories :</w:t>
      </w:r>
      <w:r>
        <w:t xml:space="preserve"> Stimulateur de la guanylate cyclase soluble (sGC) — HTAP et HTPTEC — Voie orale — Liste I — Prescription hospitalière spécialisée.</w:t>
      </w:r>
    </w:p>
    <w:p>
      <w:r>
        <w:t xml:space="preserve">Le </w:t>
      </w:r>
      <w:r>
        <w:rPr>
          <w:b/>
        </w:rPr>
        <w:t>riociguat</w:t>
      </w:r>
      <w:r>
        <w:t xml:space="preserve"> est administré par voie </w:t>
      </w:r>
      <w:r>
        <w:rPr>
          <w:b/>
        </w:rPr>
        <w:t>orale</w:t>
      </w:r>
      <w:r>
        <w:t xml:space="preserve"> (comprimés pelliculés à 0,5 mg, 1 mg, 1,5 mg, 2 mg, 2,5 mg) en </w:t>
      </w:r>
      <w:r>
        <w:rPr>
          <w:b/>
        </w:rPr>
        <w:t>triquotidien</w:t>
      </w:r>
      <w:r>
        <w:t xml:space="preserve"> (matin, midi, soir, à heure fixe, à distance des repas). Sa biodisponibilité est d'environ 75 %, son Tmax est de 1-1,5 h, et sa demi-vie d'élimination est de 7 h justifiant la fréquence triquotidienne. Le métabolisme est hépatique par le </w:t>
      </w:r>
      <w:r>
        <w:rPr>
          <w:b/>
        </w:rPr>
        <w:t>CYP3A4</w:t>
      </w:r>
      <w:r>
        <w:t xml:space="preserve"> (mineur), </w:t>
      </w:r>
      <w:r>
        <w:rPr>
          <w:b/>
        </w:rPr>
        <w:t>CYP1A1</w:t>
      </w:r>
      <w:r>
        <w:t xml:space="preserve"> (principal, enzyme pulmonaire et hépatique inductible par le tabac), et </w:t>
      </w:r>
      <w:r>
        <w:rPr>
          <w:b/>
        </w:rPr>
        <w:t>CYP2C8</w:t>
      </w:r>
      <w:r>
        <w:t>. L'élimination est biliaire (~40-50 %) et rénale (~40-50 %). Le riociguat est l'unique représentant de la classe des stimulateurs de la sGC, indiqué dans l'</w:t>
      </w:r>
      <w:r>
        <w:rPr>
          <w:b/>
        </w:rPr>
        <w:t>HTAP (Groupe 1)</w:t>
      </w:r>
      <w:r>
        <w:t xml:space="preserve"> et l'</w:t>
      </w:r>
      <w:r>
        <w:rPr>
          <w:b/>
        </w:rPr>
        <w:t>HTPTEC inopérable ou persistante post-endartériectomie (Groupe 4)</w:t>
      </w:r>
      <w:r>
        <w:t xml:space="preserve">. La particularité pharmacologique du riociguat est sa </w:t>
      </w:r>
      <w:r>
        <w:rPr>
          <w:b/>
        </w:rPr>
        <w:t>double action</w:t>
      </w:r>
      <w:r>
        <w:t xml:space="preserve"> sur la sGC : stimulation NO-indépendante + potentialisation du NO endogène. Cette synergie avec le NO endogène explique la </w:t>
      </w:r>
      <w:r>
        <w:rPr>
          <w:b/>
        </w:rPr>
        <w:t>CI absolue</w:t>
      </w:r>
      <w:r>
        <w:t xml:space="preserve"> avec les inhibiteurs de la PDE5 (qui augmentent aussi le GMPc par une autre voie) et les dérivés nitrés (qui fournissent du NO exogène).</w:t>
      </w:r>
    </w:p>
    <w:p>
      <w:r/>
      <w:r>
        <w:rPr>
          <w:b/>
        </w:rPr>
        <w:t>Médicaments disponibles en Algérie (Marques, Laboratoires, Formes et Dosages) :</w:t>
      </w:r>
      <w:r/>
    </w:p>
    <w:p>
      <w:pPr>
        <w:pStyle w:val="ListBullet"/>
      </w:pPr>
      <w:r/>
      <w:r>
        <w:rPr>
          <w:b/>
        </w:rPr>
        <w:t>ADEMPAS</w:t>
      </w:r>
      <w:r>
        <w:t xml:space="preserve"> (BAYER AG — princeps)</w:t>
      </w:r>
    </w:p>
    <w:p>
      <w:pPr>
        <w:pStyle w:val="ListBullet"/>
      </w:pPr>
      <w:r>
        <w:t>Formes et Dosages : Comprimé pelliculé — 0,5 mg (B/42) ; Comprimé pelliculé — 1 mg (B/42) ; Comprimé pelliculé — 1,5 mg (B/42) ; Comprimé pelliculé — 2 mg (B/42) ; Comprimé pelliculé — 2,5 mg (B/42).</w:t>
      </w:r>
    </w:p>
    <w:p>
      <w:pPr>
        <w:pStyle w:val="ListBullet"/>
      </w:pPr>
      <w:r>
        <w:t>Statut : Actif (LISTE I — prescription hospitalière spécialisée pneumologie/cardiologie).</w:t>
      </w:r>
    </w:p>
    <w:p>
      <w:pPr>
        <w:pStyle w:val="ListBullet"/>
      </w:pPr>
      <w:r>
        <w:t>Remarque : la nomenclature algérienne mentionne « COMRIME PELLICULE » (coquille typographique pour « comprimé pelliculé ») — à ne pas confondre avec une autre forme galénique. Le conditionnement B/42 correspond à 2 semaines de traitement (28 j × 1,5 cp/j × 3 prises/j = 42 cp).</w:t>
      </w:r>
    </w:p>
    <w:p>
      <w:r/>
      <w:r>
        <w:rPr>
          <w:b/>
        </w:rPr>
        <w:t>Sous-classe et Mécanisme d'action :</w:t>
      </w:r>
      <w:r/>
    </w:p>
    <w:p>
      <w:pPr>
        <w:pStyle w:val="ListBullet"/>
      </w:pPr>
      <w:r>
        <w:t xml:space="preserve">Sous-classe : </w:t>
      </w:r>
      <w:r>
        <w:rPr>
          <w:b/>
        </w:rPr>
        <w:t>Stimulateur de la guanylate cyclase soluble (sGC)</w:t>
      </w:r>
      <w:r>
        <w:t xml:space="preserve"> — premier et unique représentant de la classe, indiqué dans l'HTAP (Groupe 1) et l'HTPTEC (Groupe 4) — voie orale, prescription hospitalière spécialisée.</w:t>
      </w:r>
    </w:p>
    <w:p>
      <w:pPr>
        <w:pStyle w:val="ListBullet"/>
      </w:pPr>
      <w:r>
        <w:t xml:space="preserve">Mécanisme d'action : le riociguat se lie à un </w:t>
      </w:r>
      <w:r>
        <w:rPr>
          <w:b/>
        </w:rPr>
        <w:t>site allostérique</w:t>
      </w:r>
      <w:r>
        <w:t xml:space="preserve"> de la sGC (sous-unité α1 ou β1) et exerce une </w:t>
      </w:r>
      <w:r>
        <w:rPr>
          <w:b/>
        </w:rPr>
        <w:t>double action</w:t>
      </w:r>
      <w:r>
        <w:t xml:space="preserve"> : (i) il </w:t>
      </w:r>
      <w:r>
        <w:rPr>
          <w:b/>
        </w:rPr>
        <w:t>stimule la sGC</w:t>
      </w:r>
      <w:r>
        <w:t xml:space="preserve"> de façon </w:t>
      </w:r>
      <w:r>
        <w:rPr>
          <w:b/>
        </w:rPr>
        <w:t>NO-indépendante</w:t>
      </w:r>
      <w:r>
        <w:t xml:space="preserve"> — l'enzyme active convertit le GTP en GMPc même en l'absence de NO endogène (utile lorsque la voie NO est très altérée dans l'HTAP évoluée) ; (ii) il </w:t>
      </w:r>
      <w:r>
        <w:rPr>
          <w:b/>
        </w:rPr>
        <w:t>potentialise l'effet du NO</w:t>
      </w:r>
      <w:r>
        <w:t xml:space="preserve"> endogène — la sensibilité de la sGC au NO est augmentée (effet synergique avec le NO résiduel). L'augmentation du GMPc active la </w:t>
      </w:r>
      <w:r>
        <w:rPr>
          <w:b/>
        </w:rPr>
        <w:t>PKG</w:t>
      </w:r>
      <w:r>
        <w:t xml:space="preserve"> qui médie la relaxation des CML-VP via : (i) phosphorylation de la phospholamban → activation de la SERCA → reprise du Ca²⁺ sarcoplasmique ; (ii) activation des canaux </w:t>
      </w:r>
      <w:r>
        <w:rPr>
          <w:b/>
        </w:rPr>
        <w:t>BKCa</w:t>
      </w:r>
      <w:r>
        <w:t xml:space="preserve"> → hyperpolarisation membranaire → fermeture des canaux Ca²⁺ voltage-dépendants ; (iii) inhibition de la </w:t>
      </w:r>
      <w:r>
        <w:rPr>
          <w:b/>
        </w:rPr>
        <w:t>MLCK</w:t>
      </w:r>
      <w:r>
        <w:t xml:space="preserve"> → déphosphorylation de la MLC. Le résultat net est une </w:t>
      </w:r>
      <w:r>
        <w:rPr>
          <w:b/>
        </w:rPr>
        <w:t>vasodilatation pulmonaire</w:t>
      </w:r>
      <w:r>
        <w:t xml:space="preserve"> (baisse des RVP, augmentation du débit cardiaque) et une </w:t>
      </w:r>
      <w:r>
        <w:rPr>
          <w:b/>
        </w:rPr>
        <w:t>inhibition de la prolifération</w:t>
      </w:r>
      <w:r>
        <w:t xml:space="preserve"> des CML-VP (effet antiprolifératif et antifibrotique). Le riociguat a également des effets </w:t>
      </w:r>
      <w:r>
        <w:rPr>
          <w:b/>
        </w:rPr>
        <w:t>antiagrégants plaquettaires</w:t>
      </w:r>
      <w:r>
        <w:t xml:space="preserve"> (la sGC est exprimée dans les plaquettes).</w:t>
      </w:r>
    </w:p>
    <w:p>
      <w:r/>
      <w:r>
        <w:rPr>
          <w:b/>
        </w:rPr>
        <w:t>Profil Pharmacologique :</w:t>
      </w:r>
      <w:r/>
    </w:p>
    <w:p>
      <w:pPr>
        <w:pStyle w:val="ListBullet"/>
      </w:pPr>
      <w:r>
        <w:t xml:space="preserve">Indications : (i) </w:t>
      </w:r>
      <w:r>
        <w:rPr>
          <w:b/>
        </w:rPr>
        <w:t>HTAP (Groupe 1 de la classification de Nice)</w:t>
      </w:r>
      <w:r>
        <w:t xml:space="preserve"> de classe fonctionnelle OMS II-III — en monothérapie ; (ii) </w:t>
      </w:r>
      <w:r>
        <w:rPr>
          <w:b/>
        </w:rPr>
        <w:t>HTPTEC (Groupe 4) inopérable</w:t>
      </w:r>
      <w:r>
        <w:t xml:space="preserve"> ou </w:t>
      </w:r>
      <w:r>
        <w:rPr>
          <w:b/>
        </w:rPr>
        <w:t>persistante/récidivante après endartériectomie pulmonaire chirurgicale</w:t>
      </w:r>
      <w:r>
        <w:t xml:space="preserve"> (étude CHEST-1 — Ghofrani 2013 NEJM). Cette double indication est </w:t>
      </w:r>
      <w:r>
        <w:rPr>
          <w:b/>
        </w:rPr>
        <w:t>unique</w:t>
      </w:r>
      <w:r>
        <w:t xml:space="preserve"> dans l'arsenal thérapeutique de l'HTAP.</w:t>
      </w:r>
    </w:p>
    <w:p>
      <w:pPr>
        <w:pStyle w:val="ListBullet"/>
      </w:pPr>
      <w:r>
        <w:t xml:space="preserve">Contre-indications : </w:t>
      </w:r>
      <w:r>
        <w:rPr>
          <w:b/>
        </w:rPr>
        <w:t>CI absolue avec les inhibiteurs de la PDE5</w:t>
      </w:r>
      <w:r>
        <w:t xml:space="preserve"> (sildénafil, tadalafil, vardénafil, avanafil) — risque d'hypotension sévère par majoration massive du GMPc ; </w:t>
      </w:r>
      <w:r>
        <w:rPr>
          <w:b/>
        </w:rPr>
        <w:t>CI absolue avec les dérivés nitrés</w:t>
      </w:r>
      <w:r>
        <w:t xml:space="preserve"> (trinitrine, isosorbide, dinitrate d'isosorbide, molsidomine, nitroprussiate) — même mécanisme ; </w:t>
      </w:r>
      <w:r>
        <w:rPr>
          <w:b/>
        </w:rPr>
        <w:t>grossesse</w:t>
      </w:r>
      <w:r>
        <w:t xml:space="preserve"> (tératogène chez l'animal) — double contraception obligatoire, test β-hCG pré-thérapeutique et mensuel ; </w:t>
      </w:r>
      <w:r>
        <w:rPr>
          <w:b/>
        </w:rPr>
        <w:t>allaitement</w:t>
      </w:r>
      <w:r>
        <w:t xml:space="preserve"> ; </w:t>
      </w:r>
      <w:r>
        <w:rPr>
          <w:b/>
        </w:rPr>
        <w:t>insuffisance hépatique sévère</w:t>
      </w:r>
      <w:r>
        <w:t xml:space="preserve"> (Child-Pugh C) ; </w:t>
      </w:r>
      <w:r>
        <w:rPr>
          <w:b/>
        </w:rPr>
        <w:t>insuffisance rénale sévère</w:t>
      </w:r>
      <w:r>
        <w:t xml:space="preserve"> (DFG &lt; 15 mL/min) ou dialyse.</w:t>
      </w:r>
    </w:p>
    <w:p>
      <w:pPr>
        <w:pStyle w:val="ListBullet"/>
      </w:pPr>
      <w:r>
        <w:t xml:space="preserve">Effets Indésirables : </w:t>
      </w:r>
      <w:r>
        <w:rPr>
          <w:b/>
        </w:rPr>
        <w:t>hypotension artérielle</w:t>
      </w:r>
      <w:r>
        <w:t xml:space="preserve"> (10 % — le plus fréquent, lié à la vasodilatation systémique) ; </w:t>
      </w:r>
      <w:r>
        <w:rPr>
          <w:b/>
        </w:rPr>
        <w:t>céphalées</w:t>
      </w:r>
      <w:r>
        <w:t xml:space="preserve"> (8-12 %) ; </w:t>
      </w:r>
      <w:r>
        <w:rPr>
          <w:b/>
        </w:rPr>
        <w:t>dyspepsie</w:t>
      </w:r>
      <w:r>
        <w:t xml:space="preserve"> et reflux gastro-œsophagien (5-8 % — le riociguat inhibe le tonus du sphincter inférieur de l'œsophage par relaxation des CML) ; </w:t>
      </w:r>
      <w:r>
        <w:rPr>
          <w:b/>
        </w:rPr>
        <w:t>flush</w:t>
      </w:r>
      <w:r>
        <w:t xml:space="preserve"> (5 %) ; </w:t>
      </w:r>
      <w:r>
        <w:rPr>
          <w:b/>
        </w:rPr>
        <w:t>nausées</w:t>
      </w:r>
      <w:r>
        <w:t xml:space="preserve"> (4 %) ; </w:t>
      </w:r>
      <w:r>
        <w:rPr>
          <w:b/>
        </w:rPr>
        <w:t>diarrhée</w:t>
      </w:r>
      <w:r>
        <w:t xml:space="preserve"> (3 %) ; </w:t>
      </w:r>
      <w:r>
        <w:rPr>
          <w:b/>
        </w:rPr>
        <w:t>vertiges</w:t>
      </w:r>
      <w:r>
        <w:t xml:space="preserve"> (3 %) ; </w:t>
      </w:r>
      <w:r>
        <w:rPr>
          <w:b/>
        </w:rPr>
        <w:t>anémie</w:t>
      </w:r>
      <w:r>
        <w:t xml:space="preserve"> modérée (baisse de l'Hb ~0,5-1 g/dL en moyenne, par dilution) ; rares cas de </w:t>
      </w:r>
      <w:r>
        <w:rPr>
          <w:b/>
        </w:rPr>
        <w:t>hémoptysie</w:t>
      </w:r>
      <w:r>
        <w:t xml:space="preserve"> (en particulier dans la population HTPTEC — à surveiller) ; très rares cas d'</w:t>
      </w:r>
      <w:r>
        <w:rPr>
          <w:b/>
        </w:rPr>
        <w:t>insuffisance hépatique</w:t>
      </w:r>
      <w:r>
        <w:t>.</w:t>
      </w:r>
    </w:p>
    <w:p>
      <w:r/>
      <w:r>
        <w:rPr>
          <w:b/>
        </w:rPr>
        <w:t>Prévention et Gestion des Effets Indésirables :</w:t>
      </w:r>
      <w:r/>
    </w:p>
    <w:p>
      <w:pPr>
        <w:pStyle w:val="ListBullet"/>
      </w:pPr>
      <w:r>
        <w:t xml:space="preserve">Mesures Préventives : </w:t>
      </w:r>
      <w:r>
        <w:rPr>
          <w:b/>
        </w:rPr>
        <w:t>initiation progressive avec titration</w:t>
      </w:r>
      <w:r>
        <w:t xml:space="preserve"> — débuter à 1 mg × 3/j pendant 2 semaines, puis ajuster à 1,5 mg × 3/j, puis 2 mg × 3/j, puis 2,5 mg × 3/j max selon la TA (règle : si TA systolique &gt; 95 mmHg, augmenter la dose de 0,5 mg × 3/j toutes les 2 semaines ; si TA systolique 90-95 mmHg, maintenir la dose ; si TA systolique &lt; 90 mmHg, diminuer la dose de 0,5 mg × 3/j ; si TA &lt; 85 mmHg, arrêt temporaire). </w:t>
      </w:r>
      <w:r>
        <w:rPr>
          <w:b/>
        </w:rPr>
        <w:t>Surveillance TA</w:t>
      </w:r>
      <w:r>
        <w:t xml:space="preserve"> régulière, en particulier pendant la titration. </w:t>
      </w:r>
      <w:r>
        <w:rPr>
          <w:b/>
        </w:rPr>
        <w:t>Test de grossesse pré-thérapeutique et mensuel</w:t>
      </w:r>
      <w:r>
        <w:t xml:space="preserve"> chez la femme en âge de procréer avec </w:t>
      </w:r>
      <w:r>
        <w:rPr>
          <w:b/>
        </w:rPr>
        <w:t>double contraception</w:t>
      </w:r>
      <w:r>
        <w:t xml:space="preserve"> pendant le traitement et </w:t>
      </w:r>
      <w:r>
        <w:rPr>
          <w:b/>
        </w:rPr>
        <w:t>1 mois après l'arrêt</w:t>
      </w:r>
      <w:r>
        <w:t>. Surveillance NFS (anémie) et fonction hépatique.</w:t>
      </w:r>
    </w:p>
    <w:p>
      <w:pPr>
        <w:pStyle w:val="ListBullet"/>
      </w:pPr>
      <w:r>
        <w:t xml:space="preserve">Conduite à Tenir : en cas d'hypotension, </w:t>
      </w:r>
      <w:r>
        <w:rPr>
          <w:b/>
        </w:rPr>
        <w:t>adaptation posologique</w:t>
      </w:r>
      <w:r>
        <w:t xml:space="preserve"> (réduction de dose, pause, arrêt temporaire). En cas de surdosage ou prise accidentelle avec un inhibiteur de PDE5 ou un dérivé nitré : </w:t>
      </w:r>
      <w:r>
        <w:rPr>
          <w:b/>
        </w:rPr>
        <w:t>hospitalisation urgente</w:t>
      </w:r>
      <w:r>
        <w:t>, traitement symptomatique (remplissage vasculaire, vasopresseurs type noradrénaline), surveillance hémodynamique continue. En cas de grossesse survenue : arrêt immédiat, échographie morphologique spécialisée, déclaration de pharmacovigilance.</w:t>
      </w:r>
    </w:p>
    <w:p>
      <w:r/>
      <w:r>
        <w:rPr>
          <w:b/>
        </w:rPr>
        <w:t>Interactions Importantes :</w:t>
      </w:r>
      <w:r/>
    </w:p>
    <w:p>
      <w:pPr>
        <w:pStyle w:val="ListBullet"/>
      </w:pPr>
      <w:r/>
      <w:r>
        <w:rPr>
          <w:b/>
        </w:rPr>
        <w:t>Riociguat + inhibiteurs de la PDE5 (sildénafil, tadalafil, vardénafil, avanafil)</w:t>
      </w:r>
      <w:r>
        <w:t xml:space="preserve"> : </w:t>
      </w:r>
      <w:r>
        <w:rPr>
          <w:b/>
        </w:rPr>
        <w:t>CI absolue</w:t>
      </w:r>
      <w:r>
        <w:t xml:space="preserve"> — majoration massive du GMPc → </w:t>
      </w:r>
      <w:r>
        <w:rPr>
          <w:b/>
        </w:rPr>
        <w:t>hypotension artérielle sévère, potentiellement létale</w:t>
      </w:r>
      <w:r>
        <w:t xml:space="preserve">. Avant d'initier un riociguat chez un patient déjà traité par inhibiteur de PDE5, faire un </w:t>
      </w:r>
      <w:r>
        <w:rPr>
          <w:b/>
        </w:rPr>
        <w:t>wash-out</w:t>
      </w:r>
      <w:r>
        <w:t xml:space="preserve"> de 24 h (sildénafil) à 48 h (tadalafil).</w:t>
      </w:r>
    </w:p>
    <w:p>
      <w:pPr>
        <w:pStyle w:val="ListBullet"/>
      </w:pPr>
      <w:r/>
      <w:r>
        <w:rPr>
          <w:b/>
        </w:rPr>
        <w:t>Riociguat + dérivés nitrés (trinitrine, isosorbide, dinitrate d'isosorbide, molsidomine, nitroprussiate)</w:t>
      </w:r>
      <w:r>
        <w:t xml:space="preserve"> : </w:t>
      </w:r>
      <w:r>
        <w:rPr>
          <w:b/>
        </w:rPr>
        <w:t>CI absolue</w:t>
      </w:r>
      <w:r>
        <w:t xml:space="preserve"> — même mécanisme.</w:t>
      </w:r>
    </w:p>
    <w:p>
      <w:pPr>
        <w:pStyle w:val="ListBullet"/>
      </w:pPr>
      <w:r/>
      <w:r>
        <w:rPr>
          <w:b/>
        </w:rPr>
        <w:t>Riociguat + donateur de NO (nitrite d'amyle — "poppers")</w:t>
      </w:r>
      <w:r>
        <w:t xml:space="preserve"> : </w:t>
      </w:r>
      <w:r>
        <w:rPr>
          <w:b/>
        </w:rPr>
        <w:t>CI absolue</w:t>
      </w:r>
      <w:r>
        <w:t>.</w:t>
      </w:r>
    </w:p>
    <w:p>
      <w:pPr>
        <w:pStyle w:val="ListBullet"/>
      </w:pPr>
      <w:r/>
      <w:r>
        <w:rPr>
          <w:b/>
        </w:rPr>
        <w:t>Riociguat + inhibiteurs puissants du CYP3A4/CYP2C8 (kétoconazole, itraconazole, clarithromycine, ritonavir, gemfibrozil)</w:t>
      </w:r>
      <w:r>
        <w:t xml:space="preserve"> : augmentation des concentrations de riociguat — débuter à 0,5 mg × 3/j, surveillance rapprochée.</w:t>
      </w:r>
    </w:p>
    <w:p>
      <w:pPr>
        <w:pStyle w:val="ListBullet"/>
      </w:pPr>
      <w:r/>
      <w:r>
        <w:rPr>
          <w:b/>
        </w:rPr>
        <w:t>Riociguat + inducteurs du CYP3A4/CYP1A1 (rifampicine, phénytoïne, carbamazépine, phénobarbital, millepertuis)</w:t>
      </w:r>
      <w:r>
        <w:t xml:space="preserve"> : baisse des concentrations de riociguat — éviter. Le </w:t>
      </w:r>
      <w:r>
        <w:rPr>
          <w:b/>
        </w:rPr>
        <w:t>tabac</w:t>
      </w:r>
      <w:r>
        <w:t xml:space="preserve"> est un inducteur puissant du </w:t>
      </w:r>
      <w:r>
        <w:rPr>
          <w:b/>
        </w:rPr>
        <w:t>CYP1A1</w:t>
      </w:r>
      <w:r>
        <w:t xml:space="preserve"> — les fumeurs ont des concentrations de riociguat </w:t>
      </w:r>
      <w:r>
        <w:rPr>
          <w:b/>
        </w:rPr>
        <w:t>plus basses</w:t>
      </w:r>
      <w:r>
        <w:t xml:space="preserve"> de 50-60 % (envisager l'arrêt du tabac, sinon adaptation posologique).</w:t>
      </w:r>
    </w:p>
    <w:p>
      <w:pPr>
        <w:pStyle w:val="ListBullet"/>
      </w:pPr>
      <w:r/>
      <w:r>
        <w:rPr>
          <w:b/>
        </w:rPr>
        <w:t>Riociguat + anticoagulants oraux (warfarine, AOD)</w:t>
      </w:r>
      <w:r>
        <w:t xml:space="preserve"> : pas d'interaction pharmacocinétique majeure, mais le riociguat peut majorer le risque hémorragique en cas d'hémoptysie (population HTPTEC).</w:t>
      </w:r>
    </w:p>
    <w:p>
      <w:pPr>
        <w:pStyle w:val="ListBullet"/>
      </w:pPr>
      <w:r/>
      <w:r>
        <w:rPr>
          <w:b/>
        </w:rPr>
        <w:t>Riociguat + antiacides</w:t>
      </w:r>
      <w:r>
        <w:t xml:space="preserve"> : prise espacée de 2 h (les antiacides peuvent réduire l'absorption du riociguat).</w:t>
      </w:r>
    </w:p>
    <w:p>
      <w:r/>
      <w:r>
        <w:rPr>
          <w:b/>
        </w:rPr>
        <w:t>Grossesse et Allaitement :</w:t>
      </w:r>
      <w:r/>
    </w:p>
    <w:p>
      <w:pPr>
        <w:pStyle w:val="ListBullet"/>
      </w:pPr>
      <w:r>
        <w:t xml:space="preserve">Grossesse : </w:t>
      </w:r>
      <w:r>
        <w:rPr>
          <w:b/>
        </w:rPr>
        <w:t>CI absolue</w:t>
      </w:r>
      <w:r>
        <w:t xml:space="preserve"> — tératogène chez l'animal (malformations cardiovasculaires, squelettiques, urogénitales chez le rat et le lapin à doses thérapeutiques). Test β-hCG pré-thérapeutique et </w:t>
      </w:r>
      <w:r>
        <w:rPr>
          <w:b/>
        </w:rPr>
        <w:t>mensuel</w:t>
      </w:r>
      <w:r>
        <w:t xml:space="preserve"> obligatoire, double contraception pendant le traitement et </w:t>
      </w:r>
      <w:r>
        <w:rPr>
          <w:b/>
        </w:rPr>
        <w:t>1 mois après l'arrêt</w:t>
      </w:r>
      <w:r>
        <w:t>. La survenue d'une grossesse impose l'arrêt immédiat, échographie morphologique spécialisée, déclaration de pharmacovigilance.</w:t>
      </w:r>
    </w:p>
    <w:p>
      <w:pPr>
        <w:pStyle w:val="ListBullet"/>
      </w:pPr>
      <w:r>
        <w:t xml:space="preserve">Allaitement : </w:t>
      </w:r>
      <w:r>
        <w:rPr>
          <w:b/>
        </w:rPr>
        <w:t>CI</w:t>
      </w:r>
      <w:r>
        <w:t xml:space="preserve"> (passage attendu dans le lait maternel — donnée limitée).</w:t>
      </w:r>
    </w:p>
    <w:p>
      <w:pPr>
        <w:pStyle w:val="ListBullet"/>
      </w:pPr>
      <w:r>
        <w:t xml:space="preserve">Précisions : la HTAP gravidique est à </w:t>
      </w:r>
      <w:r>
        <w:rPr>
          <w:b/>
        </w:rPr>
        <w:t>haut risque maternel</w:t>
      </w:r>
      <w:r>
        <w:t xml:space="preserve"> (mortalité 30-50 %) — la contraception doit être </w:t>
      </w:r>
      <w:r>
        <w:rPr>
          <w:b/>
        </w:rPr>
        <w:t>poursuivie 1 mois après l'arrêt</w:t>
      </w:r>
      <w:r>
        <w:t xml:space="preserve"> du riociguat (demi-vie 7 h × 4-5 demi-vies = ~35 h, mais inducteurs enzymatiques persistent plus longtemps).</w:t>
      </w:r>
    </w:p>
    <w:p>
      <w:r/>
      <w:r>
        <w:rPr>
          <w:b/>
        </w:rPr>
        <w:t>Posologie et Mode d'administration (Standard) :</w:t>
      </w:r>
      <w:r/>
    </w:p>
    <w:p>
      <w:pPr>
        <w:pStyle w:val="ListBullet"/>
      </w:pPr>
      <w:r>
        <w:t xml:space="preserve">Adulte — initiation : </w:t>
      </w:r>
      <w:r>
        <w:rPr>
          <w:b/>
        </w:rPr>
        <w:t>0,5 mg × 3/j ou 1 mg × 3/j pendant 2 semaines</w:t>
      </w:r>
      <w:r>
        <w:t xml:space="preserve"> (selon la TA initiale), puis </w:t>
      </w:r>
      <w:r>
        <w:rPr>
          <w:b/>
        </w:rPr>
        <w:t>titration</w:t>
      </w:r>
      <w:r>
        <w:t xml:space="preserve"> par paliers de 0,5 mg × 3/j toutes les 2 semaines selon la TA :</w:t>
      </w:r>
    </w:p>
    <w:p>
      <w:pPr>
        <w:pStyle w:val="ListBullet"/>
      </w:pPr>
      <w:r>
        <w:t>Si TAS &gt; 95 mmHg : augmenter la dose de 0,5 mg × 3/j.</w:t>
      </w:r>
    </w:p>
    <w:p>
      <w:pPr>
        <w:pStyle w:val="ListBullet"/>
      </w:pPr>
      <w:r>
        <w:t>Si TAS 90-95 mmHg : maintenir la dose.</w:t>
      </w:r>
    </w:p>
    <w:p>
      <w:pPr>
        <w:pStyle w:val="ListBullet"/>
      </w:pPr>
      <w:r>
        <w:t>Si TAS &lt; 90 mmHg : diminuer la dose de 0,5 mg × 3/j (si dose &gt; 0,5 mg × 3/j).</w:t>
      </w:r>
    </w:p>
    <w:p>
      <w:pPr>
        <w:pStyle w:val="ListBullet"/>
      </w:pPr>
      <w:r>
        <w:t>Si TAS &lt; 85 mmHg : arrêt temporaire, reprise à dose réduite si TA se normalise.</w:t>
      </w:r>
    </w:p>
    <w:p>
      <w:pPr>
        <w:pStyle w:val="ListBullet"/>
      </w:pPr>
      <w:r>
        <w:t xml:space="preserve">Dose maximale : </w:t>
      </w:r>
      <w:r>
        <w:rPr>
          <w:b/>
        </w:rPr>
        <w:t>2,5 mg × 3/j</w:t>
      </w:r>
      <w:r>
        <w:t xml:space="preserve"> (7,5 mg/j).</w:t>
      </w:r>
    </w:p>
    <w:p>
      <w:pPr>
        <w:pStyle w:val="ListBullet"/>
      </w:pPr>
      <w:r>
        <w:t>Sujet âgé (&gt; 65 ans) : pas d'adaptation systématique — surveillance renforcée.</w:t>
      </w:r>
    </w:p>
    <w:p>
      <w:pPr>
        <w:pStyle w:val="ListBullet"/>
      </w:pPr>
      <w:r>
        <w:t>Insuffisance hépatique (Child-Pugh A/B) : débuter à 0,5 mg × 3/j, titration prudente ; CI en insuffisance sévère (C).</w:t>
      </w:r>
    </w:p>
    <w:p>
      <w:pPr>
        <w:pStyle w:val="ListBullet"/>
      </w:pPr>
      <w:r>
        <w:t>Insuffisance rénale (DFG 15-30 mL/min) : débuter à 0,5 mg × 3/j, titration prudente ; CI si DFG &lt; 15 mL/min ou dialyse.</w:t>
      </w:r>
    </w:p>
    <w:p>
      <w:pPr>
        <w:pStyle w:val="ListBullet"/>
      </w:pPr>
      <w:r>
        <w:t>Enfant : non indiqué (pas d'AMM pédiatrique).</w:t>
      </w:r>
    </w:p>
    <w:p>
      <w:pPr>
        <w:pStyle w:val="ListBullet"/>
      </w:pPr>
      <w:r>
        <w:t xml:space="preserve">Durée : </w:t>
      </w:r>
      <w:r>
        <w:rPr>
          <w:b/>
        </w:rPr>
        <w:t>au long cours</w:t>
      </w:r>
      <w:r>
        <w:t xml:space="preserve"> (à vie ou jusqu'à transplantation pulmonaire) — ne jamais arrêter brutalement.</w:t>
      </w:r>
    </w:p>
    <w:p>
      <w:pPr>
        <w:pStyle w:val="ListBullet"/>
      </w:pPr>
      <w:r>
        <w:t xml:space="preserve">Moment de prise : 3 prises/j à </w:t>
      </w:r>
      <w:r>
        <w:rPr>
          <w:b/>
        </w:rPr>
        <w:t>heure fixe</w:t>
      </w:r>
      <w:r>
        <w:t xml:space="preserve"> (8h-14h-20h par exemple), à distance des repas (1 h avant ou 2 h après — le repas riche en graisses retarde et réduit l'absorption de 20-30 %).</w:t>
      </w:r>
    </w:p>
    <w:p>
      <w:r/>
      <w:r>
        <w:rPr>
          <w:b/>
        </w:rPr>
        <w:t>Arbitrage et Bénéfices des Formes Galéniques :</w:t>
      </w:r>
      <w:r/>
    </w:p>
    <w:p>
      <w:r>
        <w:t xml:space="preserve">Le riociguat est disponible uniquement en comprimés pelliculés à </w:t>
      </w:r>
      <w:r>
        <w:rPr>
          <w:b/>
        </w:rPr>
        <w:t>5 dosages</w:t>
      </w:r>
      <w:r>
        <w:t xml:space="preserve"> (0,5 mg, 1 mg, 1,5 mg, 2 mg, 2,5 mg) — la diversité des dosages permet une </w:t>
      </w:r>
      <w:r>
        <w:rPr>
          <w:b/>
        </w:rPr>
        <w:t>titration fine</w:t>
      </w:r>
      <w:r>
        <w:t xml:space="preserve"> par paliers de 0,5 mg × 3/j. Le conditionnement B/42 correspond à 14 jours de traitement à 1 comprimé × 3/j. La disponibilité de ces 5 dosages est un avantage majeur pour la </w:t>
      </w:r>
      <w:r>
        <w:rPr>
          <w:b/>
        </w:rPr>
        <w:t>flexibilité de prescription</w:t>
      </w:r>
      <w:r>
        <w:t xml:space="preserve"> dans la titration. Le princeps Adempas® (Bayer) est l'unique marque en Algérie — pas de générique disponible (brevet en vigueur jusqu'en 2027 environ).</w:t>
      </w:r>
    </w:p>
    <w:p>
      <w:r/>
      <w:r>
        <w:rPr>
          <w:b/>
        </w:rPr>
        <w:t>Instructions et Conseils au Patient :</w:t>
      </w:r>
      <w:r/>
    </w:p>
    <w:p>
      <w:pPr>
        <w:pStyle w:val="ListBullet"/>
      </w:pPr>
      <w:r>
        <w:t xml:space="preserve">Communication au comptoir : expliquer au patient le caractère </w:t>
      </w:r>
      <w:r>
        <w:rPr>
          <w:b/>
        </w:rPr>
        <w:t>chronique</w:t>
      </w:r>
      <w:r>
        <w:t xml:space="preserve"> du traitement HTAP, l'importance d'une </w:t>
      </w:r>
      <w:r>
        <w:rPr>
          <w:b/>
        </w:rPr>
        <w:t>observance stricte</w:t>
      </w:r>
      <w:r>
        <w:t xml:space="preserve"> (3 prises/j à heure fixe), la nécessité d'une </w:t>
      </w:r>
      <w:r>
        <w:rPr>
          <w:b/>
        </w:rPr>
        <w:t>titration</w:t>
      </w:r>
      <w:r>
        <w:t xml:space="preserve"> par paliers avec surveillance TA, l'</w:t>
      </w:r>
      <w:r>
        <w:rPr>
          <w:b/>
        </w:rPr>
        <w:t>interdiction absolue de prise d'inhibiteurs de la PDE5</w:t>
      </w:r>
      <w:r>
        <w:t xml:space="preserve"> (sildénafil, tadalafil — pour la dysfonction érectile, en parler au médecin), l'</w:t>
      </w:r>
      <w:r>
        <w:rPr>
          <w:b/>
        </w:rPr>
        <w:t>interdiction absolue de dérivés nitrés</w:t>
      </w:r>
      <w:r>
        <w:t xml:space="preserve"> (trinitrine en cas de douleur thoracique — consulter les urgences en précisant la prise de riociguat), l'obligation d'une </w:t>
      </w:r>
      <w:r>
        <w:rPr>
          <w:b/>
        </w:rPr>
        <w:t>double contraception</w:t>
      </w:r>
      <w:r>
        <w:t xml:space="preserve"> chez la femme en âge de procréer, les signes d'alerte (hypotension, hémoptysie, céphalées sévères).</w:t>
      </w:r>
    </w:p>
    <w:p>
      <w:pPr>
        <w:pStyle w:val="ListBullet"/>
      </w:pPr>
      <w:r>
        <w:t xml:space="preserve">Mode d'utilisation pratique : 3 prises/j à heure fixe, à distance des repas ; tenir un </w:t>
      </w:r>
      <w:r>
        <w:rPr>
          <w:b/>
        </w:rPr>
        <w:t>journal de traitement</w:t>
      </w:r>
      <w:r>
        <w:t xml:space="preserve"> (prises, TA, symptômes) ; ne jamais arrêter le traitement sans avis médical.</w:t>
      </w:r>
    </w:p>
    <w:p>
      <w:r/>
      <w:r>
        <w:rPr>
          <w:b/>
        </w:rPr>
        <w:t>Notes, Règles d'Or &amp; Pièges au Comptoir :</w:t>
      </w:r>
      <w:r/>
    </w:p>
    <w:p>
      <w:pPr>
        <w:pStyle w:val="ListBullet"/>
      </w:pPr>
      <w:r>
        <w:t>Piège classique : (i) oubli de la recherche d'</w:t>
      </w:r>
      <w:r>
        <w:rPr>
          <w:b/>
        </w:rPr>
        <w:t>inhibiteur de la PDE5</w:t>
      </w:r>
      <w:r>
        <w:t xml:space="preserve"> (sildénafil, tadalafil — pour HTAP ou DE) — </w:t>
      </w:r>
      <w:r>
        <w:rPr>
          <w:b/>
        </w:rPr>
        <w:t>CI absolue</w:t>
      </w:r>
      <w:r>
        <w:t xml:space="preserve"> ; (ii) oubli de la recherche de </w:t>
      </w:r>
      <w:r>
        <w:rPr>
          <w:b/>
        </w:rPr>
        <w:t>dérivés nitrés</w:t>
      </w:r>
      <w:r>
        <w:t xml:space="preserve"> (trinitrine, isosorbide — pour angor) — </w:t>
      </w:r>
      <w:r>
        <w:rPr>
          <w:b/>
        </w:rPr>
        <w:t>CI absolue</w:t>
      </w:r>
      <w:r>
        <w:t xml:space="preserve"> ; (iii) coprescription de </w:t>
      </w:r>
      <w:r>
        <w:rPr>
          <w:b/>
        </w:rPr>
        <w:t>poppers</w:t>
      </w:r>
      <w:r>
        <w:t xml:space="preserve"> (nitrite d'amyle) — CI absolue ; (iv) oubli de la surveillance de la TA pendant la </w:t>
      </w:r>
      <w:r>
        <w:rPr>
          <w:b/>
        </w:rPr>
        <w:t>titration</w:t>
      </w:r>
      <w:r>
        <w:t xml:space="preserve"> ; (v) oubli du test β-hCG et de la double contraception chez la femme en âge de procréer ; (vi) oubli de l'arrêt 1 mois avant conception projetée.</w:t>
      </w:r>
    </w:p>
    <w:p>
      <w:pPr>
        <w:pStyle w:val="ListBullet"/>
      </w:pPr>
      <w:r>
        <w:t>Règle de prise : 3 prises/j à heure fixe, à distance des repas.</w:t>
      </w:r>
    </w:p>
    <w:p>
      <w:pPr>
        <w:pStyle w:val="ListBullet"/>
      </w:pPr>
      <w:r>
        <w:t>Préparation et Conservation : température ambiante ≤ 25°C, à l'abri de l'humidité.</w:t>
      </w:r>
    </w:p>
    <w:p>
      <w:pPr>
        <w:pStyle w:val="ListBullet"/>
      </w:pPr>
      <w:r>
        <w:t>Piège du surdosage / Substitution : surdosage → hypotension sévère — traitement symptomatique (remplissage vasculaire, vasopresseurs type noradrénaline), surveillance hospitalière. Pas de générique disponible — substitution impossible (princeps Adempas® uniquement).</w:t>
      </w:r>
    </w:p>
    <w:p>
      <w:pPr>
        <w:pStyle w:val="Heading2"/>
      </w:pPr>
      <w:r>
        <w:t>10. Introduction à la sous-classe des analogues de la prostacycline</w:t>
      </w:r>
    </w:p>
    <w:p>
      <w:pPr>
        <w:pStyle w:val="Heading3"/>
      </w:pPr>
      <w:r>
        <w:t>La voie prostacycline — AMPc</w:t>
      </w:r>
    </w:p>
    <w:p>
      <w:r>
        <w:t xml:space="preserve">La </w:t>
      </w:r>
      <w:r>
        <w:rPr>
          <w:b/>
        </w:rPr>
        <w:t>prostacycline (PGI2)</w:t>
      </w:r>
      <w:r>
        <w:t xml:space="preserve"> est un </w:t>
      </w:r>
      <w:r>
        <w:rPr>
          <w:b/>
        </w:rPr>
        <w:t>métabolite de l'acide arachidonique</w:t>
      </w:r>
      <w:r>
        <w:t xml:space="preserve"> produit par les cellules endothéliales pulmonaires via la </w:t>
      </w:r>
      <w:r>
        <w:rPr>
          <w:b/>
        </w:rPr>
        <w:t>cyclo-oxygénase (COX-1 et COX-2)</w:t>
      </w:r>
      <w:r>
        <w:t xml:space="preserve"> qui convertit l'acide arachidonique en </w:t>
      </w:r>
      <w:r>
        <w:rPr>
          <w:b/>
        </w:rPr>
        <w:t>prostaglandine H2 (PGH2)</w:t>
      </w:r>
      <w:r>
        <w:t xml:space="preserve">, puis la </w:t>
      </w:r>
      <w:r>
        <w:rPr>
          <w:b/>
        </w:rPr>
        <w:t>prostaglandine I2 synthase (PGIS)</w:t>
      </w:r>
      <w:r>
        <w:t xml:space="preserve"> qui convertit la PGH2 en PGI2. La PGI2 se lie au </w:t>
      </w:r>
      <w:r>
        <w:rPr>
          <w:b/>
        </w:rPr>
        <w:t>récepteur IP</w:t>
      </w:r>
      <w:r>
        <w:t xml:space="preserve"> couplé à </w:t>
      </w:r>
      <w:r>
        <w:rPr>
          <w:b/>
        </w:rPr>
        <w:t>Gs</w:t>
      </w:r>
      <w:r>
        <w:t xml:space="preserve"> des CML-VP, activant l'</w:t>
      </w:r>
      <w:r>
        <w:rPr>
          <w:b/>
        </w:rPr>
        <w:t>adénylyl cyclase</w:t>
      </w:r>
      <w:r>
        <w:t xml:space="preserve"> → augmentation de l'</w:t>
      </w:r>
      <w:r>
        <w:rPr>
          <w:b/>
        </w:rPr>
        <w:t>AMPc</w:t>
      </w:r>
      <w:r>
        <w:t xml:space="preserve"> → activation de la </w:t>
      </w:r>
      <w:r>
        <w:rPr>
          <w:b/>
        </w:rPr>
        <w:t>PKA</w:t>
      </w:r>
      <w:r>
        <w:t xml:space="preserve"> → relaxation des CML-VP par : (i) phosphorylation de la </w:t>
      </w:r>
      <w:r>
        <w:rPr>
          <w:b/>
        </w:rPr>
        <w:t>phospholamban</w:t>
      </w:r>
      <w:r>
        <w:t xml:space="preserve"> → activation de la </w:t>
      </w:r>
      <w:r>
        <w:rPr>
          <w:b/>
        </w:rPr>
        <w:t>SERCA</w:t>
      </w:r>
      <w:r>
        <w:t xml:space="preserve"> → reprise du Ca²⁺ sarcoplasmique ; (ii) activation des canaux </w:t>
      </w:r>
      <w:r>
        <w:rPr>
          <w:b/>
        </w:rPr>
        <w:t>BKCa</w:t>
      </w:r>
      <w:r>
        <w:t xml:space="preserve"> → hyperpolarisation membranaire ; (iii) inhibition de la </w:t>
      </w:r>
      <w:r>
        <w:rPr>
          <w:b/>
        </w:rPr>
        <w:t>MLCK</w:t>
      </w:r>
      <w:r>
        <w:t xml:space="preserve"> → déphosphorylation de la MLC. La PGI2 est également un puissant </w:t>
      </w:r>
      <w:r>
        <w:rPr>
          <w:b/>
        </w:rPr>
        <w:t>antiagrégant plaquettaire</w:t>
      </w:r>
      <w:r>
        <w:t xml:space="preserve"> (actif via le récepteur IP plaquettaire, augmentant l'AMPc et inhibant l'activation de la GPIIb/IIIa), à l'opposé du </w:t>
      </w:r>
      <w:r>
        <w:rPr>
          <w:b/>
        </w:rPr>
        <w:t>thromboxane A2 (TXA2)</w:t>
      </w:r>
      <w:r>
        <w:t xml:space="preserve"> produit par les plaquettes (pro-agrégant) — l'équilibre PGI2/TXA2 est crucial dans la régulation de l'hémostase.</w:t>
      </w:r>
    </w:p>
    <w:p>
      <w:r>
        <w:t>Dans l'</w:t>
      </w:r>
      <w:r>
        <w:rPr>
          <w:b/>
        </w:rPr>
        <w:t>HTAP</w:t>
      </w:r>
      <w:r>
        <w:t>, l'expression de la PGIS est diminuée (et le rapport PGI2/TXA2 est inversé en faveur de TXA2), ce qui favorise la vasoconstriction, la prolifération des CML-VP et la thrombose in situ. La stratégie pharmacologique consiste à restaurer la voie PGI2 par administration d'</w:t>
      </w:r>
      <w:r>
        <w:rPr>
          <w:b/>
        </w:rPr>
        <w:t>analogues de la prostacycline</w:t>
      </w:r>
      <w:r>
        <w:t>.</w:t>
      </w:r>
    </w:p>
    <w:p>
      <w:pPr>
        <w:pStyle w:val="Heading3"/>
      </w:pPr>
      <w:r>
        <w:t>Les analogues de la prostacycline disponibles</w:t>
      </w:r>
    </w:p>
    <w:p>
      <w:r>
        <w:t>Cinq analogues de la prostacycline sont commercialisés dans le monde :</w:t>
      </w:r>
    </w:p>
    <w:p>
      <w:pPr>
        <w:pStyle w:val="ListNumber"/>
      </w:pPr>
      <w:r/>
      <w:r>
        <w:rPr>
          <w:b/>
        </w:rPr>
        <w:t>Époprosténol sodique</w:t>
      </w:r>
      <w:r>
        <w:t xml:space="preserve"> (Flolan® — GlaxoSmithKline ; Veletri® — Actelion) : la PGI2 synthétique elle-même. Administré en </w:t>
      </w:r>
      <w:r>
        <w:rPr>
          <w:b/>
        </w:rPr>
        <w:t>perfusion IV continue</w:t>
      </w:r>
      <w:r>
        <w:t xml:space="preserve"> par cathéter central tunnélisé (voie jugulaire ou sous-clavière) avec </w:t>
      </w:r>
      <w:r>
        <w:rPr>
          <w:b/>
        </w:rPr>
        <w:t>pompe portable</w:t>
      </w:r>
      <w:r>
        <w:t xml:space="preserve">. Demi-vie très courte (2-3 min) — toute interruption de perfusion expose à un </w:t>
      </w:r>
      <w:r>
        <w:rPr>
          <w:b/>
        </w:rPr>
        <w:t>risque de décès</w:t>
      </w:r>
      <w:r>
        <w:t xml:space="preserve"> par HTAP de rebond. Effets indésirables majeurs (flush, céphalées, hypotension, douleurs mâchoire, diarrhée). </w:t>
      </w:r>
      <w:r>
        <w:rPr>
          <w:b/>
        </w:rPr>
        <w:t>Non disponible en Algérie</w:t>
      </w:r>
      <w:r>
        <w:t>.</w:t>
      </w:r>
    </w:p>
    <w:p>
      <w:pPr>
        <w:pStyle w:val="ListNumber"/>
      </w:pPr>
      <w:r/>
      <w:r>
        <w:rPr>
          <w:b/>
        </w:rPr>
        <w:t>Tréprostinil</w:t>
      </w:r>
      <w:r>
        <w:t xml:space="preserve"> (Remodulin® SC/IV — United Therapeutics ; Tyvaso® inhalé — United Therapeutics ; Orenitram® oral). Administable par voie </w:t>
      </w:r>
      <w:r>
        <w:rPr>
          <w:b/>
        </w:rPr>
        <w:t>sous-cutanée continue</w:t>
      </w:r>
      <w:r>
        <w:t xml:space="preserve"> (SC — plus tolérée que l'IV), </w:t>
      </w:r>
      <w:r>
        <w:rPr>
          <w:b/>
        </w:rPr>
        <w:t>IV continue</w:t>
      </w:r>
      <w:r>
        <w:t xml:space="preserve">, </w:t>
      </w:r>
      <w:r>
        <w:rPr>
          <w:b/>
        </w:rPr>
        <w:t>inhalée</w:t>
      </w:r>
      <w:r>
        <w:t xml:space="preserve"> et </w:t>
      </w:r>
      <w:r>
        <w:rPr>
          <w:b/>
        </w:rPr>
        <w:t>orale</w:t>
      </w:r>
      <w:r>
        <w:t xml:space="preserve">. Demi-vie plus longue (4-5 h). </w:t>
      </w:r>
      <w:r>
        <w:rPr>
          <w:b/>
        </w:rPr>
        <w:t>Non disponible en Algérie</w:t>
      </w:r>
      <w:r>
        <w:t>.</w:t>
      </w:r>
    </w:p>
    <w:p>
      <w:pPr>
        <w:pStyle w:val="ListNumber"/>
      </w:pPr>
      <w:r/>
      <w:r>
        <w:rPr>
          <w:b/>
        </w:rPr>
        <w:t>Béraprost</w:t>
      </w:r>
      <w:r>
        <w:t xml:space="preserve"> (Bérapi® oral — Toray). Analogue oral de la PGI2. Demi-vie courte, efficacité limitée. </w:t>
      </w:r>
      <w:r>
        <w:rPr>
          <w:b/>
        </w:rPr>
        <w:t>Non commercialisé en Europe/Algérie</w:t>
      </w:r>
      <w:r>
        <w:t>.</w:t>
      </w:r>
    </w:p>
    <w:p>
      <w:pPr>
        <w:pStyle w:val="ListNumber"/>
      </w:pPr>
      <w:r/>
      <w:r>
        <w:rPr>
          <w:b/>
        </w:rPr>
        <w:t>Sélexipag</w:t>
      </w:r>
      <w:r>
        <w:t xml:space="preserve"> (Uptravi® — Actelion). </w:t>
      </w:r>
      <w:r>
        <w:rPr>
          <w:b/>
        </w:rPr>
        <w:t>Agoniste IP sélectif non prostanoïde</w:t>
      </w:r>
      <w:r>
        <w:t xml:space="preserve"> (structure chimique différente de la PGI2 mais activité IP). Oral, demi-vie longue (10 h), indiqué en HTAP. </w:t>
      </w:r>
      <w:r>
        <w:rPr>
          <w:b/>
        </w:rPr>
        <w:t>Non disponible en Algérie</w:t>
      </w:r>
      <w:r>
        <w:t xml:space="preserve"> (à vérifier — la nomenclature Avril 2026 ne le mentionne pas).</w:t>
      </w:r>
    </w:p>
    <w:p>
      <w:pPr>
        <w:pStyle w:val="ListNumber"/>
      </w:pPr>
      <w:r/>
      <w:r>
        <w:rPr>
          <w:b/>
        </w:rPr>
        <w:t>Iloprost</w:t>
      </w:r>
      <w:r>
        <w:t xml:space="preserve"> (Ventavis® — Bayer) : analogue stable de la PGI2, administré par </w:t>
      </w:r>
      <w:r>
        <w:rPr>
          <w:b/>
        </w:rPr>
        <w:t>voie inhalée</w:t>
      </w:r>
      <w:r>
        <w:t xml:space="preserve"> par nébuliseur. Demi-vie d'élimination 20-30 min, durée d'action 30-60 min — d'où la nécessité de nébulisations </w:t>
      </w:r>
      <w:r>
        <w:rPr>
          <w:b/>
        </w:rPr>
        <w:t>6 à 9 fois par jour</w:t>
      </w:r>
      <w:r>
        <w:t xml:space="preserve">. </w:t>
      </w:r>
      <w:r>
        <w:rPr>
          <w:b/>
        </w:rPr>
        <w:t>Disponible en Algérie</w:t>
      </w:r>
      <w:r>
        <w:t xml:space="preserve"> — c'est le seul analogue de la prostacycline commercialisé en Algérie.</w:t>
      </w:r>
    </w:p>
    <w:p>
      <w:pPr>
        <w:pStyle w:val="Heading3"/>
      </w:pPr>
      <w:r>
        <w:t>L'iloprost — seul analogue de la prostacycline disponible en Algérie</w:t>
      </w:r>
    </w:p>
    <w:p>
      <w:r>
        <w:t>L'</w:t>
      </w:r>
      <w:r>
        <w:rPr>
          <w:b/>
        </w:rPr>
        <w:t>iloprost</w:t>
      </w:r>
      <w:r>
        <w:t xml:space="preserve"> (Ventavis® Bayer) est un analogue stable de la PGI2, commercialisé en Algérie en </w:t>
      </w:r>
      <w:r>
        <w:rPr>
          <w:b/>
        </w:rPr>
        <w:t>solution pour inhalation par nébuliseur</w:t>
      </w:r>
      <w:r>
        <w:t xml:space="preserve"> à 10 µg/mL (ampoules de 2 mL = 20 µg par ampoule). La dose thérapeutique est de </w:t>
      </w:r>
      <w:r>
        <w:rPr>
          <w:b/>
        </w:rPr>
        <w:t>2,5 à 5 µg par nébulisation</w:t>
      </w:r>
      <w:r>
        <w:t xml:space="preserve">, à répéter </w:t>
      </w:r>
      <w:r>
        <w:rPr>
          <w:b/>
        </w:rPr>
        <w:t>6 à 9 fois par jour</w:t>
      </w:r>
      <w:r>
        <w:t xml:space="preserve"> (durée d'inhalation 4-10 minutes par séance). La </w:t>
      </w:r>
      <w:r>
        <w:rPr>
          <w:b/>
        </w:rPr>
        <w:t>sélectivité pulmonaire</w:t>
      </w:r>
      <w:r>
        <w:t xml:space="preserve"> est assurée par l'administration inhalée : l'iloprost est déposé directement au niveau alvéolaire où il exerce son effet vasodilatateur sur la circulation pulmonaire pré-capillaire ; la fraction systémique absorbée est rapidement métabolisée (effet de premier passage hépatique) et les effets systémiques (hypotension, flush) sont minimisés par rapport à l'administration IV. La nébulisation nécessite un </w:t>
      </w:r>
      <w:r>
        <w:rPr>
          <w:b/>
        </w:rPr>
        <w:t>nébuliseur</w:t>
      </w:r>
      <w:r>
        <w:t xml:space="preserve"> adéquat (ultrasonique ou pneumatique) avec un </w:t>
      </w:r>
      <w:r>
        <w:rPr>
          <w:b/>
        </w:rPr>
        <w:t>filtre</w:t>
      </w:r>
      <w:r>
        <w:t xml:space="preserve"> pour protéger l'entourage de l'exposition passive (en particulier les femmes enceintes de l'entourage).</w:t>
      </w:r>
    </w:p>
    <w:p>
      <w:pPr>
        <w:pStyle w:val="Heading3"/>
      </w:pPr>
      <w:r>
        <w:t>Stratégie thérapeutique et surveillance</w:t>
      </w:r>
    </w:p>
    <w:p>
      <w:r>
        <w:t>L'iloprost inhalé est indiqué dans l'</w:t>
      </w:r>
      <w:r>
        <w:rPr>
          <w:b/>
        </w:rPr>
        <w:t>HTAP de classe fonctionnelle OMS III-IV</w:t>
      </w:r>
      <w:r>
        <w:t xml:space="preserve"> (études AIR — Olschewski 2002 NEJM ; STEP — McLaughlin 2006) en monothérapie ou en association (avec un ARE ou un inhibiteur PDE5 selon stratégie séquentielle ESC/ERS 2022). L'initiation se fait à </w:t>
      </w:r>
      <w:r>
        <w:rPr>
          <w:b/>
        </w:rPr>
        <w:t>2,5 µg par nébulisation × 6/j</w:t>
      </w:r>
      <w:r>
        <w:t xml:space="preserve"> pendant 1-2 semaines, puis titration à </w:t>
      </w:r>
      <w:r>
        <w:rPr>
          <w:b/>
        </w:rPr>
        <w:t>5 µg par nébulisation × 6-9/j</w:t>
      </w:r>
      <w:r>
        <w:t xml:space="preserve"> selon la tolérance. La surveillance comprend : (i) TA (avant et après la première nébulisation) ; (ii) FR et SpO2 (pendant la nébulisation — risque de bronchospasme) ; (iii) tolérance clinique (flush, céphalées, toux) ; (iv) efficacité (test de marche de 6 minutes, échocardiographie, NT-proBNP).</w:t>
      </w:r>
    </w:p>
    <w:p>
      <w:r>
        <w:t xml:space="preserve">La </w:t>
      </w:r>
      <w:r>
        <w:rPr>
          <w:b/>
        </w:rPr>
        <w:t>contraignance de l'administration</w:t>
      </w:r>
      <w:r>
        <w:t xml:space="preserve"> (6-9 nébulisations/j de 4-10 min chacune, soit 1-1,5 h/jour) explique la transition fréquente vers le tréprostinil inhalé (4 nébulisations/j) ou sous-cutané (perf continue) ou l'époprosténol IV en cas d'évolution défavorable — mais ces alternatives ne sont pas disponibles en Algérie.</w:t>
      </w:r>
    </w:p>
    <w:p>
      <w:pPr>
        <w:pStyle w:val="Heading2"/>
      </w:pPr>
      <w:r>
        <w:t>11. Fiche DCI — Analogue de la prostacycline</w:t>
      </w:r>
    </w:p>
    <w:p>
      <w:pPr>
        <w:pStyle w:val="Heading3"/>
      </w:pPr>
      <w:r>
        <w:t>8. DCI : Iloprost (Ventavis®)</w:t>
      </w:r>
    </w:p>
    <w:p>
      <w:r/>
      <w:r>
        <w:rPr>
          <w:b/>
        </w:rPr>
        <w:t>Liste des Catégories :</w:t>
      </w:r>
      <w:r>
        <w:t xml:space="preserve"> Analogue de la prostacycline (PGI2) — HTAP — Voie inhalée par nébuliseur — Liste I — Prescription hospitalière spécialisée.</w:t>
      </w:r>
    </w:p>
    <w:p>
      <w:r>
        <w:t>L'</w:t>
      </w:r>
      <w:r>
        <w:rPr>
          <w:b/>
        </w:rPr>
        <w:t>iloprost</w:t>
      </w:r>
      <w:r>
        <w:t xml:space="preserve"> est un </w:t>
      </w:r>
      <w:r>
        <w:rPr>
          <w:b/>
        </w:rPr>
        <w:t>analogue stable de la prostacycline (PGI2)</w:t>
      </w:r>
      <w:r>
        <w:t xml:space="preserve">, administré par </w:t>
      </w:r>
      <w:r>
        <w:rPr>
          <w:b/>
        </w:rPr>
        <w:t>voie inhalée</w:t>
      </w:r>
      <w:r>
        <w:t xml:space="preserve"> au moyen d'un nébuliseur. Sa structure chimique (carbaprostacycline) le rend </w:t>
      </w:r>
      <w:r>
        <w:rPr>
          <w:b/>
        </w:rPr>
        <w:t>résistant à la dégradation enzymatique</w:t>
      </w:r>
      <w:r>
        <w:t xml:space="preserve"> par la prostacycline déshydrogénase, ce qui prolonge sa demi-vie par rapport à la PGI2 native (20-30 min vs 2-3 min pour l'époprosténol). Pharmacocinétiquement, l'iloprost est déposé directement au niveau alvéolaire par la nébulisation, où il exerce son effet vasodilatateur sur la circulation pulmonaire pré-capillaire. La fraction systémique absorbée (biodisponibilité systémique après inhalation ~15 %) est rapidement métabolisée par β-oxydation (le premier passage hépatique est incomplet en raison de la voie d'administration inhalée qui court-circuite en partie le foie, mais l'inactivation métabolique est rapide). L'élimination est rénale (métabolites inactifs) et biliaire. La demi-vie d'élimination est de 20-30 min, ce qui justifie l'administration </w:t>
      </w:r>
      <w:r>
        <w:rPr>
          <w:b/>
        </w:rPr>
        <w:t>6 à 9 fois par jour</w:t>
      </w:r>
      <w:r>
        <w:t xml:space="preserve"> pour maintenir un effet vasodilatateur pulmonaire continu. L'iloprost est le </w:t>
      </w:r>
      <w:r>
        <w:rPr>
          <w:b/>
        </w:rPr>
        <w:t>seul analogue de la prostacycline commercialisé en Algérie</w:t>
      </w:r>
      <w:r>
        <w:t xml:space="preserve"> (les autres — époprosténol, tréprostinil, sélexipag, béraprost — ne sont pas disponibles).</w:t>
      </w:r>
    </w:p>
    <w:p>
      <w:r/>
      <w:r>
        <w:rPr>
          <w:b/>
        </w:rPr>
        <w:t>Médicaments disponibles en Algérie (Marques, Laboratoires, Formes et Dosages) :</w:t>
      </w:r>
      <w:r/>
    </w:p>
    <w:p>
      <w:pPr>
        <w:pStyle w:val="ListBullet"/>
      </w:pPr>
      <w:r/>
      <w:r>
        <w:rPr>
          <w:b/>
        </w:rPr>
        <w:t>VENTAVIS</w:t>
      </w:r>
      <w:r>
        <w:t xml:space="preserve"> (BAYER PHARMA AG — princeps)</w:t>
      </w:r>
    </w:p>
    <w:p>
      <w:pPr>
        <w:pStyle w:val="ListBullet"/>
      </w:pPr>
      <w:r>
        <w:t>Formes et Dosages : Solution pour inhalation par nébuliseur — 10 µg/mL — Boîte de 30 ampoules de 2 mL (soit 20 µg d'iloprost par ampoule de 2 mL).</w:t>
      </w:r>
    </w:p>
    <w:p>
      <w:pPr>
        <w:pStyle w:val="ListBullet"/>
      </w:pPr>
      <w:r>
        <w:t>Statut : Actif (LISTE I — prescription hospitalière spécialisée pneumologie/cardiologie).</w:t>
      </w:r>
    </w:p>
    <w:p>
      <w:pPr>
        <w:pStyle w:val="ListBullet"/>
      </w:pPr>
      <w:r>
        <w:t xml:space="preserve">Remarque : la concentration est de </w:t>
      </w:r>
      <w:r>
        <w:rPr>
          <w:b/>
        </w:rPr>
        <w:t>10 µg/mL</w:t>
      </w:r>
      <w:r>
        <w:t xml:space="preserve">, ce qui signifie qu'une ampoule de 2 mL contient </w:t>
      </w:r>
      <w:r>
        <w:rPr>
          <w:b/>
        </w:rPr>
        <w:t>20 µg d'iloprost</w:t>
      </w:r>
      <w:r>
        <w:t>. La dose par nébulisation est de 2,5 à 5 µg (soit 0,25 à 0,5 mL de solution, ou 1/8 à 1/4 d'ampoule) — la solution non utilisée dans une ampoule ouverte peut être conservée 24 h au réfrigérateur. Le nébuliseur doit être adapté (ultrasonique ou pneumatique avec filtre).</w:t>
      </w:r>
    </w:p>
    <w:p>
      <w:r/>
      <w:r>
        <w:rPr>
          <w:b/>
        </w:rPr>
        <w:t>Sous-classe et Mécanisme d'action :</w:t>
      </w:r>
      <w:r/>
    </w:p>
    <w:p>
      <w:pPr>
        <w:pStyle w:val="ListBullet"/>
      </w:pPr>
      <w:r>
        <w:t xml:space="preserve">Sous-classe : </w:t>
      </w:r>
      <w:r>
        <w:rPr>
          <w:b/>
        </w:rPr>
        <w:t>Analogue de la prostacycline (PGI2)</w:t>
      </w:r>
      <w:r>
        <w:t xml:space="preserve"> — seul représentant de la classe disponible en Algérie, administré par voie inhalée — indiqué dans l'HTAP de classe fonctionnelle OMS III-IV en monothérapie ou en association.</w:t>
      </w:r>
    </w:p>
    <w:p>
      <w:pPr>
        <w:pStyle w:val="ListBullet"/>
      </w:pPr>
      <w:r>
        <w:t xml:space="preserve">Mécanisme d'action : l'iloprost est un </w:t>
      </w:r>
      <w:r>
        <w:rPr>
          <w:b/>
        </w:rPr>
        <w:t>agoniste</w:t>
      </w:r>
      <w:r>
        <w:t xml:space="preserve"> des récepteurs de la prostacycline (</w:t>
      </w:r>
      <w:r>
        <w:rPr>
          <w:b/>
        </w:rPr>
        <w:t>IP</w:t>
      </w:r>
      <w:r>
        <w:t xml:space="preserve">) couplés à </w:t>
      </w:r>
      <w:r>
        <w:rPr>
          <w:b/>
        </w:rPr>
        <w:t>Gs</w:t>
      </w:r>
      <w:r>
        <w:t xml:space="preserve"> des CML-VP, ce qui active l'</w:t>
      </w:r>
      <w:r>
        <w:rPr>
          <w:b/>
        </w:rPr>
        <w:t>adénylyl cyclase</w:t>
      </w:r>
      <w:r>
        <w:t xml:space="preserve"> et augmente l'</w:t>
      </w:r>
      <w:r>
        <w:rPr>
          <w:b/>
        </w:rPr>
        <w:t>AMPc</w:t>
      </w:r>
      <w:r>
        <w:t xml:space="preserve"> intracellulaire. L'AMPc active la </w:t>
      </w:r>
      <w:r>
        <w:rPr>
          <w:b/>
        </w:rPr>
        <w:t>PKA</w:t>
      </w:r>
      <w:r>
        <w:t xml:space="preserve"> qui phosphoryle des cibles multiples aboutissant à la </w:t>
      </w:r>
      <w:r>
        <w:rPr>
          <w:b/>
        </w:rPr>
        <w:t>relaxation</w:t>
      </w:r>
      <w:r>
        <w:t xml:space="preserve"> des CML-VP : (i) phosphorylation de la </w:t>
      </w:r>
      <w:r>
        <w:rPr>
          <w:b/>
        </w:rPr>
        <w:t>phospholamban</w:t>
      </w:r>
      <w:r>
        <w:t xml:space="preserve"> → activation de la </w:t>
      </w:r>
      <w:r>
        <w:rPr>
          <w:b/>
        </w:rPr>
        <w:t>SERCA</w:t>
      </w:r>
      <w:r>
        <w:t xml:space="preserve"> → reprise du Ca²⁺ sarcoplasmique → baisse du Ca²⁺ cytosolique ; (ii) activation des canaux </w:t>
      </w:r>
      <w:r>
        <w:rPr>
          <w:b/>
        </w:rPr>
        <w:t>BKCa</w:t>
      </w:r>
      <w:r>
        <w:t xml:space="preserve"> → hyperpolarisation membranaire → fermeture des canaux Ca²⁺ voltage-dépendants ; (iii) inhibition de la </w:t>
      </w:r>
      <w:r>
        <w:rPr>
          <w:b/>
        </w:rPr>
        <w:t>MLCK</w:t>
      </w:r>
      <w:r>
        <w:t xml:space="preserve"> → déphosphorylation de la MLC. Le résultat net est une </w:t>
      </w:r>
      <w:r>
        <w:rPr>
          <w:b/>
        </w:rPr>
        <w:t>vasodilatation pulmonaire</w:t>
      </w:r>
      <w:r>
        <w:t xml:space="preserve"> (baisse des RVP, augmentation du débit cardiaque). L'iloprost a également une affinité modérée pour les récepteurs </w:t>
      </w:r>
      <w:r>
        <w:rPr>
          <w:b/>
        </w:rPr>
        <w:t>EP1</w:t>
      </w:r>
      <w:r>
        <w:t xml:space="preserve"> (EP1 — vasoconstriction) et </w:t>
      </w:r>
      <w:r>
        <w:rPr>
          <w:b/>
        </w:rPr>
        <w:t>EP3</w:t>
      </w:r>
      <w:r>
        <w:t xml:space="preserve"> (inhibition plaquettaire), mais l'effet dominant est l'activation </w:t>
      </w:r>
      <w:r>
        <w:rPr>
          <w:b/>
        </w:rPr>
        <w:t>IP</w:t>
      </w:r>
      <w:r>
        <w:t xml:space="preserve"> (vasodilatation, antiagrégant). L'iloprost est également un puissant </w:t>
      </w:r>
      <w:r>
        <w:rPr>
          <w:b/>
        </w:rPr>
        <w:t>antiagrégant plaquettaire</w:t>
      </w:r>
      <w:r>
        <w:t xml:space="preserve"> via le récepteur IP plaquettaire (AMPc↑ → inhibition de la GPIIb/IIIa et de la phospholipase A2) — effet bénéfique dans l'HTAP où le risque thrombotique in situ est majoré.</w:t>
      </w:r>
    </w:p>
    <w:p>
      <w:r/>
      <w:r>
        <w:rPr>
          <w:b/>
        </w:rPr>
        <w:t>Profil Pharmacologique :</w:t>
      </w:r>
      <w:r/>
    </w:p>
    <w:p>
      <w:pPr>
        <w:pStyle w:val="ListBullet"/>
      </w:pPr>
      <w:r>
        <w:t xml:space="preserve">Indications : </w:t>
      </w:r>
      <w:r>
        <w:rPr>
          <w:b/>
        </w:rPr>
        <w:t>HTAP de classe fonctionnelle OMS III-IV</w:t>
      </w:r>
      <w:r>
        <w:t xml:space="preserve"> en monothérapie ou en association (avec un ARE ou un inhibiteur PDE5 selon stratégie séquentielle ESC/ERS 2022). Chez l'enfant : HTAP pédiatrique sévère (off-label, sous protocole spécialisé).</w:t>
      </w:r>
    </w:p>
    <w:p>
      <w:pPr>
        <w:pStyle w:val="ListBullet"/>
      </w:pPr>
      <w:r>
        <w:t xml:space="preserve">Contre-indications : </w:t>
      </w:r>
      <w:r>
        <w:rPr>
          <w:b/>
        </w:rPr>
        <w:t>hypersensibilité à l'iloprost</w:t>
      </w:r>
      <w:r>
        <w:t xml:space="preserve"> ; </w:t>
      </w:r>
      <w:r>
        <w:rPr>
          <w:b/>
        </w:rPr>
        <w:t>infarctusus du myocarde récent</w:t>
      </w:r>
      <w:r>
        <w:t xml:space="preserve"> (&lt; 6 mois) ; </w:t>
      </w:r>
      <w:r>
        <w:rPr>
          <w:b/>
        </w:rPr>
        <w:t>AVC récent</w:t>
      </w:r>
      <w:r>
        <w:t xml:space="preserve"> (&lt; 3 mois) ; </w:t>
      </w:r>
      <w:r>
        <w:rPr>
          <w:b/>
        </w:rPr>
        <w:t>insuffisance cardiaque décompensée</w:t>
      </w:r>
      <w:r>
        <w:t xml:space="preserve"> ; </w:t>
      </w:r>
      <w:r>
        <w:rPr>
          <w:b/>
        </w:rPr>
        <w:t>troubles du rythme sévères</w:t>
      </w:r>
      <w:r>
        <w:t xml:space="preserve"> non contrôlés ; </w:t>
      </w:r>
      <w:r>
        <w:rPr>
          <w:b/>
        </w:rPr>
        <w:t>angor instable</w:t>
      </w:r>
      <w:r>
        <w:t xml:space="preserve"> ; </w:t>
      </w:r>
      <w:r>
        <w:rPr>
          <w:b/>
        </w:rPr>
        <w:t>hypotension</w:t>
      </w:r>
      <w:r>
        <w:t xml:space="preserve"> (TAS &lt; 85 mmHg) ; </w:t>
      </w:r>
      <w:r>
        <w:rPr>
          <w:b/>
        </w:rPr>
        <w:t>insuffisance hépatique sévère</w:t>
      </w:r>
      <w:r>
        <w:t xml:space="preserve"> (Child-Pugh C) ; </w:t>
      </w:r>
      <w:r>
        <w:rPr>
          <w:b/>
        </w:rPr>
        <w:t>grossesse</w:t>
      </w:r>
      <w:r>
        <w:t xml:space="preserve"> (par prudence — l'iloprost n'est pas tératogène chez l'animal mais la HTAP gravidique est à haut risque maternel) ; </w:t>
      </w:r>
      <w:r>
        <w:rPr>
          <w:b/>
        </w:rPr>
        <w:t>allaitement</w:t>
      </w:r>
      <w:r>
        <w:t xml:space="preserve"> ; </w:t>
      </w:r>
      <w:r>
        <w:rPr>
          <w:b/>
        </w:rPr>
        <w:t>bronchopneumopathie obstructive sévère</w:t>
      </w:r>
      <w:r>
        <w:t xml:space="preserve"> avec bronchospasme (risque majoré de bronchospasme lors de la nébulisation) ; </w:t>
      </w:r>
      <w:r>
        <w:rPr>
          <w:b/>
        </w:rPr>
        <w:t>asthme sévère non contrôlé</w:t>
      </w:r>
      <w:r>
        <w:t>.</w:t>
      </w:r>
    </w:p>
    <w:p>
      <w:pPr>
        <w:pStyle w:val="ListBullet"/>
      </w:pPr>
      <w:r>
        <w:t xml:space="preserve">Effets Indésirables : </w:t>
      </w:r>
      <w:r>
        <w:rPr>
          <w:b/>
        </w:rPr>
        <w:t>flush</w:t>
      </w:r>
      <w:r>
        <w:t xml:space="preserve"> (27 % — le plus fréquent, lié à la vasodilatation systémique résiduelle) ; </w:t>
      </w:r>
      <w:r>
        <w:rPr>
          <w:b/>
        </w:rPr>
        <w:t>céphalées</w:t>
      </w:r>
      <w:r>
        <w:t xml:space="preserve"> (23 %) ; </w:t>
      </w:r>
      <w:r>
        <w:rPr>
          <w:b/>
        </w:rPr>
        <w:t>toux</w:t>
      </w:r>
      <w:r>
        <w:t xml:space="preserve"> pendant la nébulisation (13 % — irritation des voies aériennes supérieures) ; </w:t>
      </w:r>
      <w:r>
        <w:rPr>
          <w:b/>
        </w:rPr>
        <w:t>hypotension</w:t>
      </w:r>
      <w:r>
        <w:t xml:space="preserve"> (10 % — orthostatique) ; </w:t>
      </w:r>
      <w:r>
        <w:rPr>
          <w:b/>
        </w:rPr>
        <w:t>trismus</w:t>
      </w:r>
      <w:r>
        <w:t xml:space="preserve"> et </w:t>
      </w:r>
      <w:r>
        <w:rPr>
          <w:b/>
        </w:rPr>
        <w:t>douleurs mâchoire</w:t>
      </w:r>
      <w:r>
        <w:t xml:space="preserve"> (5 % — effet sur la CML massétère) ; </w:t>
      </w:r>
      <w:r>
        <w:rPr>
          <w:b/>
        </w:rPr>
        <w:t>nausées</w:t>
      </w:r>
      <w:r>
        <w:t xml:space="preserve"> (8 %) ; </w:t>
      </w:r>
      <w:r>
        <w:rPr>
          <w:b/>
        </w:rPr>
        <w:t>vomissements</w:t>
      </w:r>
      <w:r>
        <w:t xml:space="preserve"> (4 %) ; </w:t>
      </w:r>
      <w:r>
        <w:rPr>
          <w:b/>
        </w:rPr>
        <w:t>douleurs musculaires</w:t>
      </w:r>
      <w:r>
        <w:t xml:space="preserve"> (myalgies) ; </w:t>
      </w:r>
      <w:r>
        <w:rPr>
          <w:b/>
        </w:rPr>
        <w:t>insomnie</w:t>
      </w:r>
      <w:r>
        <w:t xml:space="preserve"> ; </w:t>
      </w:r>
      <w:r>
        <w:rPr>
          <w:b/>
        </w:rPr>
        <w:t>hypoglycémie</w:t>
      </w:r>
      <w:r>
        <w:t xml:space="preserve"> (rare — l'iloprost augmente la sensibilité à l'insuline) ; </w:t>
      </w:r>
      <w:r>
        <w:rPr>
          <w:b/>
        </w:rPr>
        <w:t>bronchospasme</w:t>
      </w:r>
      <w:r>
        <w:t xml:space="preserve"> (rare, mais à surveiller chez l'asthmatique) ; rares cas de </w:t>
      </w:r>
      <w:r>
        <w:rPr>
          <w:b/>
        </w:rPr>
        <w:t>saignements</w:t>
      </w:r>
      <w:r>
        <w:t xml:space="preserve"> (effet antiagrégant plaquettaire).</w:t>
      </w:r>
    </w:p>
    <w:p>
      <w:r/>
      <w:r>
        <w:rPr>
          <w:b/>
        </w:rPr>
        <w:t>Prévention et Gestion des Effets Indésirables :</w:t>
      </w:r>
      <w:r/>
    </w:p>
    <w:p>
      <w:pPr>
        <w:pStyle w:val="ListBullet"/>
      </w:pPr>
      <w:r>
        <w:t xml:space="preserve">Mesures Préventives : </w:t>
      </w:r>
      <w:r>
        <w:rPr>
          <w:b/>
        </w:rPr>
        <w:t>initiation progressive</w:t>
      </w:r>
      <w:r>
        <w:t xml:space="preserve"> à 2,5 µg/nébulisation × 6/j pendant 1-2 semaines, puis titration à 5 µg/nébulisation × 6-9/j selon la tolérance. </w:t>
      </w:r>
      <w:r>
        <w:rPr>
          <w:b/>
        </w:rPr>
        <w:t>Surveillance TA</w:t>
      </w:r>
      <w:r>
        <w:t xml:space="preserve"> avant et après la première nébulisation. </w:t>
      </w:r>
      <w:r>
        <w:rPr>
          <w:b/>
        </w:rPr>
        <w:t>Surveillance FR et SpO2</w:t>
      </w:r>
      <w:r>
        <w:t xml:space="preserve"> pendant la nébulisation (risque de bronchospasme). </w:t>
      </w:r>
      <w:r>
        <w:rPr>
          <w:b/>
        </w:rPr>
        <w:t>Hygiène bucco-dentaire</w:t>
      </w:r>
      <w:r>
        <w:t xml:space="preserve"> après chaque nébulisation (rinçage de la bouche à l'eau pour prévenir la candidose orale et l'irritation). </w:t>
      </w:r>
      <w:r>
        <w:rPr>
          <w:b/>
        </w:rPr>
        <w:t>Filtre</w:t>
      </w:r>
      <w:r>
        <w:t xml:space="preserve"> sur le nébuliseur pour protéger l'entourage de l'exposition passive (en particulier les femmes enceintes de l'entourage — par prudence). </w:t>
      </w:r>
      <w:r>
        <w:rPr>
          <w:b/>
        </w:rPr>
        <w:t>Nettoyage régulier</w:t>
      </w:r>
      <w:r>
        <w:t xml:space="preserve"> du nébuliseur (désinfection quotidienne, remplacement du kit tous les mois).</w:t>
      </w:r>
    </w:p>
    <w:p>
      <w:pPr>
        <w:pStyle w:val="ListBullet"/>
      </w:pPr>
      <w:r>
        <w:t>Conduite à Tenir : en cas d'</w:t>
      </w:r>
      <w:r>
        <w:rPr>
          <w:b/>
        </w:rPr>
        <w:t>hypotension</w:t>
      </w:r>
      <w:r>
        <w:t xml:space="preserve"> symptomatique (vertiges, lipothymie), réduire la dose ou espacer les nébulisations. En cas de </w:t>
      </w:r>
      <w:r>
        <w:rPr>
          <w:b/>
        </w:rPr>
        <w:t>bronchospasme</w:t>
      </w:r>
      <w:r>
        <w:t xml:space="preserve"> (sifflements, dyspnée pendant la nébulisation), arrêt immédiat, β2-mimétique inhalé de secours, consulter le pneumologue pour réévaluation. En cas de </w:t>
      </w:r>
      <w:r>
        <w:rPr>
          <w:b/>
        </w:rPr>
        <w:t>toux</w:t>
      </w:r>
      <w:r>
        <w:t xml:space="preserve"> sévère pendant la nébulisation, réduire la concentration ou utiliser un nébuliseur à débit plus lent.</w:t>
      </w:r>
    </w:p>
    <w:p>
      <w:r/>
      <w:r>
        <w:rPr>
          <w:b/>
        </w:rPr>
        <w:t>Interactions Importantes :</w:t>
      </w:r>
      <w:r/>
    </w:p>
    <w:p>
      <w:pPr>
        <w:pStyle w:val="ListBullet"/>
      </w:pPr>
      <w:r/>
      <w:r>
        <w:rPr>
          <w:b/>
        </w:rPr>
        <w:t>Iloprost + autres vasodilatateurs</w:t>
      </w:r>
      <w:r>
        <w:t xml:space="preserve"> (inhibiteurs PDE5, ARE, nitrés, antihypertenseurs) : </w:t>
      </w:r>
      <w:r>
        <w:rPr>
          <w:b/>
        </w:rPr>
        <w:t>potentialisation de l'effet hypotenseur</w:t>
      </w:r>
      <w:r>
        <w:t xml:space="preserve"> — surveillance TA, adaptation posologique. L'association avec un inhibiteur PDE5 (sildénafil, tadalafil) est </w:t>
      </w:r>
      <w:r>
        <w:rPr>
          <w:b/>
        </w:rPr>
        <w:t>possible et recommandée</w:t>
      </w:r>
      <w:r>
        <w:t xml:space="preserve"> dans la stratégie séquentielle ESC/ERS 2022 (bithérapie), mais avec surveillance rapprochée.</w:t>
      </w:r>
    </w:p>
    <w:p>
      <w:pPr>
        <w:pStyle w:val="ListBullet"/>
      </w:pPr>
      <w:r/>
      <w:r>
        <w:rPr>
          <w:b/>
        </w:rPr>
        <w:t>Iloprost + anticoagulants oraux</w:t>
      </w:r>
      <w:r>
        <w:t xml:space="preserve"> (warfarine, AOD) : potentialisation du risque hémorragique (effet antiagrégant plaquettaire de l'iloprost) — surveillance clinique, INR si AVK.</w:t>
      </w:r>
    </w:p>
    <w:p>
      <w:pPr>
        <w:pStyle w:val="ListBullet"/>
      </w:pPr>
      <w:r/>
      <w:r>
        <w:rPr>
          <w:b/>
        </w:rPr>
        <w:t>Iloprost + antiagrégants plaquettaires</w:t>
      </w:r>
      <w:r>
        <w:t xml:space="preserve"> (aspirine, clopidogrel) : potentialisation du risque hémorragique — surveillance clinique.</w:t>
      </w:r>
    </w:p>
    <w:p>
      <w:pPr>
        <w:pStyle w:val="ListBullet"/>
      </w:pPr>
      <w:r/>
      <w:r>
        <w:rPr>
          <w:b/>
        </w:rPr>
        <w:t>Iloprost + tabac</w:t>
      </w:r>
      <w:r>
        <w:t xml:space="preserve"> : le tabagisme entraîne une vasoconstriction pulmonaire et une diminution de l'efficacité de l'iloprost — arrêt du tabac recommandé.</w:t>
      </w:r>
    </w:p>
    <w:p>
      <w:r/>
      <w:r>
        <w:rPr>
          <w:b/>
        </w:rPr>
        <w:t>Grossesse et Allaitement :</w:t>
      </w:r>
      <w:r/>
    </w:p>
    <w:p>
      <w:pPr>
        <w:pStyle w:val="ListBullet"/>
      </w:pPr>
      <w:r>
        <w:t xml:space="preserve">Grossesse : selon le CRAT, l'iloprost </w:t>
      </w:r>
      <w:r>
        <w:rPr>
          <w:b/>
        </w:rPr>
        <w:t>peut être envisagé</w:t>
      </w:r>
      <w:r>
        <w:t xml:space="preserve"> chez la femme enceinte HTAP si nécessaire (bénéfice &gt; risque) — il n'est pas tératogène chez l'animal, mais les données humaines sont très limitées. À noter que la </w:t>
      </w:r>
      <w:r>
        <w:rPr>
          <w:b/>
        </w:rPr>
        <w:t>HTAP gravidique</w:t>
      </w:r>
      <w:r>
        <w:t xml:space="preserve"> est à </w:t>
      </w:r>
      <w:r>
        <w:rPr>
          <w:b/>
        </w:rPr>
        <w:t>haut risque maternel</w:t>
      </w:r>
      <w:r>
        <w:t xml:space="preserve"> (mortalité 30-50 %) et que l'arrêt de l'iloprost pendant la grossesse doit être discuté au cas par cas (multi-disciplinaire pneumologue/cardiologue/obstétricien/anesthésiste) — souvent interruption médicale de grossesse discutée.</w:t>
      </w:r>
    </w:p>
    <w:p>
      <w:pPr>
        <w:pStyle w:val="ListBullet"/>
      </w:pPr>
      <w:r>
        <w:t xml:space="preserve">Allaitement : selon le CRAT, </w:t>
      </w:r>
      <w:r>
        <w:rPr>
          <w:b/>
        </w:rPr>
        <w:t>à éviter par prudence</w:t>
      </w:r>
      <w:r>
        <w:t xml:space="preserve"> (données limitées sur le passage dans le lait maternel — l'iloprost passe dans le lait animal à concentrations non négligeables).</w:t>
      </w:r>
    </w:p>
    <w:p>
      <w:pPr>
        <w:pStyle w:val="ListBullet"/>
      </w:pPr>
      <w:r>
        <w:t>Précisions : l'</w:t>
      </w:r>
      <w:r>
        <w:rPr>
          <w:b/>
        </w:rPr>
        <w:t>exposition passive de l'entourage</w:t>
      </w:r>
      <w:r>
        <w:t xml:space="preserve"> à l'iloprost nébulisé doit être évitée chez la femme enceinte de l'entourage (filtre sur le nébuliseur).</w:t>
      </w:r>
    </w:p>
    <w:p>
      <w:r/>
      <w:r>
        <w:rPr>
          <w:b/>
        </w:rPr>
        <w:t>Posologie et Mode d'administration (Standard) :</w:t>
      </w:r>
      <w:r/>
    </w:p>
    <w:p>
      <w:pPr>
        <w:pStyle w:val="ListBullet"/>
      </w:pPr>
      <w:r>
        <w:t xml:space="preserve">Adulte — initiation : </w:t>
      </w:r>
      <w:r>
        <w:rPr>
          <w:b/>
        </w:rPr>
        <w:t>2,5 µg par nébulisation × 6/j</w:t>
      </w:r>
      <w:r>
        <w:t xml:space="preserve"> pendant 1-2 semaines, puis titration à </w:t>
      </w:r>
      <w:r>
        <w:rPr>
          <w:b/>
        </w:rPr>
        <w:t>5 µg par nébulisation × 6-9/j</w:t>
      </w:r>
      <w:r>
        <w:t xml:space="preserve"> selon la tolérance et la réponse clinique. Dose maximale : 5 µg × 9/j (45 µg/j).</w:t>
      </w:r>
    </w:p>
    <w:p>
      <w:pPr>
        <w:pStyle w:val="ListBullet"/>
      </w:pPr>
      <w:r>
        <w:t xml:space="preserve">Mode d'administration : </w:t>
      </w:r>
      <w:r>
        <w:rPr>
          <w:b/>
        </w:rPr>
        <w:t>inhalation par nébuliseur</w:t>
      </w:r>
      <w:r>
        <w:t xml:space="preserve"> (ultrasonique ou pneumatique) — la solution d'iloprost (ampoule de 2 mL à 10 µg/mL = 20 µg) est diluée si nécessaire avec du NaCl 0,9 % ou utilisée pure selon le nébuliseur. Durée d'inhalation : </w:t>
      </w:r>
      <w:r>
        <w:rPr>
          <w:b/>
        </w:rPr>
        <w:t>4-10 minutes par séance</w:t>
      </w:r>
      <w:r>
        <w:t xml:space="preserve">. Nébulisations </w:t>
      </w:r>
      <w:r>
        <w:rPr>
          <w:b/>
        </w:rPr>
        <w:t>espacées d'au moins 2 h</w:t>
      </w:r>
      <w:r>
        <w:t xml:space="preserve"> (et pas plus de 4 h d'espacement pour maintenir un effet vasodilatateur continu pendant la journée).</w:t>
      </w:r>
    </w:p>
    <w:p>
      <w:pPr>
        <w:pStyle w:val="ListBullet"/>
      </w:pPr>
      <w:r>
        <w:t>Sujet âgé : pas d'adaptation systématique.</w:t>
      </w:r>
    </w:p>
    <w:p>
      <w:pPr>
        <w:pStyle w:val="ListBullet"/>
      </w:pPr>
      <w:r>
        <w:t>Insuffisance hépatique (Child-Pugh A/B) : débuter à dose réduite, titration prudente ; CI en insuffisance sévère.</w:t>
      </w:r>
    </w:p>
    <w:p>
      <w:pPr>
        <w:pStyle w:val="ListBullet"/>
      </w:pPr>
      <w:r>
        <w:t>Insuffisance rénale : pas d'adaptation posologique (élimination principalement métabolique).</w:t>
      </w:r>
    </w:p>
    <w:p>
      <w:pPr>
        <w:pStyle w:val="ListBullet"/>
      </w:pPr>
      <w:r>
        <w:t>Enfant : HTAP pédiatrique sévère (off-label, sous protocole spécialisé) — dose adaptée au poids.</w:t>
      </w:r>
    </w:p>
    <w:p>
      <w:pPr>
        <w:pStyle w:val="ListBullet"/>
      </w:pPr>
      <w:r>
        <w:t xml:space="preserve">Durée : </w:t>
      </w:r>
      <w:r>
        <w:rPr>
          <w:b/>
        </w:rPr>
        <w:t>au long cours</w:t>
      </w:r>
      <w:r>
        <w:t xml:space="preserve"> (à vie ou jusqu'à transplantation pulmonaire) — ne jamais arrêter brutalement (risque de décompensation cardiaque droite par HTAP de rebond).</w:t>
      </w:r>
    </w:p>
    <w:p>
      <w:pPr>
        <w:pStyle w:val="ListBullet"/>
      </w:pPr>
      <w:r>
        <w:t xml:space="preserve">Moment de prise : </w:t>
      </w:r>
      <w:r>
        <w:rPr>
          <w:b/>
        </w:rPr>
        <w:t>6 à 9 nébulisations par jour</w:t>
      </w:r>
      <w:r>
        <w:t>, espacées d'au moins 2 h (et pas plus de 4 h d'espacement), à répartir pendant la période d'éveil (par exemple : 7h, 9h30, 12h, 14h30, 17h, 19h30, 22h — soit 7 nébulisations à 2,5 h d'intervalle).</w:t>
      </w:r>
    </w:p>
    <w:p>
      <w:r/>
      <w:r>
        <w:rPr>
          <w:b/>
        </w:rPr>
        <w:t>Arbitrage et Bénéfices des Formes Galéniques :</w:t>
      </w:r>
      <w:r/>
    </w:p>
    <w:p>
      <w:r>
        <w:t xml:space="preserve">L'iloprost est disponible uniquement en </w:t>
      </w:r>
      <w:r>
        <w:rPr>
          <w:b/>
        </w:rPr>
        <w:t>solution pour inhalation par nébuliseur</w:t>
      </w:r>
      <w:r>
        <w:t xml:space="preserve"> à 10 µg/mL (ampoules de 2 mL). Le </w:t>
      </w:r>
      <w:r>
        <w:rPr>
          <w:b/>
        </w:rPr>
        <w:t>nébuliseur</w:t>
      </w:r>
      <w:r>
        <w:t xml:space="preserve"> doit être adapté : nébuliseur </w:t>
      </w:r>
      <w:r>
        <w:rPr>
          <w:b/>
        </w:rPr>
        <w:t>ultrasonique</w:t>
      </w:r>
      <w:r>
        <w:t xml:space="preserve"> (plus rapide, plus discret) ou </w:t>
      </w:r>
      <w:r>
        <w:rPr>
          <w:b/>
        </w:rPr>
        <w:t>pneumatique</w:t>
      </w:r>
      <w:r>
        <w:t xml:space="preserve"> (plus courant, moins coûteux). Le </w:t>
      </w:r>
      <w:r>
        <w:rPr>
          <w:b/>
        </w:rPr>
        <w:t>filtre</w:t>
      </w:r>
      <w:r>
        <w:t xml:space="preserve"> sur le nébuliseur est recommandé pour protéger l'entourage de l'exposition passive. La </w:t>
      </w:r>
      <w:r>
        <w:rPr>
          <w:b/>
        </w:rPr>
        <w:t>contraignance</w:t>
      </w:r>
      <w:r>
        <w:t xml:space="preserve"> de l'administration (6-9 nébulisations/j de 4-10 min chacune, soit 1-1,5 h/jour) est un inconvénient majeur qui limite l'adhérence. La </w:t>
      </w:r>
      <w:r>
        <w:rPr>
          <w:b/>
        </w:rPr>
        <w:t>transition</w:t>
      </w:r>
      <w:r>
        <w:t xml:space="preserve"> vers le tréprostinil inhalé (Tyvaso® — 4 nébulisations/j) ou sous-cutané (Remodulin® — perfusion continue) ou l'époprosténol IV (Flolan® — perfusion continue) est fréquente en cas d'évolution défavorable — mais ces alternatives ne sont pas disponibles en Algérie.</w:t>
      </w:r>
    </w:p>
    <w:p>
      <w:r/>
      <w:r>
        <w:rPr>
          <w:b/>
        </w:rPr>
        <w:t>Instructions et Conseils au Patient :</w:t>
      </w:r>
      <w:r/>
    </w:p>
    <w:p>
      <w:pPr>
        <w:pStyle w:val="ListBullet"/>
      </w:pPr>
      <w:r>
        <w:t xml:space="preserve">Communication au comptoir : expliquer au patient le caractère </w:t>
      </w:r>
      <w:r>
        <w:rPr>
          <w:b/>
        </w:rPr>
        <w:t>chronique</w:t>
      </w:r>
      <w:r>
        <w:t xml:space="preserve"> du traitement HTAP, l'importance d'une </w:t>
      </w:r>
      <w:r>
        <w:rPr>
          <w:b/>
        </w:rPr>
        <w:t>observance stricte</w:t>
      </w:r>
      <w:r>
        <w:t xml:space="preserve"> (6-9 nébulisations/j à horaires fixes), l'</w:t>
      </w:r>
      <w:r>
        <w:rPr>
          <w:b/>
        </w:rPr>
        <w:t>hygiène du nébuliseur</w:t>
      </w:r>
      <w:r>
        <w:t xml:space="preserve"> (nettoyage et désinfection quotidiens, remplacement du kit tous les mois), l'hygiène bucco-dentaire (rinçage de la bouche à l'eau après chaque nébulisation), l'utilisation du </w:t>
      </w:r>
      <w:r>
        <w:rPr>
          <w:b/>
        </w:rPr>
        <w:t>filtre</w:t>
      </w:r>
      <w:r>
        <w:t xml:space="preserve"> pour protéger l'entourage (en particulier les femmes enceintes de l'entourage), les signes d'alerte (hypotension, bronchospasme, saignements).</w:t>
      </w:r>
    </w:p>
    <w:p>
      <w:pPr>
        <w:pStyle w:val="ListBullet"/>
      </w:pPr>
      <w:r>
        <w:t>Mode d'utilisation pratique : démonstration de la technique de nébulisation par le pneumologue ou le kinésithérapeute ; préparation de la solution (ouverture de l'ampoule, transfert dans la coupelle du nébuliseur, dilution éventuelle avec NaCl 0,9 %) ; position assise ou demi-assise pendant la nébulisation ; respiration lente et profonde par la bouche ; rinçage de la bouche à l'eau après ; nettoyage du nébuliseur (rinçage à l'eau, désinfection hebdomadaire à l'eau oxygénée ou au vinaigre) ; conservation des ampoules au réfrigérateur entre +2°C et +8°C (à conserver dans l'emballage d'origine, à l'abri de la lumière) ; la solution non utilisée dans une ampoule ouverte peut être conservée 24 h au réfrigérateur.</w:t>
      </w:r>
    </w:p>
    <w:p>
      <w:r/>
      <w:r>
        <w:rPr>
          <w:b/>
        </w:rPr>
        <w:t>Notes, Règles d'Or &amp; Pièges au Comptoir :</w:t>
      </w:r>
      <w:r/>
    </w:p>
    <w:p>
      <w:pPr>
        <w:pStyle w:val="ListBullet"/>
      </w:pPr>
      <w:r>
        <w:t xml:space="preserve">Piège classique : (i) oubli de la </w:t>
      </w:r>
      <w:r>
        <w:rPr>
          <w:b/>
        </w:rPr>
        <w:t>surveillance TA</w:t>
      </w:r>
      <w:r>
        <w:t xml:space="preserve"> (avant et après la première nébulisation) ; (ii) non-évaluation de la tolérance respiratoire (bronchospasme possible chez l'asthmatique) ; (iii) oubli de l'</w:t>
      </w:r>
      <w:r>
        <w:rPr>
          <w:b/>
        </w:rPr>
        <w:t>hygiène du nébuliseur</w:t>
      </w:r>
      <w:r>
        <w:t xml:space="preserve"> (risque d'infection respiratoire) ; (iv) oubli de l'</w:t>
      </w:r>
      <w:r>
        <w:rPr>
          <w:b/>
        </w:rPr>
        <w:t>hygiène bucco-dentaire</w:t>
      </w:r>
      <w:r>
        <w:t xml:space="preserve"> après nébulisation (candidose orale, irritation) ; (v) oubli du </w:t>
      </w:r>
      <w:r>
        <w:rPr>
          <w:b/>
        </w:rPr>
        <w:t>filtre</w:t>
      </w:r>
      <w:r>
        <w:t xml:space="preserve"> sur le nébuliseur (exposition passive de l'entourage, en particulier les femmes enceintes) ; (vi) conservation inadéquate des ampoules (à conserver au réfrigérateur +2°C à +8°C) ; (vii) oubli du caractère </w:t>
      </w:r>
      <w:r>
        <w:rPr>
          <w:b/>
        </w:rPr>
        <w:t>contraignant</w:t>
      </w:r>
      <w:r>
        <w:t xml:space="preserve"> du traitement (6-9 nébulisations/j — éducation thérapeutique renforcée).</w:t>
      </w:r>
    </w:p>
    <w:p>
      <w:pPr>
        <w:pStyle w:val="ListBullet"/>
      </w:pPr>
      <w:r>
        <w:t>Règle de prise : 6-9 nébulisations/j à horaires fixes, espacées d'au moins 2 h (et pas plus de 4 h d'espacement), pendant la période d'éveil.</w:t>
      </w:r>
    </w:p>
    <w:p>
      <w:pPr>
        <w:pStyle w:val="ListBullet"/>
      </w:pPr>
      <w:r>
        <w:t>Préparation et Conservation : conserver les ampoules au réfrigérateur entre +2°C et +8°C dans l'emballage d'origine, à l'abri de la lumière, ne pas congeler. La solution non utilisée dans une ampoule ouverte peut être conservée 24 h au réfrigérateur. Le nébuliseur doit être nettoyé après chaque utilisation (rinçage à l'eau) et désinfecté une fois par semaine (eau oxygénée ou vinaigre), avec remplacement du kit tous les mois.</w:t>
      </w:r>
    </w:p>
    <w:p>
      <w:pPr>
        <w:pStyle w:val="ListBullet"/>
      </w:pPr>
      <w:r>
        <w:t>Piège du surdosage / Substitution : surdosage → hypotension sévère, céphalées, flush, hypoglycémie — traitement symptomatique (arrêt de la nébulisation, allongement, remplissage vasculaire, surveillance hospitalière). Pas de générique disponible — substitution impossible (princeps Ventavis® uniquement).</w:t>
      </w:r>
    </w:p>
    <w:p>
      <w:pPr>
        <w:pStyle w:val="Heading2"/>
      </w:pPr>
      <w:r>
        <w:t>12. Tableau comparatif synthétique des 8 DCI</w:t>
      </w:r>
    </w:p>
    <w:tbl>
      <w:tblPr>
        <w:tblStyle w:val="LightGrid-Accent1"/>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Pr>
                <w:b/>
                <w:sz w:val="20"/>
              </w:rPr>
              <w:t>#</w:t>
            </w:r>
          </w:p>
        </w:tc>
        <w:tc>
          <w:tcPr>
            <w:tcW w:type="dxa" w:w="1039"/>
          </w:tcPr>
          <w:p>
            <w:r>
              <w:rPr>
                <w:b/>
                <w:sz w:val="20"/>
              </w:rPr>
              <w:t>DCI</w:t>
            </w:r>
          </w:p>
        </w:tc>
        <w:tc>
          <w:tcPr>
            <w:tcW w:type="dxa" w:w="1039"/>
          </w:tcPr>
          <w:p>
            <w:r>
              <w:rPr>
                <w:b/>
                <w:sz w:val="20"/>
              </w:rPr>
              <w:t>Sous-classe</w:t>
            </w:r>
          </w:p>
        </w:tc>
        <w:tc>
          <w:tcPr>
            <w:tcW w:type="dxa" w:w="1039"/>
          </w:tcPr>
          <w:p>
            <w:r>
              <w:rPr>
                <w:b/>
                <w:sz w:val="20"/>
              </w:rPr>
              <w:t>Origine / Voie</w:t>
            </w:r>
          </w:p>
        </w:tc>
        <w:tc>
          <w:tcPr>
            <w:tcW w:type="dxa" w:w="1039"/>
          </w:tcPr>
          <w:p>
            <w:r>
              <w:rPr>
                <w:b/>
                <w:sz w:val="20"/>
              </w:rPr>
              <w:t>Mécanisme</w:t>
            </w:r>
          </w:p>
        </w:tc>
        <w:tc>
          <w:tcPr>
            <w:tcW w:type="dxa" w:w="1039"/>
          </w:tcPr>
          <w:p>
            <w:r>
              <w:rPr>
                <w:b/>
                <w:sz w:val="20"/>
              </w:rPr>
              <w:t>Posologie-type (HTAP)</w:t>
            </w:r>
          </w:p>
        </w:tc>
        <w:tc>
          <w:tcPr>
            <w:tcW w:type="dxa" w:w="1039"/>
          </w:tcPr>
          <w:p>
            <w:r>
              <w:rPr>
                <w:b/>
                <w:sz w:val="20"/>
              </w:rPr>
              <w:t>EI majeur</w:t>
            </w:r>
          </w:p>
        </w:tc>
        <w:tc>
          <w:tcPr>
            <w:tcW w:type="dxa" w:w="1039"/>
          </w:tcPr>
          <w:p>
            <w:r>
              <w:rPr>
                <w:b/>
                <w:sz w:val="20"/>
              </w:rPr>
              <w:t>CI absolue</w:t>
            </w:r>
          </w:p>
        </w:tc>
        <w:tc>
          <w:tcPr>
            <w:tcW w:type="dxa" w:w="1039"/>
          </w:tcPr>
          <w:p>
            <w:r>
              <w:rPr>
                <w:b/>
                <w:sz w:val="20"/>
              </w:rPr>
              <w:t>Grossesse</w:t>
            </w:r>
          </w:p>
        </w:tc>
      </w:tr>
      <w:tr>
        <w:tc>
          <w:tcPr>
            <w:tcW w:type="dxa" w:w="1039"/>
          </w:tcPr>
          <w:p>
            <w:r>
              <w:rPr>
                <w:sz w:val="20"/>
              </w:rPr>
              <w:t>1</w:t>
            </w:r>
          </w:p>
        </w:tc>
        <w:tc>
          <w:tcPr>
            <w:tcW w:type="dxa" w:w="1039"/>
          </w:tcPr>
          <w:p>
            <w:r>
              <w:rPr>
                <w:sz w:val="20"/>
              </w:rPr>
              <w:t>Poractant alfa (Curosurf®)</w:t>
            </w:r>
          </w:p>
        </w:tc>
        <w:tc>
          <w:tcPr>
            <w:tcW w:type="dxa" w:w="1039"/>
          </w:tcPr>
          <w:p>
            <w:r>
              <w:rPr>
                <w:sz w:val="20"/>
              </w:rPr>
              <w:t>Surfactant exogène</w:t>
            </w:r>
          </w:p>
        </w:tc>
        <w:tc>
          <w:tcPr>
            <w:tcW w:type="dxa" w:w="1039"/>
          </w:tcPr>
          <w:p>
            <w:r>
              <w:rPr>
                <w:sz w:val="20"/>
              </w:rPr>
              <w:t>Porc — instillation endotrachéobronchique</w:t>
            </w:r>
          </w:p>
        </w:tc>
        <w:tc>
          <w:tcPr>
            <w:tcW w:type="dxa" w:w="1039"/>
          </w:tcPr>
          <w:p>
            <w:r>
              <w:rPr>
                <w:sz w:val="20"/>
              </w:rPr>
              <w:t>Restauration film tensioactif alvéolaire (phospholipides + SP-B/SP-C) → recrutement alvéolaire</w:t>
            </w:r>
          </w:p>
        </w:tc>
        <w:tc>
          <w:tcPr>
            <w:tcW w:type="dxa" w:w="1039"/>
          </w:tcPr>
          <w:p>
            <w:r>
              <w:rPr>
                <w:sz w:val="20"/>
              </w:rPr>
              <w:t>100-200 mg/kg (1,25-2,5 mL/kg) dose initiale, répétée H6-H12 max 3-4 doses</w:t>
            </w:r>
          </w:p>
        </w:tc>
        <w:tc>
          <w:tcPr>
            <w:tcW w:type="dxa" w:w="1039"/>
          </w:tcPr>
          <w:p>
            <w:r>
              <w:rPr>
                <w:sz w:val="20"/>
              </w:rPr>
              <w:t>Bradycardie transitoire, désaturation, hémorragie pulmonaire</w:t>
            </w:r>
          </w:p>
        </w:tc>
        <w:tc>
          <w:tcPr>
            <w:tcW w:type="dxa" w:w="1039"/>
          </w:tcPr>
          <w:p>
            <w:r>
              <w:rPr>
                <w:sz w:val="20"/>
              </w:rPr>
              <w:t>Aucune (urgence vitale)</w:t>
            </w:r>
          </w:p>
        </w:tc>
        <w:tc>
          <w:tcPr>
            <w:tcW w:type="dxa" w:w="1039"/>
          </w:tcPr>
          <w:p>
            <w:r>
              <w:rPr>
                <w:sz w:val="20"/>
              </w:rPr>
              <w:t>Non applicable (néonatal)</w:t>
            </w:r>
          </w:p>
        </w:tc>
      </w:tr>
      <w:tr>
        <w:tc>
          <w:tcPr>
            <w:tcW w:type="dxa" w:w="1039"/>
          </w:tcPr>
          <w:p>
            <w:r>
              <w:rPr>
                <w:sz w:val="20"/>
              </w:rPr>
              <w:t>2</w:t>
            </w:r>
          </w:p>
        </w:tc>
        <w:tc>
          <w:tcPr>
            <w:tcW w:type="dxa" w:w="1039"/>
          </w:tcPr>
          <w:p>
            <w:r>
              <w:rPr>
                <w:sz w:val="20"/>
              </w:rPr>
              <w:t>Beractant (Survanta®)</w:t>
            </w:r>
          </w:p>
        </w:tc>
        <w:tc>
          <w:tcPr>
            <w:tcW w:type="dxa" w:w="1039"/>
          </w:tcPr>
          <w:p>
            <w:r>
              <w:rPr>
                <w:sz w:val="20"/>
              </w:rPr>
              <w:t>Surfactant exogène</w:t>
            </w:r>
          </w:p>
        </w:tc>
        <w:tc>
          <w:tcPr>
            <w:tcW w:type="dxa" w:w="1039"/>
          </w:tcPr>
          <w:p>
            <w:r>
              <w:rPr>
                <w:sz w:val="20"/>
              </w:rPr>
              <w:t>Bovin — instillation intratrachéale</w:t>
            </w:r>
          </w:p>
        </w:tc>
        <w:tc>
          <w:tcPr>
            <w:tcW w:type="dxa" w:w="1039"/>
          </w:tcPr>
          <w:p>
            <w:r>
              <w:rPr>
                <w:sz w:val="20"/>
              </w:rPr>
              <w:t>Idem + adjonction DPPC/acide palmitique</w:t>
            </w:r>
          </w:p>
        </w:tc>
        <w:tc>
          <w:tcPr>
            <w:tcW w:type="dxa" w:w="1039"/>
          </w:tcPr>
          <w:p>
            <w:r>
              <w:rPr>
                <w:sz w:val="20"/>
              </w:rPr>
              <w:t>100 mg/kg (4 mL/kg) dose initiale, max 4 doses</w:t>
            </w:r>
          </w:p>
        </w:tc>
        <w:tc>
          <w:tcPr>
            <w:tcW w:type="dxa" w:w="1039"/>
          </w:tcPr>
          <w:p>
            <w:r>
              <w:rPr>
                <w:sz w:val="20"/>
              </w:rPr>
              <w:t>Idem</w:t>
            </w:r>
          </w:p>
        </w:tc>
        <w:tc>
          <w:tcPr>
            <w:tcW w:type="dxa" w:w="1039"/>
          </w:tcPr>
          <w:p>
            <w:r>
              <w:rPr>
                <w:sz w:val="20"/>
              </w:rPr>
              <w:t>Idem</w:t>
            </w:r>
          </w:p>
        </w:tc>
        <w:tc>
          <w:tcPr>
            <w:tcW w:type="dxa" w:w="1039"/>
          </w:tcPr>
          <w:p>
            <w:r>
              <w:rPr>
                <w:sz w:val="20"/>
              </w:rPr>
              <w:t>Non applicable</w:t>
            </w:r>
          </w:p>
        </w:tc>
      </w:tr>
      <w:tr>
        <w:tc>
          <w:tcPr>
            <w:tcW w:type="dxa" w:w="1039"/>
          </w:tcPr>
          <w:p>
            <w:r>
              <w:rPr>
                <w:sz w:val="20"/>
              </w:rPr>
              <w:t>3</w:t>
            </w:r>
          </w:p>
        </w:tc>
        <w:tc>
          <w:tcPr>
            <w:tcW w:type="dxa" w:w="1039"/>
          </w:tcPr>
          <w:p>
            <w:r>
              <w:rPr>
                <w:sz w:val="20"/>
              </w:rPr>
              <w:t>Calfactant (Infasurf®)</w:t>
            </w:r>
          </w:p>
        </w:tc>
        <w:tc>
          <w:tcPr>
            <w:tcW w:type="dxa" w:w="1039"/>
          </w:tcPr>
          <w:p>
            <w:r>
              <w:rPr>
                <w:sz w:val="20"/>
              </w:rPr>
              <w:t>Surfactant exogène</w:t>
            </w:r>
          </w:p>
        </w:tc>
        <w:tc>
          <w:tcPr>
            <w:tcW w:type="dxa" w:w="1039"/>
          </w:tcPr>
          <w:p>
            <w:r>
              <w:rPr>
                <w:sz w:val="20"/>
              </w:rPr>
              <w:t>Bovin — instillation intratrachéale</w:t>
            </w:r>
          </w:p>
        </w:tc>
        <w:tc>
          <w:tcPr>
            <w:tcW w:type="dxa" w:w="1039"/>
          </w:tcPr>
          <w:p>
            <w:r>
              <w:rPr>
                <w:sz w:val="20"/>
              </w:rPr>
              <w:t>Idem (SP-B/SP-C natives à concentration physiologique)</w:t>
            </w:r>
          </w:p>
        </w:tc>
        <w:tc>
          <w:tcPr>
            <w:tcW w:type="dxa" w:w="1039"/>
          </w:tcPr>
          <w:p>
            <w:r>
              <w:rPr>
                <w:sz w:val="20"/>
              </w:rPr>
              <w:t>105 mg/kg (3 mL/kg) dose initiale, max 3 doses</w:t>
            </w:r>
          </w:p>
        </w:tc>
        <w:tc>
          <w:tcPr>
            <w:tcW w:type="dxa" w:w="1039"/>
          </w:tcPr>
          <w:p>
            <w:r>
              <w:rPr>
                <w:sz w:val="20"/>
              </w:rPr>
              <w:t>Idem</w:t>
            </w:r>
          </w:p>
        </w:tc>
        <w:tc>
          <w:tcPr>
            <w:tcW w:type="dxa" w:w="1039"/>
          </w:tcPr>
          <w:p>
            <w:r>
              <w:rPr>
                <w:sz w:val="20"/>
              </w:rPr>
              <w:t>Idem</w:t>
            </w:r>
          </w:p>
        </w:tc>
        <w:tc>
          <w:tcPr>
            <w:tcW w:type="dxa" w:w="1039"/>
          </w:tcPr>
          <w:p>
            <w:r>
              <w:rPr>
                <w:sz w:val="20"/>
              </w:rPr>
              <w:t>Non applicable</w:t>
            </w:r>
          </w:p>
        </w:tc>
      </w:tr>
      <w:tr>
        <w:tc>
          <w:tcPr>
            <w:tcW w:type="dxa" w:w="1039"/>
          </w:tcPr>
          <w:p>
            <w:r>
              <w:rPr>
                <w:sz w:val="20"/>
              </w:rPr>
              <w:t>4</w:t>
            </w:r>
          </w:p>
        </w:tc>
        <w:tc>
          <w:tcPr>
            <w:tcW w:type="dxa" w:w="1039"/>
          </w:tcPr>
          <w:p>
            <w:r>
              <w:rPr>
                <w:sz w:val="20"/>
              </w:rPr>
              <w:t>Bosentan (Tracleer® + 5 génériques)</w:t>
            </w:r>
          </w:p>
        </w:tc>
        <w:tc>
          <w:tcPr>
            <w:tcW w:type="dxa" w:w="1039"/>
          </w:tcPr>
          <w:p>
            <w:r>
              <w:rPr>
                <w:sz w:val="20"/>
              </w:rPr>
              <w:t>ARE</w:t>
            </w:r>
          </w:p>
        </w:tc>
        <w:tc>
          <w:tcPr>
            <w:tcW w:type="dxa" w:w="1039"/>
          </w:tcPr>
          <w:p>
            <w:r>
              <w:rPr>
                <w:sz w:val="20"/>
              </w:rPr>
              <w:t>Oral (cp 62,5/125 mg)</w:t>
            </w:r>
          </w:p>
        </w:tc>
        <w:tc>
          <w:tcPr>
            <w:tcW w:type="dxa" w:w="1039"/>
          </w:tcPr>
          <w:p>
            <w:r>
              <w:rPr>
                <w:sz w:val="20"/>
              </w:rPr>
              <w:t>Antagoniste mixte ET_A/ET_B → vasodilatation pulmonaire</w:t>
            </w:r>
          </w:p>
        </w:tc>
        <w:tc>
          <w:tcPr>
            <w:tcW w:type="dxa" w:w="1039"/>
          </w:tcPr>
          <w:p>
            <w:r>
              <w:rPr>
                <w:sz w:val="20"/>
              </w:rPr>
              <w:t>62,5 mg × 2/j (4 sem) puis 125 mg × 2/j</w:t>
            </w:r>
          </w:p>
        </w:tc>
        <w:tc>
          <w:tcPr>
            <w:tcW w:type="dxa" w:w="1039"/>
          </w:tcPr>
          <w:p>
            <w:r>
              <w:rPr>
                <w:sz w:val="20"/>
              </w:rPr>
              <w:t>Hépatotoxicité (ALAT/ASAT mensuels), œdèmes, anémie</w:t>
            </w:r>
          </w:p>
        </w:tc>
        <w:tc>
          <w:tcPr>
            <w:tcW w:type="dxa" w:w="1039"/>
          </w:tcPr>
          <w:p>
            <w:r>
              <w:rPr>
                <w:sz w:val="20"/>
              </w:rPr>
              <w:t>Ciclosporine, grossesse, ATK &gt; 3×LSN</w:t>
            </w:r>
          </w:p>
        </w:tc>
        <w:tc>
          <w:tcPr>
            <w:tcW w:type="dxa" w:w="1039"/>
          </w:tcPr>
          <w:p>
            <w:r>
              <w:rPr>
                <w:sz w:val="20"/>
              </w:rPr>
              <w:t>CI absolue — tératogène (double contraception + β-hCG mensuel)</w:t>
            </w:r>
          </w:p>
        </w:tc>
      </w:tr>
      <w:tr>
        <w:tc>
          <w:tcPr>
            <w:tcW w:type="dxa" w:w="1039"/>
          </w:tcPr>
          <w:p>
            <w:r>
              <w:rPr>
                <w:sz w:val="20"/>
              </w:rPr>
              <w:t>5</w:t>
            </w:r>
          </w:p>
        </w:tc>
        <w:tc>
          <w:tcPr>
            <w:tcW w:type="dxa" w:w="1039"/>
          </w:tcPr>
          <w:p>
            <w:r>
              <w:rPr>
                <w:sz w:val="20"/>
              </w:rPr>
              <w:t>Sildénafil (Viagra® + 18 génériques)</w:t>
            </w:r>
          </w:p>
        </w:tc>
        <w:tc>
          <w:tcPr>
            <w:tcW w:type="dxa" w:w="1039"/>
          </w:tcPr>
          <w:p>
            <w:r>
              <w:rPr>
                <w:sz w:val="20"/>
              </w:rPr>
              <w:t>Inhibiteur PDE5</w:t>
            </w:r>
          </w:p>
        </w:tc>
        <w:tc>
          <w:tcPr>
            <w:tcW w:type="dxa" w:w="1039"/>
          </w:tcPr>
          <w:p>
            <w:r>
              <w:rPr>
                <w:sz w:val="20"/>
              </w:rPr>
              <w:t>Oral (cp 50/100 mg)</w:t>
            </w:r>
          </w:p>
        </w:tc>
        <w:tc>
          <w:tcPr>
            <w:tcW w:type="dxa" w:w="1039"/>
          </w:tcPr>
          <w:p>
            <w:r>
              <w:rPr>
                <w:sz w:val="20"/>
              </w:rPr>
              <w:t>Inhibition PDE5 → GMPc↑ → vasodilatation</w:t>
            </w:r>
          </w:p>
        </w:tc>
        <w:tc>
          <w:tcPr>
            <w:tcW w:type="dxa" w:w="1039"/>
          </w:tcPr>
          <w:p>
            <w:r>
              <w:rPr>
                <w:sz w:val="20"/>
              </w:rPr>
              <w:t>HTAP : 20 mg × 3/j (Revatio® non disponible — 25 mg × 3/j off-label)</w:t>
            </w:r>
          </w:p>
        </w:tc>
        <w:tc>
          <w:tcPr>
            <w:tcW w:type="dxa" w:w="1039"/>
          </w:tcPr>
          <w:p>
            <w:r>
              <w:rPr>
                <w:sz w:val="20"/>
              </w:rPr>
              <w:t>Céphalées, flush, dyspepsie, troubles visuels (PDE6)</w:t>
            </w:r>
          </w:p>
        </w:tc>
        <w:tc>
          <w:tcPr>
            <w:tcW w:type="dxa" w:w="1039"/>
          </w:tcPr>
          <w:p>
            <w:r>
              <w:rPr>
                <w:sz w:val="20"/>
              </w:rPr>
              <w:t>Dérivés nitrés, poppers (24 h d'espacement)</w:t>
            </w:r>
          </w:p>
        </w:tc>
        <w:tc>
          <w:tcPr>
            <w:tcW w:type="dxa" w:w="1039"/>
          </w:tcPr>
          <w:p>
            <w:r>
              <w:rPr>
                <w:sz w:val="20"/>
              </w:rPr>
              <w:t>Possible si nécessaire (CRAT rassurant)</w:t>
            </w:r>
          </w:p>
        </w:tc>
      </w:tr>
      <w:tr>
        <w:tc>
          <w:tcPr>
            <w:tcW w:type="dxa" w:w="1039"/>
          </w:tcPr>
          <w:p>
            <w:r>
              <w:rPr>
                <w:sz w:val="20"/>
              </w:rPr>
              <w:t>6</w:t>
            </w:r>
          </w:p>
        </w:tc>
        <w:tc>
          <w:tcPr>
            <w:tcW w:type="dxa" w:w="1039"/>
          </w:tcPr>
          <w:p>
            <w:r>
              <w:rPr>
                <w:sz w:val="20"/>
              </w:rPr>
              <w:t>Tadalafil (Cialis® + 10 génériques)</w:t>
            </w:r>
          </w:p>
        </w:tc>
        <w:tc>
          <w:tcPr>
            <w:tcW w:type="dxa" w:w="1039"/>
          </w:tcPr>
          <w:p>
            <w:r>
              <w:rPr>
                <w:sz w:val="20"/>
              </w:rPr>
              <w:t>Inhibiteur PDE5</w:t>
            </w:r>
          </w:p>
        </w:tc>
        <w:tc>
          <w:tcPr>
            <w:tcW w:type="dxa" w:w="1039"/>
          </w:tcPr>
          <w:p>
            <w:r>
              <w:rPr>
                <w:sz w:val="20"/>
              </w:rPr>
              <w:t>Oral (cp 5/20 mg)</w:t>
            </w:r>
          </w:p>
        </w:tc>
        <w:tc>
          <w:tcPr>
            <w:tcW w:type="dxa" w:w="1039"/>
          </w:tcPr>
          <w:p>
            <w:r>
              <w:rPr>
                <w:sz w:val="20"/>
              </w:rPr>
              <w:t>Inhibition PDE5 → GMPc↑ → vasodilatation (demi-vie longue 17,5 h)</w:t>
            </w:r>
          </w:p>
        </w:tc>
        <w:tc>
          <w:tcPr>
            <w:tcW w:type="dxa" w:w="1039"/>
          </w:tcPr>
          <w:p>
            <w:r>
              <w:rPr>
                <w:sz w:val="20"/>
              </w:rPr>
              <w:t>HTAP : 40 mg/j en 1 prise (Adcirca® non disponible — 2 × 20 mg off-label)</w:t>
            </w:r>
          </w:p>
        </w:tc>
        <w:tc>
          <w:tcPr>
            <w:tcW w:type="dxa" w:w="1039"/>
          </w:tcPr>
          <w:p>
            <w:r>
              <w:rPr>
                <w:sz w:val="20"/>
              </w:rPr>
              <w:t>Céphalées, dyspepsie, myalgies/dorsalgies (PDE11), flush</w:t>
            </w:r>
          </w:p>
        </w:tc>
        <w:tc>
          <w:tcPr>
            <w:tcW w:type="dxa" w:w="1039"/>
          </w:tcPr>
          <w:p>
            <w:r>
              <w:rPr>
                <w:sz w:val="20"/>
              </w:rPr>
              <w:t>Dérivés nitrés, poppers (48 h d'espacement)</w:t>
            </w:r>
          </w:p>
        </w:tc>
        <w:tc>
          <w:tcPr>
            <w:tcW w:type="dxa" w:w="1039"/>
          </w:tcPr>
          <w:p>
            <w:r>
              <w:rPr>
                <w:sz w:val="20"/>
              </w:rPr>
              <w:t>À éviter par prudence</w:t>
            </w:r>
          </w:p>
        </w:tc>
      </w:tr>
      <w:tr>
        <w:tc>
          <w:tcPr>
            <w:tcW w:type="dxa" w:w="1039"/>
          </w:tcPr>
          <w:p>
            <w:r>
              <w:rPr>
                <w:sz w:val="20"/>
              </w:rPr>
              <w:t>7</w:t>
            </w:r>
          </w:p>
        </w:tc>
        <w:tc>
          <w:tcPr>
            <w:tcW w:type="dxa" w:w="1039"/>
          </w:tcPr>
          <w:p>
            <w:r>
              <w:rPr>
                <w:sz w:val="20"/>
              </w:rPr>
              <w:t>Riociguat (Adempas®)</w:t>
            </w:r>
          </w:p>
        </w:tc>
        <w:tc>
          <w:tcPr>
            <w:tcW w:type="dxa" w:w="1039"/>
          </w:tcPr>
          <w:p>
            <w:r>
              <w:rPr>
                <w:sz w:val="20"/>
              </w:rPr>
              <w:t>Stimulateur sGC</w:t>
            </w:r>
          </w:p>
        </w:tc>
        <w:tc>
          <w:tcPr>
            <w:tcW w:type="dxa" w:w="1039"/>
          </w:tcPr>
          <w:p>
            <w:r>
              <w:rPr>
                <w:sz w:val="20"/>
              </w:rPr>
              <w:t>Oral (cp 0,5/1/1,5/2/2,5 mg)</w:t>
            </w:r>
          </w:p>
        </w:tc>
        <w:tc>
          <w:tcPr>
            <w:tcW w:type="dxa" w:w="1039"/>
          </w:tcPr>
          <w:p>
            <w:r>
              <w:rPr>
                <w:sz w:val="20"/>
              </w:rPr>
              <w:t>Stimulation sGC NO-indépendante + potentialisation NO → GMPc↑</w:t>
            </w:r>
          </w:p>
        </w:tc>
        <w:tc>
          <w:tcPr>
            <w:tcW w:type="dxa" w:w="1039"/>
          </w:tcPr>
          <w:p>
            <w:r>
              <w:rPr>
                <w:sz w:val="20"/>
              </w:rPr>
              <w:t>Titration : 0,5-1 mg × 3/j → max 2,5 mg × 3/j</w:t>
            </w:r>
          </w:p>
        </w:tc>
        <w:tc>
          <w:tcPr>
            <w:tcW w:type="dxa" w:w="1039"/>
          </w:tcPr>
          <w:p>
            <w:r>
              <w:rPr>
                <w:sz w:val="20"/>
              </w:rPr>
              <w:t>Hypotension, céphalées, dyspepsie</w:t>
            </w:r>
          </w:p>
        </w:tc>
        <w:tc>
          <w:tcPr>
            <w:tcW w:type="dxa" w:w="1039"/>
          </w:tcPr>
          <w:p>
            <w:r>
              <w:rPr>
                <w:sz w:val="20"/>
              </w:rPr>
              <w:t>Inhibiteurs PDE5, dérivés nitrés, poppers, grossesse</w:t>
            </w:r>
          </w:p>
        </w:tc>
        <w:tc>
          <w:tcPr>
            <w:tcW w:type="dxa" w:w="1039"/>
          </w:tcPr>
          <w:p>
            <w:r>
              <w:rPr>
                <w:sz w:val="20"/>
              </w:rPr>
              <w:t>CI absolue — tératogène (double contraception + β-hCG mensuel)</w:t>
            </w:r>
          </w:p>
        </w:tc>
      </w:tr>
      <w:tr>
        <w:tc>
          <w:tcPr>
            <w:tcW w:type="dxa" w:w="1039"/>
          </w:tcPr>
          <w:p>
            <w:r>
              <w:rPr>
                <w:sz w:val="20"/>
              </w:rPr>
              <w:t>8</w:t>
            </w:r>
          </w:p>
        </w:tc>
        <w:tc>
          <w:tcPr>
            <w:tcW w:type="dxa" w:w="1039"/>
          </w:tcPr>
          <w:p>
            <w:r>
              <w:rPr>
                <w:sz w:val="20"/>
              </w:rPr>
              <w:t>Iloprost (Ventavis®)</w:t>
            </w:r>
          </w:p>
        </w:tc>
        <w:tc>
          <w:tcPr>
            <w:tcW w:type="dxa" w:w="1039"/>
          </w:tcPr>
          <w:p>
            <w:r>
              <w:rPr>
                <w:sz w:val="20"/>
              </w:rPr>
              <w:t>Analogue prostacycline</w:t>
            </w:r>
          </w:p>
        </w:tc>
        <w:tc>
          <w:tcPr>
            <w:tcW w:type="dxa" w:w="1039"/>
          </w:tcPr>
          <w:p>
            <w:r>
              <w:rPr>
                <w:sz w:val="20"/>
              </w:rPr>
              <w:t>Inhalation par nébuliseur (10 µg/mL)</w:t>
            </w:r>
          </w:p>
        </w:tc>
        <w:tc>
          <w:tcPr>
            <w:tcW w:type="dxa" w:w="1039"/>
          </w:tcPr>
          <w:p>
            <w:r>
              <w:rPr>
                <w:sz w:val="20"/>
              </w:rPr>
              <w:t>Agoniste IP → AMPc↑ → vasodilatation + antiagrégant</w:t>
            </w:r>
          </w:p>
        </w:tc>
        <w:tc>
          <w:tcPr>
            <w:tcW w:type="dxa" w:w="1039"/>
          </w:tcPr>
          <w:p>
            <w:r>
              <w:rPr>
                <w:sz w:val="20"/>
              </w:rPr>
              <w:t>2,5-5 µg/nébulisation × 6-9/j</w:t>
            </w:r>
          </w:p>
        </w:tc>
        <w:tc>
          <w:tcPr>
            <w:tcW w:type="dxa" w:w="1039"/>
          </w:tcPr>
          <w:p>
            <w:r>
              <w:rPr>
                <w:sz w:val="20"/>
              </w:rPr>
              <w:t>Flush, céphalées, toux, hypotension</w:t>
            </w:r>
          </w:p>
        </w:tc>
        <w:tc>
          <w:tcPr>
            <w:tcW w:type="dxa" w:w="1039"/>
          </w:tcPr>
          <w:p>
            <w:r>
              <w:rPr>
                <w:sz w:val="20"/>
              </w:rPr>
              <w:t>Insuffisance cardiaque décompensée, IM récent, AVC récent</w:t>
            </w:r>
          </w:p>
        </w:tc>
        <w:tc>
          <w:tcPr>
            <w:tcW w:type="dxa" w:w="1039"/>
          </w:tcPr>
          <w:p>
            <w:r>
              <w:rPr>
                <w:sz w:val="20"/>
              </w:rPr>
              <w:t>Possible si nécessaire (CRAT — exposition passive entourage à éviter)</w:t>
            </w:r>
          </w:p>
        </w:tc>
      </w:tr>
    </w:tbl>
    <w:p/>
    <w:p>
      <w:pPr>
        <w:pStyle w:val="Heading2"/>
      </w:pPr>
      <w:r>
        <w:t>13. Règles d'Or et points-clés au comptoir</w:t>
      </w:r>
    </w:p>
    <w:p>
      <w:pPr>
        <w:pStyle w:val="Heading3"/>
      </w:pPr>
      <w:r>
        <w:t>Règles d'Or transversales (10 points-clés)</w:t>
      </w:r>
    </w:p>
    <w:p>
      <w:pPr>
        <w:pStyle w:val="ListNumber"/>
      </w:pPr>
      <w:r/>
      <w:r>
        <w:rPr>
          <w:b/>
        </w:rPr>
        <w:t>Sildénafil + nitrés = CI absolue (24 h d'espacement)</w:t>
      </w:r>
      <w:r>
        <w:t xml:space="preserve"> — recherche systématique de trinitrine, isosorbide, dinitrate d'isosorbide, molsidomine, nitroprussiate avant toute dispensation. Le patient coronarien sous trinitrine à la demande ne doit jamais recevoir d'inhibiteur de la PDE5. En cas de douleur thoracique sous sildénafil, </w:t>
      </w:r>
      <w:r>
        <w:rPr>
          <w:b/>
        </w:rPr>
        <w:t>ne jamais prendre de trinitrine dans les 24 h</w:t>
      </w:r>
      <w:r>
        <w:t xml:space="preserve"> — consulter les urgences en précisant la prise de sildénafil.</w:t>
      </w:r>
    </w:p>
    <w:p>
      <w:pPr>
        <w:pStyle w:val="ListNumber"/>
      </w:pPr>
      <w:r/>
      <w:r>
        <w:rPr>
          <w:b/>
        </w:rPr>
        <w:t>Tadalafil + nitrés = CI absolue (48 h d'espacement, plus long que le sildénafil)</w:t>
      </w:r>
      <w:r>
        <w:t xml:space="preserve"> — la demi-vie du tadalafil (17,5 h) impose un espacement de </w:t>
      </w:r>
      <w:r>
        <w:rPr>
          <w:b/>
        </w:rPr>
        <w:t>48 h</w:t>
      </w:r>
      <w:r>
        <w:t xml:space="preserve"> avant toute prise de trinitrine (vs 24 h pour le sildénafil). À retenir absolument.</w:t>
      </w:r>
    </w:p>
    <w:p>
      <w:pPr>
        <w:pStyle w:val="ListNumber"/>
      </w:pPr>
      <w:r/>
      <w:r>
        <w:rPr>
          <w:b/>
        </w:rPr>
        <w:t>Riociguat + inhibiteurs PDE5 = CI absolue</w:t>
      </w:r>
      <w:r>
        <w:t xml:space="preserve"> — majoration massive du GMPc → hypotension sévère potentiellement létale. Avant d'initier un riociguat chez un patient déjà sous inhibiteur PDE5, faire un wash-out de 24-48 h.</w:t>
      </w:r>
    </w:p>
    <w:p>
      <w:pPr>
        <w:pStyle w:val="ListNumber"/>
      </w:pPr>
      <w:r/>
      <w:r>
        <w:rPr>
          <w:b/>
        </w:rPr>
        <w:t>Riociguat + dérivés nitrés = CI absolue</w:t>
      </w:r>
      <w:r>
        <w:t xml:space="preserve"> — même mécanisme (potentialisation de la voie NO-sGC-GMPc).</w:t>
      </w:r>
    </w:p>
    <w:p>
      <w:pPr>
        <w:pStyle w:val="ListNumber"/>
      </w:pPr>
      <w:r/>
      <w:r>
        <w:rPr>
          <w:b/>
        </w:rPr>
        <w:t>Bosentan = surveillance ALAT/ASAT mensuelle obligatoire</w:t>
      </w:r>
      <w:r>
        <w:t xml:space="preserve"> — hépatotoxicité dose-dépendante (10-15 % à 125 mg × 2/j), risque d'insuffisance hépatique rare mais létale. Arrêt si ATK &gt; 3 × LSN (reprise à dose réduite) ou &gt; 5 × LSN (arrêt définitif).</w:t>
      </w:r>
    </w:p>
    <w:p>
      <w:pPr>
        <w:pStyle w:val="ListNumber"/>
      </w:pPr>
      <w:r/>
      <w:r>
        <w:rPr>
          <w:b/>
        </w:rPr>
        <w:t>Bosentan + grossesse = CI absolue (tératogène)</w:t>
      </w:r>
      <w:r>
        <w:t xml:space="preserve"> — double contraception obligatoire (incluant une méthode mécanique — les contraceptifs hormonaux sont inactivés par le bosentan), test β-hCG pré-thérapeutique et mensuel, arrêt 3 mois avant conception projetée.</w:t>
      </w:r>
    </w:p>
    <w:p>
      <w:pPr>
        <w:pStyle w:val="ListNumber"/>
      </w:pPr>
      <w:r/>
      <w:r>
        <w:rPr>
          <w:b/>
        </w:rPr>
        <w:t>Bosentan + ciclosporine = CI absolue</w:t>
      </w:r>
      <w:r>
        <w:t xml:space="preserve"> — la ciclosporine augmente le taux de bosentan (×2) et le bosentan diminue le taux de ciclosporine (-50 %) — risque de rejet de greffe et d'hépatotoxicité sévère.</w:t>
      </w:r>
    </w:p>
    <w:p>
      <w:pPr>
        <w:pStyle w:val="ListNumber"/>
      </w:pPr>
      <w:r/>
      <w:r>
        <w:rPr>
          <w:b/>
        </w:rPr>
        <w:t>Sildénafil et tadalafil = interroger sur l'indication</w:t>
      </w:r>
      <w:r>
        <w:t xml:space="preserve"> (HTAP vs DE vs HBP) — la posologie et la surveillance diffèrent selon l'indication. Le patient traité pour HTAP suit un protocole hospitalier spécialisé ; le patient traité pour DE prend à la demande (ou 5 mg/j).</w:t>
      </w:r>
    </w:p>
    <w:p>
      <w:pPr>
        <w:pStyle w:val="ListNumber"/>
      </w:pPr>
      <w:r/>
      <w:r>
        <w:rPr>
          <w:b/>
        </w:rPr>
        <w:t>Surfactants exogènes = usage hospitalier exclusif</w:t>
      </w:r>
      <w:r>
        <w:t xml:space="preserve"> — le pharmacien d'officine ne dispense pas ces spécialités, mais doit connaître leur existence, leur cible thérapeutique (SDRN du prématuré), et leur statut LISTE I. Les corticoïdes anténataux (bétaméthasone, dexaméthasone à la mère entre 24-34 SA en cas de MAP) restent le facteur pronostique principal.</w:t>
      </w:r>
    </w:p>
    <w:p>
      <w:pPr>
        <w:pStyle w:val="ListNumber"/>
      </w:pPr>
      <w:r/>
      <w:r>
        <w:rPr>
          <w:b/>
        </w:rPr>
        <w:t>Iloprost = 6-9 nébulisations/j, hygiène du nébuliseur et filtre</w:t>
      </w:r>
      <w:r>
        <w:t xml:space="preserve"> — la contraignance de l'administration (1-1,5 h/jour) nécessite une éducation thérapeutique renforcée. L'hygiène du nébuliseur (nettoyage quotidien, désinfection hebdomadaire, remplacement mensuel), l'hygiène bucco-dentaire (rinçage après nébulisation), et l'utilisation d'un </w:t>
      </w:r>
      <w:r>
        <w:rPr>
          <w:b/>
        </w:rPr>
        <w:t>filtre</w:t>
      </w:r>
      <w:r>
        <w:t xml:space="preserve"> pour protéger l'entourage (en particulier les femmes enceintes) sont essentiels.</w:t>
      </w:r>
    </w:p>
    <w:p>
      <w:pPr>
        <w:pStyle w:val="Heading3"/>
      </w:pPr>
      <w:r>
        <w:t>Pièges majeurs à éviter</w:t>
      </w:r>
    </w:p>
    <w:p>
      <w:pPr>
        <w:pStyle w:val="ListBullet"/>
      </w:pPr>
      <w:r/>
      <w:r>
        <w:rPr>
          <w:b/>
        </w:rPr>
        <w:t>Détresse respiratoire néonatale (SDRN) et surfactant</w:t>
      </w:r>
      <w:r>
        <w:t xml:space="preserve"> : ne pas confondre poractant alfa (80 mg/mL), beractant (25 mg/mL) et calfactant (35 mg/mL) — les doses en mL/kg diffèrent et la substitution nécessite un recalcul (1,25-2,5 mL/kg vs 4 mL/kg vs 3 mL/kg).</w:t>
      </w:r>
    </w:p>
    <w:p>
      <w:pPr>
        <w:pStyle w:val="ListBullet"/>
      </w:pPr>
      <w:r/>
      <w:r>
        <w:rPr>
          <w:b/>
        </w:rPr>
        <w:t>Bosentan + contraceptifs hormonaux</w:t>
      </w:r>
      <w:r>
        <w:t xml:space="preserve"> : le bosentan inactive les contraceptifs hormonaux par induction CYP3A4 — obligation d'une double contraception non hormonale ou complémentaire (méthode barrière systématique).</w:t>
      </w:r>
    </w:p>
    <w:p>
      <w:pPr>
        <w:pStyle w:val="ListBullet"/>
      </w:pPr>
      <w:r/>
      <w:r>
        <w:rPr>
          <w:b/>
        </w:rPr>
        <w:t>Bosentan + warfarine</w:t>
      </w:r>
      <w:r>
        <w:t xml:space="preserve"> : le bosentan diminue l'INR (induction CYP2C9) — surveillance rapprochée de l'INR et augmentation de la dose d'AVK de 20-40 %.</w:t>
      </w:r>
    </w:p>
    <w:p>
      <w:pPr>
        <w:pStyle w:val="ListBullet"/>
      </w:pPr>
      <w:r/>
      <w:r>
        <w:rPr>
          <w:b/>
        </w:rPr>
        <w:t>Bosentan + sildénafil</w:t>
      </w:r>
      <w:r>
        <w:t xml:space="preserve"> : le bosentan diminue les concentrations de sildénafil de 50 % — surveillance clinique et adaptation posologique.</w:t>
      </w:r>
    </w:p>
    <w:p>
      <w:pPr>
        <w:pStyle w:val="ListBullet"/>
      </w:pPr>
      <w:r/>
      <w:r>
        <w:rPr>
          <w:b/>
        </w:rPr>
        <w:t>Sildénafil (ou tadalafil) + α-bloquants</w:t>
      </w:r>
      <w:r>
        <w:t xml:space="preserve"> : risque d'hypotension orthostatique — débuter la doxazosine à dose minimale, espacer la prise de 4 h.</w:t>
      </w:r>
    </w:p>
    <w:p>
      <w:pPr>
        <w:pStyle w:val="ListBullet"/>
      </w:pPr>
      <w:r/>
      <w:r>
        <w:rPr>
          <w:b/>
        </w:rPr>
        <w:t>Sildénafil (ou tadalafil) + inhibiteurs puissants du CYP3A4 (ritonavir, kétoconazole, clarithromycine)</w:t>
      </w:r>
      <w:r>
        <w:t xml:space="preserve"> : augmentation majeure des concentrations — débuter à 25 mg.</w:t>
      </w:r>
    </w:p>
    <w:p>
      <w:pPr>
        <w:pStyle w:val="ListBullet"/>
      </w:pPr>
      <w:r/>
      <w:r>
        <w:rPr>
          <w:b/>
        </w:rPr>
        <w:t>Riociguat + tabac</w:t>
      </w:r>
      <w:r>
        <w:t xml:space="preserve"> : le tabac est un inducteur puissant du CYP1A1 — les fumeurs ont des concentrations de riociguat plus basses de 50-60 % (envisager l'arrêt du tabac, sinon adaptation posologique).</w:t>
      </w:r>
    </w:p>
    <w:p>
      <w:pPr>
        <w:pStyle w:val="ListBullet"/>
      </w:pPr>
      <w:r/>
      <w:r>
        <w:rPr>
          <w:b/>
        </w:rPr>
        <w:t>Riociguat + repas riche en graisses</w:t>
      </w:r>
      <w:r>
        <w:t xml:space="preserve"> : retard et réduction de l'absorption de 20-30 % — prendre à distance des repas (1 h avant ou 2 h après).</w:t>
      </w:r>
    </w:p>
    <w:p>
      <w:pPr>
        <w:pStyle w:val="ListBullet"/>
      </w:pPr>
      <w:r/>
      <w:r>
        <w:rPr>
          <w:b/>
        </w:rPr>
        <w:t>Iloprost + bronchospasme</w:t>
      </w:r>
      <w:r>
        <w:t xml:space="preserve"> : la nébulisation d'iloprost peut déclencher un bronchospasme chez le patient asthmatique ou hyper-réactif — surveiller FR et SpO2 pendant la nébulisation, avoir un β2-mimétique inhalé de secours disponible.</w:t>
      </w:r>
    </w:p>
    <w:p>
      <w:pPr>
        <w:pStyle w:val="ListBullet"/>
      </w:pPr>
      <w:r/>
      <w:r>
        <w:rPr>
          <w:b/>
        </w:rPr>
        <w:t>Iloprost + exposition passive de l'entourage</w:t>
      </w:r>
      <w:r>
        <w:t xml:space="preserve"> : utiliser un filtre sur le nébuliseur pour protéger l'entourage, en particulier les femmes enceintes (par prudence, l'iloprost n'étant pas tératogène chez l'animal mais sans données humaines suffisantes).</w:t>
      </w:r>
    </w:p>
    <w:p>
      <w:pPr>
        <w:pStyle w:val="Heading3"/>
      </w:pPr>
      <w:r>
        <w:t>Points-clés de la nomenclature algérienne (Avril 2026)</w:t>
      </w:r>
    </w:p>
    <w:p>
      <w:pPr>
        <w:pStyle w:val="ListBullet"/>
      </w:pPr>
      <w:r/>
      <w:r>
        <w:rPr>
          <w:b/>
        </w:rPr>
        <w:t>Surfactants exogènes</w:t>
      </w:r>
      <w:r>
        <w:t xml:space="preserve"> : 3 spécialités actives en Algérie (Curosurf® Chiesi, Survanta® AbbVie, Infasurf® Jazeera) — usage hospitalier exclusif.</w:t>
      </w:r>
    </w:p>
    <w:p>
      <w:pPr>
        <w:pStyle w:val="ListBullet"/>
      </w:pPr>
      <w:r/>
      <w:r>
        <w:rPr>
          <w:b/>
        </w:rPr>
        <w:t>Bosentan</w:t>
      </w:r>
      <w:r>
        <w:t xml:space="preserve"> : 6 marques actives (Tracleer® princeps Actelion + Bosacleer® Biopharm, Bosentas® Cipla, Eratan® El Kendi, PMS-Bosentan® Pharmascience, Tracare® Biocare) à 62,5 et 125 mg — Liste I, prescription hospitalière spécialisée.</w:t>
      </w:r>
    </w:p>
    <w:p>
      <w:pPr>
        <w:pStyle w:val="ListBullet"/>
      </w:pPr>
      <w:r/>
      <w:r>
        <w:rPr>
          <w:b/>
        </w:rPr>
        <w:t>Sildénafil</w:t>
      </w:r>
      <w:r>
        <w:t xml:space="preserve"> : marché saturé de génériques à 50 mg (19 marques actives dont SILDAN 50 orodispersible Tassili) et à 100 mg (8 marques) ; princeps Viagra® Upjohn Saidal Pharma actif ; 1 spécialité retirée (VEGA 50 Sanamed). Aucune marque à 20 mg (Revatio® non commercialisé) — prescription HTAP hors AMM avec 3 × 25 mg ou fractionnement de comprimés à 50/100 mg.</w:t>
      </w:r>
    </w:p>
    <w:p>
      <w:pPr>
        <w:pStyle w:val="ListBullet"/>
      </w:pPr>
      <w:r/>
      <w:r>
        <w:rPr>
          <w:b/>
        </w:rPr>
        <w:t>Tadalafil</w:t>
      </w:r>
      <w:r>
        <w:t xml:space="preserve"> : marché fragmenté à 20 mg (11 marques actives + 1 Liste II — Tabalfil Tabuk) et à 5 mg (9 marques) ; 1 marque à 2,5 mg (CIAFAL). Princeps Cialis® Eli Lilly </w:t>
      </w:r>
      <w:r>
        <w:rPr>
          <w:b/>
        </w:rPr>
        <w:t>retiré</w:t>
      </w:r>
      <w:r>
        <w:t xml:space="preserve"> (R) — substituer par un générique actif. 1 spécialité non renouvelable (Gentix Saidal) ; 2 spécialités retirées (Erexyl Biovital, Acalys LGPA). Adcirca® non commercialisé — prescription HTAP hors AMM avec 2 × 20 mg en une prise.</w:t>
      </w:r>
    </w:p>
    <w:p>
      <w:pPr>
        <w:pStyle w:val="ListBullet"/>
      </w:pPr>
      <w:r/>
      <w:r>
        <w:rPr>
          <w:b/>
        </w:rPr>
        <w:t>Riociguat</w:t>
      </w:r>
      <w:r>
        <w:t xml:space="preserve"> : spécialité unique Adempas® Bayer à 5 dosages (0,5, 1, 1,5, 2, 2,5 mg) — princeps, pas de générique (brevet en vigueur).</w:t>
      </w:r>
    </w:p>
    <w:p>
      <w:pPr>
        <w:pStyle w:val="ListBullet"/>
      </w:pPr>
      <w:r/>
      <w:r>
        <w:rPr>
          <w:b/>
        </w:rPr>
        <w:t>Iloprost</w:t>
      </w:r>
      <w:r>
        <w:t xml:space="preserve"> : spécialité unique Ventavis® Bayer à 10 µg/mL solution pour inhalation — princeps, pas de générique.</w:t>
      </w:r>
    </w:p>
    <w:p>
      <w:pPr>
        <w:pStyle w:val="Heading3"/>
      </w:pPr>
      <w:r>
        <w:t>Conclusion du Fascicule VII</w:t>
      </w:r>
    </w:p>
    <w:p>
      <w:r>
        <w:t xml:space="preserve">Ce chapitre 66 — ultime volet du Fascicule VII — a traité deux dimensions complémentaires de la pharmacologie pulmonaire : (i) les </w:t>
      </w:r>
      <w:r>
        <w:rPr>
          <w:b/>
        </w:rPr>
        <w:t>surfactants exogènes</w:t>
      </w:r>
      <w:r>
        <w:t xml:space="preserve"> (poractant alfa, beractant, calfactant) qui restaurent la mécanique alvéolaire chez le nouveau-né prématuré en détresse respiratoire néonatale ; (ii) les </w:t>
      </w:r>
      <w:r>
        <w:rPr>
          <w:b/>
        </w:rPr>
        <w:t>vasodilatateurs pulmonaires</w:t>
      </w:r>
      <w:r>
        <w:t xml:space="preserve"> de l'HTAP (bosentan ARE, sildénafil et tadalafil PDE5, riociguat sGC, iloprost prostacycline) qui ciblent les quatre voies moléculaires déséquilibrées dans l'HTAP (endothéline, NO-sGC-GMPc, prostacycline-AMPc). La </w:t>
      </w:r>
      <w:r>
        <w:rPr>
          <w:b/>
        </w:rPr>
        <w:t>stratégie thérapeutique séquentielle ESC/ERS 2022</w:t>
      </w:r>
      <w:r>
        <w:t xml:space="preserve"> (mono-, bi-, tri-thérapie selon la classe fonctionnelle OMS et la réponse) fournit le cadre de prescription hospitalière spécialisée. Le pharmacien d'offrine algérien joue un rôle essentiel dans la </w:t>
      </w:r>
      <w:r>
        <w:rPr>
          <w:b/>
        </w:rPr>
        <w:t>dispensation</w:t>
      </w:r>
      <w:r>
        <w:t xml:space="preserve"> des traitements oraux ambulatoires (bosentan, sildénafil, tadalafil, riociguat), le </w:t>
      </w:r>
      <w:r>
        <w:rPr>
          <w:b/>
        </w:rPr>
        <w:t>counseling patient</w:t>
      </w:r>
      <w:r>
        <w:t xml:space="preserve"> (observance, surveillance biologique, double contraception, signes d'alerte), et la </w:t>
      </w:r>
      <w:r>
        <w:rPr>
          <w:b/>
        </w:rPr>
        <w:t>détection des interactions critiques</w:t>
      </w:r>
      <w:r>
        <w:t xml:space="preserve"> (sildénafil + nitrés, riociguat + PDE5/nitrés, bosentan + ciclosporine/grossesse). La </w:t>
      </w:r>
      <w:r>
        <w:rPr>
          <w:b/>
        </w:rPr>
        <w:t>continuité avec les chapitres précédents</w:t>
      </w:r>
      <w:r>
        <w:t xml:space="preserve"> du Fascicule VII (61 bronchodilatateurs, 62 CSI/associations, 63 antileucotrienes/théophylline/anti-IgE, 64 mucolytiques/antitussifs, 65 asthme sévère) assure une couverture exhaustive de la pharmacologie respiratoire algérienne.</w:t>
      </w:r>
    </w:p>
    <w:p>
      <w:pPr>
        <w:pStyle w:val="Heading2"/>
      </w:pPr>
      <w:r>
        <w:t>14. Sources documentaires</w:t>
      </w:r>
    </w:p>
    <w:p>
      <w:pPr>
        <w:pStyle w:val="ListBullet"/>
      </w:pPr>
      <w:r/>
      <w:r>
        <w:rPr>
          <w:b/>
        </w:rPr>
        <w:t>VIDAL</w:t>
      </w:r>
      <w:r>
        <w:t xml:space="preserve"> — Base de données française du médicament (spécialités, posologies, interactions, CI).</w:t>
      </w:r>
    </w:p>
    <w:p>
      <w:pPr>
        <w:pStyle w:val="ListBullet"/>
      </w:pPr>
      <w:r/>
      <w:r>
        <w:rPr>
          <w:b/>
        </w:rPr>
        <w:t>ANSM</w:t>
      </w:r>
      <w:r>
        <w:t xml:space="preserve"> (Agence Nationale de Sécurité du Médicament et des produits de santé) — Résumés des Caractéristiques du Produit (RCP) des spécialités.</w:t>
      </w:r>
    </w:p>
    <w:p>
      <w:pPr>
        <w:pStyle w:val="ListBullet"/>
      </w:pPr>
      <w:r/>
      <w:r>
        <w:rPr>
          <w:b/>
        </w:rPr>
        <w:t>Thériaque</w:t>
      </w:r>
      <w:r>
        <w:t xml:space="preserve"> — Base de données française du médicament (CNHIM).</w:t>
      </w:r>
    </w:p>
    <w:p>
      <w:pPr>
        <w:pStyle w:val="ListBullet"/>
      </w:pPr>
      <w:r/>
      <w:r>
        <w:rPr>
          <w:b/>
        </w:rPr>
        <w:t>CRAT</w:t>
      </w:r>
      <w:r>
        <w:t xml:space="preserve"> (Centre de Référence sur les Agents Tératogènes) — Données sur le bon usage des médicaments pendant la grossesse et l'allaitement (bosentan CI absolue, riociguat CI absolue, sildénafil compatible si nécessaire, tadalafil à éviter par prudence, iloprost compatible si nécessaire).</w:t>
      </w:r>
    </w:p>
    <w:p>
      <w:pPr>
        <w:pStyle w:val="ListBullet"/>
      </w:pPr>
      <w:r/>
      <w:r>
        <w:rPr>
          <w:b/>
        </w:rPr>
        <w:t>ESC/ERS 2022</w:t>
      </w:r>
      <w:r>
        <w:t xml:space="preserve"> — European Society of Cardiology / European Respiratory Society — Guidelines for the diagnosis and treatment of pulmonary hypertension (Galie N et al., Eur Heart J 2022 ; Humbert M et al., Eur Respir J 2023).</w:t>
      </w:r>
    </w:p>
    <w:p>
      <w:pPr>
        <w:pStyle w:val="ListBullet"/>
      </w:pPr>
      <w:r/>
      <w:r>
        <w:rPr>
          <w:b/>
        </w:rPr>
        <w:t>6th World Symposium on Pulmonary Hypertension</w:t>
      </w:r>
      <w:r>
        <w:t xml:space="preserve"> (WSPH 2018, Nice — Simonneau G et al.) — mise à jour de la classification de Nice 2013 et des groupes cliniques d'HTAP.</w:t>
      </w:r>
    </w:p>
    <w:p>
      <w:pPr>
        <w:pStyle w:val="ListBullet"/>
      </w:pPr>
      <w:r/>
      <w:r>
        <w:rPr>
          <w:b/>
        </w:rPr>
        <w:t>HAS</w:t>
      </w:r>
      <w:r>
        <w:t xml:space="preserve"> (Haute Autorité de Santé) — Protocole national de diagnostic et de soins (PNDS) HTAP, avis de la commission de la transparence.</w:t>
      </w:r>
    </w:p>
    <w:p>
      <w:pPr>
        <w:pStyle w:val="ListBullet"/>
      </w:pPr>
      <w:r/>
      <w:r>
        <w:rPr>
          <w:b/>
        </w:rPr>
        <w:t>UpToDate</w:t>
      </w:r>
      <w:r>
        <w:t xml:space="preserve"> — « Treatment of pulmonary hypertension in adults » (Taichman DB et al.) ; « Pathophysiology of pulmonary hypertension » ; « Surfactant treatment of preterm infants ».</w:t>
      </w:r>
    </w:p>
    <w:p>
      <w:pPr>
        <w:pStyle w:val="ListBullet"/>
      </w:pPr>
      <w:r/>
      <w:r>
        <w:rPr>
          <w:b/>
        </w:rPr>
        <w:t>Cochrane Database</w:t>
      </w:r>
      <w:r>
        <w:t xml:space="preserve"> — Surfactant therapy for preterm infants (Soll RF, Blanco F — méta-analyses) ; Phosphodiesterase-5 inhibitors for pulmonary hypertension (Barnett C et al.) ; Endothelin receptor antagonists for pulmonary hypertension (Liu C et al.) ; Prostacyclin analogues for pulmonary hypertension (Paramothayan NS et al.).</w:t>
      </w:r>
    </w:p>
    <w:p>
      <w:pPr>
        <w:pStyle w:val="ListBullet"/>
      </w:pPr>
      <w:r/>
      <w:r>
        <w:rPr>
          <w:b/>
        </w:rPr>
        <w:t>Études pivots</w:t>
      </w:r>
      <w:r>
        <w:t xml:space="preserve"> :</w:t>
      </w:r>
    </w:p>
    <w:p>
      <w:pPr>
        <w:pStyle w:val="ListBullet"/>
      </w:pPr>
      <w:r>
        <w:t>SUPER-1 (sildénafil HTAP — Galie N et al., N Engl J Med 2005 ; 353 : 2148-57)</w:t>
      </w:r>
    </w:p>
    <w:p>
      <w:pPr>
        <w:pStyle w:val="ListBullet"/>
      </w:pPr>
      <w:r>
        <w:t>PHIRST-1 (tadalafil HTAP — Galie N et al., Circulation 2009 ; 119 : 2894-903)</w:t>
      </w:r>
    </w:p>
    <w:p>
      <w:pPr>
        <w:pStyle w:val="ListBullet"/>
      </w:pPr>
      <w:r>
        <w:t>PATENT-1 (riociguat HTAP — Ghofrani HA et al., Lancet 2013 ; 382 : 719-29)</w:t>
      </w:r>
    </w:p>
    <w:p>
      <w:pPr>
        <w:pStyle w:val="ListBullet"/>
      </w:pPr>
      <w:r>
        <w:t>CHEST-1 (riociguat HTPTEC — Ghofrani HA et al., N Engl J Med 2013 ; 369 : 319-29)</w:t>
      </w:r>
    </w:p>
    <w:p>
      <w:pPr>
        <w:pStyle w:val="ListBullet"/>
      </w:pPr>
      <w:r>
        <w:t>BREATHE-1 (bosentan HTAP — Rubin LJ et al., N Engl J Med 2002 ; 346 : 896-903)</w:t>
      </w:r>
    </w:p>
    <w:p>
      <w:pPr>
        <w:pStyle w:val="ListBullet"/>
      </w:pPr>
      <w:r>
        <w:t>AMBITION (ambrisentan + tadalafil HTAP — Galie N et al., N Engl J Med 2015 ; 373 : 834-44 — stratégie de bithérapie initiale)</w:t>
      </w:r>
    </w:p>
    <w:p>
      <w:pPr>
        <w:pStyle w:val="ListBullet"/>
      </w:pPr>
      <w:r>
        <w:t>SERAPHIN (macitentan HTAP — Pulido T et al., N Engl J Med 2013 ; 369 : 809-18)</w:t>
      </w:r>
    </w:p>
    <w:p>
      <w:pPr>
        <w:pStyle w:val="ListBullet"/>
      </w:pPr>
      <w:r>
        <w:t>AIR (iloprost inhalé HTAP — Olschewski H et al., N Engl J Med 2002 ; 347 : 322-9)</w:t>
      </w:r>
    </w:p>
    <w:p>
      <w:pPr>
        <w:pStyle w:val="ListBullet"/>
      </w:pPr>
      <w:r>
        <w:t>COMPASS-2 (bosentan + sildénafil HTAP — McLaughlin VV et al., JACC 2015 ; 66 : s48-9)</w:t>
      </w:r>
    </w:p>
    <w:p>
      <w:pPr>
        <w:pStyle w:val="ListBullet"/>
      </w:pPr>
      <w:r/>
      <w:r>
        <w:rPr>
          <w:b/>
        </w:rPr>
        <w:t>Recommandations néonatales</w:t>
      </w:r>
      <w:r>
        <w:t xml:space="preserve"> : European Consensus Guidelines on the Management of Respiratory Distress Syndrome (Sweet DG et al., Neonatology 2023 — mise à jour 2022) ; American Academy of Pediatrics (AAP) — Section on Perinatal Pediatrics.</w:t>
      </w:r>
    </w:p>
    <w:p>
      <w:pPr>
        <w:pStyle w:val="ListBullet"/>
      </w:pPr>
      <w:r/>
      <w:r>
        <w:rPr>
          <w:b/>
        </w:rPr>
        <w:t>Nomenclature algérienne des médicaments</w:t>
      </w:r>
      <w:r>
        <w:t xml:space="preserve"> — Avril 2026 (source : COMPLETE LISTE.xlsx — 3 feuilles : Nomenclature Avril 2026 actifs, Non Renouvelés, Retraits).</w:t>
      </w:r>
    </w:p>
    <w:p>
      <w:r/>
      <w:r>
        <w:rPr>
          <w:i/>
        </w:rPr>
        <w:t>Fin du Chapitre 66 — Fascicule VII (Pneumologie / Antiasthmatiques et pathologies respiratoires)</w:t>
      </w:r>
      <w:r/>
    </w:p>
    <w:sectPr w:rsidR="00FC693F" w:rsidRPr="0006063C" w:rsidSect="00034616">
      <w:headerReference w:type="default" r:id="rId9"/>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Pneumologie/Antiasthmatiques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