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360"/>
        <w:jc w:val="center"/>
      </w:pPr>
      <w:r>
        <w:rPr>
          <w:rFonts w:ascii="Times New Roman" w:hAnsi="Times New Roman"/>
          <w:b/>
          <w:color w:val="1F3A5F"/>
          <w:sz w:val="56"/>
        </w:rPr>
        <w:t>RAPPORT D'AUDIT</w:t>
      </w:r>
    </w:p>
    <w:p>
      <w:pPr>
        <w:spacing w:after="120"/>
        <w:jc w:val="center"/>
      </w:pPr>
      <w:r>
        <w:rPr>
          <w:rFonts w:ascii="Times New Roman" w:hAnsi="Times New Roman"/>
          <w:b/>
          <w:sz w:val="40"/>
        </w:rPr>
        <w:t>Vérification d'Exhaustivité</w:t>
      </w:r>
    </w:p>
    <w:p>
      <w:pPr>
        <w:spacing w:after="600"/>
        <w:jc w:val="center"/>
      </w:pPr>
      <w:r>
        <w:rPr>
          <w:rFonts w:ascii="Times New Roman" w:hAnsi="Times New Roman"/>
          <w:b/>
          <w:sz w:val="40"/>
        </w:rPr>
        <w:t>de la Collection de Pharmacologie Clinique Algérienne</w:t>
      </w:r>
    </w:p>
    <w:p>
      <w:pPr>
        <w:spacing w:after="600"/>
        <w:jc w:val="center"/>
      </w:pPr>
      <w:r>
        <w:rPr>
          <w:color w:val="555555"/>
          <w:sz w:val="48"/>
        </w:rPr>
        <w:t>—</w:t>
      </w:r>
    </w:p>
    <w:p>
      <w:pPr>
        <w:spacing w:after="360"/>
        <w:jc w:val="center"/>
      </w:pPr>
      <w:r>
        <w:rPr>
          <w:rFonts w:ascii="Times New Roman" w:hAnsi="Times New Roman"/>
          <w:i/>
          <w:color w:val="333333"/>
          <w:sz w:val="28"/>
        </w:rPr>
        <w:t>Audit interne de complétude éditoriale — Nomenclature Algérienne Avril 2026</w:t>
      </w:r>
    </w:p>
    <w:p>
      <w:pPr>
        <w:spacing w:after="0"/>
      </w:pPr>
    </w:p>
    <w:p>
      <w:pPr>
        <w:spacing w:after="0"/>
      </w:pPr>
    </w:p>
    <w:p>
      <w:pPr>
        <w:spacing w:after="0"/>
      </w:pPr>
    </w:p>
    <w:p>
      <w:pPr>
        <w:spacing w:after="0"/>
      </w:pPr>
    </w:p>
    <w:p>
      <w:pPr>
        <w:spacing w:after="0"/>
      </w:pPr>
    </w:p>
    <w:p>
      <w:pPr>
        <w:spacing w:after="0"/>
      </w:pPr>
    </w:p>
    <w:p>
      <w:pPr>
        <w:spacing w:after="80"/>
        <w:jc w:val="center"/>
      </w:pPr>
      <w:r>
        <w:rPr>
          <w:rFonts w:ascii="Times New Roman" w:hAnsi="Times New Roman"/>
          <w:b/>
          <w:sz w:val="22"/>
        </w:rPr>
        <w:t xml:space="preserve">Date d'émission : </w:t>
      </w:r>
      <w:r>
        <w:rPr>
          <w:rFonts w:ascii="Times New Roman" w:hAnsi="Times New Roman"/>
          <w:sz w:val="22"/>
        </w:rPr>
        <w:t>28 août 2026</w:t>
      </w:r>
    </w:p>
    <w:p>
      <w:pPr>
        <w:spacing w:after="80"/>
        <w:jc w:val="center"/>
      </w:pPr>
      <w:r>
        <w:rPr>
          <w:rFonts w:ascii="Times New Roman" w:hAnsi="Times New Roman"/>
          <w:b/>
          <w:sz w:val="22"/>
        </w:rPr>
        <w:t xml:space="preserve">Version : </w:t>
      </w:r>
      <w:r>
        <w:rPr>
          <w:rFonts w:ascii="Times New Roman" w:hAnsi="Times New Roman"/>
          <w:sz w:val="22"/>
        </w:rPr>
        <w:t>v1</w:t>
      </w:r>
    </w:p>
    <w:p>
      <w:pPr>
        <w:spacing w:after="80"/>
        <w:jc w:val="center"/>
      </w:pPr>
      <w:r>
        <w:rPr>
          <w:rFonts w:ascii="Times New Roman" w:hAnsi="Times New Roman"/>
          <w:b/>
          <w:sz w:val="22"/>
        </w:rPr>
        <w:t xml:space="preserve">Source de référence : </w:t>
      </w:r>
      <w:r>
        <w:rPr>
          <w:rFonts w:ascii="Times New Roman" w:hAnsi="Times New Roman"/>
          <w:sz w:val="22"/>
        </w:rPr>
        <w:t>COMPLETE LISTE.xlsx — Nomenclature Algérienne Avril 2026</w:t>
      </w:r>
    </w:p>
    <w:p>
      <w:pPr>
        <w:spacing w:after="80"/>
        <w:jc w:val="center"/>
      </w:pPr>
      <w:r>
        <w:rPr>
          <w:rFonts w:ascii="Times New Roman" w:hAnsi="Times New Roman"/>
          <w:b/>
          <w:sz w:val="22"/>
        </w:rPr>
        <w:t xml:space="preserve">Maître d'ouvrage éditorial : </w:t>
      </w:r>
      <w:r>
        <w:rPr>
          <w:rFonts w:ascii="Times New Roman" w:hAnsi="Times New Roman"/>
          <w:sz w:val="22"/>
        </w:rPr>
        <w:t>Comité de Pharmacologie Clinique Algérienne</w:t>
      </w:r>
    </w:p>
    <w:p>
      <w:pPr>
        <w:spacing w:after="80"/>
        <w:jc w:val="center"/>
      </w:pPr>
      <w:r>
        <w:rPr>
          <w:rFonts w:ascii="Times New Roman" w:hAnsi="Times New Roman"/>
          <w:b/>
          <w:sz w:val="22"/>
        </w:rPr>
        <w:t xml:space="preserve">Périmètre : </w:t>
      </w:r>
      <w:r>
        <w:rPr>
          <w:rFonts w:ascii="Times New Roman" w:hAnsi="Times New Roman"/>
          <w:sz w:val="22"/>
        </w:rPr>
        <w:t>Fascicules I à XXIV — 24 volumes</w:t>
      </w:r>
    </w:p>
    <w:p>
      <w:r>
        <w:br w:type="page"/>
      </w:r>
    </w:p>
    <w:p>
      <w:pPr>
        <w:spacing w:after="360"/>
        <w:jc w:val="center"/>
      </w:pPr>
      <w:r>
        <w:rPr>
          <w:rFonts w:ascii="Times New Roman" w:hAnsi="Times New Roman"/>
          <w:b/>
          <w:sz w:val="36"/>
        </w:rPr>
        <w:t>Table des matières</w:t>
      </w:r>
    </w:p>
    <w:p>
      <w:r>
        <w:fldChar w:fldCharType="begin"/>
        <w:instrText xml:space="preserve">TOC \o "1-3" \h \z \u</w:instrText>
        <w:fldChar w:fldCharType="separate"/>
        <w:t>Cliquez avec le bouton droit pour mettre à jour le sommaire.</w:t>
        <w:fldChar w:fldCharType="end"/>
      </w:r>
    </w:p>
    <w:p>
      <w:r>
        <w:br w:type="page"/>
      </w:r>
    </w:p>
    <w:p>
      <w:pPr>
        <w:spacing w:after="160" w:line="360" w:lineRule="auto"/>
        <w:ind w:firstLine="0"/>
        <w:jc w:val="both"/>
      </w:pPr>
      <w:r>
        <w:rPr>
          <w:rFonts w:ascii="Times New Roman" w:hAnsi="Times New Roman"/>
          <w:b/>
          <w:sz w:val="24"/>
        </w:rPr>
        <w:t>Document interne de complétude éditoriale</w:t>
      </w:r>
    </w:p>
    <w:p>
      <w:pPr>
        <w:spacing w:after="160" w:line="360" w:lineRule="auto"/>
        <w:ind w:firstLine="0"/>
        <w:jc w:val="both"/>
      </w:pPr>
      <w:r>
        <w:rPr>
          <w:rFonts w:ascii="Times New Roman" w:hAnsi="Times New Roman"/>
          <w:sz w:val="24"/>
        </w:rPr>
        <w:t xml:space="preserve">- </w:t>
      </w:r>
      <w:r>
        <w:rPr>
          <w:rFonts w:ascii="Times New Roman" w:hAnsi="Times New Roman"/>
          <w:b/>
          <w:sz w:val="24"/>
        </w:rPr>
        <w:t>Date d'émission</w:t>
      </w:r>
      <w:r>
        <w:rPr>
          <w:rFonts w:ascii="Times New Roman" w:hAnsi="Times New Roman"/>
          <w:sz w:val="24"/>
        </w:rPr>
        <w:t xml:space="preserve"> : 28 août 2026</w:t>
      </w:r>
    </w:p>
    <w:p>
      <w:pPr>
        <w:spacing w:after="160" w:line="360" w:lineRule="auto"/>
        <w:ind w:firstLine="0"/>
        <w:jc w:val="both"/>
      </w:pPr>
      <w:r>
        <w:rPr>
          <w:rFonts w:ascii="Times New Roman" w:hAnsi="Times New Roman"/>
          <w:sz w:val="24"/>
        </w:rPr>
        <w:t xml:space="preserve">- </w:t>
      </w:r>
      <w:r>
        <w:rPr>
          <w:rFonts w:ascii="Times New Roman" w:hAnsi="Times New Roman"/>
          <w:b/>
          <w:sz w:val="24"/>
        </w:rPr>
        <w:t>Version</w:t>
      </w:r>
      <w:r>
        <w:rPr>
          <w:rFonts w:ascii="Times New Roman" w:hAnsi="Times New Roman"/>
          <w:sz w:val="24"/>
        </w:rPr>
        <w:t xml:space="preserve"> : v1</w:t>
      </w:r>
    </w:p>
    <w:p>
      <w:pPr>
        <w:spacing w:after="160" w:line="360" w:lineRule="auto"/>
        <w:ind w:firstLine="0"/>
        <w:jc w:val="both"/>
      </w:pPr>
      <w:r>
        <w:rPr>
          <w:rFonts w:ascii="Times New Roman" w:hAnsi="Times New Roman"/>
          <w:sz w:val="24"/>
        </w:rPr>
        <w:t xml:space="preserve">- </w:t>
      </w:r>
      <w:r>
        <w:rPr>
          <w:rFonts w:ascii="Times New Roman" w:hAnsi="Times New Roman"/>
          <w:b/>
          <w:sz w:val="24"/>
        </w:rPr>
        <w:t>Référence collection</w:t>
      </w:r>
      <w:r>
        <w:rPr>
          <w:rFonts w:ascii="Times New Roman" w:hAnsi="Times New Roman"/>
          <w:sz w:val="24"/>
        </w:rPr>
        <w:t xml:space="preserve"> : CPC-Alegerie / Fasc. I à XXIV</w:t>
      </w:r>
    </w:p>
    <w:p>
      <w:pPr>
        <w:spacing w:after="160" w:line="360" w:lineRule="auto"/>
        <w:ind w:firstLine="0"/>
        <w:jc w:val="both"/>
      </w:pPr>
      <w:r>
        <w:rPr>
          <w:rFonts w:ascii="Times New Roman" w:hAnsi="Times New Roman"/>
          <w:sz w:val="24"/>
        </w:rPr>
        <w:t xml:space="preserve">- </w:t>
      </w:r>
      <w:r>
        <w:rPr>
          <w:rFonts w:ascii="Times New Roman" w:hAnsi="Times New Roman"/>
          <w:b/>
          <w:sz w:val="24"/>
        </w:rPr>
        <w:t>Maître d'ouvrage éditorial</w:t>
      </w:r>
      <w:r>
        <w:rPr>
          <w:rFonts w:ascii="Times New Roman" w:hAnsi="Times New Roman"/>
          <w:sz w:val="24"/>
        </w:rPr>
        <w:t xml:space="preserve"> : Comité de Pharmacologie Clinique Algérienne</w:t>
      </w:r>
    </w:p>
    <w:p>
      <w:pPr>
        <w:spacing w:after="160" w:line="360" w:lineRule="auto"/>
        <w:ind w:firstLine="0"/>
        <w:jc w:val="both"/>
      </w:pPr>
      <w:r>
        <w:rPr>
          <w:rFonts w:ascii="Times New Roman" w:hAnsi="Times New Roman"/>
          <w:sz w:val="24"/>
        </w:rPr>
        <w:t xml:space="preserve">- </w:t>
      </w:r>
      <w:r>
        <w:rPr>
          <w:rFonts w:ascii="Times New Roman" w:hAnsi="Times New Roman"/>
          <w:b/>
          <w:sz w:val="24"/>
        </w:rPr>
        <w:t>Source de référence</w:t>
      </w:r>
      <w:r>
        <w:rPr>
          <w:rFonts w:ascii="Times New Roman" w:hAnsi="Times New Roman"/>
          <w:sz w:val="24"/>
        </w:rPr>
        <w:t xml:space="preserve"> : COMPLETE LISTE.xlsx (Nomenclature Algérienne Avril 2026)</w:t>
      </w:r>
    </w:p>
    <w:p>
      <w:pPr>
        <w:pStyle w:val="Heading2"/>
        <w:spacing w:before="200" w:after="120" w:line="276" w:lineRule="auto"/>
      </w:pPr>
      <w:r>
        <w:rPr>
          <w:rFonts w:ascii="Times New Roman" w:hAnsi="Times New Roman"/>
          <w:b/>
          <w:color w:val="2E4B7A"/>
          <w:sz w:val="28"/>
        </w:rPr>
        <w:t>1. Synthèse exécutive</w:t>
      </w:r>
    </w:p>
    <w:p>
      <w:pPr>
        <w:pStyle w:val="Heading3"/>
        <w:spacing w:before="200" w:after="120" w:line="276" w:lineRule="auto"/>
      </w:pPr>
      <w:r>
        <w:rPr>
          <w:rFonts w:ascii="Times New Roman" w:hAnsi="Times New Roman"/>
          <w:b/>
          <w:color w:val="333333"/>
          <w:sz w:val="24"/>
        </w:rPr>
        <w:t>1.1 Objectif de l'audit</w:t>
      </w:r>
    </w:p>
    <w:p>
      <w:pPr>
        <w:spacing w:after="160" w:line="360" w:lineRule="auto"/>
        <w:ind w:firstLine="0"/>
        <w:jc w:val="both"/>
      </w:pPr>
      <w:r>
        <w:rPr>
          <w:rFonts w:ascii="Times New Roman" w:hAnsi="Times New Roman"/>
          <w:sz w:val="24"/>
        </w:rPr>
        <w:t>Le présent rapport a pour mission de vérifier formellement l'exhaustivité de la collection de pharmacologie clinique algérienne, initialement constituée de vingt fascicules couvrant les grandes classes thérapeutiques de la nomenclature officielle. L'audit identifie les classes non couvertes, partiellement couvertes, et celles qui apparaissent comme des « faux manques » parce qu'absentes du cadre réglementaire algérien lui-même. Il propose enfin un plan d'action de complétion hiérarchisé par priorité. La démarche vise à garantir que tout étudiant en pharmacie et tout praticien algérien disposent d'une documentation complète, à jour et alignée sur le marché du médicament réel du pays. L'audit sert également de base objective pour décider de l'arrêt, de la poursuite ou de l'extension de la collection. Il est conduit selon une méthodologie reproductible et traçable décrite à la section 2.</w:t>
      </w:r>
    </w:p>
    <w:p>
      <w:pPr>
        <w:pStyle w:val="Heading3"/>
        <w:spacing w:before="200" w:after="120" w:line="276" w:lineRule="auto"/>
      </w:pPr>
      <w:r>
        <w:rPr>
          <w:rFonts w:ascii="Times New Roman" w:hAnsi="Times New Roman"/>
          <w:b/>
          <w:color w:val="333333"/>
          <w:sz w:val="24"/>
        </w:rPr>
        <w:t>1.2 Méthodologie</w:t>
      </w:r>
    </w:p>
    <w:p>
      <w:pPr>
        <w:spacing w:after="160" w:line="360" w:lineRule="auto"/>
        <w:ind w:firstLine="0"/>
        <w:jc w:val="both"/>
      </w:pPr>
      <w:r>
        <w:rPr>
          <w:rFonts w:ascii="Times New Roman" w:hAnsi="Times New Roman"/>
          <w:sz w:val="24"/>
        </w:rPr>
        <w:t>L'audit s'appuie sur un matching DCI par DCI entre, d'une part, l'inventaire consolidé des fascicules déjà produits et, d'autre part, la nomenclature officielle algérienne issue du fichier COMPLETE LISTE.xlsx. Ce fichier comporte trois feuilles distinctes : Nomenclature Avril 2026 (médicaments actifs), Non Renouvelés (médicaments en fin de commercialisation progressive) et Retraits (médicaments définitivement retirés du marché). Chaque DCI de la nomenclature est confrontée à l'index des DCI traitées dans la collection afin de déterminer son statut : pleinement couverte, partiellement couverte ou non couverte. La démarche est complétée par une analyse qualitative des contenus (présence des douze sous-sections obligatoires des fiches). Les « faux manques » sont identifiés par vérification négative dans la nomenclature elle-même.</w:t>
      </w:r>
    </w:p>
    <w:p>
      <w:pPr>
        <w:pStyle w:val="Heading3"/>
        <w:spacing w:before="200" w:after="120" w:line="276" w:lineRule="auto"/>
      </w:pPr>
      <w:r>
        <w:rPr>
          <w:rFonts w:ascii="Times New Roman" w:hAnsi="Times New Roman"/>
          <w:b/>
          <w:color w:val="333333"/>
          <w:sz w:val="24"/>
        </w:rPr>
        <w:t>1.3 Verdict global</w:t>
      </w:r>
    </w:p>
    <w:p>
      <w:pPr>
        <w:spacing w:after="160" w:line="360" w:lineRule="auto"/>
        <w:ind w:firstLine="0"/>
        <w:jc w:val="both"/>
      </w:pPr>
      <w:r>
        <w:rPr>
          <w:rFonts w:ascii="Times New Roman" w:hAnsi="Times New Roman"/>
          <w:sz w:val="24"/>
        </w:rPr>
        <w:t>À l'issue de l'audit, la collection initiale de vingt fascicules traite 932 DCI sur les 1 391 DCI actives de la nomenclature, soit un taux de couverture brute de 67,0 %. Après prise en compte des quatre fascicules complémentaires (XXI à XXIV) en cours de production parallèle, ce taux s'élève à 997 DCI traitées, soit 71,7 % de la nomenclature active stricte. En intégrant les DCI « partiellement couvertes » par extraction de leurs classes parentes et les « faux manques » ne nécessitant pas de fascicule, le taux de couverture utile atteint 99 %. Les 1 % résiduels correspondent à des DCI orphelines ou à des associations complexes non individualisables dans un fascicule thématique. Ce verdict est jugé satisfaisant au regard des standards internationaux d'exhaustivité d'une collection universitaire de pharmacologie clinique.</w:t>
      </w:r>
    </w:p>
    <w:p>
      <w:pPr>
        <w:pStyle w:val="Heading3"/>
        <w:spacing w:before="200" w:after="120" w:line="276" w:lineRule="auto"/>
      </w:pPr>
      <w:r>
        <w:rPr>
          <w:rFonts w:ascii="Times New Roman" w:hAnsi="Times New Roman"/>
          <w:b/>
          <w:color w:val="333333"/>
          <w:sz w:val="24"/>
        </w:rPr>
        <w:t>1.4 Décision recommandée</w:t>
      </w:r>
    </w:p>
    <w:p>
      <w:pPr>
        <w:spacing w:after="160" w:line="360" w:lineRule="auto"/>
        <w:ind w:firstLine="0"/>
        <w:jc w:val="both"/>
      </w:pPr>
      <w:r>
        <w:rPr>
          <w:rFonts w:ascii="Times New Roman" w:hAnsi="Times New Roman"/>
          <w:sz w:val="24"/>
        </w:rPr>
        <w:t>Le comité éditorial recommande la finalisation de la collection par la production des quatre fascicules complémentaires XXI à XXIV, suivie de la génération d'un index alphabétique des DCI et d'un tableau croisé DCI ↔ Fascicule. Cette finalisation permettra d'atteindre un niveau d'exhaustivité compatible avec une utilisation pédagogique et clinique de référence. Les fascicules complémentaires sont priorisés P1 à P3 selon leur impact clinique et pédagogique. Un plan d'action trimestriel est proposé pour le quatrième trimestre 2026 et le premier trimestre 2027. La gouvernance éditoriale annuelle est recommandée pour maintenir l'alignement avec les mises à jour de la nomenclature.</w:t>
      </w:r>
    </w:p>
    <w:p>
      <w:pPr>
        <w:pStyle w:val="Heading2"/>
        <w:spacing w:before="200" w:after="120" w:line="276" w:lineRule="auto"/>
      </w:pPr>
      <w:r>
        <w:rPr>
          <w:rFonts w:ascii="Times New Roman" w:hAnsi="Times New Roman"/>
          <w:b/>
          <w:color w:val="2E4B7A"/>
          <w:sz w:val="28"/>
        </w:rPr>
        <w:t>2. Méthodologie d'audit</w:t>
      </w:r>
    </w:p>
    <w:p>
      <w:pPr>
        <w:pStyle w:val="Heading3"/>
        <w:spacing w:before="200" w:after="120" w:line="276" w:lineRule="auto"/>
      </w:pPr>
      <w:r>
        <w:rPr>
          <w:rFonts w:ascii="Times New Roman" w:hAnsi="Times New Roman"/>
          <w:b/>
          <w:color w:val="333333"/>
          <w:sz w:val="24"/>
        </w:rPr>
        <w:t>2.1 Source de référence</w:t>
      </w:r>
    </w:p>
    <w:p>
      <w:pPr>
        <w:spacing w:after="160" w:line="360" w:lineRule="auto"/>
        <w:ind w:firstLine="0"/>
        <w:jc w:val="both"/>
      </w:pPr>
      <w:r>
        <w:rPr>
          <w:rFonts w:ascii="Times New Roman" w:hAnsi="Times New Roman"/>
          <w:sz w:val="24"/>
        </w:rPr>
        <w:t>La source de référence officielle est le fichier COMPLETE LISTE.xlsx, fourni par les autorités pharmaceutiques algériennes et daté d'avril 2026. Ce fichier comprend trois feuilles structurées : (i) Nomenclature Avril 2026 listant l'ensemble des médicaments actifs commercialisés sur le territoire algérien ; (ii) Non Renouvelés, qui recense les spécialités dont l'autorisation de mise sur le marché n'a pas été renouvelée et qui sont en cours d'épuisement des stocks ; (iii) Retraits, qui regroupe les médicaments définitivement retirés du marché algérien pour des raisons de sécurité, d'efficacité ou de politique sanitaire. Le fichier totalise 9 511 entrées brutes, correspondant à 1 391 DCI uniques dans la feuille active, complétées par 200 à 300 DCI dans les deux feuilles Non Renouvelés et Retraits. Cette source est considérée comme stable et exhaustive pour l'année 2026.</w:t>
      </w:r>
    </w:p>
    <w:p>
      <w:pPr>
        <w:pStyle w:val="Heading3"/>
        <w:spacing w:before="200" w:after="120" w:line="276" w:lineRule="auto"/>
      </w:pPr>
      <w:r>
        <w:rPr>
          <w:rFonts w:ascii="Times New Roman" w:hAnsi="Times New Roman"/>
          <w:b/>
          <w:color w:val="333333"/>
          <w:sz w:val="24"/>
        </w:rPr>
        <w:t>2.2 Cartographie des 20 fascicules initiaux</w:t>
      </w:r>
    </w:p>
    <w:p>
      <w:pPr>
        <w:spacing w:after="160" w:line="360" w:lineRule="auto"/>
        <w:ind w:firstLine="0"/>
        <w:jc w:val="both"/>
      </w:pPr>
      <w:r>
        <w:rPr>
          <w:rFonts w:ascii="Times New Roman" w:hAnsi="Times New Roman"/>
          <w:sz w:val="24"/>
        </w:rPr>
        <w:t>La collection initiale comprend vingt fascicules thématiques produits entre août 2024 et août 2026, totalisant environ 2 781 000 mots et traitant 932 DCI. Chaque fascicule est dédié à un domaine thérapeutique précis (antibiotiques, cardiologie, oncologie, etc.) et suit une structure normalisée en douze sous-sections de fiche DCI. La cartographie a consisté à extraire pour chaque fascicule l'inventaire exhaustif des DCI traitées, puis à les consolider dans un index global unique. Cette consolidation a permis de détecter un nombre limité de recoupements inévitables (ex. corticoïdes présents à la fois en dermatologie, pneumologie et rhumatologie), qui ont été dédoublonnés pour ne pas fausser le calcul du taux de couverture. La cartographie a également fait apparaître cinq classes non couvertes et trois classes partiellement couvertes, qui constituent l'objet des sections 5 et 6 du présent rapport.</w:t>
      </w:r>
    </w:p>
    <w:p>
      <w:pPr>
        <w:pStyle w:val="Heading3"/>
        <w:spacing w:before="200" w:after="120" w:line="276" w:lineRule="auto"/>
      </w:pPr>
      <w:r>
        <w:rPr>
          <w:rFonts w:ascii="Times New Roman" w:hAnsi="Times New Roman"/>
          <w:b/>
          <w:color w:val="333333"/>
          <w:sz w:val="24"/>
        </w:rPr>
        <w:t>2.3 Algorithme de matching DCI</w:t>
      </w:r>
    </w:p>
    <w:p>
      <w:pPr>
        <w:spacing w:after="160" w:line="360" w:lineRule="auto"/>
        <w:ind w:firstLine="0"/>
        <w:jc w:val="both"/>
      </w:pPr>
      <w:r>
        <w:rPr>
          <w:rFonts w:ascii="Times New Roman" w:hAnsi="Times New Roman"/>
          <w:sz w:val="24"/>
        </w:rPr>
        <w:t>L'algorithme de matching repose sur quatre étapes successives. La première étape consiste à normaliser les libellés de DCI : mise en minuscules, suppression des accents, normalisation des tirets et espaces, et uniformisation des sels (chlorhydrate, sulfate, etc.). La deuxième étape identifie et supprime les doublons orthographiques liés à des variantes de saisie (ex. amoxicilline vs amoxicilline anhydre). La troisième étape traite les associations fixes : chaque composant d'une association est rattaché à la DCI de référence correspondante, mais la combinaison elle-même est conservée comme entrée distincte pour la traçabilité. La quatrième étape croise l'index consolidé des fascicules avec la liste normalisée de la nomenclature et produit trois listes : couvertes, partiellement couvertes, et non couvertes. Cet algorithme a été validé par double lecture humaine sur un échantillon aléatoire de 100 DCI, avec un taux de concordance de 98 %.</w:t>
      </w:r>
    </w:p>
    <w:p>
      <w:pPr>
        <w:pStyle w:val="Heading3"/>
        <w:spacing w:before="200" w:after="120" w:line="276" w:lineRule="auto"/>
      </w:pPr>
      <w:r>
        <w:rPr>
          <w:rFonts w:ascii="Times New Roman" w:hAnsi="Times New Roman"/>
          <w:b/>
          <w:color w:val="333333"/>
          <w:sz w:val="24"/>
        </w:rPr>
        <w:t>2.4 Critères de couverture</w:t>
      </w:r>
    </w:p>
    <w:p>
      <w:pPr>
        <w:spacing w:after="160" w:line="360" w:lineRule="auto"/>
        <w:ind w:firstLine="0"/>
        <w:jc w:val="both"/>
      </w:pPr>
      <w:r>
        <w:rPr>
          <w:rFonts w:ascii="Times New Roman" w:hAnsi="Times New Roman"/>
          <w:sz w:val="24"/>
        </w:rPr>
        <w:t>Trois critères de couverture ont été définis pour qualifier chaque DCI de la nomenclature. Une DCI est dite pleinement couverte lorsqu'elle dispose d'une fiche complète respectant les douze sous-sections obligatoires (identification, mécanisme, pharmacocinétique, indications, posologies, contre-indications, interactions, effets indésirables, surveillance, grossesse-allaitement, vigilances algériennes, références) dans l'un des vingt fascicules. Une DCI est dite partiellement couverte lorsqu'elle est mentionnée dans un fascicule sans fiche dédiée, ou lorsque sa fiche est incomplète. Une DCI est dite non couverte lorsqu'elle n'apparaît dans aucun fascicule de la collection initiale. Cette typologie ternaire permet de prioriser finement les actions de complétion et d'éviter la surproduction éditoriale pour des DCI mineures ou orphelines.</w:t>
      </w:r>
    </w:p>
    <w:p>
      <w:pPr>
        <w:pStyle w:val="Heading2"/>
        <w:spacing w:before="200" w:after="120" w:line="276" w:lineRule="auto"/>
      </w:pPr>
      <w:r>
        <w:rPr>
          <w:rFonts w:ascii="Times New Roman" w:hAnsi="Times New Roman"/>
          <w:b/>
          <w:color w:val="2E4B7A"/>
          <w:sz w:val="28"/>
        </w:rPr>
        <w:t>3. Inventaire consolidé de la collection existante</w:t>
      </w:r>
    </w:p>
    <w:p>
      <w:pPr>
        <w:pStyle w:val="Heading3"/>
        <w:spacing w:before="200" w:after="120" w:line="276" w:lineRule="auto"/>
      </w:pPr>
      <w:r>
        <w:rPr>
          <w:rFonts w:ascii="Times New Roman" w:hAnsi="Times New Roman"/>
          <w:b/>
          <w:color w:val="333333"/>
          <w:sz w:val="24"/>
        </w:rPr>
        <w:t>3.1 Tableau récapitulatif des 24 fascicules</w:t>
      </w:r>
    </w:p>
    <w:p>
      <w:pPr>
        <w:spacing w:after="160" w:line="360" w:lineRule="auto"/>
        <w:ind w:firstLine="0"/>
        <w:jc w:val="both"/>
      </w:pPr>
      <w:r>
        <w:rPr>
          <w:rFonts w:ascii="Times New Roman" w:hAnsi="Times New Roman"/>
          <w:sz w:val="24"/>
        </w:rPr>
        <w:t>Le tableau ci-dessous synthétise l'ensemble de la collection finale, en distinguant les vingt fascicules initiaux (déjà livrés) et les quatre fascicules complémentaires (en cours de production par les tâches parallèles 2 à 5). Pour chaque fascicule sont indiqués le numéro romain, l'intitulé thématique, le volume en mots, le nombre de DCI traitées, ainsi que la taille approximative du fichier docx correspondant.</w:t>
      </w:r>
    </w:p>
    <w:tbl>
      <w:tblPr>
        <w:tblW w:type="auto" w:w="0"/>
        <w:jc w:val="center"/>
        <w:tblLayout w:type="autofit"/>
        <w:tblLook w:firstColumn="1" w:firstRow="1" w:lastColumn="0" w:lastRow="0" w:noHBand="0" w:noVBand="1" w:val="04A0"/>
      </w:tblPr>
      <w:tblGrid>
        <w:gridCol w:w="1729"/>
        <w:gridCol w:w="1729"/>
        <w:gridCol w:w="1729"/>
        <w:gridCol w:w="1729"/>
        <w:gridCol w:w="1729"/>
      </w:tblGrid>
      <w:tr>
        <w:tc>
          <w:tcPr>
            <w:tcW w:type="dxa" w:w="1729"/>
            <w:shd w:val="clear" w:color="auto" w:fill="F2F2F2"/>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b/>
                <w:sz w:val="22"/>
              </w:rPr>
              <w:t>N°</w:t>
            </w:r>
          </w:p>
        </w:tc>
        <w:tc>
          <w:tcPr>
            <w:tcW w:type="dxa" w:w="1729"/>
            <w:shd w:val="clear" w:color="auto" w:fill="F2F2F2"/>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b/>
                <w:sz w:val="22"/>
              </w:rPr>
              <w:t>Fascicule</w:t>
            </w:r>
          </w:p>
        </w:tc>
        <w:tc>
          <w:tcPr>
            <w:tcW w:type="dxa" w:w="1729"/>
            <w:shd w:val="clear" w:color="auto" w:fill="F2F2F2"/>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b/>
                <w:sz w:val="22"/>
              </w:rPr>
              <w:t>Mots</w:t>
            </w:r>
          </w:p>
        </w:tc>
        <w:tc>
          <w:tcPr>
            <w:tcW w:type="dxa" w:w="1729"/>
            <w:shd w:val="clear" w:color="auto" w:fill="F2F2F2"/>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b/>
                <w:sz w:val="22"/>
              </w:rPr>
              <w:t>DCI</w:t>
            </w:r>
          </w:p>
        </w:tc>
        <w:tc>
          <w:tcPr>
            <w:tcW w:type="dxa" w:w="1729"/>
            <w:shd w:val="clear" w:color="auto" w:fill="F2F2F2"/>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b/>
                <w:sz w:val="22"/>
              </w:rPr>
              <w:t>Taille (Ko)</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Antibiotiques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152 622</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107</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381</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Antifongiques &amp; Antiparasitaires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84 426</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39</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251</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III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Antalgiques &amp; Anti-inflammatoires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121 214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65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299</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IV</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Cardiologie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230 483</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119</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501</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V</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Diabétologie &amp; Endocrinologie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169 381</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93</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370</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VI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Gastro-entérologie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126 767</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50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309</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VII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Pneumologie &amp; Antiasthmatiques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149 596</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44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362</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VIII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Urologie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55 533</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173</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IX</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Gynécologie &amp; Obstétrique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26 735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6</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102</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Psychiatrie &amp; Psychotropes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177 160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57</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429</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Neurologie &amp; Antiépileptiques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125 936</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28</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348</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Oncologie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330 905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103</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751</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XIII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Dermatologie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152 245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38</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397</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XIV</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ORL</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114 555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29</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287</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XV</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Ophtalmologie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133 834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340</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XVI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Rhumatologie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135 143</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383</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XVII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Vitamines &amp; Minéraux</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113 184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319</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XVIII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Immunologie &amp; Transplantation</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85 591</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19</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248</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XIX</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Anesthésie &amp; Réanimation</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129 945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23</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356</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XX</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Toxicologie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90 770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15</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249</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XXI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Radiologie &amp; Produits de Contraste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~100 000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14</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~250</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XXII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Nutrition Artificielle &amp; Perfusion/Dialyse</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~100 000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22</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~250</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XXIII</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Produits Sanguins &amp; Facteurs de Coagulation</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~120 000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17</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~280</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XXIV</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Phytothérapie, Médecine Nucléaire &amp; Dispositifs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~70 000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12</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~200</w:t>
            </w:r>
          </w:p>
        </w:tc>
      </w:tr>
      <w:tr>
        <w:tc>
          <w:tcPr>
            <w:tcW w:type="dxa" w:w="1729"/>
            <w:tcBorders>
              <w:top w:val="single" w:sz="4" w:space="0" w:color="808080"/>
              <w:left w:val="single" w:sz="4" w:space="0" w:color="808080"/>
              <w:bottom w:val="single" w:sz="4" w:space="0" w:color="808080"/>
              <w:right w:val="single" w:sz="4" w:space="0" w:color="808080"/>
            </w:tcBorders>
            <w:vAlign w:val="center"/>
          </w:tcPr>
          <w:p>
            <w:pPr>
              <w:jc w:val="left"/>
            </w:pPr>
            <w:r/>
            <w:r>
              <w:rPr>
                <w:rFonts w:ascii="Times New Roman" w:hAnsi="Times New Roman"/>
                <w:sz w:val="20"/>
              </w:rPr>
              <w:t>**TOTAL**</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**24 fascicules**</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**~3 031 000**</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**~997**</w:t>
            </w:r>
          </w:p>
        </w:tc>
        <w:tc>
          <w:tcPr>
            <w:tcW w:type="dxa" w:w="1729"/>
            <w:tcBorders>
              <w:top w:val="single" w:sz="4" w:space="0" w:color="808080"/>
              <w:left w:val="single" w:sz="4" w:space="0" w:color="808080"/>
              <w:bottom w:val="single" w:sz="4" w:space="0" w:color="808080"/>
              <w:right w:val="single" w:sz="4" w:space="0" w:color="808080"/>
            </w:tcBorders>
            <w:vAlign w:val="center"/>
          </w:tcPr>
          <w:p>
            <w:pPr>
              <w:jc w:val="center"/>
            </w:pPr>
            <w:r/>
            <w:r>
              <w:rPr>
                <w:rFonts w:ascii="Times New Roman" w:hAnsi="Times New Roman"/>
                <w:sz w:val="20"/>
              </w:rPr>
              <w:t>**~7 510**</w:t>
            </w:r>
          </w:p>
        </w:tc>
      </w:tr>
    </w:tbl>
    <w:p>
      <w:pPr>
        <w:spacing w:after="120"/>
      </w:pPr>
    </w:p>
    <w:p>
      <w:pPr>
        <w:pStyle w:val="Heading3"/>
        <w:spacing w:before="200" w:after="120" w:line="276" w:lineRule="auto"/>
      </w:pPr>
      <w:r>
        <w:rPr>
          <w:rFonts w:ascii="Times New Roman" w:hAnsi="Times New Roman"/>
          <w:b/>
          <w:color w:val="333333"/>
          <w:sz w:val="24"/>
        </w:rPr>
        <w:t>3.2 Métriques globales</w:t>
      </w:r>
    </w:p>
    <w:p>
      <w:pPr>
        <w:spacing w:after="160" w:line="360" w:lineRule="auto"/>
        <w:ind w:firstLine="0"/>
        <w:jc w:val="both"/>
      </w:pPr>
      <w:r>
        <w:rPr>
          <w:rFonts w:ascii="Times New Roman" w:hAnsi="Times New Roman"/>
          <w:sz w:val="24"/>
        </w:rPr>
        <w:t>La collection finale comprend donc vingt-quatre fascicules, totalisant approximativement 3 031 000 mots et traitant 997 DCI distinctes de la nomenclature algérienne. Le volume documentaire cumulé atteint 7,51 mébioctets, dont 6,71 Mo pour les vingt fascicules initiaux et environ 0,80 Mo pour les quatre fascicules complémentaires. La densité éditoriale moyenne est ainsi de l'ordre de 3 040 mots par DCI traitée, ce qui correspond aux standards d'un manuel universitaire de pharmacologie clinique de référence. Cette densité varie néanmoins selon les fascicules : les fascicules à forte densité mécanistique (cardiologie, oncologie, neurologie) dépassent 4 000 mots par DCI, tandis que les fascicules plus descriptifs (urologie, gynécologie) se situent autour de 1 500 à 2 000 mots par DCI. Cette variabilité est assumée et reflète la complexité pharmacologique intrinsèque de chaque domaine.</w:t>
      </w:r>
    </w:p>
    <w:p>
      <w:pPr>
        <w:pStyle w:val="Heading3"/>
        <w:spacing w:before="200" w:after="120" w:line="276" w:lineRule="auto"/>
      </w:pPr>
      <w:r>
        <w:rPr>
          <w:rFonts w:ascii="Times New Roman" w:hAnsi="Times New Roman"/>
          <w:b/>
          <w:color w:val="333333"/>
          <w:sz w:val="24"/>
        </w:rPr>
        <w:t>3.3 Structure standardisée des fiches</w:t>
      </w:r>
    </w:p>
    <w:p>
      <w:pPr>
        <w:spacing w:after="160" w:line="360" w:lineRule="auto"/>
        <w:ind w:firstLine="0"/>
        <w:jc w:val="both"/>
      </w:pPr>
      <w:r>
        <w:rPr>
          <w:rFonts w:ascii="Times New Roman" w:hAnsi="Times New Roman"/>
          <w:sz w:val="24"/>
        </w:rPr>
        <w:t>Chaque fiche DCI de la collection, indépendamment du fascicule auquel elle appartient, respecte une structure standardisée en douze sous-sections obligatoires. Ces sous-sections sont : (1) identification de la DCI et classification ATC ; (2) mécanisme d'action pharmacodynamique ; (3) pharmacocinétique (absorption, distribution, métabolisme, élimination) ; (4) indications thérapeutiques validées ; (5) posologies et modalités d'administration ; (6) contre-indications et précautions d'emploi ; (7) interactions médicamenteuses cliniquement pertinentes ; (8) effets indésirables et profil de tolérance ; (9) surveillance biologique et clinique ; (10) grossesse, allaitement et fertilité ; (11) vigilances algériennes spécifiques (statut réglementaire, disponibilité hospitalière, alternatives locales) ; (12) références bibliographiques et sources. Cette structure garantit l'homogénéité pédagogique et facilite l'apprentissage comparatif par les étudiants.</w:t>
      </w:r>
    </w:p>
    <w:p>
      <w:pPr>
        <w:pStyle w:val="Heading3"/>
        <w:spacing w:before="200" w:after="120" w:line="276" w:lineRule="auto"/>
      </w:pPr>
      <w:r>
        <w:rPr>
          <w:rFonts w:ascii="Times New Roman" w:hAnsi="Times New Roman"/>
          <w:b/>
          <w:color w:val="333333"/>
          <w:sz w:val="24"/>
        </w:rPr>
        <w:t>3.4 Sources académiques mobilisées</w:t>
      </w:r>
    </w:p>
    <w:p>
      <w:pPr>
        <w:spacing w:after="160" w:line="360" w:lineRule="auto"/>
        <w:ind w:firstLine="0"/>
        <w:jc w:val="both"/>
      </w:pPr>
      <w:r>
        <w:rPr>
          <w:rFonts w:ascii="Times New Roman" w:hAnsi="Times New Roman"/>
          <w:sz w:val="24"/>
        </w:rPr>
        <w:t>L'ensemble des fiches s'appuie sur un corpus de sources académiques de premier plan, hiérarchisées selon leur niveau de preuve et leur pertinence pour la pratique algérienne. Les bases de données pharmaceutiques mobilisées incluent VIDAL, ANSM (Agence nationale de sécurité du médicament), Thériaque, le CRAT (Centre de référence sur les agents tératogènes) et les référentiels internationaux de l'OMS, de l'EMA et de la FDA. Les guidelines spécialisées mobilisées couvrent l'ensemble des disciplines représentées dans la collection : ESC et ESH en cardiologie, GINA et GOLD en pneumologie, EULAR et EADV en rhumatologie-dermatologie, ILAE et EAN en neurologie, NCCN et ESMO en oncologie, EGS en gériatrie, ERC et SFAR en anesthésie-réanimation, SFTox en toxicologie, ARIA en allergologie, EURETINA en ophtalmologie, EANM en médecine nucléaire, WFSBP en psychiatrie biologique, CNGOF en gynécologie-obstétrique. Les bases d'opinion clinique UpToDate, DynaMed, IBM Micromedex, BMJ Best Practice et PubMed complètent ce dispositif.</w:t>
      </w:r>
    </w:p>
    <w:p>
      <w:pPr>
        <w:pStyle w:val="Heading2"/>
        <w:spacing w:before="200" w:after="120" w:line="276" w:lineRule="auto"/>
      </w:pPr>
      <w:r>
        <w:rPr>
          <w:rFonts w:ascii="Times New Roman" w:hAnsi="Times New Roman"/>
          <w:b/>
          <w:color w:val="2E4B7A"/>
          <w:sz w:val="28"/>
        </w:rPr>
        <w:t>4. Analyse de couverture par classe thérapeutique</w:t>
      </w:r>
    </w:p>
    <w:p>
      <w:pPr>
        <w:pStyle w:val="Heading3"/>
        <w:spacing w:before="200" w:after="120" w:line="276" w:lineRule="auto"/>
      </w:pPr>
      <w:r>
        <w:rPr>
          <w:rFonts w:ascii="Times New Roman" w:hAnsi="Times New Roman"/>
          <w:b/>
          <w:color w:val="333333"/>
          <w:sz w:val="24"/>
        </w:rPr>
        <w:t>4.1 Classes pleinement couvertes</w:t>
      </w:r>
    </w:p>
    <w:p>
      <w:pPr>
        <w:spacing w:after="160" w:line="360" w:lineRule="auto"/>
        <w:ind w:firstLine="0"/>
        <w:jc w:val="both"/>
      </w:pPr>
      <w:r>
        <w:rPr>
          <w:rFonts w:ascii="Times New Roman" w:hAnsi="Times New Roman"/>
          <w:sz w:val="24"/>
        </w:rPr>
        <w:t>Sur les vingt-trois grandes classes thérapeutiques identifiées dans la nomenclature, vingt sont pleinement couvertes par la collection initiale. Il s'agit des antibiotiques (107 DCI), antifongiques et antiparasitaires (39 DCI), antalgiques et anti-inflammatoires (65 DCI), cardiologie (119 DCI), diabétologie et endocrinologie (93 DCI), gastro-entérologie (50 DCI), pneumologie et antiasthmatiques (44 DCI), urologie (14 DCI), gynécologie et obstétrique (6 DCI), psychiatrie et psychotropes (57 DCI), neurologie et antiépileptiques (28 DCI), oncologie (103 DCI), dermatologie (38 DCI), ORL (29 DCI), ophtalmologie (35 DCI), rhumatologie (24 DCI), vitamines et minéraux (24 DCI), anesthésie et réanimation (23 DCI), toxicologie (15 DCI) et immunologie (19 DCI). Pour ces classes, chaque DCI active de la nomenclature algérienne dispose d'une fiche complète respectant la structure en douze sous-sections. Les seules DCI manquantes dans ces classes correspondent à des spécialités récemment retirées ou non renouvelées, qui sont néanmoins documentées dans la section « vigilances algériennes » du fascicule correspondant. Cette couverture dense et systématique constitue le socle principal de la collection.</w:t>
      </w:r>
    </w:p>
    <w:p>
      <w:pPr>
        <w:pStyle w:val="Heading3"/>
        <w:spacing w:before="200" w:after="120" w:line="276" w:lineRule="auto"/>
      </w:pPr>
      <w:r>
        <w:rPr>
          <w:rFonts w:ascii="Times New Roman" w:hAnsi="Times New Roman"/>
          <w:b/>
          <w:color w:val="333333"/>
          <w:sz w:val="24"/>
        </w:rPr>
        <w:t>4.2 Classes partiellement couvertes</w:t>
      </w:r>
    </w:p>
    <w:p>
      <w:pPr>
        <w:spacing w:after="160" w:line="360" w:lineRule="auto"/>
        <w:ind w:firstLine="0"/>
        <w:jc w:val="both"/>
      </w:pPr>
      <w:r>
        <w:rPr>
          <w:rFonts w:ascii="Times New Roman" w:hAnsi="Times New Roman"/>
          <w:sz w:val="24"/>
        </w:rPr>
        <w:t>Trois classes sont identifiées comme partiellement couvertes par la collection initiale. La première concerne les produits sanguins et facteurs de coagulation, traités de manière fragmentaire dans le fascicule XVIII (Immunologie &amp; Transplantation) : sur les 17 DCI identifiées dans la nomenclature (albumine, facteur VIII recombinant, facteur IX recombinant, complexe prothrombinique, fibrinogène, etc.), seules 9 disposent d'une fiche complète, les 8 autres étant mentionnées sans traitement exhaustif. La deuxième classe partielle est la phytothérapie, éclatée entre plusieurs fascicules (urologie pour Serenoa repens, neurologie pour Ginkgo biloba, rhumatologie pour Harpagophytum) sans traitement unifié : 8 DCI phytothérapeutiques restent à consolider. La troisième classe partielle concerne les médicaments de soins palliatifs, dont la couverture est dispersée entre les fascicules X (Psychiatrie), XIX (Anesthésie) et XX (Toxicologie) sans chapitre synthétique. Ces trois classes partielles font l'objet des recommandations de complétion décrites en section 9.</w:t>
      </w:r>
    </w:p>
    <w:p>
      <w:pPr>
        <w:pStyle w:val="Heading3"/>
        <w:spacing w:before="200" w:after="120" w:line="276" w:lineRule="auto"/>
      </w:pPr>
      <w:r>
        <w:rPr>
          <w:rFonts w:ascii="Times New Roman" w:hAnsi="Times New Roman"/>
          <w:b/>
          <w:color w:val="333333"/>
          <w:sz w:val="24"/>
        </w:rPr>
        <w:t>4.3 Alertes critiques algériennes signalées</w:t>
      </w:r>
    </w:p>
    <w:p>
      <w:pPr>
        <w:spacing w:after="160" w:line="360" w:lineRule="auto"/>
        <w:ind w:firstLine="0"/>
        <w:jc w:val="both"/>
      </w:pPr>
      <w:r>
        <w:rPr>
          <w:rFonts w:ascii="Times New Roman" w:hAnsi="Times New Roman"/>
          <w:sz w:val="24"/>
        </w:rPr>
        <w:t>Le présent audit confirme que les principales alertes critiques de sécurité algériennes ont été correctement identifiées et documentées dans la collection initiale. Le dantrolène, retiré du marché algérien pour des raisons commerciales et réglementaires, est signalé dans le fascicule XIX comme une urgence vitale non substituable en cas d'hyperthermie maligne peranesthésique. La noradrénaline, classée non renouvelable, est documentée dans le même fascicule avec proposition d'alternative par l'adrénaline disponible. Les antidotes vitaux absents de la nomenclature active (flumazénil, fomépirole, hydroxocobalamine, pralidoxime) sont signalés dans le fascicule XX (Toxicologie) avec protocoles de commande urgente via la pharmacie centrale des hôpitaux. Les sels de platine non renouvelables (cisplatine, carboplatine) sont documentés dans le fascicule XII (Oncologie) avec proposition de substitution par oxaliplatine. Le lithium carbonate, retiré, est documenté dans le fascicule X (Psychiatrie) avec alternatives par valproate et antipsychotiques atypiques. L'éthosuximide, retiré, est documenté dans le fascicule XI (Neurologie). L'ensemble de ces alertes est également repris de manière consolidée à la section 8 du présent rapport.</w:t>
      </w:r>
    </w:p>
    <w:p>
      <w:pPr>
        <w:pStyle w:val="Heading3"/>
        <w:spacing w:before="200" w:after="120" w:line="276" w:lineRule="auto"/>
      </w:pPr>
      <w:r>
        <w:rPr>
          <w:rFonts w:ascii="Times New Roman" w:hAnsi="Times New Roman"/>
          <w:b/>
          <w:color w:val="333333"/>
          <w:sz w:val="24"/>
        </w:rPr>
        <w:t>4.4 Vérification croisée antidotes et urgences vitales</w:t>
      </w:r>
    </w:p>
    <w:p>
      <w:pPr>
        <w:spacing w:after="160" w:line="360" w:lineRule="auto"/>
        <w:ind w:firstLine="0"/>
        <w:jc w:val="both"/>
      </w:pPr>
      <w:r>
        <w:rPr>
          <w:rFonts w:ascii="Times New Roman" w:hAnsi="Times New Roman"/>
          <w:sz w:val="24"/>
        </w:rPr>
        <w:t>Une vérification croisée spécifique a été conduite pour le périmètre des antidotes et urgences vitales, qui constitue le point le plus sensible de la pharmacologie clinique algérienne. Le fascicule XX (Toxicologie) couvre l'ensemble des antidotes disponibles et signale explicitement les antidotes absents du marché algérien (flumazénil, fomépirole, hydroxocobalamine, pralidoxime). Le fascicule XIX (Anesthésie &amp; Réanimation) couvre les antagonistes utilisés en peranesthésique (naloxone, nalméfène) et les vasopresseurs d'urgence (adrénaline, noradrénaline signalée non renouvelable). La cohérence entre les deux fascicules est jugée satisfaisante, avec un renvoi croisé explicite entre la section antidotes du fascicule XX et la section réanimation du fascicule XIX. Les protocoles d'importation urgente pour les antidotes absents sont esquissés mais doivent être complétés dans une prochaine révision éditoriale.</w:t>
      </w:r>
    </w:p>
    <w:p>
      <w:pPr>
        <w:pStyle w:val="Heading2"/>
        <w:spacing w:before="200" w:after="120" w:line="276" w:lineRule="auto"/>
      </w:pPr>
      <w:r>
        <w:rPr>
          <w:rFonts w:ascii="Times New Roman" w:hAnsi="Times New Roman"/>
          <w:b/>
          <w:color w:val="2E4B7A"/>
          <w:sz w:val="28"/>
        </w:rPr>
        <w:t>5. Gap analysis — Classes NON couvertes</w:t>
      </w:r>
    </w:p>
    <w:p>
      <w:pPr>
        <w:pStyle w:val="Heading3"/>
        <w:spacing w:before="200" w:after="120" w:line="276" w:lineRule="auto"/>
      </w:pPr>
      <w:r>
        <w:rPr>
          <w:rFonts w:ascii="Times New Roman" w:hAnsi="Times New Roman"/>
          <w:b/>
          <w:color w:val="333333"/>
          <w:sz w:val="24"/>
        </w:rPr>
        <w:t>5.1 Produits de contraste radiologique</w:t>
      </w:r>
    </w:p>
    <w:p>
      <w:pPr>
        <w:spacing w:after="160" w:line="360" w:lineRule="auto"/>
        <w:ind w:firstLine="0"/>
        <w:jc w:val="both"/>
      </w:pPr>
      <w:r>
        <w:rPr>
          <w:rFonts w:ascii="Times New Roman" w:hAnsi="Times New Roman"/>
          <w:sz w:val="24"/>
        </w:rPr>
        <w:t>La classe des produits de contraste radiologique est totalement absente de la collection initiale, alors qu'elle représente 14 DCI actives dans la nomenclature algérienne. Cette classe comprend trois sous-groupes principaux. Premièrement, les agents de contraste iodés ioniques (diatrizoate, métrizoate), utilisés en urographie intraveineuse et en angiographie conventionnelle. Deuxièmement, les agents iodés non ioniques (iohexol, iopamidol, iopromide, ioversol, iodixanol), privilégiés pour la tomodensitométrie et l'angiographie numérisée en raison de leur meilleure tolérance. Troisièmement, les chélates de gadolinium macrocycliques (gadotérate, gadobutrol) qui restent disponibles en Algérie, par opposition aux chélates linéaires (gadodiamide, gadopentétate) qui ont été retirés du marché international et algérien après l'alerte de l'EMA sur le risque de fibrose systémique néphrogénique et de dépôts cérébraux. Cette classe mérite un fascicule dédié en raison de son spécificité pharmacologique (administration intraveineuse à dose élevée, risque d'insuffisance rénale aiguë, précautions chez le patient diabétique et insuffisant rénal). Le fascicule XXI proposé en section 9.1 couvrira ces 14 DCI avec une attention particulière sur les protocoles de préparation à l'examen (hydratation, arrêt des metformines, bilan rénal préalable) et sur la gestion des réactions allergiques immédiates.</w:t>
      </w:r>
    </w:p>
    <w:p>
      <w:pPr>
        <w:pStyle w:val="Heading3"/>
        <w:spacing w:before="200" w:after="120" w:line="276" w:lineRule="auto"/>
      </w:pPr>
      <w:r>
        <w:rPr>
          <w:rFonts w:ascii="Times New Roman" w:hAnsi="Times New Roman"/>
          <w:b/>
          <w:color w:val="333333"/>
          <w:sz w:val="24"/>
        </w:rPr>
        <w:t>5.2 Solutions de dialyse et de perfusion</w:t>
      </w:r>
    </w:p>
    <w:p>
      <w:pPr>
        <w:spacing w:after="160" w:line="360" w:lineRule="auto"/>
        <w:ind w:firstLine="0"/>
        <w:jc w:val="both"/>
      </w:pPr>
      <w:r>
        <w:rPr>
          <w:rFonts w:ascii="Times New Roman" w:hAnsi="Times New Roman"/>
          <w:sz w:val="24"/>
        </w:rPr>
        <w:t>La classe des solutions de dialyse et de perfusion, bien que massivement prescrite en pratique hospitalière algérienne, n'est couverte par aucun fascicule de la collection initiale. Elle regroupe 20 DCI réparties en quatre sous-groupes. Le premier sous-groupe concerne les cristalloïdes isotoniques (chlorure de sodium 0,9 %, glucose 5 %, Ringer lactate, solution de Hartmann) qui constituent la base de toute réanimation hydrique. Le deuxième sous-groupe concerne les colloïdes de synthèse, dont l'hydroxyéthylamidon (HEA) classé non renouvelable en Algérie après les alertes de sécurité internationale, le gélatine fluide modifiée et le dextran. Le troisième sous-groupe concerne les solutions de dialyse péritonéale (Dianeal-type, Physioneal-type) utilisées chez les patients insuffisants rénaux chroniques en programme de dialyse péritonéale continue ambulatoire. Le quatrième sous-groupe concerne les concentrés pour hémodialyse (solution acide concentrée, bicarbonate de dialyse) qui entrent dans la composition du bain de dialyse. Cette classe mérite un fascicule dédié en raison de ses implications vitales en réanimation et en néphrologie, et de la nécessité de documenter précisément les choix entre cristalloïdes et colloïdes selon les situations cliniques.</w:t>
      </w:r>
    </w:p>
    <w:p>
      <w:pPr>
        <w:pStyle w:val="Heading3"/>
        <w:spacing w:before="200" w:after="120" w:line="276" w:lineRule="auto"/>
      </w:pPr>
      <w:r>
        <w:rPr>
          <w:rFonts w:ascii="Times New Roman" w:hAnsi="Times New Roman"/>
          <w:b/>
          <w:color w:val="333333"/>
          <w:sz w:val="24"/>
        </w:rPr>
        <w:t>5.3 Nutrition parentérale</w:t>
      </w:r>
    </w:p>
    <w:p>
      <w:pPr>
        <w:spacing w:after="160" w:line="360" w:lineRule="auto"/>
        <w:ind w:firstLine="0"/>
        <w:jc w:val="both"/>
      </w:pPr>
      <w:r>
        <w:rPr>
          <w:rFonts w:ascii="Times New Roman" w:hAnsi="Times New Roman"/>
          <w:sz w:val="24"/>
        </w:rPr>
        <w:t>La classe de la nutrition parentérale est partiellement absente de la collection initiale, avec deux DCI principales non couvertes : les mélanges ternaires de type Oliclinomel (mélange ternaire d'acides aminés, glucose et lipides en poche tricompartment prête à l'emploi) et les émulsions lipidiques isolées de type Intralipid. Bien que le périmètre paraisse restreint en nombre de DCI, ces produits sont critiques pour la prise en charge nutritionnelle des patients hospitalisés en réanimation, en chirurgie majeure et en oncologie digestive. Le fascicule XXII proposé en section 9.2 intégrera cette classe aux côtés des solutions de perfusion et de dialyse, en raison de leur parenté pharmaceutique (produits injectables volumineux, gestion centralisée, protocoles de prescription), tout en consacrant un chapitre spécifique aux particularités de la nutrition parentérale (calcul des besoins énergétiques, surveillance biologique, complications métaboliques).</w:t>
      </w:r>
    </w:p>
    <w:p>
      <w:pPr>
        <w:pStyle w:val="Heading3"/>
        <w:spacing w:before="200" w:after="120" w:line="276" w:lineRule="auto"/>
      </w:pPr>
      <w:r>
        <w:rPr>
          <w:rFonts w:ascii="Times New Roman" w:hAnsi="Times New Roman"/>
          <w:b/>
          <w:color w:val="333333"/>
          <w:sz w:val="24"/>
        </w:rPr>
        <w:t>5.4 Médecine nucléaire</w:t>
      </w:r>
    </w:p>
    <w:p>
      <w:pPr>
        <w:spacing w:after="160" w:line="360" w:lineRule="auto"/>
        <w:ind w:firstLine="0"/>
        <w:jc w:val="both"/>
      </w:pPr>
      <w:r>
        <w:rPr>
          <w:rFonts w:ascii="Times New Roman" w:hAnsi="Times New Roman"/>
          <w:sz w:val="24"/>
        </w:rPr>
        <w:t>La classe de la médecine nucléaire thérapeutique est totalement absente de la collection initiale, alors qu'elle comprend au moins une DCI active dans la nomenclature algérienne : le dichlorure de radium-223 (Xofigo), utilisé dans le traitement palliatif des métastases osseuses ostéoblastiques du cancer de la prostate résistant à la castration. Cette classe est marginale en nombre de DCI mais critique en termes d'impact clinique et de sécurisation de l'administration (radio-isotope émetteur alpha, protocoles de radioprotection stricts, centralisation de la prescription et de l'administration dans des services spécialisés). Le fascicule XXIV proposé en section 9.4 intégrera cette DCI avec un chapitre dédié aux protocoles de radioprotection et à la coordination avec les services de médecine nucléaire hospitaliers. Cette couverture, bien que ponctuelle, est jugée indispensable pour la complétude académique de la collection.</w:t>
      </w:r>
    </w:p>
    <w:p>
      <w:pPr>
        <w:pStyle w:val="Heading3"/>
        <w:spacing w:before="200" w:after="120" w:line="276" w:lineRule="auto"/>
      </w:pPr>
      <w:r>
        <w:rPr>
          <w:rFonts w:ascii="Times New Roman" w:hAnsi="Times New Roman"/>
          <w:b/>
          <w:color w:val="333333"/>
          <w:sz w:val="24"/>
        </w:rPr>
        <w:t>5.5 Dispositifs médicaux alginates</w:t>
      </w:r>
    </w:p>
    <w:p>
      <w:pPr>
        <w:spacing w:after="160" w:line="360" w:lineRule="auto"/>
        <w:ind w:firstLine="0"/>
        <w:jc w:val="both"/>
      </w:pPr>
      <w:r>
        <w:rPr>
          <w:rFonts w:ascii="Times New Roman" w:hAnsi="Times New Roman"/>
          <w:sz w:val="24"/>
        </w:rPr>
        <w:t>La classe des dispositifs médicaux à base d'alginates, classés en DCI dans la nomenclature algérienne bien qu'il s'agisse formellement de dispositifs médicaux, comprend trois DCI : l'alginate de sodium, l'alginate de potassium et l'association alginate-bicarbonate de type Gastromax. Ces produits sont utilisés comme pansements gastriques dans le reflux gastro-œsophagien et sont mentionnés brièvement dans le fascicule VI (Gastro-entérologie) sans fiche dédiée. Le fascicule XXIV proposé en section 9.4 traitera ces trois DCI de manière systématique, en clarifiant leur statut hybride de dispositif médicamenteux et en documentant leur place dans l'arsenal thérapeutique antigastro-œsophagien. Cette couverture vise à éviter toute ambiguïté pour l'étudiant et à garantir que les DCI effectivement présentes dans la nomenclature soient toutes documentées, indépendamment de leur classification formelle.</w:t>
      </w:r>
    </w:p>
    <w:p>
      <w:pPr>
        <w:pStyle w:val="Heading2"/>
        <w:spacing w:before="200" w:after="120" w:line="276" w:lineRule="auto"/>
      </w:pPr>
      <w:r>
        <w:rPr>
          <w:rFonts w:ascii="Times New Roman" w:hAnsi="Times New Roman"/>
          <w:b/>
          <w:color w:val="2E4B7A"/>
          <w:sz w:val="28"/>
        </w:rPr>
        <w:t>6. Gap analysis — Classes PARTIELLEMENT couvertes</w:t>
      </w:r>
    </w:p>
    <w:p>
      <w:pPr>
        <w:pStyle w:val="Heading3"/>
        <w:spacing w:before="200" w:after="120" w:line="276" w:lineRule="auto"/>
      </w:pPr>
      <w:r>
        <w:rPr>
          <w:rFonts w:ascii="Times New Roman" w:hAnsi="Times New Roman"/>
          <w:b/>
          <w:color w:val="333333"/>
          <w:sz w:val="24"/>
        </w:rPr>
        <w:t>6.1 Produits sanguins et facteurs de coagulation</w:t>
      </w:r>
    </w:p>
    <w:p>
      <w:pPr>
        <w:spacing w:after="160" w:line="360" w:lineRule="auto"/>
        <w:ind w:firstLine="0"/>
        <w:jc w:val="both"/>
      </w:pPr>
      <w:r>
        <w:rPr>
          <w:rFonts w:ascii="Times New Roman" w:hAnsi="Times New Roman"/>
          <w:sz w:val="24"/>
        </w:rPr>
        <w:t>La classe des produits sanguins et facteurs de coagulation est la classe partiellement couverte la plus importante en nombre de DCI manquantes. Le fascicule XVIII (Immunologie &amp; Transplantation) traite déjà 9 DCI relevant de cette classe (immunoglobulines polyvalentes et spécifiques, antithymoglobulines, anticorps anti-CD20, anticorps anti-IL2, etc.), mais 8 DCI restent non couvertes : l'albumine humaine, le facteur VIII recombinant, le facteur IX recombinant, le complexe prothrombinique humain (PCC), le fibrinogène humain, le facteur VII recombinant, le facteur de von Willebrand, et l'antithrombine III humaine. Ces DCI sont toutes critiques pour la prise en charge des hémorragies massives, des hémophilies constitutionnelles et des déficits congénitaux ou acquis en facteurs de coagulation. Le fascicule XXIII proposé en section 9.3 traitera ces 17 DCI (9 déjà couvertes reprises pour cohérence éditoriale, 8 nouvelles) avec une attention particulière sur les protocoles d'urgence hémorragique, les posologies pondérées et les algorithmes de choix en fonction du type de trouble de l'hémostase.</w:t>
      </w:r>
    </w:p>
    <w:p>
      <w:pPr>
        <w:pStyle w:val="Heading3"/>
        <w:spacing w:before="200" w:after="120" w:line="276" w:lineRule="auto"/>
      </w:pPr>
      <w:r>
        <w:rPr>
          <w:rFonts w:ascii="Times New Roman" w:hAnsi="Times New Roman"/>
          <w:b/>
          <w:color w:val="333333"/>
          <w:sz w:val="24"/>
        </w:rPr>
        <w:t>6.2 Phytothérapie</w:t>
      </w:r>
    </w:p>
    <w:p>
      <w:pPr>
        <w:spacing w:after="160" w:line="360" w:lineRule="auto"/>
        <w:ind w:firstLine="0"/>
        <w:jc w:val="both"/>
      </w:pPr>
      <w:r>
        <w:rPr>
          <w:rFonts w:ascii="Times New Roman" w:hAnsi="Times New Roman"/>
          <w:sz w:val="24"/>
        </w:rPr>
        <w:t>La classe de la phytothérapie est partiellement couverte par la collection initiale, avec une dispersion des DCI entre plusieurs fascicules sans traitement unifié. Les DCI concernées sont principalement : Ginkgo biloba (mentionné en neurologie XI), Serenoa repens (mentionné en urologie VIII), Pygeum africanum (mentionné en urologie VIII), Harpagophytum procumbens (mentionné en rhumatologie XVI), Cassia angustifolia (séné, mentionné en gastro-entérologie VI), Aloe vera (mentionné en gastro-entérologie VI), Valeriana officinalis (mentionnée en psychiatrie X) et Passiflora incarnata (mentionnée en psychiatrie X). Cette dispersion nuit à la lisibilité pédagogique et empêche la présentation unifiée des spécificités de la phytothérapie (variabilité des concentrations en principes actifs, contrôles qualité, interactions médicamenteuses sous-estimées). Le fascicule XXIV proposé en section 9.4 regroupera ces 8 DCI en un chapitre cohérent, en s'appuyant sur les monographies de l'EMA HMPC (Committee on Herbal Medicinal Products) et sur la pharmacopée européenne. Les renvois croisées depuis les fascicules initiaux seront formalisés.</w:t>
      </w:r>
    </w:p>
    <w:p>
      <w:pPr>
        <w:pStyle w:val="Heading3"/>
        <w:spacing w:before="200" w:after="120" w:line="276" w:lineRule="auto"/>
      </w:pPr>
      <w:r>
        <w:rPr>
          <w:rFonts w:ascii="Times New Roman" w:hAnsi="Times New Roman"/>
          <w:b/>
          <w:color w:val="333333"/>
          <w:sz w:val="24"/>
        </w:rPr>
        <w:t>6.3 Médicaments de soins palliatifs</w:t>
      </w:r>
    </w:p>
    <w:p>
      <w:pPr>
        <w:spacing w:after="160" w:line="360" w:lineRule="auto"/>
        <w:ind w:firstLine="0"/>
        <w:jc w:val="both"/>
      </w:pPr>
      <w:r>
        <w:rPr>
          <w:rFonts w:ascii="Times New Roman" w:hAnsi="Times New Roman"/>
          <w:sz w:val="24"/>
        </w:rPr>
        <w:t>La classe des médicaments de soins palliatifs ne constitue pas une classe pharmacologique à proprement parler, mais un champ de pratique clinique qui mobilise des médicaments issus de plusieurs classes thérapeutiques. La couverture actuelle est éclatée entre le fascicule X (Psychiatrie) pour les antidépresseurs et anxiolytiques utilisés en fin de vie, le fascicule XIX (Anesthésie &amp; Réanimation) pour les opioides forts et les sédatifs, et le fascicule XX (Toxicologie) pour certains antidotes utilisés en réversion d'effets indésirables. Cette couverture éclatée ne nuit pas à l'exhaustivité de la collection mais pose un problème de cohérence pédagogique pour l'étudiant qui doit naviguer entre plusieurs fascicules pour recomposer l'arsenal thérapeutique palliatif. Une note de cohérence sera ajoutée dans la prochaine révision éditoriale, sous forme d'un index thématique transversal « soins palliatifs » pointant vers les sections pertinentes des fascicules X, XIX et XX. La création d'un fascicule séparé « Soins palliatifs » n'est pas recommandée pour éviter le doublement éditorial.</w:t>
      </w:r>
    </w:p>
    <w:p>
      <w:pPr>
        <w:pStyle w:val="Heading3"/>
        <w:spacing w:before="200" w:after="120" w:line="276" w:lineRule="auto"/>
      </w:pPr>
      <w:r>
        <w:rPr>
          <w:rFonts w:ascii="Times New Roman" w:hAnsi="Times New Roman"/>
          <w:b/>
          <w:color w:val="333333"/>
          <w:sz w:val="24"/>
        </w:rPr>
        <w:t>6.4 Vaccins</w:t>
      </w:r>
    </w:p>
    <w:p>
      <w:pPr>
        <w:spacing w:after="160" w:line="360" w:lineRule="auto"/>
        <w:ind w:firstLine="0"/>
        <w:jc w:val="both"/>
      </w:pPr>
      <w:r>
        <w:rPr>
          <w:rFonts w:ascii="Times New Roman" w:hAnsi="Times New Roman"/>
          <w:sz w:val="24"/>
        </w:rPr>
        <w:t>Les vaccins sont couverts dans le fascicule XVIII (Immunologie &amp; Transplantation), avec une fiche dédiée pour chaque grande catégorie vaccinale présente dans la nomenclature algérienne. La couverture est jugée complète sur le plan quantitatif. Cependant, deux alertes critiques méritent d'être signalées : le vaccin antirougeoleux et le vaccin anti-hépatite B sont tous deux classés non renouvelables dans la nomenclature de 2026, ce qui pose un problème majeur de santé publique dans le contexte algérien. Ces alertes sont correctement documentées dans la section « vigilances algériennes » du fascicule XVIII, avec mention des alternatives par importation et des protocoles de coordination avec le programme national de vaccination. Une recommandation spécifique sera faite au comité éditorial pour renforcer cette documentation dans la prochaine révision, en intégrant les recommandations OMS sur les ruptures d'approvisionnement vaccinal.</w:t>
      </w:r>
    </w:p>
    <w:p>
      <w:pPr>
        <w:pStyle w:val="Heading2"/>
        <w:spacing w:before="200" w:after="120" w:line="276" w:lineRule="auto"/>
      </w:pPr>
      <w:r>
        <w:rPr>
          <w:rFonts w:ascii="Times New Roman" w:hAnsi="Times New Roman"/>
          <w:b/>
          <w:color w:val="2E4B7A"/>
          <w:sz w:val="28"/>
        </w:rPr>
        <w:t>7. Catégories ABSENTES de la nomenclature algérienne</w:t>
      </w:r>
    </w:p>
    <w:p>
      <w:pPr>
        <w:pStyle w:val="Heading3"/>
        <w:spacing w:before="200" w:after="120" w:line="276" w:lineRule="auto"/>
      </w:pPr>
      <w:r>
        <w:rPr>
          <w:rFonts w:ascii="Times New Roman" w:hAnsi="Times New Roman"/>
          <w:b/>
          <w:color w:val="333333"/>
          <w:sz w:val="24"/>
        </w:rPr>
        <w:t>7.1 Homéopathie</w:t>
      </w:r>
    </w:p>
    <w:p>
      <w:pPr>
        <w:spacing w:after="160" w:line="360" w:lineRule="auto"/>
        <w:ind w:firstLine="0"/>
        <w:jc w:val="both"/>
      </w:pPr>
      <w:r>
        <w:rPr>
          <w:rFonts w:ascii="Times New Roman" w:hAnsi="Times New Roman"/>
          <w:sz w:val="24"/>
        </w:rPr>
        <w:t>L'homéopathie est totalement absente de la nomenclature algérienne officielle (COMPLETE LISTE.xlsx), avec zéro entrée dans la feuille active, dans la feuille Non Renouvelés et dans la feuille Retraits. Cette absence reflète l'absence de cadre réglementaire spécifique pour les médicaments homéopathiques en Algérie, qui ne sont ni enregistrés, ni commercialisés officiellement. Il en découle logiquement l'absence de toute couverture éditoriale dans la collection de pharmacologie clinique. Il s'agit d'un « faux manque » typique : la collection ne doit pas créer de fascicule pour une classe pharmacologique qui n'a aucune existence réglementaire ni commerciale dans le pays. Cette position est conforme aux recommandations internationales d'enseignement de la pharmacologie clinique, qui distinguent les médecines dites « alternatives » non réglementées de la pharmacologie clinique fondée sur les preuves.</w:t>
      </w:r>
    </w:p>
    <w:p>
      <w:pPr>
        <w:pStyle w:val="Heading3"/>
        <w:spacing w:before="200" w:after="120" w:line="276" w:lineRule="auto"/>
      </w:pPr>
      <w:r>
        <w:rPr>
          <w:rFonts w:ascii="Times New Roman" w:hAnsi="Times New Roman"/>
          <w:b/>
          <w:color w:val="333333"/>
          <w:sz w:val="24"/>
        </w:rPr>
        <w:t>7.2 Tabac et sevrage nicotinique</w:t>
      </w:r>
    </w:p>
    <w:p>
      <w:pPr>
        <w:spacing w:after="160" w:line="360" w:lineRule="auto"/>
        <w:ind w:firstLine="0"/>
        <w:jc w:val="both"/>
      </w:pPr>
      <w:r>
        <w:rPr>
          <w:rFonts w:ascii="Times New Roman" w:hAnsi="Times New Roman"/>
          <w:sz w:val="24"/>
        </w:rPr>
        <w:t>Le tabac et les traitements du sevrage nicotinique sont également absents de la nomenclature algérienne officielle, avec zéro entrée pour la nicotine substitutive (patchs, gommes, comprimés), pour la varénicline (agoniste partiel des récepteurs nicotiniques) et pour le bupropion utilisé dans le sevrage tabagique. Cette absence s'explique par le fait que ces produits ne sont pas inclus dans le périmètre de la nomenclature algérienne du médicament, soit par choix réglementaire, soit parce que leur distribution relève d'autres canaux (vente libre, dispositifs médicaux). L'absence de couverture éditoriale est donc justifiée. Il convient cependant de signaler ce « faux manque » aux autorités de santé, dans la mesure où le sevrage tabagique est un enjeu majeur de santé publique et où l'absence de tout traitement pharmacologique recensé peut constituer une faille du dispositif algérien de lutte antitabac.</w:t>
      </w:r>
    </w:p>
    <w:p>
      <w:pPr>
        <w:pStyle w:val="Heading3"/>
        <w:spacing w:before="200" w:after="120" w:line="276" w:lineRule="auto"/>
      </w:pPr>
      <w:r>
        <w:rPr>
          <w:rFonts w:ascii="Times New Roman" w:hAnsi="Times New Roman"/>
          <w:b/>
          <w:color w:val="333333"/>
          <w:sz w:val="24"/>
        </w:rPr>
        <w:t>7.3 Dispositifs médicaux non médicamenteux</w:t>
      </w:r>
    </w:p>
    <w:p>
      <w:pPr>
        <w:spacing w:after="160" w:line="360" w:lineRule="auto"/>
        <w:ind w:firstLine="0"/>
        <w:jc w:val="both"/>
      </w:pPr>
      <w:r>
        <w:rPr>
          <w:rFonts w:ascii="Times New Roman" w:hAnsi="Times New Roman"/>
          <w:sz w:val="24"/>
        </w:rPr>
        <w:t>Les dispositifs médicaux non médicamenteux (pansements stériles simples, pansements hydrocolloïdes, pansements hydrocellulaires, sutures chirurgical, cathéters, drains) sont classés dispositifs médicaux et non médicaments dans la nomenclature algérienne. Ils sont donc par construction exclus du périmètre de la collection de pharmacologie clinique. Cette exclusion est cohérente avec la séparation réglementaire stricte entre médicament et dispositif médical dans le droit algérien. Toutefois, certaines DCI présentes dans la nomenclature ont un statut hybride (alginates gastriques, pansements digestifs) et sont traitées dans la collection comme des médicaments à part entière, conformément à leur classification réglementaire. Cette position est maintenue et ne nécessite pas de révision.</w:t>
      </w:r>
    </w:p>
    <w:p>
      <w:pPr>
        <w:pStyle w:val="Heading3"/>
        <w:spacing w:before="200" w:after="120" w:line="276" w:lineRule="auto"/>
      </w:pPr>
      <w:r>
        <w:rPr>
          <w:rFonts w:ascii="Times New Roman" w:hAnsi="Times New Roman"/>
          <w:b/>
          <w:color w:val="333333"/>
          <w:sz w:val="24"/>
        </w:rPr>
        <w:t>7.4 Conclusion sur les « faux manques »</w:t>
      </w:r>
    </w:p>
    <w:p>
      <w:pPr>
        <w:spacing w:after="160" w:line="360" w:lineRule="auto"/>
        <w:ind w:firstLine="0"/>
        <w:jc w:val="both"/>
      </w:pPr>
      <w:r>
        <w:rPr>
          <w:rFonts w:ascii="Times New Roman" w:hAnsi="Times New Roman"/>
          <w:sz w:val="24"/>
        </w:rPr>
        <w:t>Les « faux manques » identifiés (homéopathie, sevrage tabagique, dispositifs médicaux non médicamenteux) ne justifient pas la création de fascicules additionnels. La collection ne doit couvrir que les DCI effectivement présentes dans la nomenclature algérienne officielle, conformément à sa vocation de pharmacologie clinique algérienne. Toute couverture éditoriale d'une classe pharmacologique absente de la nomenclature créerait une incohérence avec le cadre réglementaire et commerciale du pays, et induirait en erreur l'étudiant et le praticien. Cette position de principe est actée par le comité éditorial et sera maintenue dans les révisions futures. Les « faux manques » sont consignés dans le présent rapport pour traçabilité, et seront systématiquement revérifiés à chaque mise à jour annuelle de la nomenclature, afin de détecter toute évolution réglementaire qui justifierait l'ajout d'un nouveau fascicule.</w:t>
      </w:r>
    </w:p>
    <w:p>
      <w:pPr>
        <w:pStyle w:val="Heading2"/>
        <w:spacing w:before="200" w:after="120" w:line="276" w:lineRule="auto"/>
      </w:pPr>
      <w:r>
        <w:rPr>
          <w:rFonts w:ascii="Times New Roman" w:hAnsi="Times New Roman"/>
          <w:b/>
          <w:color w:val="2E4B7A"/>
          <w:sz w:val="28"/>
        </w:rPr>
        <w:t>8. Vérification des alertes critiques de sécurité</w:t>
      </w:r>
    </w:p>
    <w:p>
      <w:pPr>
        <w:pStyle w:val="Heading3"/>
        <w:spacing w:before="200" w:after="120" w:line="276" w:lineRule="auto"/>
      </w:pPr>
      <w:r>
        <w:rPr>
          <w:rFonts w:ascii="Times New Roman" w:hAnsi="Times New Roman"/>
          <w:b/>
          <w:color w:val="333333"/>
          <w:sz w:val="24"/>
        </w:rPr>
        <w:t>8.1 Dantrolène RETIRÉ</w:t>
      </w:r>
    </w:p>
    <w:p>
      <w:pPr>
        <w:spacing w:after="160" w:line="360" w:lineRule="auto"/>
        <w:ind w:firstLine="0"/>
        <w:jc w:val="both"/>
      </w:pPr>
      <w:r>
        <w:rPr>
          <w:rFonts w:ascii="Times New Roman" w:hAnsi="Times New Roman"/>
          <w:sz w:val="24"/>
        </w:rPr>
        <w:t>Le dantrolène, traitement curatif de référence de l'hyperthermie maligne peranesthésique (HMPP), est retiré du marché algérien depuis plusieurs années. Cette alerte critique de sécurité a été correctement documentée dans le fascicule XIX (Anesthésie &amp; Réanimation), avec mention explicite de l'absence d'alternative curative disponible localement. L'hyperthermie maligne est une urgence vitale dont la mortalité en l'absence de traitement dépasse 70 %, et la disponibilité du dantrolène est un standard international de sécurité anesthésique. Le protocole d'importation urgente via la pharmacie centrale des hôpitaux (PCH) et la coordination avec les services d'anesthésie-réanimation des établissements de référence (CHU Mustapha, CHU Beni-Messous, EHS Pierre et Marie Curie) doit être documenté de manière détaillée dans la prochaine révision du fascicule XIX. Une recommandation est faite aux autorités sanitaires pour réinscrire le dantrolène dans la nomenclature algérienne, en raison de son caractère indispensable à la sécurité anesthésique.</w:t>
      </w:r>
    </w:p>
    <w:p>
      <w:pPr>
        <w:pStyle w:val="Heading3"/>
        <w:spacing w:before="200" w:after="120" w:line="276" w:lineRule="auto"/>
      </w:pPr>
      <w:r>
        <w:rPr>
          <w:rFonts w:ascii="Times New Roman" w:hAnsi="Times New Roman"/>
          <w:b/>
          <w:color w:val="333333"/>
          <w:sz w:val="24"/>
        </w:rPr>
        <w:t>8.2 Noradrénaline NON_RENOUVELABLE</w:t>
      </w:r>
    </w:p>
    <w:p>
      <w:pPr>
        <w:spacing w:after="160" w:line="360" w:lineRule="auto"/>
        <w:ind w:firstLine="0"/>
        <w:jc w:val="both"/>
      </w:pPr>
      <w:r>
        <w:rPr>
          <w:rFonts w:ascii="Times New Roman" w:hAnsi="Times New Roman"/>
          <w:sz w:val="24"/>
        </w:rPr>
        <w:t>La noradrénaline, vasopresseur de première intention dans le choc septique selon les recommandations internationales (Surviving Sepsis Campaign), est classée non renouvelable dans la nomenclature algérienne de 2026. Cette alerte a été correctement documentée dans le fascicule XIX, avec proposition d'alternative par l'adrénaline qui reste disponible. Toutefois, l'adrénaline présente un profil pharmacologique différent (effets bêta-adrénergiques plus marqués, risque d'arythmies et d'ischémie myocardique supérieur) et ne constitue pas un substitut parfaitement équivalent. La documentation du fascicule XIX doit être renforcée dans la prochaine révision en intégrant les protocoles précis de substitution, les doses d'adrénaline à utiliser pour remplacer la noradrénaline dans le choc septique, et la surveillance spécifique à mettre en œuvre. Une recommandation est faite aux autorités pour réinscrire la noradrénaline dans la nomenclature active.</w:t>
      </w:r>
    </w:p>
    <w:p>
      <w:pPr>
        <w:pStyle w:val="Heading3"/>
        <w:spacing w:before="200" w:after="120" w:line="276" w:lineRule="auto"/>
      </w:pPr>
      <w:r>
        <w:rPr>
          <w:rFonts w:ascii="Times New Roman" w:hAnsi="Times New Roman"/>
          <w:b/>
          <w:color w:val="333333"/>
          <w:sz w:val="24"/>
        </w:rPr>
        <w:t>8.3 Antidotes absents</w:t>
      </w:r>
    </w:p>
    <w:p>
      <w:pPr>
        <w:spacing w:after="160" w:line="360" w:lineRule="auto"/>
        <w:ind w:firstLine="0"/>
        <w:jc w:val="both"/>
      </w:pPr>
      <w:r>
        <w:rPr>
          <w:rFonts w:ascii="Times New Roman" w:hAnsi="Times New Roman"/>
          <w:sz w:val="24"/>
        </w:rPr>
        <w:t>Quatre antidotes vitaux sont absents de la nomenclature algérienne active et ont été correctement signalés dans le fascicule XX (Toxicologie). Le flumazénil, antidote des benzodiazépines en cas d'intoxication aiguë avec coma, n'est pas disponible en routine ; les alternatives symptomatiques reposent sur la ventilation mécanique et la surveillance en réanimation. Le fomépirole, antidote de l'intoxication par le méthanol et l'éthylène glycol, n'est pas disponible ; l'alternative repose sur l'éthanol perfusé et l'hémodialyse en urgence. L'hydroxocobalamine, antidote de l'intoxication cyanhydrique (incendies, fumées d'incendie), n'est pas disponible ; il n'existe pas d'alternative curative satisfaisante. La pralidoxime, antidote des intoxications organophosphorées (pesticides, gaz neurotoxiques), n'est pas disponible ; l'alternative repose sur l'atropine disponible et la ventilation mécanique. Les protocoles de commande urgente via la pharmacie centrale des hôpitaux et la coordination avec le Centre Antipoison d'Oran doivent être documentés dans la prochaine révision du fascicule XX.</w:t>
      </w:r>
    </w:p>
    <w:p>
      <w:pPr>
        <w:pStyle w:val="Heading3"/>
        <w:spacing w:before="200" w:after="120" w:line="276" w:lineRule="auto"/>
      </w:pPr>
      <w:r>
        <w:rPr>
          <w:rFonts w:ascii="Times New Roman" w:hAnsi="Times New Roman"/>
          <w:b/>
          <w:color w:val="333333"/>
          <w:sz w:val="24"/>
        </w:rPr>
        <w:t>8.4 Vaccins NON_RENOUVELABLES</w:t>
      </w:r>
    </w:p>
    <w:p>
      <w:pPr>
        <w:spacing w:after="160" w:line="360" w:lineRule="auto"/>
        <w:ind w:firstLine="0"/>
        <w:jc w:val="both"/>
      </w:pPr>
      <w:r>
        <w:rPr>
          <w:rFonts w:ascii="Times New Roman" w:hAnsi="Times New Roman"/>
          <w:sz w:val="24"/>
        </w:rPr>
        <w:t>Deux vaccins majeurs sont classés non renouvelables dans la nomenclature algérienne de 2026 : le vaccin antirougeoleux (vaccin ROR en particulier) et le vaccin anti-hépatite B. Ces deux vaccins sont des piliers du programme élargi de vaccination (PEV) et leur indisponibilité prolongée constitue une alerte de santé publique majeure. Le fascicule XVIII (Immunologie &amp; Transplantation) documente ces alertes dans sa section « vigilances algériennes », avec mention des alternatives par importation et des protocoles de coordination avec le programme national de vaccination. La prochaine révision du fascicule XVIII doit renforcer cette documentation en intégrant les recommandations OMS sur la gestion des ruptures d'approvisionnement vaccinal, les protocoles de vaccination différée et les stratégies de rattrapage. Une recommandation forte est faite aux autorités sanitaires pour sécuriser l'approvisionnement de ces vaccins essentiels.</w:t>
      </w:r>
    </w:p>
    <w:p>
      <w:pPr>
        <w:pStyle w:val="Heading3"/>
        <w:spacing w:before="200" w:after="120" w:line="276" w:lineRule="auto"/>
      </w:pPr>
      <w:r>
        <w:rPr>
          <w:rFonts w:ascii="Times New Roman" w:hAnsi="Times New Roman"/>
          <w:b/>
          <w:color w:val="333333"/>
          <w:sz w:val="24"/>
        </w:rPr>
        <w:t>8.5 Cisplatine et carboplatine NON_RENOUVELABLES</w:t>
      </w:r>
    </w:p>
    <w:p>
      <w:pPr>
        <w:spacing w:after="160" w:line="360" w:lineRule="auto"/>
        <w:ind w:firstLine="0"/>
        <w:jc w:val="both"/>
      </w:pPr>
      <w:r>
        <w:rPr>
          <w:rFonts w:ascii="Times New Roman" w:hAnsi="Times New Roman"/>
          <w:sz w:val="24"/>
        </w:rPr>
        <w:t>Les sels de platine de première et deuxième génération, cisplatine et carboplatine, sont classés non renouvelables dans la nomenclature algérienne. Cette alerte a été correctement documentée dans le fascicule XII (Oncologie), avec proposition d'alternative par l'oxaliplatine qui reste disponible. L'oxaliplatine présente un spectre d'activité différent (efficacité supérieure dans les cancers colorectaux, moindre dans les cancers bronchiques non à petites cellules et ovariens) et un profil de toxicité différent (neurotoxicité chronique, moindre néphrotoxicité et ototoxicité). La documentation du fascicule XII précise les protocoles de substitution, les ajustements de posologie et la surveillance spécifique à mettre en œuvre lors du remplacement du cisplatine ou du carboplatine par l'oxaliplatine. Une recommandation est faite aux autorités pour réinscrire le cisplatine (indispensable dans les cancers testiculaires et les tumeurs germinales) dans la nomenclature active.</w:t>
      </w:r>
    </w:p>
    <w:p>
      <w:pPr>
        <w:pStyle w:val="Heading3"/>
        <w:spacing w:before="200" w:after="120" w:line="276" w:lineRule="auto"/>
      </w:pPr>
      <w:r>
        <w:rPr>
          <w:rFonts w:ascii="Times New Roman" w:hAnsi="Times New Roman"/>
          <w:b/>
          <w:color w:val="333333"/>
          <w:sz w:val="24"/>
        </w:rPr>
        <w:t>8.6 Lithium carbonate RETIRÉ</w:t>
      </w:r>
    </w:p>
    <w:p>
      <w:pPr>
        <w:spacing w:after="160" w:line="360" w:lineRule="auto"/>
        <w:ind w:firstLine="0"/>
        <w:jc w:val="both"/>
      </w:pPr>
      <w:r>
        <w:rPr>
          <w:rFonts w:ascii="Times New Roman" w:hAnsi="Times New Roman"/>
          <w:sz w:val="24"/>
        </w:rPr>
        <w:t>Le lithium carbonate, traitement de référence de la prophylaxie du trouble bipolaire, est retiré du marché algérien. Cette alerte a été correctement documentée dans le fascicule X (Psychiatrie &amp; Psychotropes), avec proposition d'alternatives par le valproate de sodium et les antipsychotiques atypiques (qui ont une AMM dans la prophylaxie du trouble bipolaire). Le valproate présente l'inconvénient d'être tératogène et contre-indiqué chez la femme en âge de procréer, ce qui limite son usage en pratique courante. Les antipsychotiques atypiques (quetiapine, olanzapine, aripiprazole) constituent une alternative valide mais avec un profil d'effets indésirables métaboliques défavorable. La documentation du fascicule X doit être renforcée dans la prochaine révision pour préciser les arbres décisionnels de substitution, en particulier chez la femme en âge de procréer et chez le patient bipolaire à composante suicidaire. Une recommandation forte est faite aux autorités pour réinscrire le lithium carbonate.</w:t>
      </w:r>
    </w:p>
    <w:p>
      <w:pPr>
        <w:pStyle w:val="Heading3"/>
        <w:spacing w:before="200" w:after="120" w:line="276" w:lineRule="auto"/>
      </w:pPr>
      <w:r>
        <w:rPr>
          <w:rFonts w:ascii="Times New Roman" w:hAnsi="Times New Roman"/>
          <w:b/>
          <w:color w:val="333333"/>
          <w:sz w:val="24"/>
        </w:rPr>
        <w:t>8.7 Éthosuximide RETIRÉ</w:t>
      </w:r>
    </w:p>
    <w:p>
      <w:pPr>
        <w:spacing w:after="160" w:line="360" w:lineRule="auto"/>
        <w:ind w:firstLine="0"/>
        <w:jc w:val="both"/>
      </w:pPr>
      <w:r>
        <w:rPr>
          <w:rFonts w:ascii="Times New Roman" w:hAnsi="Times New Roman"/>
          <w:sz w:val="24"/>
        </w:rPr>
        <w:t>L'éthosuximide, traitement de référence des épilepsies absence de l'enfant, est retiré du marché algérien. Cette alerte a été correctement documentée dans le fascicule XI (Neurologie &amp; Antiépileptiques), avec proposition d'alternative par le valproate qui reste disponible. Le valproate est efficace dans les épilepsies absence mais présente une tératogénicité qui en fait un choix problématique chez la jeune fille épileptique. Les alternatives limitées (lamotrigine en association, topiramate à posologie adaptée) sont moins bien validées dans les épilepsies absence typiques. La documentation du fascicule XI précise les protocoles de substitution et la surveillance spécifique à mettre en œuvre. Une recommandation est faite aux autorités pour réinscrire l'éthosuximide, en raison de son caractère irremplaçable chez l'enfant présentant une épilepsie absence typique.</w:t>
      </w:r>
    </w:p>
    <w:p>
      <w:pPr>
        <w:pStyle w:val="Heading3"/>
        <w:spacing w:before="200" w:after="120" w:line="276" w:lineRule="auto"/>
      </w:pPr>
      <w:r>
        <w:rPr>
          <w:rFonts w:ascii="Times New Roman" w:hAnsi="Times New Roman"/>
          <w:b/>
          <w:color w:val="333333"/>
          <w:sz w:val="24"/>
        </w:rPr>
        <w:t>8.8 Riluzole NON disponible</w:t>
      </w:r>
    </w:p>
    <w:p>
      <w:pPr>
        <w:spacing w:after="160" w:line="360" w:lineRule="auto"/>
        <w:ind w:firstLine="0"/>
        <w:jc w:val="both"/>
      </w:pPr>
      <w:r>
        <w:rPr>
          <w:rFonts w:ascii="Times New Roman" w:hAnsi="Times New Roman"/>
          <w:sz w:val="24"/>
        </w:rPr>
        <w:t>Le riluzole, seul traitement démontré comme modifiant l'évolution de la sclérose latérale amyotrophique (SLA), n'est pas disponible en Algérie. Cette alerte a été correctement documentée dans le fascicule XI (Neurologie &amp; Antiépileptiques), avec mention explicite de l'absence d'alternative pharmacologique. L'impact pratique clinique est majeur : les patients algériens atteints de SLA sont privés du seul traitement capable de prolonger significativement leur survie et de retarder la trachéotomie. La coordination avec les associations de patients et les protocoles d'importation individuelle doit être documentée. Une recommandation forte est faite aux autorités sanitaires pour évaluer l'inscription du riluzole dans la nomenclature algérienne, en raison de son caractère unique dans une maladie orpheline au pronostic catastrophique.</w:t>
      </w:r>
    </w:p>
    <w:p>
      <w:pPr>
        <w:pStyle w:val="Heading2"/>
        <w:spacing w:before="200" w:after="120" w:line="276" w:lineRule="auto"/>
      </w:pPr>
      <w:r>
        <w:rPr>
          <w:rFonts w:ascii="Times New Roman" w:hAnsi="Times New Roman"/>
          <w:b/>
          <w:color w:val="2E4B7A"/>
          <w:sz w:val="28"/>
        </w:rPr>
        <w:t>9. Recommandations de complétion prioritaires</w:t>
      </w:r>
    </w:p>
    <w:p>
      <w:pPr>
        <w:pStyle w:val="Heading3"/>
        <w:spacing w:before="200" w:after="120" w:line="276" w:lineRule="auto"/>
      </w:pPr>
      <w:r>
        <w:rPr>
          <w:rFonts w:ascii="Times New Roman" w:hAnsi="Times New Roman"/>
          <w:b/>
          <w:color w:val="333333"/>
          <w:sz w:val="24"/>
        </w:rPr>
        <w:t>9.1 Fascicule XXI — Radiologie &amp; Produits de Contraste (P1)</w:t>
      </w:r>
    </w:p>
    <w:p>
      <w:pPr>
        <w:spacing w:after="160" w:line="360" w:lineRule="auto"/>
        <w:ind w:firstLine="0"/>
        <w:jc w:val="both"/>
      </w:pPr>
      <w:r>
        <w:rPr>
          <w:rFonts w:ascii="Times New Roman" w:hAnsi="Times New Roman"/>
          <w:sz w:val="24"/>
        </w:rPr>
        <w:t>Le fascicule XXI est priorisé en P1 (priorité maximale) en raison de l'impact clinique élevé des produits de contraste et de la fréquence de leur utilisation en pratique hospitalière algérienne. Il traitera les 14 DCI identifiées dans la nomenclature : agents iodés ioniques (diatrizoate, métrizoate), agents iodés non ioniques (iohexol, iopamidol, iopromide, ioversol, iodixanol), chélates de gadolinium macrocycliques disponibles (gadotérate, gadobutrol), chélates de gadolinium linéaires retirés (gadodiamide, gadopentétate — à documenter pour traçabilité), sulfate de baryum pour opacification digestive, et agents spécifiques (acide iopanoïque, iobitridol). Le volume estimé est de 100 000 mots environ. Les sources académiques mobilisées seront les recommandations ESUR (European Society of Urogenital Radiology) sur la prévention de la néphropathie au produit de contraste, les recommandations de l'EMA sur les chélates de gadolinium, et les protocoles hospitaliers algériens de préparation à l'examen radiologique.</w:t>
      </w:r>
    </w:p>
    <w:p>
      <w:pPr>
        <w:pStyle w:val="Heading3"/>
        <w:spacing w:before="200" w:after="120" w:line="276" w:lineRule="auto"/>
      </w:pPr>
      <w:r>
        <w:rPr>
          <w:rFonts w:ascii="Times New Roman" w:hAnsi="Times New Roman"/>
          <w:b/>
          <w:color w:val="333333"/>
          <w:sz w:val="24"/>
        </w:rPr>
        <w:t>9.2 Fascicule XXII — Nutrition Artificielle &amp; Solutions de Perfusion/Dialyse (P1)</w:t>
      </w:r>
    </w:p>
    <w:p>
      <w:pPr>
        <w:spacing w:after="160" w:line="360" w:lineRule="auto"/>
        <w:ind w:firstLine="0"/>
        <w:jc w:val="both"/>
      </w:pPr>
      <w:r>
        <w:rPr>
          <w:rFonts w:ascii="Times New Roman" w:hAnsi="Times New Roman"/>
          <w:sz w:val="24"/>
        </w:rPr>
        <w:t>Le fascicule XXII est priorisé en P1 en raison du caractère vital des solutions de perfusion en réanimation et de la complexité des protocoles de nutrition parentérale. Il traitera 22 DCI : cristalloïdes isotoniques (NaCl 0,9 %, glucose 5 %, Ringer lactate, Hartmann), colloïdes (HEA non renouvelable à documenter, gélatine fluide modifiée, dextran), solutions de dialyse péritonéale (Dianeal-type, Physioneal-type, Extraneal-type icodextrine), concentrés pour hémodialyse (solution acide, bicarbonate de dialyse), émulsions lipidiques (Intralipid-type), mélanges ternaires (Oliclinomel-type), acides aminés crystallins, et solutions spécifiques (citrates anticoagulation régionale). Le volume estimé est de 100 000 mots. Les sources mobilisées seront les recommandations ESPEN (European Society for Clinical Nutrition and Metabolism) sur la nutrition parentérale, les recommandations ISPD (International Society for Peritoneal Dialysis) sur la dialyse péritonéale, et les protocoles algériens de réanimation hydrique.</w:t>
      </w:r>
    </w:p>
    <w:p>
      <w:pPr>
        <w:pStyle w:val="Heading3"/>
        <w:spacing w:before="200" w:after="120" w:line="276" w:lineRule="auto"/>
      </w:pPr>
      <w:r>
        <w:rPr>
          <w:rFonts w:ascii="Times New Roman" w:hAnsi="Times New Roman"/>
          <w:b/>
          <w:color w:val="333333"/>
          <w:sz w:val="24"/>
        </w:rPr>
        <w:t>9.3 Fascicule XXIII — Produits Sanguins, Facteurs de Coagulation &amp; Dérivés Sanguins (P2)</w:t>
      </w:r>
    </w:p>
    <w:p>
      <w:pPr>
        <w:spacing w:after="160" w:line="360" w:lineRule="auto"/>
        <w:ind w:firstLine="0"/>
        <w:jc w:val="both"/>
      </w:pPr>
      <w:r>
        <w:rPr>
          <w:rFonts w:ascii="Times New Roman" w:hAnsi="Times New Roman"/>
          <w:sz w:val="24"/>
        </w:rPr>
        <w:t>Le fascicule XXIII est priorisé en P2 (priorité élevée mais légèrement différée) en raison de la disponibilité partielle de la couverture dans le fascicule XVIII, qui permet d'attendre quelques semaines supplémentaires sans préjudice pédagogique majeur. Il traitera les 17 DCI : albumine humaine, facteur VIII recombinant, facteur IX recombinant, complexe prothrombinique humain (PCC), fibrinogène humain, facteur VII recombinant, facteur de von Willebrand, antithrombine III humaine, immunoglobulines polyvalentes et spécifiques (déjà couvertes, reprises pour cohérence), antithymoglobulines, anticorps monoclonaux anti-CD20 et anti-IL2 (déjà couverts). Le volume estimé est de 120 000 mots. Les sources mobilisées seront les recommandations WFH (World Federation of Hemophilia) sur le traitement des hémophilies, les protocoles algériens de transfusion et le Plan National d'Urgence Hémorragique.</w:t>
      </w:r>
    </w:p>
    <w:p>
      <w:pPr>
        <w:pStyle w:val="Heading3"/>
        <w:spacing w:before="200" w:after="120" w:line="276" w:lineRule="auto"/>
      </w:pPr>
      <w:r>
        <w:rPr>
          <w:rFonts w:ascii="Times New Roman" w:hAnsi="Times New Roman"/>
          <w:b/>
          <w:color w:val="333333"/>
          <w:sz w:val="24"/>
        </w:rPr>
        <w:t>9.4 Fascicule XXIV — Phytothérapie, Médecine Nucléaire &amp; Dispositifs Médicaux (P3)</w:t>
      </w:r>
    </w:p>
    <w:p>
      <w:pPr>
        <w:spacing w:after="160" w:line="360" w:lineRule="auto"/>
        <w:ind w:firstLine="0"/>
        <w:jc w:val="both"/>
      </w:pPr>
      <w:r>
        <w:rPr>
          <w:rFonts w:ascii="Times New Roman" w:hAnsi="Times New Roman"/>
          <w:sz w:val="24"/>
        </w:rPr>
        <w:t>Le fascicule XXIV est priorisé en P3 (priorité modérée) en raison de la dispersion déjà effective de la couverture entre plusieurs fascicules initiaux et de l'impact clinique plus limité de certaines DCI concernées. Il traitera 12 DCI : phytothérapie (Ginkgo biloba, Serenoa repens, Pygeum africanum, Harpagophytum procumbens, Cassia angustifolia, Aloe vera, Valeriana officinalis, Passiflora incarnata), médecine nucléaire (dichlorure de radium-223), dispositifs médicaux alginates (alginate de sodium, alginate de potassium, association alginate-bicarbonate). Le volume estimé est de 70 000 mots. Les sources mobilisées seront les monographies de l'EMA HMPC, la pharmacopée européenne, les recommandations EANM (European Association of Nuclear Medicine) sur la thérapie au radium-223, et les protocoles hospitaliers algériens de radioprotection.</w:t>
      </w:r>
    </w:p>
    <w:p>
      <w:pPr>
        <w:pStyle w:val="Heading2"/>
        <w:spacing w:before="200" w:after="120" w:line="276" w:lineRule="auto"/>
      </w:pPr>
      <w:r>
        <w:rPr>
          <w:rFonts w:ascii="Times New Roman" w:hAnsi="Times New Roman"/>
          <w:b/>
          <w:color w:val="2E4B7A"/>
          <w:sz w:val="28"/>
        </w:rPr>
        <w:t>10. Recommandations transversales</w:t>
      </w:r>
    </w:p>
    <w:p>
      <w:pPr>
        <w:pStyle w:val="Heading3"/>
        <w:spacing w:before="200" w:after="120" w:line="276" w:lineRule="auto"/>
      </w:pPr>
      <w:r>
        <w:rPr>
          <w:rFonts w:ascii="Times New Roman" w:hAnsi="Times New Roman"/>
          <w:b/>
          <w:color w:val="333333"/>
          <w:sz w:val="24"/>
        </w:rPr>
        <w:t>10.1 Fascicule d'index alphabétique des DCI</w:t>
      </w:r>
    </w:p>
    <w:p>
      <w:pPr>
        <w:spacing w:after="160" w:line="360" w:lineRule="auto"/>
        <w:ind w:firstLine="0"/>
        <w:jc w:val="both"/>
      </w:pPr>
      <w:r>
        <w:rPr>
          <w:rFonts w:ascii="Times New Roman" w:hAnsi="Times New Roman"/>
          <w:sz w:val="24"/>
        </w:rPr>
        <w:t>La création d'un fascicule d'index alphabétique des DCI est une recommandation transversale de premier ordre. Cet index, à produire après finalisation des vingt-quatre fascicules thématiques, recensera l'ensemble des 997 DCI traitées dans la collection et indiquera pour chacune le ou les fascicules où elle est documentée, avec le numéro de page correspondant. L'index sera organisé par ordre alphabétique strict, avec renvois depuis les synonymes, les noms de marque algériens principaux, et les classifications ATC. Le volume estimé de cet index est de 80 à 100 pages, soit environ 60 000 mots. Cet outil est jugé indispensable pour la navigabilité de la collection en pratique clinique et en pédagogie, et constituera le fascicule XXV « Index alphabétique ».</w:t>
      </w:r>
    </w:p>
    <w:p>
      <w:pPr>
        <w:pStyle w:val="Heading3"/>
        <w:spacing w:before="200" w:after="120" w:line="276" w:lineRule="auto"/>
      </w:pPr>
      <w:r>
        <w:rPr>
          <w:rFonts w:ascii="Times New Roman" w:hAnsi="Times New Roman"/>
          <w:b/>
          <w:color w:val="333333"/>
          <w:sz w:val="24"/>
        </w:rPr>
        <w:t>10.2 Tableau croisé DCI ↔ Fascicule</w:t>
      </w:r>
    </w:p>
    <w:p>
      <w:pPr>
        <w:spacing w:after="160" w:line="360" w:lineRule="auto"/>
        <w:ind w:firstLine="0"/>
        <w:jc w:val="both"/>
      </w:pPr>
      <w:r>
        <w:rPr>
          <w:rFonts w:ascii="Times New Roman" w:hAnsi="Times New Roman"/>
          <w:sz w:val="24"/>
        </w:rPr>
        <w:t>Le tableau croisé DCI ↔ Fascicule est un complément à l'index alphabétique, organisé non plus par ordre alphabétique mais par matrice thématique. Il prendra la forme d'une grande grille (DCI en lignes, fascicules en colonnes) avec marquage des croisements pertinents. Ce tableau sera particulièrement utile au comptoir de pharmacie pour identifier rapidement le fascicule de référence à consulter pour une DCI donnée, et pour repérer les DCI qui apparaissent dans plusieurs fascicules (corticoïdes, antihistaminiques, etc.). Il sera produit sous forme d'un fichier docx complémentaire, distinct de l'index alphabétique, et sera également exporté au format CSV pour utilisation informatique. Le volume estimé est de 30 000 mots (essentiellement tabulaire).</w:t>
      </w:r>
    </w:p>
    <w:p>
      <w:pPr>
        <w:pStyle w:val="Heading3"/>
        <w:spacing w:before="200" w:after="120" w:line="276" w:lineRule="auto"/>
      </w:pPr>
      <w:r>
        <w:rPr>
          <w:rFonts w:ascii="Times New Roman" w:hAnsi="Times New Roman"/>
          <w:b/>
          <w:color w:val="333333"/>
          <w:sz w:val="24"/>
        </w:rPr>
        <w:t>10.3 Mise à jour annuelle selon nouvelle nomenclature</w:t>
      </w:r>
    </w:p>
    <w:p>
      <w:pPr>
        <w:spacing w:after="160" w:line="360" w:lineRule="auto"/>
        <w:ind w:firstLine="0"/>
        <w:jc w:val="both"/>
      </w:pPr>
      <w:r>
        <w:rPr>
          <w:rFonts w:ascii="Times New Roman" w:hAnsi="Times New Roman"/>
          <w:sz w:val="24"/>
        </w:rPr>
        <w:t>La nomenclature algérienne étant mise à jour annuellement par les autorités sanitaires, la collection de pharmacologie clinique doit faire l'objet d'une révision annuelle synchronisée. Le processus de révision comprend quatre étapes : (i) extraction de la nouvelle nomenclature et comparaison différentielle avec la version précédente ; (ii) identification des DCI ajoutées, modifiées et retirées ; (iii) mise à jour des fiches concernées dans les fascicules existants, avec ajout ou suppression des fiches nécessaires ; (iv) mise à jour de l'index alphabétique et du tableau croisé. Cette révision annuelle sera coordonnée par le comité éditorial et conduite sur une période de trois mois après la publication de la nouvelle nomenclature. Les modifications seront tracées dans un journal de versions documenté.</w:t>
      </w:r>
    </w:p>
    <w:p>
      <w:pPr>
        <w:pStyle w:val="Heading3"/>
        <w:spacing w:before="200" w:after="120" w:line="276" w:lineRule="auto"/>
      </w:pPr>
      <w:r>
        <w:rPr>
          <w:rFonts w:ascii="Times New Roman" w:hAnsi="Times New Roman"/>
          <w:b/>
          <w:color w:val="333333"/>
          <w:sz w:val="24"/>
        </w:rPr>
        <w:t>10.4 Version numérique inter-fascicules</w:t>
      </w:r>
    </w:p>
    <w:p>
      <w:pPr>
        <w:spacing w:after="160" w:line="360" w:lineRule="auto"/>
        <w:ind w:firstLine="0"/>
        <w:jc w:val="both"/>
      </w:pPr>
      <w:r>
        <w:rPr>
          <w:rFonts w:ascii="Times New Roman" w:hAnsi="Times New Roman"/>
          <w:sz w:val="24"/>
        </w:rPr>
        <w:t>La création d'une version numérique inter-fascicules est une recommandation à moyen terme visant à exploiter les technologies numériques pour améliorer l'utilisabilité de la collection. Cette version numérique prendra la forme d'une plateforme web ou d'une application mobile permettant la recherche plein-texte sur l'ensemble des fascicules, la navigation hypertextuelle entre fiches et sections, et la mise à jour dynamique des contenus. Les fonctionnalités attendues incluent : recherche par DCI, par classe ATC, par indication, par interaction médicamenteuse ; accès hors-ligne pour les environnements à connectivité limitée ; et personnalisation de l'affichage (favoris, historique de consultation). Cette version numérique sera développée en parallèle de la finalisation des fascicules XXI à XXIV et de l'index alphabétique, avec une cible de disponibilité au premier trimestre 2027.</w:t>
      </w:r>
    </w:p>
    <w:p>
      <w:pPr>
        <w:pStyle w:val="Heading2"/>
        <w:spacing w:before="200" w:after="120" w:line="276" w:lineRule="auto"/>
      </w:pPr>
      <w:r>
        <w:rPr>
          <w:rFonts w:ascii="Times New Roman" w:hAnsi="Times New Roman"/>
          <w:b/>
          <w:color w:val="2E4B7A"/>
          <w:sz w:val="28"/>
        </w:rPr>
        <w:t>11. Plan d'action et feuille de route</w:t>
      </w:r>
    </w:p>
    <w:p>
      <w:pPr>
        <w:pStyle w:val="Heading3"/>
        <w:spacing w:before="200" w:after="120" w:line="276" w:lineRule="auto"/>
      </w:pPr>
      <w:r>
        <w:rPr>
          <w:rFonts w:ascii="Times New Roman" w:hAnsi="Times New Roman"/>
          <w:b/>
          <w:color w:val="333333"/>
          <w:sz w:val="24"/>
        </w:rPr>
        <w:t>11.1 Chronogramme</w:t>
      </w:r>
    </w:p>
    <w:p>
      <w:pPr>
        <w:spacing w:after="160" w:line="360" w:lineRule="auto"/>
        <w:ind w:firstLine="0"/>
        <w:jc w:val="both"/>
      </w:pPr>
      <w:r>
        <w:rPr>
          <w:rFonts w:ascii="Times New Roman" w:hAnsi="Times New Roman"/>
          <w:sz w:val="24"/>
        </w:rPr>
        <w:t>Le plan d'action de finalisation de la collection s'articule sur trois trimestres consécutifs. Le troisième trimestre 2026 (juillet à septembre) est consacré à la production des quatre fascicules complémentaires XXI à XXIV, en cours d'exécution par les tâches parallèles 2 à 5, avec une date de finalisation cible fixée au 15 septembre 2026. Le quatrième trimestre 2026 (octobre à décembre) est consacré à la production de l'index alphabétique (fascicule XXV) et du tableau croisé DCI ↔ Fascicule, ainsi qu'à la relecture finale des vingt-quatre fascicules thématiques pour vérifier la cohérence éditoriale et la conformité aux standards de qualité. Le premier trimestre 2027 (janvier à mars) est consacré à la validation pédagogique auprès d'un panel d'enseignants et d'étudiants en pharmacie, à la correction des retours de validation, et à la publication officielle de la collection finale. Une réserve de deux mois (avril à mai 2027) est prévue pour les ajustements post-publication.</w:t>
      </w:r>
    </w:p>
    <w:p>
      <w:pPr>
        <w:pStyle w:val="Heading3"/>
        <w:spacing w:before="200" w:after="120" w:line="276" w:lineRule="auto"/>
      </w:pPr>
      <w:r>
        <w:rPr>
          <w:rFonts w:ascii="Times New Roman" w:hAnsi="Times New Roman"/>
          <w:b/>
          <w:color w:val="333333"/>
          <w:sz w:val="24"/>
        </w:rPr>
        <w:t>11.2 Estimation volumique des fascicules additionnels</w:t>
      </w:r>
    </w:p>
    <w:p>
      <w:pPr>
        <w:spacing w:after="160" w:line="360" w:lineRule="auto"/>
        <w:ind w:firstLine="0"/>
        <w:jc w:val="both"/>
      </w:pPr>
      <w:r>
        <w:rPr>
          <w:rFonts w:ascii="Times New Roman" w:hAnsi="Times New Roman"/>
          <w:sz w:val="24"/>
        </w:rPr>
        <w:t>L'estimation volumique consolidée des quatre fascicules complémentaires est de 390 000 mots environ, répartis comme suit : 100 000 mots pour le fascicule XXI (Radiologie &amp; Produits de Contraste), 100 000 mots pour le fascicule XXII (Nutrition Artificielle &amp; Solutions de Perfusion/Dialyse), 120 000 mots pour le fascicule XXIII (Produits Sanguins &amp; Facteurs de Coagulation), et 70 000 mots pour le fascicule XXIV (Phytothérapie, Médecine Nucléaire &amp; Dispositifs Médicaux). À cette volumique s'ajoutent 60 000 mots pour l'index alphabétique et 30 000 mots pour le tableau croisé, soit un total additionnel de 480 000 mots. Le volume total de la collection finalisée atteindra donc environ 3 261 000 mots. Cette volumique est compatible avec les délais impartis, à condition de mobiliser une équipe rédactionnelle de quatre rédacteurs principaux sur la période juillet à septembre 2026, et de deux rédacteurs sur la période octobre à décembre 2026 pour les travaux transversaux.</w:t>
      </w:r>
    </w:p>
    <w:p>
      <w:pPr>
        <w:pStyle w:val="Heading3"/>
        <w:spacing w:before="200" w:after="120" w:line="276" w:lineRule="auto"/>
      </w:pPr>
      <w:r>
        <w:rPr>
          <w:rFonts w:ascii="Times New Roman" w:hAnsi="Times New Roman"/>
          <w:b/>
          <w:color w:val="333333"/>
          <w:sz w:val="24"/>
        </w:rPr>
        <w:t>11.3 Sources académiques à mobiliser pour les 4 nouveaux fascicules</w:t>
      </w:r>
    </w:p>
    <w:p>
      <w:pPr>
        <w:spacing w:after="160" w:line="360" w:lineRule="auto"/>
        <w:ind w:firstLine="0"/>
        <w:jc w:val="both"/>
      </w:pPr>
      <w:r>
        <w:rPr>
          <w:rFonts w:ascii="Times New Roman" w:hAnsi="Times New Roman"/>
          <w:sz w:val="24"/>
        </w:rPr>
        <w:t>Les sources académiques à mobiliser pour les quatre nouveaux fascicules sont spécifiques à chaque domaine traité. Pour le fascicule XXI (Radiologie &amp; Produits de Contraste), les sources principales seront les recommandations ESUR sur la prévention de la néphropathie au produit de contraste, les documents de l'EMA sur les chélates de gadolinium, et les protocoles ACR (American College of Radiology) sur les réactions allergiques aux produits de contraste. Pour le fascicule XXII (Nutrition Artificielle &amp; Solutions de Perfusion/Dialyse), les sources principales seront les recommandations ESPEN sur la nutrition parentérale, les recommandations ISPD sur la dialyse péritonéale, et les recommandations KDIGO sur la prise en charge de l'insuffisance rénale aiguë. Pour le fascicule XXIII (Produits Sanguins), les sources principales seront les recommandations WFH sur les hémophilies, les protocoles de l'AABB (American Association of Blood Banks) et les recommandations algériennes de sécurité transfusionnelle. Pour le fascicule XXIV (Phytothérapie, Médecine Nucléaire &amp; Dispositifs), les sources seront les monographies EMA HMPC, la pharmacopée européenne, les recommandations EANM et les protocoles de radioprotection de l'Autorité de Radioprotection algérienne.</w:t>
      </w:r>
    </w:p>
    <w:p>
      <w:pPr>
        <w:pStyle w:val="Heading3"/>
        <w:spacing w:before="200" w:after="120" w:line="276" w:lineRule="auto"/>
      </w:pPr>
      <w:r>
        <w:rPr>
          <w:rFonts w:ascii="Times New Roman" w:hAnsi="Times New Roman"/>
          <w:b/>
          <w:color w:val="333333"/>
          <w:sz w:val="24"/>
        </w:rPr>
        <w:t>11.4 Critères d'acceptation</w:t>
      </w:r>
    </w:p>
    <w:p>
      <w:pPr>
        <w:spacing w:after="160" w:line="360" w:lineRule="auto"/>
        <w:ind w:firstLine="0"/>
        <w:jc w:val="both"/>
      </w:pPr>
      <w:r>
        <w:rPr>
          <w:rFonts w:ascii="Times New Roman" w:hAnsi="Times New Roman"/>
          <w:sz w:val="24"/>
        </w:rPr>
        <w:t>Les critères d'acceptation des quatre fascicules complémentaires sont stricts et alignés sur les standards appliqués aux vingt fascicules initiaux. Chaque DCI traitée doit faire l'objet d'une fiche complète respectant les douze sous-sections obligatoires décrites à la section 3.3 du présent rapport. Chaque fiche doit comprendre un tableau exhaustif des marques commerciales disponibles en Algérie, avec mention des dosages, des formes pharmaceutiques et des statuts réglementaires (actif, non renouvelé, retiré). Chaque fiche doit signaler les alertes critiques algériennes éventuelles (indisponibilité, retrait, non renouvellement) avec proposition d'alternative thérapeutique le cas échéant. Chaque fiche doit être référencée par des sources académiques de niveau de preuve suffisant, avec citation des guidelines internationales et des bases de données pharmaceutiques de référence. La validation finale de chaque fascicule sera prononcée par le comité éditorial après double lecture indépendante de deux relecteurs, et après vérification formelle de la conformité aux critères d'acceptation par un auditeur externe.</w:t>
      </w:r>
    </w:p>
    <w:p>
      <w:pPr>
        <w:pStyle w:val="Heading2"/>
        <w:spacing w:before="200" w:after="120" w:line="276" w:lineRule="auto"/>
      </w:pPr>
      <w:r>
        <w:rPr>
          <w:rFonts w:ascii="Times New Roman" w:hAnsi="Times New Roman"/>
          <w:b/>
          <w:color w:val="2E4B7A"/>
          <w:sz w:val="28"/>
        </w:rPr>
        <w:t>12. Conclusion de l'audit et signature éditoriale</w:t>
      </w:r>
    </w:p>
    <w:p>
      <w:pPr>
        <w:pStyle w:val="Heading3"/>
        <w:spacing w:before="200" w:after="120" w:line="276" w:lineRule="auto"/>
      </w:pPr>
      <w:r>
        <w:rPr>
          <w:rFonts w:ascii="Times New Roman" w:hAnsi="Times New Roman"/>
          <w:b/>
          <w:color w:val="333333"/>
          <w:sz w:val="24"/>
        </w:rPr>
        <w:t>12.1 Verdict final sur l'exhaustivité actuelle</w:t>
      </w:r>
    </w:p>
    <w:p>
      <w:pPr>
        <w:spacing w:after="160" w:line="360" w:lineRule="auto"/>
        <w:ind w:firstLine="0"/>
        <w:jc w:val="both"/>
      </w:pPr>
      <w:r>
        <w:rPr>
          <w:rFonts w:ascii="Times New Roman" w:hAnsi="Times New Roman"/>
          <w:sz w:val="24"/>
        </w:rPr>
        <w:t>Le présent audit conclut que la collection de pharmacologie clinique algérienne, après ajout des quatre fascicules complémentaires XXI à XXIV, atteint un niveau d'exhaustivité de 99 % de la nomenclature officielle des DCI actives. La collection initiale de vingt fascicules traitait 932 DCI, soit un taux de couverture brute de 67 %. La finalisation par les quatre fascicules complémentaires permet de porter ce nombre à 997 DCI traitées, soit un taux de couverture brute de 71,7 % de la nomenclature active stricte, et de 99 % en intégrant les DCI « partiellement couvertes » et les « faux manques » ne nécessitant pas de fascicule. Les 1 % résiduels correspondent à des DCI orphelines ou à des associations complexes non individualisables dans un fascicule thématique. Ce verdict est jugé conforme aux standards internationaux d'exhaustivité d'une collection universitaire de pharmacologie clinique et permet d'envisager la publication officielle de la collection finale après validation pédagogique du premier trimestre 2027.</w:t>
      </w:r>
    </w:p>
    <w:p>
      <w:pPr>
        <w:pStyle w:val="Heading3"/>
        <w:spacing w:before="200" w:after="120" w:line="276" w:lineRule="auto"/>
      </w:pPr>
      <w:r>
        <w:rPr>
          <w:rFonts w:ascii="Times New Roman" w:hAnsi="Times New Roman"/>
          <w:b/>
          <w:color w:val="333333"/>
          <w:sz w:val="24"/>
        </w:rPr>
        <w:t>12.2 Limites de l'audit</w:t>
      </w:r>
    </w:p>
    <w:p>
      <w:pPr>
        <w:spacing w:after="160" w:line="360" w:lineRule="auto"/>
        <w:ind w:firstLine="0"/>
        <w:jc w:val="both"/>
      </w:pPr>
      <w:r>
        <w:rPr>
          <w:rFonts w:ascii="Times New Roman" w:hAnsi="Times New Roman"/>
          <w:sz w:val="24"/>
        </w:rPr>
        <w:t>Le présent audit présente plusieurs limites qui doivent être prises en considération dans l'interprétation de ses conclusions. Premièrement, la méthodologie de matching DCI par DCI est robuste pour les monothérapies mais ne couvre pas de manière exhaustive les associations complexes (médicaments combinant trois principes actifs ou plus), qui peuvent ne pas être identifiées comme couvertes même si chacun de leurs composants est documenté séparément. Deuxièmement, l'audit ne détecte pas les manquements de la nomenclature elle-même : or, plusieurs antidotes vitaux (flumazénil, fomépirole, hydroxocobalamine, pralidoxime) sont absents de la nomenclature algérienne active, ce qui constitue un problème de santé publique que l'audit signale mais qu'il ne peut résoudre. Troisièmement, l'audit est limité à une photographie au 28 août 2026 et devra être répété à chaque mise à jour de la nomenclature. Ces limites sont assumées et tracées dans le présent rapport pour transparence éditoriale.</w:t>
      </w:r>
    </w:p>
    <w:p>
      <w:pPr>
        <w:pStyle w:val="Heading3"/>
        <w:spacing w:before="200" w:after="120" w:line="276" w:lineRule="auto"/>
      </w:pPr>
      <w:r>
        <w:rPr>
          <w:rFonts w:ascii="Times New Roman" w:hAnsi="Times New Roman"/>
          <w:b/>
          <w:color w:val="333333"/>
          <w:sz w:val="24"/>
        </w:rPr>
        <w:t>12.3 Recommandations de gouvernance</w:t>
      </w:r>
    </w:p>
    <w:p>
      <w:pPr>
        <w:spacing w:after="160" w:line="360" w:lineRule="auto"/>
        <w:ind w:firstLine="0"/>
        <w:jc w:val="both"/>
      </w:pPr>
      <w:r>
        <w:rPr>
          <w:rFonts w:ascii="Times New Roman" w:hAnsi="Times New Roman"/>
          <w:sz w:val="24"/>
        </w:rPr>
        <w:t>Le présent audit formule trois recommandations de gouvernance éditoriale pour pérenniser la qualité de la collection. Premièrement, un comité éditorial permanent doit être constitué, composé d'au moins cinq membres (un pharmacologue clinicien, un spécialiste hospitalo-universitaire, un pharmacien d'officine, un toxicologue clinicien, un représentant des autorités sanitaires algériennes). Ce comité se réunira trimestriellement pour valider les mises à jour et arbitrer les choix éditoriaux. Deuxièmement, une mise à jour annuelle synchronisée avec la publication de la nouvelle nomenclature algérienne doit être inscrite dans le calendrier éditorial, avec un délai de trois mois pour la mise à jour complète des fascicules. Troisièmement, une veille réglementaire continue doit être mise en place pour détecter en temps réel les retraits, les non-renouvellements et les ajouts de DCI dans la nomenclature, et pour signaler ces évolutions au comité éditorial afin d'anticiper les mises à jour. Ces recommandations de gouvernance constituent un préalable à la publication officielle de la collection.</w:t>
      </w:r>
    </w:p>
    <w:p>
      <w:pPr>
        <w:pStyle w:val="Heading3"/>
        <w:spacing w:before="200" w:after="120" w:line="276" w:lineRule="auto"/>
      </w:pPr>
      <w:r>
        <w:rPr>
          <w:rFonts w:ascii="Times New Roman" w:hAnsi="Times New Roman"/>
          <w:b/>
          <w:color w:val="333333"/>
          <w:sz w:val="24"/>
        </w:rPr>
        <w:t>12.4 Validation finale</w:t>
      </w:r>
    </w:p>
    <w:p>
      <w:pPr>
        <w:spacing w:after="160" w:line="360" w:lineRule="auto"/>
        <w:ind w:firstLine="0"/>
        <w:jc w:val="both"/>
      </w:pPr>
      <w:r>
        <w:rPr>
          <w:rFonts w:ascii="Times New Roman" w:hAnsi="Times New Roman"/>
          <w:sz w:val="24"/>
        </w:rPr>
        <w:t>Le présent rapport d'audit est soumis pour validation finale au comité éditorial de la collection de pharmacologie clinique algérienne. Il conclut à la conformité de la collection aux standards d'exhaustivité après finalisation des quatre fascicules complémentaires, et formule un plan d'action détaillé pour atteindre cet objectif. Le comité éditorial est invité à valider formellement les recommandations formulées dans le présent rapport, à autoriser la production des quatre fascicules complémentaires selon le chronogramme proposé, et à inscrire la gouvernance éditoriale permanente dans le règlement intérieur de la collection. La validation finale du présent rapport clôturera la phase d'audit et ouvrira la phase de finalisation opérationnelle de la collection.</w:t>
      </w:r>
    </w:p>
    <w:p>
      <w:pPr>
        <w:spacing w:after="160" w:line="360" w:lineRule="auto"/>
        <w:ind w:firstLine="0"/>
        <w:jc w:val="both"/>
      </w:pPr>
      <w:r>
        <w:rPr>
          <w:rFonts w:ascii="Times New Roman" w:hAnsi="Times New Roman"/>
          <w:b/>
          <w:sz w:val="24"/>
        </w:rPr>
        <w:t>Fin du rapport d'audit.</w:t>
      </w:r>
    </w:p>
    <w:p>
      <w:pPr>
        <w:spacing w:after="160" w:line="360" w:lineRule="auto"/>
        <w:ind w:firstLine="0"/>
        <w:jc w:val="both"/>
      </w:pPr>
      <w:r>
        <w:rPr>
          <w:rFonts w:ascii="Times New Roman" w:hAnsi="Times New Roman"/>
          <w:b/>
          <w:sz w:val="24"/>
        </w:rPr>
        <w:t>Document élaboré le 28 août 2026 — Version v1 — Comité éditorial de la collection de pharmacologie clinique algérienne.</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55555"/>
        <w:sz w:val="18"/>
      </w:rPr>
      <w:t>Rapport d'Audit — Vérification d'Exhaustivité de la Collection de Pharmacologie Clinique Algérienne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