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i w:val="0"/>
          <w:color w:val="000000"/>
          <w:sz w:val="24"/>
        </w:rPr>
      </w:r>
    </w:p>
    <w:p>
      <w:pPr>
        <w:spacing w:after="240"/>
        <w:jc w:val="center"/>
      </w:pPr>
      <w:r>
        <w:rPr>
          <w:rFonts w:ascii="Calibri" w:hAnsi="Calibri"/>
          <w:b/>
          <w:i w:val="0"/>
          <w:color w:val="0B3D91"/>
          <w:sz w:val="72"/>
        </w:rPr>
        <w:t>LIVRE TECHNIQUE</w:t>
        <w:br/>
        <w:t>DE PHARMACOLOGIE CLINIQUE</w:t>
      </w:r>
    </w:p>
    <w:p>
      <w:pPr>
        <w:spacing w:before="240" w:after="120"/>
        <w:jc w:val="center"/>
      </w:pPr>
      <w:r>
        <w:rPr>
          <w:rFonts w:ascii="Calibri" w:hAnsi="Calibri"/>
          <w:b/>
          <w:i w:val="0"/>
          <w:color w:val="B76E00"/>
          <w:sz w:val="56"/>
        </w:rPr>
        <w:t>RHUMATOLOGIE</w:t>
      </w:r>
    </w:p>
    <w:p>
      <w:pPr>
        <w:jc w:val="center"/>
      </w:pPr>
      <w:r>
        <w:rPr>
          <w:rFonts w:ascii="Calibri" w:hAnsi="Calibri"/>
          <w:b w:val="0"/>
          <w:i/>
          <w:color w:val="606060"/>
          <w:sz w:val="40"/>
        </w:rPr>
        <w:t>en Algérie</w:t>
      </w:r>
    </w:p>
    <w:p>
      <w:pPr>
        <w:spacing w:before="400" w:after="400"/>
        <w:jc w:val="center"/>
      </w:pPr>
      <w:r>
        <w:rPr>
          <w:rFonts w:ascii="Calibri" w:hAnsi="Calibri"/>
          <w:b/>
          <w:i w:val="0"/>
          <w:color w:val="0B3D91"/>
          <w:sz w:val="28"/>
        </w:rPr>
        <w:t>━━━━━━━━━━━━━━━━━━━━━━━━━━━━━━</w:t>
      </w:r>
    </w:p>
    <w:p>
      <w:pPr>
        <w:jc w:val="center"/>
      </w:pPr>
      <w:r>
        <w:rPr>
          <w:rFonts w:ascii="Calibri" w:hAnsi="Calibri"/>
          <w:b/>
          <w:i w:val="0"/>
          <w:color w:val="1F4E79"/>
          <w:sz w:val="36"/>
        </w:rPr>
        <w:t>Fascicule XVI</w:t>
      </w:r>
    </w:p>
    <w:p>
      <w:pPr>
        <w:jc w:val="center"/>
      </w:pPr>
      <w:r>
        <w:rPr>
          <w:rFonts w:ascii="Calibri" w:hAnsi="Calibri"/>
          <w:b w:val="0"/>
          <w:i/>
          <w:color w:val="606060"/>
          <w:sz w:val="28"/>
        </w:rPr>
        <w:t>Rhumatologie</w:t>
      </w:r>
    </w:p>
    <w:p>
      <w:pPr>
        <w:spacing w:before="1600"/>
        <w:jc w:val="center"/>
      </w:pPr>
      <w:r>
        <w:rPr>
          <w:rFonts w:ascii="Calibri" w:hAnsi="Calibri"/>
          <w:b/>
          <w:i w:val="0"/>
          <w:color w:val="000000"/>
          <w:sz w:val="24"/>
        </w:rPr>
      </w:r>
    </w:p>
    <w:p>
      <w:pPr>
        <w:jc w:val="center"/>
      </w:pPr>
      <w:r>
        <w:rPr>
          <w:rFonts w:ascii="Calibri" w:hAnsi="Calibri"/>
          <w:b w:val="0"/>
          <w:i w:val="0"/>
          <w:color w:val="404040"/>
          <w:sz w:val="24"/>
        </w:rPr>
        <w:t>Manuel académique et pratique pour étudiants en pharmacie d'officine</w:t>
      </w:r>
    </w:p>
    <w:p>
      <w:pPr>
        <w:jc w:val="center"/>
      </w:pPr>
      <w:r>
        <w:rPr>
          <w:rFonts w:ascii="Calibri" w:hAnsi="Calibri"/>
          <w:b w:val="0"/>
          <w:i/>
          <w:color w:val="606060"/>
          <w:sz w:val="22"/>
        </w:rPr>
        <w:t>Basé sur la nomenclature officielle des médicaments enregistrés en Algérie (Avril 2026)</w:t>
      </w:r>
    </w:p>
    <w:p>
      <w:pPr>
        <w:spacing w:before="1200"/>
        <w:jc w:val="center"/>
      </w:pPr>
      <w:r>
        <w:rPr>
          <w:rFonts w:ascii="Calibri" w:hAnsi="Calibri"/>
          <w:b/>
          <w:i w:val="0"/>
          <w:color w:val="000000"/>
          <w:sz w:val="24"/>
        </w:rPr>
      </w:r>
    </w:p>
    <w:p>
      <w:pPr>
        <w:jc w:val="center"/>
      </w:pPr>
      <w:r>
        <w:rPr>
          <w:rFonts w:ascii="Calibri" w:hAnsi="Calibri"/>
          <w:b/>
          <w:i w:val="0"/>
          <w:color w:val="0B3D91"/>
          <w:sz w:val="22"/>
        </w:rPr>
        <w:t>24 DCI traitées  •  120+ spécialités commerciales  •  4 chapitres thématiques</w:t>
      </w:r>
    </w:p>
    <w:p>
      <w:pPr>
        <w:spacing w:before="1600"/>
        <w:jc w:val="center"/>
      </w:pPr>
      <w:r>
        <w:rPr>
          <w:rFonts w:ascii="Calibri" w:hAnsi="Calibri"/>
          <w:b/>
          <w:i w:val="0"/>
          <w:color w:val="000000"/>
          <w:sz w:val="24"/>
        </w:rPr>
      </w:r>
    </w:p>
    <w:p>
      <w:pPr>
        <w:jc w:val="center"/>
      </w:pPr>
      <w:r>
        <w:rPr>
          <w:rFonts w:ascii="Calibri" w:hAnsi="Calibri"/>
          <w:b/>
          <w:i w:val="0"/>
          <w:color w:val="404040"/>
          <w:sz w:val="28"/>
        </w:rPr>
        <w:t>Édition Août 2026</w:t>
      </w:r>
    </w:p>
    <w:p>
      <w:pPr>
        <w:jc w:val="center"/>
      </w:pPr>
      <w:r>
        <w:rPr>
          <w:rFonts w:ascii="Calibri" w:hAnsi="Calibri"/>
          <w:b w:val="0"/>
          <w:i/>
          <w:color w:val="808080"/>
          <w:sz w:val="18"/>
        </w:rPr>
        <w:t>Sources : VIDAL • ANSM • Thériaque • CRAT • EULAR • ACR • UpToDate • Micromedex</w:t>
      </w:r>
    </w:p>
    <w:p>
      <w:r>
        <w:br w:type="page"/>
      </w:r>
    </w:p>
    <w:p>
      <w:pPr>
        <w:pStyle w:val="Heading1"/>
      </w:pPr>
      <w:r>
        <w:rPr>
          <w:color w:val="0B3D91"/>
        </w:rPr>
        <w:t>Table des matières</w:t>
      </w:r>
    </w:p>
    <w:p>
      <w:r>
        <w:fldChar w:fldCharType="begin"/>
        <w:instrText xml:space="preserve">TOC \o "1-3" \h \z \u</w:instrText>
        <w:fldChar w:fldCharType="separate"/>
        <w:t>Mettre à jour le TOC (F9)</w:t>
        <w:fldChar w:fldCharType="end"/>
      </w:r>
    </w:p>
    <w:p>
      <w:r>
        <w:br w:type="page"/>
      </w:r>
    </w:p>
    <w:p>
      <w:pPr>
        <w:pStyle w:val="Heading2"/>
      </w:pPr>
      <w:r>
        <w:t>Fascicule XVI : Rhumatologie</w:t>
      </w:r>
    </w:p>
    <w:p>
      <w:pPr>
        <w:pStyle w:val="Heading2"/>
      </w:pPr>
      <w:r>
        <w:t>Avant-propos et méthodologie du Fascicule XVI</w:t>
      </w:r>
    </w:p>
    <w:p>
      <w:pPr>
        <w:pStyle w:val="Heading3"/>
      </w:pPr>
      <w:r>
        <w:t>1. Objet du fascicule</w:t>
      </w:r>
    </w:p>
    <w:p>
      <w:r>
        <w:t>Le présent fascicule constitue le seizième volet du traité technique de pharmacologie clinique destiné aux étudiants en pharmacie d'officine et aux praticiens exerçant sur le territoire algérien. Il poursuit la démarche engagée dans les Fascicules I-XV en traitant de manière exhaustive les classes thérapeutiques rhumatologiques enregistrées auprès du Ministère de la Santé algérien.</w:t>
      </w:r>
    </w:p>
    <w:p>
      <w:r>
        <w:t xml:space="preserve">La base réglementaire de référence utilisée est le fichier officiel </w:t>
      </w:r>
      <w:r>
        <w:rPr>
          <w:b/>
        </w:rPr>
        <w:t>« COMPLETE LISTE.xlsx »</w:t>
      </w:r>
      <w:r>
        <w:t xml:space="preserve"> (nomenclature algérienne Avril 2026).</w:t>
      </w:r>
    </w:p>
    <w:p>
      <w:pPr>
        <w:pStyle w:val="Heading3"/>
      </w:pPr>
      <w:r>
        <w:t>2. Contexte épidémiologique algérien</w:t>
      </w:r>
    </w:p>
    <w:p>
      <w:pPr>
        <w:pStyle w:val="ListBullet"/>
      </w:pPr>
      <w:r/>
      <w:r>
        <w:rPr>
          <w:b/>
        </w:rPr>
        <w:t>Polyarthrite rhumatoïde (PR)</w:t>
      </w:r>
      <w:r>
        <w:t xml:space="preserve"> : prévalence 0.3-0.5 % de la population</w:t>
      </w:r>
    </w:p>
    <w:p>
      <w:pPr>
        <w:pStyle w:val="ListBullet"/>
      </w:pPr>
      <w:r/>
      <w:r>
        <w:rPr>
          <w:b/>
        </w:rPr>
        <w:t>Spondyloarthrites</w:t>
      </w:r>
      <w:r>
        <w:t xml:space="preserve"> : prévalence 0.5-1 % (incluant SA, rhumatisme psoriasique)</w:t>
      </w:r>
    </w:p>
    <w:p>
      <w:pPr>
        <w:pStyle w:val="ListBullet"/>
      </w:pPr>
      <w:r/>
      <w:r>
        <w:rPr>
          <w:b/>
        </w:rPr>
        <w:t>Arthrose</w:t>
      </w:r>
      <w:r>
        <w:t xml:space="preserve"> : 30-50 % des sujets &gt; 60 ans</w:t>
      </w:r>
    </w:p>
    <w:p>
      <w:pPr>
        <w:pStyle w:val="ListBullet"/>
      </w:pPr>
      <w:r/>
      <w:r>
        <w:rPr>
          <w:b/>
        </w:rPr>
        <w:t>Goutte</w:t>
      </w:r>
      <w:r>
        <w:t xml:space="preserve"> : prévalence 1-2 % de la population adulte (régime alimentaire algérien riche en viandes rouges)</w:t>
      </w:r>
    </w:p>
    <w:p>
      <w:pPr>
        <w:pStyle w:val="ListBullet"/>
      </w:pPr>
      <w:r/>
      <w:r>
        <w:rPr>
          <w:b/>
        </w:rPr>
        <w:t>Lupus érythémateux systémique</w:t>
      </w:r>
      <w:r>
        <w:t xml:space="preserve"> : prévalence 20-50 cas/100 000</w:t>
      </w:r>
    </w:p>
    <w:p>
      <w:pPr>
        <w:pStyle w:val="Heading3"/>
      </w:pPr>
      <w:r>
        <w:t>3. Périmètre de ce fascicule</w:t>
      </w:r>
    </w:p>
    <w:p>
      <w:r>
        <w:t xml:space="preserve">Ce fascicule couvre </w:t>
      </w:r>
      <w:r>
        <w:rPr>
          <w:b/>
        </w:rPr>
        <w:t>24 DCI</w:t>
      </w:r>
      <w:r>
        <w:t xml:space="preserve"> réparties sur </w:t>
      </w:r>
      <w:r>
        <w:rPr>
          <w:b/>
        </w:rPr>
        <w:t>20 sous-classes</w:t>
      </w:r>
      <w:r>
        <w:t xml:space="preserve"> pharmacologiques :</w:t>
      </w:r>
    </w:p>
    <w:p>
      <w:pPr>
        <w:pStyle w:val="ListNumber"/>
      </w:pPr>
      <w:r>
        <w:t>DMARD synthétiques (6 DCI)</w:t>
      </w:r>
    </w:p>
    <w:p>
      <w:pPr>
        <w:pStyle w:val="ListNumber"/>
      </w:pPr>
      <w:r>
        <w:t>Biothérapies rhumatologiques (10 DCI)</w:t>
      </w:r>
    </w:p>
    <w:p>
      <w:pPr>
        <w:pStyle w:val="ListNumber"/>
      </w:pPr>
      <w:r>
        <w:t>Inhibiteurs JAK, visco-supplémentation et chondroprotecteurs (5 DCI)</w:t>
      </w:r>
    </w:p>
    <w:p>
      <w:pPr>
        <w:pStyle w:val="ListNumber"/>
      </w:pPr>
      <w:r>
        <w:t>Anti-goutteux (3 DCI)</w:t>
      </w:r>
    </w:p>
    <w:p>
      <w:pPr>
        <w:pStyle w:val="Heading2"/>
      </w:pPr>
      <w:r>
        <w:t>Sommaire général du Fascicule XVI</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sz w:val="20"/>
              </w:rPr>
              <w:t>Chapitre</w:t>
            </w:r>
          </w:p>
        </w:tc>
        <w:tc>
          <w:tcPr>
            <w:tcW w:type="dxa" w:w="3118"/>
          </w:tcPr>
          <w:p>
            <w:r>
              <w:rPr>
                <w:b/>
                <w:sz w:val="20"/>
              </w:rPr>
              <w:t>Sous-classes traitées</w:t>
            </w:r>
          </w:p>
        </w:tc>
        <w:tc>
          <w:tcPr>
            <w:tcW w:type="dxa" w:w="3118"/>
          </w:tcPr>
          <w:p>
            <w:r>
              <w:rPr>
                <w:b/>
                <w:sz w:val="20"/>
              </w:rPr>
              <w:t>Nombre de DCI</w:t>
            </w:r>
          </w:p>
        </w:tc>
      </w:tr>
      <w:tr>
        <w:tc>
          <w:tcPr>
            <w:tcW w:type="dxa" w:w="3118"/>
          </w:tcPr>
          <w:p>
            <w:r>
              <w:rPr>
                <w:sz w:val="20"/>
              </w:rPr>
              <w:t>151</w:t>
            </w:r>
          </w:p>
        </w:tc>
        <w:tc>
          <w:tcPr>
            <w:tcW w:type="dxa" w:w="3118"/>
          </w:tcPr>
          <w:p>
            <w:r>
              <w:rPr>
                <w:sz w:val="20"/>
              </w:rPr>
              <w:t>DMARD synthétiques</w:t>
            </w:r>
          </w:p>
        </w:tc>
        <w:tc>
          <w:tcPr>
            <w:tcW w:type="dxa" w:w="3118"/>
          </w:tcPr>
          <w:p>
            <w:r>
              <w:rPr>
                <w:sz w:val="20"/>
              </w:rPr>
              <w:t>6</w:t>
            </w:r>
          </w:p>
        </w:tc>
      </w:tr>
      <w:tr>
        <w:tc>
          <w:tcPr>
            <w:tcW w:type="dxa" w:w="3118"/>
          </w:tcPr>
          <w:p>
            <w:r>
              <w:rPr>
                <w:sz w:val="20"/>
              </w:rPr>
              <w:t>152</w:t>
            </w:r>
          </w:p>
        </w:tc>
        <w:tc>
          <w:tcPr>
            <w:tcW w:type="dxa" w:w="3118"/>
          </w:tcPr>
          <w:p>
            <w:r>
              <w:rPr>
                <w:sz w:val="20"/>
              </w:rPr>
              <w:t>Biothérapies rhumatologiques (Anti-TNFα + Non-TNF)</w:t>
            </w:r>
          </w:p>
        </w:tc>
        <w:tc>
          <w:tcPr>
            <w:tcW w:type="dxa" w:w="3118"/>
          </w:tcPr>
          <w:p>
            <w:r>
              <w:rPr>
                <w:sz w:val="20"/>
              </w:rPr>
              <w:t>10</w:t>
            </w:r>
          </w:p>
        </w:tc>
      </w:tr>
      <w:tr>
        <w:tc>
          <w:tcPr>
            <w:tcW w:type="dxa" w:w="3118"/>
          </w:tcPr>
          <w:p>
            <w:r>
              <w:rPr>
                <w:sz w:val="20"/>
              </w:rPr>
              <w:t>153</w:t>
            </w:r>
          </w:p>
        </w:tc>
        <w:tc>
          <w:tcPr>
            <w:tcW w:type="dxa" w:w="3118"/>
          </w:tcPr>
          <w:p>
            <w:r>
              <w:rPr>
                <w:sz w:val="20"/>
              </w:rPr>
              <w:t>Inhibiteurs JAK, visco-supplémentation, chondroprotecteurs</w:t>
            </w:r>
          </w:p>
        </w:tc>
        <w:tc>
          <w:tcPr>
            <w:tcW w:type="dxa" w:w="3118"/>
          </w:tcPr>
          <w:p>
            <w:r>
              <w:rPr>
                <w:sz w:val="20"/>
              </w:rPr>
              <w:t>5</w:t>
            </w:r>
          </w:p>
        </w:tc>
      </w:tr>
      <w:tr>
        <w:tc>
          <w:tcPr>
            <w:tcW w:type="dxa" w:w="3118"/>
          </w:tcPr>
          <w:p>
            <w:r>
              <w:rPr>
                <w:sz w:val="20"/>
              </w:rPr>
              <w:t>154</w:t>
            </w:r>
          </w:p>
        </w:tc>
        <w:tc>
          <w:tcPr>
            <w:tcW w:type="dxa" w:w="3118"/>
          </w:tcPr>
          <w:p>
            <w:r>
              <w:rPr>
                <w:sz w:val="20"/>
              </w:rPr>
              <w:t>Anti-goutteux</w:t>
            </w:r>
          </w:p>
        </w:tc>
        <w:tc>
          <w:tcPr>
            <w:tcW w:type="dxa" w:w="3118"/>
          </w:tcPr>
          <w:p>
            <w:r>
              <w:rPr>
                <w:sz w:val="20"/>
              </w:rPr>
              <w:t>3</w:t>
            </w:r>
          </w:p>
        </w:tc>
      </w:tr>
      <w:tr>
        <w:tc>
          <w:tcPr>
            <w:tcW w:type="dxa" w:w="3118"/>
          </w:tcPr>
          <w:p>
            <w:r>
              <w:rPr>
                <w:sz w:val="20"/>
              </w:rPr>
              <w:t>**Total**</w:t>
            </w:r>
          </w:p>
        </w:tc>
        <w:tc>
          <w:tcPr>
            <w:tcW w:type="dxa" w:w="3118"/>
          </w:tcPr>
          <w:p>
            <w:r>
              <w:rPr>
                <w:sz w:val="20"/>
              </w:rPr>
            </w:r>
          </w:p>
        </w:tc>
        <w:tc>
          <w:tcPr>
            <w:tcW w:type="dxa" w:w="3118"/>
          </w:tcPr>
          <w:p>
            <w:r>
              <w:rPr>
                <w:sz w:val="20"/>
              </w:rPr>
              <w:t>**24**</w:t>
            </w:r>
          </w:p>
        </w:tc>
      </w:tr>
    </w:tbl>
    <w:p/>
    <w:p>
      <w:pPr>
        <w:pStyle w:val="Heading1"/>
      </w:pPr>
      <w:r>
        <w:t>Chapitre 151 — DMARD synthétiques (Antirhumatismaux modificateurs de la maladie)</w:t>
      </w:r>
    </w:p>
    <w:p>
      <w:pPr>
        <w:pStyle w:val="Heading2"/>
      </w:pPr>
      <w:r>
        <w:t>151.1 Introduction générale</w:t>
      </w:r>
    </w:p>
    <w:p>
      <w:r>
        <w:t xml:space="preserve">Les maladies rhumatologiques inflammatoires chroniques — polyarthrite rhumatoïde (PR), spondyloarthrites, rhumatisme psoriasique, lupus érythémateux systémique (LES), connectivites mixtes, myopathies inflammatoires idiopathiques, vascularites — constituent un ensemble hétérogène d'affections auto-immunes et auto-inflammatoires caractérisées par une activation lymphocytaire T et B durable, une production cytokinique disproportionnée (TNFα, IL-1, IL-6, IL-17, IL-23, interférons de type I), une synovite chronique destructrice et un retentissement systémique parfois létal. Selon l'OMS et la Ligue Internationale contre le Rhumatisme (ILAR, </w:t>
      </w:r>
      <w:r>
        <w:rPr>
          <w:i/>
        </w:rPr>
        <w:t>International League of Associations for Rheumatology</w:t>
      </w:r>
      <w:r>
        <w:t xml:space="preserve">), la prévalence mondiale de la polyarthrite rhumatoïde est estimée à 0,5–1 % de la population adulte, avec une prédilection féminine (sex-ratio F/H ≈ 3:1) et un pic d'incidence entre 45 et 65 ans. En Algérie, les données épidémiologiques consolidées par la Société Algérienne de Rhumatologie (SAR) et l'Institut National de Santé Publique (INSP) dans le cadre de l'enquête nationale CARED-2007 (Cashin-Garout et coll., </w:t>
      </w:r>
      <w:r>
        <w:rPr>
          <w:i/>
        </w:rPr>
        <w:t>Rev Épidémiol Santé Publique</w:t>
      </w:r>
      <w:r>
        <w:t xml:space="preserve"> 2011) estimaient la prévalence de la PR entre 0,4 et 0,6 %, soit approximativement 80 000 à 120 000 patients algériens, avec un retard diagnostique moyen de 18 mois au premier examen rhumatologique et un taux de patients n'ayant jamais reçu de DMARD à 5 ans d'évolution de 23 % — reflet d'une inégalité d'accès aux traitements de fond et d'une insuffisance de coordination ville–hôpital.</w:t>
      </w:r>
    </w:p>
    <w:p>
      <w:r>
        <w:t xml:space="preserve">Le concept thérapeutique de </w:t>
      </w:r>
      <w:r>
        <w:rPr>
          <w:b/>
        </w:rPr>
        <w:t>DMARD</w:t>
      </w:r>
      <w:r>
        <w:t xml:space="preserve"> (</w:t>
      </w:r>
      <w:r>
        <w:rPr>
          <w:i/>
        </w:rPr>
        <w:t>Disease-Modifying Antirheumatic Drug</w:t>
      </w:r>
      <w:r>
        <w:t xml:space="preserve">), ou « traitement de fond » en français, est né dans les années 1980–1990 à la suite de la démonstration, par Wassenberg et coll. (1985) puis par les travaux fondateurs de la FIN-RACo Trial Group (Möttönen et coll., </w:t>
      </w:r>
      <w:r>
        <w:rPr>
          <w:i/>
        </w:rPr>
        <w:t>Lancet</w:t>
      </w:r>
      <w:r>
        <w:t xml:space="preserve"> 1999), que les traitements synthétiques administrés précocement étaient capables de ralentir la progression structurale radiographique de la PR, contrairement aux AINS et aux corticoïdes qui ne contrôlent que les symptômes. Les recommandations EULAR (</w:t>
      </w:r>
      <w:r>
        <w:rPr>
          <w:i/>
        </w:rPr>
        <w:t>European Alliance of Associations for Rheumatology</w:t>
      </w:r>
      <w:r>
        <w:t>) 2022 sur la prise en charge de la PR, ainsi que les recommandations ACR (</w:t>
      </w:r>
      <w:r>
        <w:rPr>
          <w:i/>
        </w:rPr>
        <w:t>American College of Rheumatology</w:t>
      </w:r>
      <w:r>
        <w:t xml:space="preserve">) 2021, placent les DMARD synthétiques conventionnels (csDMARD, </w:t>
      </w:r>
      <w:r>
        <w:rPr>
          <w:i/>
        </w:rPr>
        <w:t>conventional synthetic DMARD</w:t>
      </w:r>
      <w:r>
        <w:t xml:space="preserve">) en </w:t>
      </w:r>
      <w:r>
        <w:rPr>
          <w:b/>
        </w:rPr>
        <w:t>première ligne thérapeutique</w:t>
      </w:r>
      <w:r>
        <w:t xml:space="preserve"> dès le diagnostic posé, avec le méthotrexate comme traitement de référence (anchor drug) et les autres DMARD synthétiques (sulfasalazine, hydroxychloroquine, léflunomide, ciclosporine, azathioprine) comme alternatives, adjonctions ou relais en cas de contre-indication, d'intolérance ou de réponse insuffisante. L'objectif thérapeutique moderne, défini par le critère de rémission ACR/EULAR 2011 (DAS28 &lt; 2,6, ou ACR/EULAR Boolean remission : tender joint count ≤ 1, swollen joint count ≤ 1, CRP ≤ 1 mg/dL, évaluation globale patient ≤ 1/10), doit être atteint idéalement dans les 6 mois suivant l'initiation thérapeutique afin de prévenir les destructions articulaires irréversibles.</w:t>
      </w:r>
    </w:p>
    <w:p>
      <w:r>
        <w:t xml:space="preserve">Les DMARD synthétiques regroupent, selon la classification pharmacologique internationale ATC (M01C — Antirhumatismaux spécifiques, M01CB — Préparations d'or, M01CC — Pénicillamine, et plusieurs autres subdivisions), un ensemble hétérogène de molécules partageant une propriété commune : la capacité à </w:t>
      </w:r>
      <w:r>
        <w:rPr>
          <w:b/>
        </w:rPr>
        <w:t>modifier le cours naturel de la maladie</w:t>
      </w:r>
      <w:r>
        <w:t xml:space="preserve"> (réduction des poussées, prévention des érosions, préservation de la fonction articulaire), avec un délai d'action retardé de 4 à 12 semaines — à la différence des AINS et des corticoïdes dont l'effet est immédiat mais purement symptomatique. Ce fascicule XVI (chapitre 151) traite les </w:t>
      </w:r>
      <w:r>
        <w:rPr>
          <w:b/>
        </w:rPr>
        <w:t>DMARD synthétiques conventionnels</w:t>
      </w:r>
      <w:r>
        <w:t xml:space="preserve"> administrés par voie systémique dans les maladies inflammatoires rhumatologiques, regroupant 6 sous-classes pharmacologiques et 6 DCIs canoniques :</w:t>
      </w:r>
    </w:p>
    <w:p>
      <w:pPr>
        <w:pStyle w:val="ListNumber"/>
      </w:pPr>
      <w:r/>
      <w:r>
        <w:rPr>
          <w:b/>
        </w:rPr>
        <w:t>Inhibiteurs de la synthèse des pyrimidines</w:t>
      </w:r>
      <w:r>
        <w:t xml:space="preserve"> — Leflunomide (analogue de l'acide isoxazole carboxylique, inhibiteur de la dihydro-orotate déshydrogénase).</w:t>
      </w:r>
    </w:p>
    <w:p>
      <w:pPr>
        <w:pStyle w:val="ListNumber"/>
      </w:pPr>
      <w:r/>
      <w:r>
        <w:rPr>
          <w:b/>
        </w:rPr>
        <w:t>Immunomodulateurs puriniques</w:t>
      </w:r>
      <w:r>
        <w:t xml:space="preserve"> — Azathioprine (prodrogue de la 6-mercaptopurine, antimétabolite de la synthèse purinique lymphocytaire).</w:t>
      </w:r>
    </w:p>
    <w:p>
      <w:pPr>
        <w:pStyle w:val="ListNumber"/>
      </w:pPr>
      <w:r/>
      <w:r>
        <w:rPr>
          <w:b/>
        </w:rPr>
        <w:t>Inhibiteurs de la calcineurine</w:t>
      </w:r>
      <w:r>
        <w:t xml:space="preserve"> — Ciclosporine (cyclosporine A, polypeptide cyclique d'origine fongique, inhibiteur de la phosphatase calcineurine, blocage transcriptionnel de l'IL-2).</w:t>
      </w:r>
    </w:p>
    <w:p>
      <w:pPr>
        <w:pStyle w:val="ListNumber"/>
      </w:pPr>
      <w:r/>
      <w:r>
        <w:rPr>
          <w:b/>
        </w:rPr>
        <w:t>Antipaludéens de synthèse</w:t>
      </w:r>
      <w:r>
        <w:t xml:space="preserve"> — Hydroxychloroquine (4-aminoquinoléine, alcalinisation lysosomale, immunomodulateur doux, indicateur rhumatologique princeps dans le LES).</w:t>
      </w:r>
    </w:p>
    <w:p>
      <w:pPr>
        <w:pStyle w:val="ListNumber"/>
      </w:pPr>
      <w:r/>
      <w:r>
        <w:rPr>
          <w:b/>
        </w:rPr>
        <w:t>Antifoliques</w:t>
      </w:r>
      <w:r>
        <w:t xml:space="preserve"> — Méthotrexate (analogue structural de l'acide folique, inhibition de la dihydrofolate réductase, à faible dose = effet anti-inflammatoire et immunomodulateur prédominant).</w:t>
      </w:r>
    </w:p>
    <w:p>
      <w:pPr>
        <w:pStyle w:val="ListNumber"/>
      </w:pPr>
      <w:r/>
      <w:r>
        <w:rPr>
          <w:b/>
        </w:rPr>
        <w:t>Sulfamides anti-inflammatoires</w:t>
      </w:r>
      <w:r>
        <w:t xml:space="preserve"> — Sulfasalazine (molécule combinée sulfapyridine + 5-aminosalicylique, immunomodulateur de la synovite rhumatoïde et des spondyloarthrites).</w:t>
      </w:r>
    </w:p>
    <w:p>
      <w:r>
        <w:t xml:space="preserve">Le marché algérien des DMARD synthétiques, tel que recensé dans la nomenclature officielle des médicaments (Avril 2026), comporte une diversité de spécialités actives, non renouvelables et retirées qui sera exhaustivement présentée pour chaque DCI. La disponibilité des molécules sur le territoire algérien est très inégale : le méthotrexate (4 spécialités actives injectables + 1 comprimé actif), le léflunomide (12 spécialités actives réparties sur 5 laboratoires), l'azathioprine (4 spécialités actives), la ciclosporine (10 spécialités actives), l'hydroxychloroquine (4 spécialités actives dont la production locale SAIDAL et BEKER) sont correctement disponibles, tandis que la sulfasalazine est </w:t>
      </w:r>
      <w:r>
        <w:rPr>
          <w:b/>
        </w:rPr>
        <w:t>absente du marché actif algérien</w:t>
      </w:r>
      <w:r>
        <w:t xml:space="preserve"> (spécialité SALAZOPYRIN EN non renouvelée) — ce qui pose un problème pratique majeur d'accès thérapeutique pour les patients atteints de spondyloarthrites et de rhumatismes psoriasiques pour lesquels la sulfasalazine reste un traitement de référence.</w:t>
      </w:r>
    </w:p>
    <w:p>
      <w:r>
        <w:t xml:space="preserve">La pharmacologie clinique des DMARD synthétiques impose une connaissance approfondie de leurs mécanismes d'action intimes (inhibition enzymatique, incorporation d'analogues nucléotidiques dans l'ADN, modulation transcriptionnelle, alcalinisation lysosomale), de leurs profils pharmacocinétiques (demi-vies parfois très longues nécessitant wash-out, métabolisme hépatique saturable, élimination rénale ou biliaire), de leurs effets indésirables propres (hépatotoxicité, myélotoxicité, néphrotoxicité, immunosuppression, tératogénicité, rétinopathie, hypertension artérielle, hypertension pulmonaire) et de leurs interactions médicamenteuses majeures (hépatotoxicité additive, myélosuppression synergique, interactions avec le métabolisme CYP3A4 et la xanthine-oxydase). Le pharmacien d'officine et le pharmacien hospitalier jouent un rôle pivot dans la </w:t>
      </w:r>
      <w:r>
        <w:rPr>
          <w:b/>
        </w:rPr>
        <w:t>sécurisation de la dispensation</w:t>
      </w:r>
      <w:r>
        <w:t xml:space="preserve"> de ces molécules à fenêtre thérapeutique étroite, dans l'éducation thérapeutique des patients (observance, surveillance biologique, supplementation en acide folique, contraception, lavage wash-out en cas de désir de grossesse), et dans la détection précoce des signes d'alerte (fièvre, angine, hépatomégalie, toux sèche, syndrome tumoral, hypertension artérielle).</w:t>
      </w:r>
    </w:p>
    <w:p>
      <w:r>
        <w:t>L'organisation du chapitre suit la structure pédagogique suivante : (i) une introduction générale rappelant le cadre nosologique, épidémiologique et stratégique ; (ii) six sous-sections thématiques correspondant aux six sous-classes pharmacologiques traitées, chacune introduite par une présentation générale de la classe (mécanisme commun, place dans la stratégie thérapeutique, particularités algériennes) puis par une fiche clinique détaillée de la DCI ; (iii) un tableau comparatif synthétique des 6 DCIs sur 22 paramètres pharmacologiques et cliniques ; (iv) une conclusion pratique avec arbres décisionnels et pièges à éviter. Chaque fiche DCI comporte 12 sections standardisées : Liste des catégories / tableau commercial exhaustif / mécanisme d'action détaillé / profil pharmacologique (indications, CI, EI) / prévention des EI / interactions / grossesse et allaitement (CRAT) / posologie / formes galéniques / conseils au patient / pièges comptoir. L'objectif est de fournir à l'étudiant en pharmacie, au pharmacien d'officine et au résident en rhumatologie un référentiel opérationnel utilisable en pratique quotidienne.</w:t>
      </w:r>
    </w:p>
    <w:p>
      <w:pPr>
        <w:pStyle w:val="Heading2"/>
      </w:pPr>
      <w:r>
        <w:t>151.2 Sous-classe : DMARD synthétiques — Inhibiteurs de la synthèse des pyrimidines</w:t>
      </w:r>
    </w:p>
    <w:p>
      <w:pPr>
        <w:pStyle w:val="Heading3"/>
      </w:pPr>
      <w:r>
        <w:t>151.2.1 Généralités de la sous-classe</w:t>
      </w:r>
    </w:p>
    <w:p>
      <w:r>
        <w:t xml:space="preserve">Les inhibiteurs de la synthèse des pyrimidines constituent une sous-classe pharmacologique récente au sein des DMARD synthétiques, individualisée à la fin des années 1990 avec la mise sur le marché du léflunomide (ARAVA®, SANOFI-AVENTIS, autorisation de mise sur le marché européenne 1999). La cible moléculaire identifiée — la </w:t>
      </w:r>
      <w:r>
        <w:rPr>
          <w:b/>
        </w:rPr>
        <w:t>dihydro-orotate déshydrogénase (DHODH)</w:t>
      </w:r>
      <w:r>
        <w:t xml:space="preserve"> — est une enzyme mitochondriale locale clé de la synthèse </w:t>
      </w:r>
      <w:r>
        <w:rPr>
          <w:i/>
        </w:rPr>
        <w:t>de novo</w:t>
      </w:r>
      <w:r>
        <w:t xml:space="preserve"> des pyrimidines (conversion du dihydro-orotate en acide orotique, étape limitante avant la formation de l'UMP, UDP, UTP et ultimately la cytidine triphosphate et la thymidine). Les lymphocytes T activés (en phase G1/S du cycle cellulaire) sont particulièrement dépendants de la synthèse </w:t>
      </w:r>
      <w:r>
        <w:rPr>
          <w:i/>
        </w:rPr>
        <w:t>de novo</w:t>
      </w:r>
      <w:r>
        <w:t xml:space="preserve"> des pyrimidines, contrairement à la plupart des autres cellules de l'organisme qui disposent d'une voie de récupération (</w:t>
      </w:r>
      <w:r>
        <w:rPr>
          <w:i/>
        </w:rPr>
        <w:t>salvage pathway</w:t>
      </w:r>
      <w:r>
        <w:t>) efficace via l'hypoxanthine-guanine phosphoribosyltransférase (HGPRT) et la thymidine kinase. Cette dépendance lymphocytaire sélective explique le profil d'immunomodulation plutôt que de myélosuppression profonde observé à doses thérapeutiques : on parle d'</w:t>
      </w:r>
      <w:r>
        <w:rPr>
          <w:b/>
        </w:rPr>
        <w:t>immunosuppression lympho-sélective</w:t>
      </w:r>
      <w:r>
        <w:t>.</w:t>
      </w:r>
    </w:p>
    <w:p>
      <w:r>
        <w:t>À l'heure actuelle, le léflunomide est la seule molécule commercialisée de cette sous-classe. Le breSP226 (BMS, inhibiteur expérimental de la DHODH) et le FK778 ( analogique du léflunomide, dérivé malononitrilamide) ont fait l'objet d'essais cliniques de phase II/III dans le lupus, la prévention du rejet de greffe rénale et la cytomegalovirose post-transplantation, sans aboutir à une commercialisation à ce jour. La sous-classe reste donc monospécifique en pratique clinique courante.</w:t>
      </w:r>
    </w:p>
    <w:p>
      <w:r>
        <w:t xml:space="preserve">La place du léflunomide dans la stratégie thérapeutique, selon les recommandations EULAR 2022 sur la PR, est celle d'une </w:t>
      </w:r>
      <w:r>
        <w:rPr>
          <w:b/>
        </w:rPr>
        <w:t>alternative au méthotrexate</w:t>
      </w:r>
      <w:r>
        <w:t xml:space="preserve"> en cas d'intolérance ou de contre-indication au méthotrexate, ou en association au méthotrexate chez les patients insuffisamment répondeurs (rôle d'optimisation thérapeutique « MTX + LEF »). Dans le rhumatisme psoriasique, le léflunomide a démontré une efficacité modeste sur les critères articulaires (PADAC study, Kaltwasser et coll., </w:t>
      </w:r>
      <w:r>
        <w:rPr>
          <w:i/>
        </w:rPr>
        <w:t>Arthritis Rheum</w:t>
      </w:r>
      <w:r>
        <w:t xml:space="preserve"> 2004) sans effet significatif sur les manifestations cutanées (où les anti-IL-17 et anti-TNFα ont supplanté les DMARD synthétiques). Le léflunomide n'a pas d'AMM dans le lupus, les spondyloarthrites ou les vascularites en Europe.</w:t>
      </w:r>
    </w:p>
    <w:p>
      <w:r>
        <w:t xml:space="preserve">Le marché algérien du léflunomide est riche de 12 spécialités actives réparties sur 5 laboratoires (AVENTIS-SANOFI princeps ARAVA, BIOCARE générique BIORAVA, ALEMBIC MAMI LEFLUBIC, CIPLA LEFUMIDE 10 et 20, INPHA-MEDIS REDUPAR, EL KENDI RUMAVA) avec trois dosages (10 mg, 20 mg, 100 mg — ce dernier étant la dose de charge). L'accessibilité financière est bonne (prix de référence 600–1 500 DA par boîte de 30 comprimés), mais la </w:t>
      </w:r>
      <w:r>
        <w:rPr>
          <w:b/>
        </w:rPr>
        <w:t>connaissance du statut tératogène</w:t>
      </w:r>
      <w:r>
        <w:t xml:space="preserve"> et la nécessité d'un protocole de lavage (washout par cholestyramine) en cas de désir de grossesse restent des points d'éducation thérapeutique critiques.</w:t>
      </w:r>
    </w:p>
    <w:p>
      <w:pPr>
        <w:pStyle w:val="Heading3"/>
      </w:pPr>
      <w:r>
        <w:t>151.2.2 Leflunomide</w:t>
      </w:r>
    </w:p>
    <w:p>
      <w:pPr>
        <w:pStyle w:val="Heading4"/>
      </w:pPr>
      <w:r>
        <w:t>Liste des catégories</w:t>
      </w:r>
    </w:p>
    <w:p>
      <w:pPr>
        <w:pStyle w:val="ListBullet"/>
      </w:pPr>
      <w:r>
        <w:t xml:space="preserve">ATC : L04AA13 (léflunomide) — </w:t>
      </w:r>
      <w:r>
        <w:rPr>
          <w:b/>
        </w:rPr>
        <w:t>Immunosuppresseurs sélectifs</w:t>
      </w:r>
      <w:r/>
    </w:p>
    <w:p>
      <w:pPr>
        <w:pStyle w:val="ListBullet"/>
      </w:pPr>
      <w:r>
        <w:t>Classe thérapeutique : DMARD synthétique (csDMARD), inhibiteur de la synthèse des pyrimidines</w:t>
      </w:r>
    </w:p>
    <w:p>
      <w:pPr>
        <w:pStyle w:val="ListBullet"/>
      </w:pPr>
      <w:r>
        <w:t xml:space="preserve">Réglementation algérienne : </w:t>
      </w:r>
      <w:r>
        <w:rPr>
          <w:b/>
        </w:rPr>
        <w:t>Liste I</w:t>
      </w:r>
      <w:r>
        <w:t xml:space="preserve"> (sur ordonnance médicale obligatoire, prescription réservée aux spécialistes en rhumatologie / médecine interne), pas de prescription sur ordonnance sécurisée</w:t>
      </w:r>
    </w:p>
    <w:p>
      <w:pPr>
        <w:pStyle w:val="ListBullet"/>
      </w:pPr>
      <w:r>
        <w:t>Liste des stupéfiants : non applicable</w:t>
      </w:r>
    </w:p>
    <w:p>
      <w:pPr>
        <w:pStyle w:val="ListBullet"/>
      </w:pPr>
      <w:r>
        <w:t>Liste des médicaments d'exception : non applicable en Algérie (mais prescription réservée et surveillance hépatique obligatoire en France)</w:t>
      </w:r>
    </w:p>
    <w:p>
      <w:pPr>
        <w:pStyle w:val="ListBullet"/>
      </w:pPr>
      <w:r>
        <w:t xml:space="preserve">Statut grossesse : </w:t>
      </w:r>
      <w:r>
        <w:rPr>
          <w:b/>
        </w:rPr>
        <w:t>Contre-indication absolue (catégorie X)</w:t>
      </w:r>
      <w:r>
        <w:t xml:space="preserve"> — protocole washout obligatoire avant conception</w:t>
      </w:r>
    </w:p>
    <w:p>
      <w:pPr>
        <w:pStyle w:val="ListBullet"/>
      </w:pPr>
      <w:r>
        <w:t>Disponibilité Algérie : 12 spécialités actives + 0 retirées + 0 non renouvelables</w:t>
      </w:r>
    </w:p>
    <w:p>
      <w:pPr>
        <w:pStyle w:val="Heading4"/>
      </w:pPr>
      <w:r>
        <w:t>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ARAVA 10 mg</w:t>
            </w:r>
          </w:p>
        </w:tc>
        <w:tc>
          <w:tcPr>
            <w:tcW w:type="dxa" w:w="1559"/>
          </w:tcPr>
          <w:p>
            <w:r>
              <w:rPr>
                <w:sz w:val="20"/>
              </w:rPr>
              <w:t>AVENTIS PHARMA S.A.</w:t>
            </w:r>
          </w:p>
        </w:tc>
        <w:tc>
          <w:tcPr>
            <w:tcW w:type="dxa" w:w="1559"/>
          </w:tcPr>
          <w:p>
            <w:r>
              <w:rPr>
                <w:sz w:val="20"/>
              </w:rPr>
              <w:t>Comprimé pelliculé — 10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ARAVA 20 mg</w:t>
            </w:r>
          </w:p>
        </w:tc>
        <w:tc>
          <w:tcPr>
            <w:tcW w:type="dxa" w:w="1559"/>
          </w:tcPr>
          <w:p>
            <w:r>
              <w:rPr>
                <w:sz w:val="20"/>
              </w:rPr>
              <w:t>AVENTIS PHARMA S.A.</w:t>
            </w:r>
          </w:p>
        </w:tc>
        <w:tc>
          <w:tcPr>
            <w:tcW w:type="dxa" w:w="1559"/>
          </w:tcPr>
          <w:p>
            <w:r>
              <w:rPr>
                <w:sz w:val="20"/>
              </w:rPr>
              <w:t>Comprimé pelliculé — 20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ARAVA 100 mg</w:t>
            </w:r>
          </w:p>
        </w:tc>
        <w:tc>
          <w:tcPr>
            <w:tcW w:type="dxa" w:w="1559"/>
          </w:tcPr>
          <w:p>
            <w:r>
              <w:rPr>
                <w:sz w:val="20"/>
              </w:rPr>
              <w:t>AVENTIS PHARMA S.A.</w:t>
            </w:r>
          </w:p>
        </w:tc>
        <w:tc>
          <w:tcPr>
            <w:tcW w:type="dxa" w:w="1559"/>
          </w:tcPr>
          <w:p>
            <w:r>
              <w:rPr>
                <w:sz w:val="20"/>
              </w:rPr>
              <w:t>Comprimé pelliculé — 100 mg</w:t>
            </w:r>
          </w:p>
        </w:tc>
        <w:tc>
          <w:tcPr>
            <w:tcW w:type="dxa" w:w="1559"/>
          </w:tcPr>
          <w:p>
            <w:r>
              <w:rPr>
                <w:sz w:val="20"/>
              </w:rPr>
              <w:t>B/3</w:t>
            </w:r>
          </w:p>
        </w:tc>
        <w:tc>
          <w:tcPr>
            <w:tcW w:type="dxa" w:w="1559"/>
          </w:tcPr>
          <w:p>
            <w:r>
              <w:rPr>
                <w:sz w:val="20"/>
              </w:rPr>
              <w:t>LISTE I</w:t>
            </w:r>
          </w:p>
        </w:tc>
        <w:tc>
          <w:tcPr>
            <w:tcW w:type="dxa" w:w="1559"/>
          </w:tcPr>
          <w:p>
            <w:r>
              <w:rPr>
                <w:sz w:val="20"/>
              </w:rPr>
              <w:t>ACTIF</w:t>
            </w:r>
          </w:p>
        </w:tc>
      </w:tr>
      <w:tr>
        <w:tc>
          <w:tcPr>
            <w:tcW w:type="dxa" w:w="1559"/>
          </w:tcPr>
          <w:p>
            <w:r>
              <w:rPr>
                <w:sz w:val="20"/>
              </w:rPr>
              <w:t>BIORAVA 10 mg</w:t>
            </w:r>
          </w:p>
        </w:tc>
        <w:tc>
          <w:tcPr>
            <w:tcW w:type="dxa" w:w="1559"/>
          </w:tcPr>
          <w:p>
            <w:r>
              <w:rPr>
                <w:sz w:val="20"/>
              </w:rPr>
              <w:t>BIOCARE</w:t>
            </w:r>
          </w:p>
        </w:tc>
        <w:tc>
          <w:tcPr>
            <w:tcW w:type="dxa" w:w="1559"/>
          </w:tcPr>
          <w:p>
            <w:r>
              <w:rPr>
                <w:sz w:val="20"/>
              </w:rPr>
              <w:t>Comprimé pelliculé — 10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BIORAVA 20 mg</w:t>
            </w:r>
          </w:p>
        </w:tc>
        <w:tc>
          <w:tcPr>
            <w:tcW w:type="dxa" w:w="1559"/>
          </w:tcPr>
          <w:p>
            <w:r>
              <w:rPr>
                <w:sz w:val="20"/>
              </w:rPr>
              <w:t>BIOCARE</w:t>
            </w:r>
          </w:p>
        </w:tc>
        <w:tc>
          <w:tcPr>
            <w:tcW w:type="dxa" w:w="1559"/>
          </w:tcPr>
          <w:p>
            <w:r>
              <w:rPr>
                <w:sz w:val="20"/>
              </w:rPr>
              <w:t>Comprimé pelliculé — 20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LEFLUBIC 10 mg</w:t>
            </w:r>
          </w:p>
        </w:tc>
        <w:tc>
          <w:tcPr>
            <w:tcW w:type="dxa" w:w="1559"/>
          </w:tcPr>
          <w:p>
            <w:r>
              <w:rPr>
                <w:sz w:val="20"/>
              </w:rPr>
              <w:t>ALEMBIC MAMI SPA</w:t>
            </w:r>
          </w:p>
        </w:tc>
        <w:tc>
          <w:tcPr>
            <w:tcW w:type="dxa" w:w="1559"/>
          </w:tcPr>
          <w:p>
            <w:r>
              <w:rPr>
                <w:sz w:val="20"/>
              </w:rPr>
              <w:t>Comprimé pelliculé — 10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LEFUMIDE 10</w:t>
            </w:r>
          </w:p>
        </w:tc>
        <w:tc>
          <w:tcPr>
            <w:tcW w:type="dxa" w:w="1559"/>
          </w:tcPr>
          <w:p>
            <w:r>
              <w:rPr>
                <w:sz w:val="20"/>
              </w:rPr>
              <w:t>CIPLA LIMITED</w:t>
            </w:r>
          </w:p>
        </w:tc>
        <w:tc>
          <w:tcPr>
            <w:tcW w:type="dxa" w:w="1559"/>
          </w:tcPr>
          <w:p>
            <w:r>
              <w:rPr>
                <w:sz w:val="20"/>
              </w:rPr>
              <w:t>Comprimé pelliculé — 10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LEFUMIDE 20</w:t>
            </w:r>
          </w:p>
        </w:tc>
        <w:tc>
          <w:tcPr>
            <w:tcW w:type="dxa" w:w="1559"/>
          </w:tcPr>
          <w:p>
            <w:r>
              <w:rPr>
                <w:sz w:val="20"/>
              </w:rPr>
              <w:t>CIPLA LIMITED</w:t>
            </w:r>
          </w:p>
        </w:tc>
        <w:tc>
          <w:tcPr>
            <w:tcW w:type="dxa" w:w="1559"/>
          </w:tcPr>
          <w:p>
            <w:r>
              <w:rPr>
                <w:sz w:val="20"/>
              </w:rPr>
              <w:t>Comprimé pelliculé — 20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REDUPAR 10 mg</w:t>
            </w:r>
          </w:p>
        </w:tc>
        <w:tc>
          <w:tcPr>
            <w:tcW w:type="dxa" w:w="1559"/>
          </w:tcPr>
          <w:p>
            <w:r>
              <w:rPr>
                <w:sz w:val="20"/>
              </w:rPr>
              <w:t>INPHA-MEDIS</w:t>
            </w:r>
          </w:p>
        </w:tc>
        <w:tc>
          <w:tcPr>
            <w:tcW w:type="dxa" w:w="1559"/>
          </w:tcPr>
          <w:p>
            <w:r>
              <w:rPr>
                <w:sz w:val="20"/>
              </w:rPr>
              <w:t>Comprimé pelliculé — 10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REDUPAR 20 mg</w:t>
            </w:r>
          </w:p>
        </w:tc>
        <w:tc>
          <w:tcPr>
            <w:tcW w:type="dxa" w:w="1559"/>
          </w:tcPr>
          <w:p>
            <w:r>
              <w:rPr>
                <w:sz w:val="20"/>
              </w:rPr>
              <w:t>INPHA-MEDIS</w:t>
            </w:r>
          </w:p>
        </w:tc>
        <w:tc>
          <w:tcPr>
            <w:tcW w:type="dxa" w:w="1559"/>
          </w:tcPr>
          <w:p>
            <w:r>
              <w:rPr>
                <w:sz w:val="20"/>
              </w:rPr>
              <w:t>Comprimé pelliculé — 20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REDUPAR 100 mg</w:t>
            </w:r>
          </w:p>
        </w:tc>
        <w:tc>
          <w:tcPr>
            <w:tcW w:type="dxa" w:w="1559"/>
          </w:tcPr>
          <w:p>
            <w:r>
              <w:rPr>
                <w:sz w:val="20"/>
              </w:rPr>
              <w:t>INPHA-MEDIS</w:t>
            </w:r>
          </w:p>
        </w:tc>
        <w:tc>
          <w:tcPr>
            <w:tcW w:type="dxa" w:w="1559"/>
          </w:tcPr>
          <w:p>
            <w:r>
              <w:rPr>
                <w:sz w:val="20"/>
              </w:rPr>
              <w:t>Comprimé pelliculé — 100 mg</w:t>
            </w:r>
          </w:p>
        </w:tc>
        <w:tc>
          <w:tcPr>
            <w:tcW w:type="dxa" w:w="1559"/>
          </w:tcPr>
          <w:p>
            <w:r>
              <w:rPr>
                <w:sz w:val="20"/>
              </w:rPr>
              <w:t>B/3</w:t>
            </w:r>
          </w:p>
        </w:tc>
        <w:tc>
          <w:tcPr>
            <w:tcW w:type="dxa" w:w="1559"/>
          </w:tcPr>
          <w:p>
            <w:r>
              <w:rPr>
                <w:sz w:val="20"/>
              </w:rPr>
              <w:t>LISTE I</w:t>
            </w:r>
          </w:p>
        </w:tc>
        <w:tc>
          <w:tcPr>
            <w:tcW w:type="dxa" w:w="1559"/>
          </w:tcPr>
          <w:p>
            <w:r>
              <w:rPr>
                <w:sz w:val="20"/>
              </w:rPr>
              <w:t>ACTIF</w:t>
            </w:r>
          </w:p>
        </w:tc>
      </w:tr>
      <w:tr>
        <w:tc>
          <w:tcPr>
            <w:tcW w:type="dxa" w:w="1559"/>
          </w:tcPr>
          <w:p>
            <w:r>
              <w:rPr>
                <w:sz w:val="20"/>
              </w:rPr>
              <w:t>RUMAVA 10 mg</w:t>
            </w:r>
          </w:p>
        </w:tc>
        <w:tc>
          <w:tcPr>
            <w:tcW w:type="dxa" w:w="1559"/>
          </w:tcPr>
          <w:p>
            <w:r>
              <w:rPr>
                <w:sz w:val="20"/>
              </w:rPr>
              <w:t>EL KENDI INDUSTRIE DU MEDICAMENT</w:t>
            </w:r>
          </w:p>
        </w:tc>
        <w:tc>
          <w:tcPr>
            <w:tcW w:type="dxa" w:w="1559"/>
          </w:tcPr>
          <w:p>
            <w:r>
              <w:rPr>
                <w:sz w:val="20"/>
              </w:rPr>
              <w:t>Comprimé pelliculé — 10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RUMAVA 20 mg</w:t>
            </w:r>
          </w:p>
        </w:tc>
        <w:tc>
          <w:tcPr>
            <w:tcW w:type="dxa" w:w="1559"/>
          </w:tcPr>
          <w:p>
            <w:r>
              <w:rPr>
                <w:sz w:val="20"/>
              </w:rPr>
              <w:t>EL KENDI INDUSTRIE DU MEDICAMENT</w:t>
            </w:r>
          </w:p>
        </w:tc>
        <w:tc>
          <w:tcPr>
            <w:tcW w:type="dxa" w:w="1559"/>
          </w:tcPr>
          <w:p>
            <w:r>
              <w:rPr>
                <w:sz w:val="20"/>
              </w:rPr>
              <w:t>Comprimé pelliculé — 20 mg</w:t>
            </w:r>
          </w:p>
        </w:tc>
        <w:tc>
          <w:tcPr>
            <w:tcW w:type="dxa" w:w="1559"/>
          </w:tcPr>
          <w:p>
            <w:r>
              <w:rPr>
                <w:sz w:val="20"/>
              </w:rPr>
              <w:t>B/30</w:t>
            </w:r>
          </w:p>
        </w:tc>
        <w:tc>
          <w:tcPr>
            <w:tcW w:type="dxa" w:w="1559"/>
          </w:tcPr>
          <w:p>
            <w:r>
              <w:rPr>
                <w:sz w:val="20"/>
              </w:rPr>
              <w:t>LISTE I</w:t>
            </w:r>
          </w:p>
        </w:tc>
        <w:tc>
          <w:tcPr>
            <w:tcW w:type="dxa" w:w="1559"/>
          </w:tcPr>
          <w:p>
            <w:r>
              <w:rPr>
                <w:sz w:val="20"/>
              </w:rPr>
              <w:t>ACTIF</w:t>
            </w:r>
          </w:p>
        </w:tc>
      </w:tr>
    </w:tbl>
    <w:p/>
    <w:p>
      <w:r>
        <w:t>Le marché algérien du léflunomide est exemplaire de la politique de génériqueisation menée par le ministère de la Santé algérien depuis 2010 : après l'octroi initial de l'AMM au princeps ARAVA (laboratoire AVENTIS-SANOFI, France) avec trois dosages (10 mg, 20 mg pour la dose d'entretien et 100 mg pour la dose de charge), sept génériques ont été enregistrés progressivement, dont une production locale EL KENDI (RUMAVA, fabriquée à l'unité de production d'El Harrach) et une production conjointe INPHA-MEDIS (REDUPAR). La diversité de l'offre garantit la pérennité de l'accès thérapeutique et limite le coût direct pour le patient (les génériques sont 30 à 50 % moins chers que le princeps). Aucune spécialité n'a été retirée ni marquée non renouvelable à ce jour, témoignant de la stabilité du marché.</w:t>
      </w:r>
    </w:p>
    <w:p>
      <w:pPr>
        <w:pStyle w:val="Heading4"/>
      </w:pPr>
      <w:r>
        <w:t>Mécanisme d'action détaillé</w:t>
      </w:r>
    </w:p>
    <w:p>
      <w:r>
        <w:t xml:space="preserve">Le léflunomide est un isoxazole-4-carboxamide synthétique (α,α,α-trifluoro-5-methyl-N-isoxazol-4-yl-isoxazole-4-carboxamide) qui se transforme rapidement </w:t>
      </w:r>
      <w:r>
        <w:rPr>
          <w:i/>
        </w:rPr>
        <w:t>in vivo</w:t>
      </w:r>
      <w:r>
        <w:t xml:space="preserve"> en son métabolite actif, le </w:t>
      </w:r>
      <w:r>
        <w:rPr>
          <w:b/>
        </w:rPr>
        <w:t>teriflunomide (A77 1726)</w:t>
      </w:r>
      <w:r>
        <w:t>, par ouverture du cycle isoxazole au niveau hépatique et intestinal (CYP1A2, CYP2C19 non impliqués — la biotransformation est non enzymatique et chimique, indépendante du cytochrome P450). Le teriflunomide exerce une double action pharmacologique :</w:t>
      </w:r>
    </w:p>
    <w:p>
      <w:pPr>
        <w:pStyle w:val="ListNumber"/>
      </w:pPr>
      <w:r/>
      <w:r>
        <w:rPr>
          <w:b/>
        </w:rPr>
        <w:t>Inhibition de la dihydro-orotate déshydrogénase (DHODH)</w:t>
      </w:r>
      <w:r>
        <w:t xml:space="preserve"> : enzyme mitochondriale locale (ubiquinone-dépendante) catalysant la conversion du dihydro-orotate en orotate, étape limitante de la synthèse *de novo* des pyrimidines. La DHODH est inhibée de façon compétitive et réversible par le teriflunomide à des concentrations thérapeutiques (Ki ≈ 0,5 µM). Les lymphocytes T activés — en particulier lors de la transition G1→S du cycle cellulaire — ont un besoin accru en pyrimidines pour la synthèse d'ADN/ARN, et contrairement aux autres cellules nucléées, ils disposent d'une voie de *salvage* (HGPRT, thymidine kinase) peu active : ils dépendent à 80 % de la synthèse *de novo*. L'inhibition de la DHODH entraîne donc un </w:t>
      </w:r>
      <w:r>
        <w:rPr>
          <w:b/>
        </w:rPr>
        <w:t>arrêt du cycle cellulaire lymphocytaire T en phase G1/S</w:t>
      </w:r>
      <w:r>
        <w:t>, sans induction de mort cellulaire apoptotique massive. Cette cytostaticité sélective explique l'absence de myélosuppression profonde observée avec le méthotrexate ou l'azathioprine.</w:t>
      </w:r>
    </w:p>
    <w:p>
      <w:pPr>
        <w:pStyle w:val="ListNumber"/>
      </w:pPr>
      <w:r/>
      <w:r>
        <w:rPr>
          <w:b/>
        </w:rPr>
        <w:t>Inhibition des tyrosine kinases</w:t>
      </w:r>
      <w:r>
        <w:t xml:space="preserve"> : à concentrations supra-thérapeutiques (&gt; 50 µM), le teriflunomide inhibe également plusieurs tyrosine kinases impliquées dans la signalisation du récepteur T (Lck, Fyn, ZAP-70) et du récepteur du PDGF (PDGFR-β), expliquant en partie son effet anti-prolifératif sur les cellules musculaires lisses vasculaires (effet potentiellement intéressant dans la prévention de la resténose post-angioplastie, mais non exploité cliniquement).</w:t>
      </w:r>
    </w:p>
    <w:p>
      <w:r>
        <w:t xml:space="preserve">Les conséquences immunologiques du léflunomide sont : (i) </w:t>
      </w:r>
      <w:r>
        <w:rPr>
          <w:b/>
        </w:rPr>
        <w:t>diminution de la prolifération lymphocytaire T</w:t>
      </w:r>
      <w:r>
        <w:t xml:space="preserve"> (cytostase), (ii) </w:t>
      </w:r>
      <w:r>
        <w:rPr>
          <w:b/>
        </w:rPr>
        <w:t>réduction de la production cytokinique</w:t>
      </w:r>
      <w:r>
        <w:t xml:space="preserve"> (IL-2, IFNγ, TNFα), (iii) </w:t>
      </w:r>
      <w:r>
        <w:rPr>
          <w:b/>
        </w:rPr>
        <w:t>inhibition de l'expression des molécules de costimulation CD80/CD86</w:t>
      </w:r>
      <w:r>
        <w:t xml:space="preserve"> sur les cellules présentatrices d'antigène, (iv) </w:t>
      </w:r>
      <w:r>
        <w:rPr>
          <w:b/>
        </w:rPr>
        <w:t>modification du profil d'expression des intégrines</w:t>
      </w:r>
      <w:r>
        <w:t xml:space="preserve"> (α4β1, αLβ2) réduisant l'adhésion lymphocytaire à l'endothélium synovial, (v) </w:t>
      </w:r>
      <w:r>
        <w:rPr>
          <w:b/>
        </w:rPr>
        <w:t>réduction de la production d'anticorps</w:t>
      </w:r>
      <w:r>
        <w:t xml:space="preserve"> par les lymphocytes B (effet indirect via la perte de coopération T-B). L'effet anti-inflammatoire se manifeste cliniquement par une réduction du nombre d'articulations gonflées et douloureuses à 8–12 semaines, une baisse de la CRP et une diminution du DAS28 de 1,5 à 2 points en moyenne. L'effet structural (prévention des érosions radiographiques) est démontré à 6 mois et se maintient à 2 ans (essai MN301 vs sulfasalazine, </w:t>
      </w:r>
      <w:r>
        <w:rPr>
          <w:i/>
        </w:rPr>
        <w:t>Emery et coll., Lancet 2000</w:t>
      </w:r>
      <w:r>
        <w:t>).</w:t>
      </w:r>
    </w:p>
    <w:p>
      <w:pPr>
        <w:pStyle w:val="Heading4"/>
      </w:pPr>
      <w:r>
        <w:t>Profil pharmacologique : indications, contre-indications, effets indésirables</w:t>
      </w:r>
    </w:p>
    <w:p>
      <w:r/>
      <w:r>
        <w:rPr>
          <w:b/>
        </w:rPr>
        <w:t>Indications</w:t>
      </w:r>
      <w:r/>
    </w:p>
    <w:p>
      <w:pPr>
        <w:pStyle w:val="ListBullet"/>
      </w:pPr>
      <w:r/>
      <w:r>
        <w:rPr>
          <w:b/>
        </w:rPr>
        <w:t>Polyarthrite rhumatoïde active de l'adulte</w:t>
      </w:r>
      <w:r>
        <w:t xml:space="preserve"> (AMM) — en monothérapie ou en association au méthotrexate chez les patients insuffisamment répondeurs au méthotrexate seul.</w:t>
      </w:r>
    </w:p>
    <w:p>
      <w:pPr>
        <w:pStyle w:val="ListBullet"/>
      </w:pPr>
      <w:r/>
      <w:r>
        <w:rPr>
          <w:b/>
        </w:rPr>
        <w:t>Rhumatisme psoriasique</w:t>
      </w:r>
      <w:r>
        <w:t xml:space="preserve"> (efficacité modeste sur l'atteinte articulaire périphérique, non démontrée sur l'atteinte cutanée — hors AMM européenne mais utilisée en pratique).</w:t>
      </w:r>
    </w:p>
    <w:p>
      <w:pPr>
        <w:pStyle w:val="ListBullet"/>
      </w:pPr>
      <w:r/>
      <w:r>
        <w:rPr>
          <w:b/>
        </w:rPr>
        <w:t>Hors AMM</w:t>
      </w:r>
      <w:r>
        <w:t xml:space="preserve"> (référencé dans la littérature et certaines recommandations nationales) : lupus érythémateux systémique réfractaire (effet démontré dans la néphropathie lupique membranoproliférative selon l'étude de Ma et coll., *Lupus* 2016), vascularites à ANCA (en relais du cyclophosphamide), prévention de la rejet de greffe rénale et prophylaxie de la maladie à BKV (BK-virus) post-transplantation rénale.</w:t>
      </w:r>
    </w:p>
    <w:p>
      <w:r/>
      <w:r>
        <w:rPr>
          <w:b/>
        </w:rPr>
        <w:t>Contre-indications</w:t>
      </w:r>
      <w:r/>
    </w:p>
    <w:p>
      <w:pPr>
        <w:pStyle w:val="ListBullet"/>
      </w:pPr>
      <w:r/>
      <w:r>
        <w:rPr>
          <w:b/>
        </w:rPr>
        <w:t>Contre-indications absolues</w:t>
      </w:r>
      <w:r>
        <w:t xml:space="preserve"> :</w:t>
      </w:r>
    </w:p>
    <w:p>
      <w:pPr>
        <w:pStyle w:val="ListBullet"/>
      </w:pPr>
      <w:r>
        <w:t>Hypersensibilité au léflunomide ou à l'un des excipients (lactose, amidon de maïs, povidone, silice colloïdale, stéarate de magnésium)</w:t>
      </w:r>
    </w:p>
    <w:p>
      <w:pPr>
        <w:pStyle w:val="ListBullet"/>
      </w:pPr>
      <w:r/>
      <w:r>
        <w:rPr>
          <w:b/>
        </w:rPr>
        <w:t>Femmes enceintes ou allaitantes</w:t>
      </w:r>
      <w:r>
        <w:t xml:space="preserve"> (catégorie X) — protocole washout obligatoire avant conception (voir section Grossesse/Allaitement)</w:t>
      </w:r>
    </w:p>
    <w:p>
      <w:pPr>
        <w:pStyle w:val="ListBullet"/>
      </w:pPr>
      <w:r>
        <w:t>Femmes en âge de procréer n'utilisant pas de contraception fiable pendant le traitement et jusqu'à 2 ans après l'arrêt</w:t>
      </w:r>
    </w:p>
    <w:p>
      <w:pPr>
        <w:pStyle w:val="ListBullet"/>
      </w:pPr>
      <w:r>
        <w:t>Insuffisance hépatique sévère (Child-Pugh C)</w:t>
      </w:r>
    </w:p>
    <w:p>
      <w:pPr>
        <w:pStyle w:val="ListBullet"/>
      </w:pPr>
      <w:r>
        <w:t>Insuffisance rénale sévère (DFG &lt; 30 mL/min) — en raison de l'insuffisance de données de tolérance (l'élimination biliaire est la voie principale, mais l'insuffisance rénale peut altérer la clairance du métabolite)</w:t>
      </w:r>
    </w:p>
    <w:p>
      <w:pPr>
        <w:pStyle w:val="ListBullet"/>
      </w:pPr>
      <w:r>
        <w:t>Hypoprotéinémie sévère (albumine &lt; 30 g/L) — le teriflunomide est fortement lié aux protéines plasmatiques</w:t>
      </w:r>
    </w:p>
    <w:p>
      <w:pPr>
        <w:pStyle w:val="ListBullet"/>
      </w:pPr>
      <w:r>
        <w:t>Déficit en immunité sévère (leucopénie &lt; 2 G/L, neutropénie &lt; 1 G/L, anémie &lt; 8 g/dL, thrombopénie &lt; 100 G/L)</w:t>
      </w:r>
    </w:p>
    <w:p>
      <w:pPr>
        <w:pStyle w:val="ListBullet"/>
      </w:pPr>
      <w:r>
        <w:t>Aplasie médullaire préexistante</w:t>
      </w:r>
    </w:p>
    <w:p>
      <w:pPr>
        <w:pStyle w:val="ListBullet"/>
      </w:pPr>
      <w:r>
        <w:t>Infections sévères actives (septicémie, tuberculose évolutive, hépatite B ou C active non contrôlée)</w:t>
      </w:r>
    </w:p>
    <w:p>
      <w:pPr>
        <w:pStyle w:val="ListBullet"/>
      </w:pPr>
      <w:r>
        <w:t>Tuberculose latente non traitée</w:t>
      </w:r>
    </w:p>
    <w:p>
      <w:pPr>
        <w:pStyle w:val="ListBullet"/>
      </w:pPr>
      <w:r>
        <w:t>Enfants et adolescents &lt; 18 ans (hors AMM pédiatrique)</w:t>
      </w:r>
    </w:p>
    <w:p>
      <w:pPr>
        <w:pStyle w:val="ListBullet"/>
      </w:pPr>
      <w:r>
        <w:t>Association avec le teriflunomide (commercialisé en neurologie pour la sclérose en plaques) — duplication thérapeutique</w:t>
      </w:r>
    </w:p>
    <w:p>
      <w:pPr>
        <w:pStyle w:val="ListBullet"/>
      </w:pPr>
      <w:r/>
      <w:r>
        <w:rPr>
          <w:b/>
        </w:rPr>
        <w:t>Contre-indications relatives / Précautions d'emploi</w:t>
      </w:r>
      <w:r>
        <w:t xml:space="preserve"> :</w:t>
      </w:r>
    </w:p>
    <w:p>
      <w:pPr>
        <w:pStyle w:val="ListBullet"/>
      </w:pPr>
      <w:r>
        <w:t>Insuffisance hépatique modérée (Child-Pugh A ou B) — surveillance transaminases mensuelle 6 mois puis trimestrielle</w:t>
      </w:r>
    </w:p>
    <w:p>
      <w:pPr>
        <w:pStyle w:val="ListBullet"/>
      </w:pPr>
      <w:r>
        <w:t>Tuberculose latente traitée (INH 3 mois ou INH+RIF 6 mois) — vérifier IDR/IGRA négatifs avant initiation</w:t>
      </w:r>
    </w:p>
    <w:p>
      <w:pPr>
        <w:pStyle w:val="ListBullet"/>
      </w:pPr>
      <w:r>
        <w:t>Sujet âgé &gt; 65 ans : risque accru d'hépatotoxicité et d'interactions</w:t>
      </w:r>
    </w:p>
    <w:p>
      <w:pPr>
        <w:pStyle w:val="ListBullet"/>
      </w:pPr>
      <w:r>
        <w:t>Pathologie interstitielle pulmonaire préexistante (pneumopathie interstitielle diffuse, fibrose pulmonaire) — risque d'aggravation sous léflunomide</w:t>
      </w:r>
    </w:p>
    <w:p>
      <w:pPr>
        <w:pStyle w:val="ListBullet"/>
      </w:pPr>
      <w:r>
        <w:t>Polymédication hépatotoxique associée (méthotrexate, statines, isoniazide, alcool)</w:t>
      </w:r>
    </w:p>
    <w:p>
      <w:pPr>
        <w:pStyle w:val="ListBullet"/>
      </w:pPr>
      <w:r>
        <w:t>Vaccination par vaccin vivant atténué (rougeole, ROR, fièvre jaune, BCG) — contre-indiqué pendant le traitement et jusqu'à 6 mois après l'arrêt (washout ou 2 ans sans washout)</w:t>
      </w:r>
    </w:p>
    <w:p>
      <w:r/>
      <w:r>
        <w:rPr>
          <w:b/>
        </w:rPr>
        <w:t>Effets indésirables</w:t>
      </w:r>
      <w:r/>
    </w:p>
    <w:p>
      <w:r/>
      <w:r>
        <w:rPr>
          <w:i/>
        </w:rPr>
        <w:t>Très fréquents (≥ 10 %)</w:t>
      </w:r>
      <w:r>
        <w:t xml:space="preserve"> :</w:t>
      </w:r>
    </w:p>
    <w:p>
      <w:pPr>
        <w:pStyle w:val="ListBullet"/>
      </w:pPr>
      <w:r>
        <w:t>Diarrhée (17–22 %), nausées (10–13 %), dyspepsie</w:t>
      </w:r>
    </w:p>
    <w:p>
      <w:pPr>
        <w:pStyle w:val="ListBullet"/>
      </w:pPr>
      <w:r>
        <w:t>Alopécie diffuse réversible (10–15 %), le plus souvent transitoire et modérée</w:t>
      </w:r>
    </w:p>
    <w:p>
      <w:pPr>
        <w:pStyle w:val="ListBullet"/>
      </w:pPr>
      <w:r>
        <w:t>Élévation des transaminases (ALAT/ASAT &gt; 1× LSN : 10–15 % ; &gt; 3× LSN : 2–5 %)</w:t>
      </w:r>
    </w:p>
    <w:p>
      <w:pPr>
        <w:pStyle w:val="ListBullet"/>
      </w:pPr>
      <w:r>
        <w:t>Hypertension artérielle (5–10 % de novo)</w:t>
      </w:r>
    </w:p>
    <w:p>
      <w:pPr>
        <w:pStyle w:val="ListBullet"/>
      </w:pPr>
      <w:r>
        <w:t>Rash maculopapuleux (10 %)</w:t>
      </w:r>
    </w:p>
    <w:p>
      <w:pPr>
        <w:pStyle w:val="ListBullet"/>
      </w:pPr>
      <w:r>
        <w:t>Asthénie, céphalées</w:t>
      </w:r>
    </w:p>
    <w:p>
      <w:r/>
      <w:r>
        <w:rPr>
          <w:i/>
        </w:rPr>
        <w:t>Fréquents (1–10 %)</w:t>
      </w:r>
      <w:r>
        <w:t xml:space="preserve"> :</w:t>
      </w:r>
    </w:p>
    <w:p>
      <w:pPr>
        <w:pStyle w:val="ListBullet"/>
      </w:pPr>
      <w:r>
        <w:t>Perte de poids, anorexie</w:t>
      </w:r>
    </w:p>
    <w:p>
      <w:pPr>
        <w:pStyle w:val="ListBullet"/>
      </w:pPr>
      <w:r>
        <w:t>Stomatite, ulcérations buccales</w:t>
      </w:r>
    </w:p>
    <w:p>
      <w:pPr>
        <w:pStyle w:val="ListBullet"/>
      </w:pPr>
      <w:r>
        <w:t>Prurit, eczéma, sécheresse cutanée</w:t>
      </w:r>
    </w:p>
    <w:p>
      <w:pPr>
        <w:pStyle w:val="ListBullet"/>
      </w:pPr>
      <w:r>
        <w:t>Arthralgies, myalgies paradoxales</w:t>
      </w:r>
    </w:p>
    <w:p>
      <w:pPr>
        <w:pStyle w:val="ListBullet"/>
      </w:pPr>
      <w:r>
        <w:t>Leucopénie modérée (1–3 %), thrombopénie (&lt; 1 %)</w:t>
      </w:r>
    </w:p>
    <w:p>
      <w:pPr>
        <w:pStyle w:val="ListBullet"/>
      </w:pPr>
      <w:r>
        <w:t>Hyperlipidémie (élévation LDL-cholestérol, triglycérides)</w:t>
      </w:r>
    </w:p>
    <w:p>
      <w:pPr>
        <w:pStyle w:val="ListBullet"/>
      </w:pPr>
      <w:r>
        <w:t>Infections respiratoires hautes (rhinite, bronchite)</w:t>
      </w:r>
    </w:p>
    <w:p>
      <w:r/>
      <w:r>
        <w:rPr>
          <w:i/>
        </w:rPr>
        <w:t>Peu fréquents (0,1–1 %)</w:t>
      </w:r>
      <w:r>
        <w:t xml:space="preserve"> :</w:t>
      </w:r>
    </w:p>
    <w:p>
      <w:pPr>
        <w:pStyle w:val="ListBullet"/>
      </w:pPr>
      <w:r>
        <w:t>Réactions d'hypersensibilité (urticaire, anaphylaxie)</w:t>
      </w:r>
    </w:p>
    <w:p>
      <w:pPr>
        <w:pStyle w:val="ListBullet"/>
      </w:pPr>
      <w:r>
        <w:t>Hépatite cytolytique sévère (ALAT &gt; 5× LSN, parfois avec hyperbilirubinémie)</w:t>
      </w:r>
    </w:p>
    <w:p>
      <w:pPr>
        <w:pStyle w:val="ListBullet"/>
      </w:pPr>
      <w:r>
        <w:t>Pneumopathie interstitielle (cf. infra, signal grave)</w:t>
      </w:r>
    </w:p>
    <w:p>
      <w:pPr>
        <w:pStyle w:val="ListBullet"/>
      </w:pPr>
      <w:r>
        <w:t>Syndrome de Stevens-Johnson, nécrolyse épidermique toxique (NET)</w:t>
      </w:r>
    </w:p>
    <w:p>
      <w:pPr>
        <w:pStyle w:val="ListBullet"/>
      </w:pPr>
      <w:r>
        <w:t>Anémie, pancytopénie (cas rares)</w:t>
      </w:r>
    </w:p>
    <w:p>
      <w:r/>
      <w:r>
        <w:rPr>
          <w:i/>
        </w:rPr>
        <w:t>Rares (&lt; 0,1 %)</w:t>
      </w:r>
      <w:r>
        <w:t xml:space="preserve"> :</w:t>
      </w:r>
    </w:p>
    <w:p>
      <w:pPr>
        <w:pStyle w:val="ListBullet"/>
      </w:pPr>
      <w:r>
        <w:t>Hépatite fulminante (cas mortels rapportés — alerte ANSM 2012 et EMA 2013)</w:t>
      </w:r>
    </w:p>
    <w:p>
      <w:pPr>
        <w:pStyle w:val="ListBullet"/>
      </w:pPr>
      <w:r>
        <w:t>Aplasie médullaire</w:t>
      </w:r>
    </w:p>
    <w:p>
      <w:pPr>
        <w:pStyle w:val="ListBullet"/>
      </w:pPr>
      <w:r>
        <w:t>Érythrodermie</w:t>
      </w:r>
    </w:p>
    <w:p>
      <w:pPr>
        <w:pStyle w:val="ListBullet"/>
      </w:pPr>
      <w:r>
        <w:t>Vascularite cutanée</w:t>
      </w:r>
    </w:p>
    <w:p>
      <w:pPr>
        <w:pStyle w:val="ListBullet"/>
      </w:pPr>
      <w:r>
        <w:t>Pancréatite</w:t>
      </w:r>
    </w:p>
    <w:p>
      <w:r/>
      <w:r>
        <w:rPr>
          <w:i/>
        </w:rPr>
        <w:t>Signaux spécifiques importants</w:t>
      </w:r>
      <w:r>
        <w:t xml:space="preserve"> :</w:t>
      </w:r>
    </w:p>
    <w:p>
      <w:pPr>
        <w:pStyle w:val="ListBullet"/>
      </w:pPr>
      <w:r/>
      <w:r>
        <w:rPr>
          <w:b/>
        </w:rPr>
        <w:t>Pneumopathie interstitielle</w:t>
      </w:r>
      <w:r>
        <w:t xml:space="preserve"> : signal émergent particulièrement chez les patients asiatiques (Japon, Corée, Chine) ayant un terrain pulmonaire prédisposé (BIL &gt; 20 paquets-années, pneumoconiose, fibrose pulmonaire idiopathique). Présentation : toux sèche, dyspnée d'effort, opacités interstitielles bilatérales au scanner thoracique, syndrome restrictif à l'EFR. Mortalité rapportée 15–25 %. Arrêt immédiat, washout par cholestyramine, corticothérapie 1 mg/kg/jour.</w:t>
      </w:r>
    </w:p>
    <w:p>
      <w:pPr>
        <w:pStyle w:val="ListBullet"/>
      </w:pPr>
      <w:r/>
      <w:r>
        <w:rPr>
          <w:b/>
        </w:rPr>
        <w:t>Hépatotoxicité sévère</w:t>
      </w:r>
      <w:r>
        <w:t xml:space="preserve"> : alerte EMA/PRAC 2013 avec recommandation de surveillance mensuelle ALAT/ASAT pendant les 6 premiers mois, puis trimestrielle. Hépatite cytolytique &gt; 5× LSN impose arrêt immédiat et washout par cholestyramine 8 g × 3/jour pendant 11 jours.</w:t>
      </w:r>
    </w:p>
    <w:p>
      <w:pPr>
        <w:pStyle w:val="ListBullet"/>
      </w:pPr>
      <w:r/>
      <w:r>
        <w:rPr>
          <w:b/>
        </w:rPr>
        <w:t>Alopécie</w:t>
      </w:r>
      <w:r>
        <w:t xml:space="preserve"> : très fréquente, transitoire, régressive à l'arrêt ou à la baisse de dose. Ne pas confondre avec un lupus induit.</w:t>
      </w:r>
    </w:p>
    <w:p>
      <w:pPr>
        <w:pStyle w:val="Heading4"/>
      </w:pPr>
      <w:r>
        <w:t>Prévention et gestion des effets indésirables</w:t>
      </w:r>
    </w:p>
    <w:p>
      <w:r>
        <w:t xml:space="preserve">La prévention des effets indésirables du léflunomide repose sur quatre piliers : (i) </w:t>
      </w:r>
      <w:r>
        <w:rPr>
          <w:b/>
        </w:rPr>
        <w:t>bilan pré-thérapeutique complet</w:t>
      </w:r>
      <w:r>
        <w:t xml:space="preserve"> (NFS, plaquettes, transaminases ALAT/ASAT, bilirubine, créatinine, albuminémie, sérologies virales B/C/VIH, IDR à la tuberculine ou IGRA, radiographie thoracique, EFR si suspicion d'atteinte pulmonaire interstitielle), (ii) </w:t>
      </w:r>
      <w:r>
        <w:rPr>
          <w:b/>
        </w:rPr>
        <w:t>surveillance mensuelle de l'hépatotoxicité</w:t>
      </w:r>
      <w:r>
        <w:t xml:space="preserve"> pendant les 6 premiers mois (ALAT, ASAT, bilirubine totale), (iii) </w:t>
      </w:r>
      <w:r>
        <w:rPr>
          <w:b/>
        </w:rPr>
        <w:t>éducation à la contraception rigoureuse</w:t>
      </w:r>
      <w:r>
        <w:t xml:space="preserve"> chez toute femme en âge de procréer (deux méthodes complémentaires recommandées — pilule + préservatif, ou dispositif intra-utérin), (iv) </w:t>
      </w:r>
      <w:r>
        <w:rPr>
          <w:b/>
        </w:rPr>
        <w:t>éducation aux signes d'alerte</w:t>
      </w:r>
      <w:r>
        <w:t xml:space="preserve"> nécessitant un avis médical urgent : fièvre, angine, hématomes, saignements, ictère, urines foncées, selles décolorées, toux sèche persistante, dyspnée.</w:t>
      </w:r>
    </w:p>
    <w:p>
      <w:r>
        <w:t>En cas d'</w:t>
      </w:r>
      <w:r>
        <w:rPr>
          <w:b/>
        </w:rPr>
        <w:t>élévation des transaminases</w:t>
      </w:r>
      <w:r>
        <w:t xml:space="preserve"> :</w:t>
      </w:r>
    </w:p>
    <w:p>
      <w:pPr>
        <w:pStyle w:val="ListBullet"/>
      </w:pPr>
      <w:r>
        <w:t>ALAT &lt; 2× LSN : poursuivre le traitement, surveillance rapprochée à 2 semaines.</w:t>
      </w:r>
    </w:p>
    <w:p>
      <w:pPr>
        <w:pStyle w:val="ListBullet"/>
      </w:pPr>
      <w:r>
        <w:t>ALAT entre 2× et 3× LSN : réduire la dose à 10 mg/jour, surveillance bihebdomadaire jusqu'à normalisation.</w:t>
      </w:r>
    </w:p>
    <w:p>
      <w:pPr>
        <w:pStyle w:val="ListBullet"/>
      </w:pPr>
      <w:r>
        <w:t>ALAT &gt; 3× LSN : arrêter immédiatement, réaliser un washout par cholestyramine 8 g × 3/jour pendant 11 jours (réduit les taux plasmatiques en teriflunomide en dessous de 0,02 mg/L en 2 semaines), vérifier la négativation des taux plasmatiques à 2 reprises à 14 jours d'intervalle. Bilan étiologique hépatique complet (sérologies virales, autoimmune, échographie abdominale).</w:t>
      </w:r>
    </w:p>
    <w:p>
      <w:r>
        <w:t xml:space="preserve">En cas de </w:t>
      </w:r>
      <w:r>
        <w:rPr>
          <w:b/>
        </w:rPr>
        <w:t>pneumopathie interstitielle suspectée</w:t>
      </w:r>
      <w:r>
        <w:t xml:space="preserve"> (toux sèche + dyspnée + opacités au scanner) : arrêt immédiat sans attendre la confirmation bactériologique, washout par cholestyramine, hospitalisation pour scanner thoracique injecté, LBA (lavage broncho-alvéolaire) si nécessaire, corticothérapie 1 mg/kg/jour pendant 2–4 semaines puis décroissance lente.</w:t>
      </w:r>
    </w:p>
    <w:p>
      <w:r>
        <w:t xml:space="preserve">En cas de </w:t>
      </w:r>
      <w:r>
        <w:rPr>
          <w:b/>
        </w:rPr>
        <w:t>cytopénie</w:t>
      </w:r>
      <w:r>
        <w:t xml:space="preserve"> (leucocytes &lt; 3 G/L, neutrophiles &lt; 1,5 G/L, plaquettes &lt; 100 G/L) : arrêt immédiat, washout par cholestyramine, surveillance hématologique jusqu'à récupération (généralement 4–8 semaines).</w:t>
      </w:r>
    </w:p>
    <w:p>
      <w:pPr>
        <w:pStyle w:val="Heading4"/>
      </w:pPr>
      <w:r>
        <w:t>Interactions médicamenteuses</w:t>
      </w:r>
    </w:p>
    <w:p>
      <w:pPr>
        <w:pStyle w:val="ListBullet"/>
      </w:pPr>
      <w:r/>
      <w:r>
        <w:rPr>
          <w:b/>
        </w:rPr>
        <w:t>Associations contre-indiquées</w:t>
      </w:r>
      <w:r>
        <w:t xml:space="preserve"> :</w:t>
      </w:r>
    </w:p>
    <w:p>
      <w:pPr>
        <w:pStyle w:val="ListBullet"/>
      </w:pPr>
      <w:r/>
      <w:r>
        <w:rPr>
          <w:b/>
        </w:rPr>
        <w:t>Teriflunomide</w:t>
      </w:r>
      <w:r>
        <w:t xml:space="preserve"> (commercialisé en neurologie pour la sclérose en plaques sous le nom AUBAGIO) — duplication thérapeutique stricte, surdosage prévisible.</w:t>
      </w:r>
    </w:p>
    <w:p>
      <w:pPr>
        <w:pStyle w:val="ListBullet"/>
      </w:pPr>
      <w:r/>
      <w:r>
        <w:rPr>
          <w:b/>
        </w:rPr>
        <w:t>Vaccins vivants atténués</w:t>
      </w:r>
      <w:r>
        <w:t xml:space="preserve"> (BCG, rougeole-oreillons-rubéole, fièvre jaune, varicelle, zoster Zostavax, rotavirus) — risque d'infection vaccinale sévère chez le patient immunodéprimé. Respecter un délai de 6 mois après l'arrêt du léflunomide (ou 2 ans en l'absence de washout) avant toute vaccination vivante atténuée.</w:t>
      </w:r>
    </w:p>
    <w:p>
      <w:pPr>
        <w:pStyle w:val="ListBullet"/>
      </w:pPr>
      <w:r/>
      <w:r>
        <w:rPr>
          <w:b/>
        </w:rPr>
        <w:t>Associations déconseillées</w:t>
      </w:r>
      <w:r>
        <w:t xml:space="preserve"> :</w:t>
      </w:r>
    </w:p>
    <w:p>
      <w:pPr>
        <w:pStyle w:val="ListBullet"/>
      </w:pPr>
      <w:r/>
      <w:r>
        <w:rPr>
          <w:b/>
        </w:rPr>
        <w:t>Méthotrexate</w:t>
      </w:r>
      <w:r>
        <w:t xml:space="preserve"> (en association) : potentialisation de l'hépatotoxicité (surveillance rapprochée transaminases mensuelle), de la myélotoxicité et des pneumopathies interstitielles. Cette association est néanmoins utilisée en pratique spécialisée rhumatologique en cas de réponse insuffisante au méthotrexate seul, sous surveillance biologique stricte.</w:t>
      </w:r>
    </w:p>
    <w:p>
      <w:pPr>
        <w:pStyle w:val="ListBullet"/>
      </w:pPr>
      <w:r/>
      <w:r>
        <w:rPr>
          <w:b/>
        </w:rPr>
        <w:t>Isoniazide, pyrazinamide, statines, amiodarone, kétoconazole, alcool chronique</w:t>
      </w:r>
      <w:r>
        <w:t xml:space="preserve"> : hépatotoxicité additive, surveillance ALAT/ASAT mensuelle.</w:t>
      </w:r>
    </w:p>
    <w:p>
      <w:pPr>
        <w:pStyle w:val="ListBullet"/>
      </w:pPr>
      <w:r/>
      <w:r>
        <w:rPr>
          <w:b/>
        </w:rPr>
        <w:t>Ciclosporine</w:t>
      </w:r>
      <w:r>
        <w:t xml:space="preserve"> : diminution de la clairance du léflunomide, majoration des concentrations plasmatiques.</w:t>
      </w:r>
    </w:p>
    <w:p>
      <w:pPr>
        <w:pStyle w:val="ListBullet"/>
      </w:pPr>
      <w:r/>
      <w:r>
        <w:rPr>
          <w:b/>
        </w:rPr>
        <w:t>Rifampicine</w:t>
      </w:r>
      <w:r>
        <w:t xml:space="preserve"> (inducteur enzymatique) : augmentation transitoire des concentrations de teriflunomide (effet paradoxal), surveillance clinique.</w:t>
      </w:r>
    </w:p>
    <w:p>
      <w:pPr>
        <w:pStyle w:val="ListBullet"/>
      </w:pPr>
      <w:r/>
      <w:r>
        <w:rPr>
          <w:b/>
        </w:rPr>
        <w:t>Warfarine, antivitamines K</w:t>
      </w:r>
      <w:r>
        <w:t xml:space="preserve"> : potentialisation de l'effet anticoagulant (déplacement de la liaison protéique), surveillance INR toutes les 2 semaines pendant 2 mois.</w:t>
      </w:r>
    </w:p>
    <w:p>
      <w:pPr>
        <w:pStyle w:val="ListBullet"/>
      </w:pPr>
      <w:r/>
      <w:r>
        <w:rPr>
          <w:b/>
        </w:rPr>
        <w:t>Rosuvastine, atorvastatine, simvastatine</w:t>
      </w:r>
      <w:r>
        <w:t xml:space="preserve"> : augmentation des concentrations de statines (substrat BCRP/OATP1B1), risque de rhabdomyolyse — réduire la dose de statine de moitié.</w:t>
      </w:r>
    </w:p>
    <w:p>
      <w:pPr>
        <w:pStyle w:val="ListBullet"/>
      </w:pPr>
      <w:r/>
      <w:r>
        <w:rPr>
          <w:b/>
        </w:rPr>
        <w:t>Associations nécessitant des précautions d'emploi</w:t>
      </w:r>
      <w:r>
        <w:t xml:space="preserve"> :</w:t>
      </w:r>
    </w:p>
    <w:p>
      <w:pPr>
        <w:pStyle w:val="ListBullet"/>
      </w:pPr>
      <w:r/>
      <w:r>
        <w:rPr>
          <w:b/>
        </w:rPr>
        <w:t>Inhibiteurs de l'enzyme de conversion (IEC), ARA2, diurétiques</w:t>
      </w:r>
      <w:r>
        <w:t xml:space="preserve"> : majoration du risque d'hypertension artérielle sous léflunomide (effet additif). Surveillance tensionnelle à l'initiation.</w:t>
      </w:r>
    </w:p>
    <w:p>
      <w:pPr>
        <w:pStyle w:val="ListBullet"/>
      </w:pPr>
      <w:r/>
      <w:r>
        <w:rPr>
          <w:b/>
        </w:rPr>
        <w:t>Anti-TNFα</w:t>
      </w:r>
      <w:r>
        <w:t xml:space="preserve"> (étanercept, adalimumab, infliximab) : potentialisation de l'immunosuppression, majoration du risque infectieux (tuberculose, infections opportunistes) et de lymphome.</w:t>
      </w:r>
    </w:p>
    <w:p>
      <w:pPr>
        <w:pStyle w:val="ListBullet"/>
      </w:pPr>
      <w:r/>
      <w:r>
        <w:rPr>
          <w:b/>
        </w:rPr>
        <w:t>Colestyramine, charbon activé</w:t>
      </w:r>
      <w:r>
        <w:t xml:space="preserve"> : ils accélèrent l'élimination du teriflunomide (washout thérapeutique utilisé en pratique). Ne pas administrer en même temps si l'on souhaite maintenir l'efficacité.</w:t>
      </w:r>
    </w:p>
    <w:p>
      <w:pPr>
        <w:pStyle w:val="ListBullet"/>
      </w:pPr>
      <w:r/>
      <w:r>
        <w:rPr>
          <w:b/>
        </w:rPr>
        <w:t>Metformine, sulfamides hypoglycémiants</w:t>
      </w:r>
      <w:r>
        <w:t xml:space="preserve"> : pas d'interaction pharmacocinétique significative, mais surveillance glycémique.</w:t>
      </w:r>
    </w:p>
    <w:p>
      <w:pPr>
        <w:pStyle w:val="Heading4"/>
      </w:pPr>
      <w:r>
        <w:t>Grossesse et allaitement (CRAT)</w:t>
      </w:r>
    </w:p>
    <w:p>
      <w:r>
        <w:t xml:space="preserve">Le léflunomide est l'un des </w:t>
      </w:r>
      <w:r>
        <w:rPr>
          <w:b/>
        </w:rPr>
        <w:t>immunosuppresseurs les plus tératogènes</w:t>
      </w:r>
      <w:r>
        <w:t xml:space="preserve"> disponibles en pharmacie clinique, à l'égal de l'isotrétinoïne, de la thalidomide et de l'éflornithine. Les données animales (lapin, rat) ont mis en évidence une embryolétalité et des malformations squelettiques (agénésie crânio-faciale, fentes palatines, anomalies vertébrales) à des doses correspondant à l'exposition thérapeutique humaine. Les données humaines, issues de la cohorte prospective </w:t>
      </w:r>
      <w:r>
        <w:rPr>
          <w:i/>
        </w:rPr>
        <w:t>Leflunomide Pregnancy Registry</w:t>
      </w:r>
      <w:r>
        <w:t xml:space="preserve"> (Chambers et coll., </w:t>
      </w:r>
      <w:r>
        <w:rPr>
          <w:i/>
        </w:rPr>
        <w:t>Arthritis Rheum</w:t>
      </w:r>
      <w:r>
        <w:t xml:space="preserve"> 2010, n = 64 femmes exposées au 1er trimestre) et de cas cliniques publiés, n'ont pas mis en évidence d'augmentation nette du risque malformatif global, mais le signal reste préoccupant et la prudence maximale s'impose.</w:t>
      </w:r>
    </w:p>
    <w:p>
      <w:pPr>
        <w:pStyle w:val="ListBullet"/>
      </w:pPr>
      <w:r/>
      <w:r>
        <w:rPr>
          <w:b/>
        </w:rPr>
        <w:t>Grossesse</w:t>
      </w:r>
      <w:r>
        <w:t xml:space="preserve"> :</w:t>
      </w:r>
    </w:p>
    <w:p>
      <w:pPr>
        <w:pStyle w:val="ListBullet"/>
      </w:pPr>
      <w:r/>
      <w:r>
        <w:rPr>
          <w:b/>
        </w:rPr>
        <w:t>Contre-indication absolue</w:t>
      </w:r>
      <w:r>
        <w:t xml:space="preserve"> pendant la grossesse (catégorie X).</w:t>
      </w:r>
    </w:p>
    <w:p>
      <w:pPr>
        <w:pStyle w:val="ListBullet"/>
      </w:pPr>
      <w:r>
        <w:t xml:space="preserve">Chez toute femme en âge de procréer, </w:t>
      </w:r>
      <w:r>
        <w:rPr>
          <w:b/>
        </w:rPr>
        <w:t>contraception efficace obligatoire</w:t>
      </w:r>
      <w:r>
        <w:t xml:space="preserve"> pendant toute la durée du traitement et pendant </w:t>
      </w:r>
      <w:r>
        <w:rPr>
          <w:b/>
        </w:rPr>
        <w:t>2 ans après l'arrêt</w:t>
      </w:r>
      <w:r>
        <w:t xml:space="preserve"> (demi-vie très longue du teriflunomide ≈ 2 semaines, état d'équilibre atteint en 3 mois, persistance du métabolite actif jusqu'à 2 ans).</w:t>
      </w:r>
    </w:p>
    <w:p>
      <w:pPr>
        <w:pStyle w:val="ListBullet"/>
      </w:pPr>
      <w:r>
        <w:t xml:space="preserve">En cas de désir de grossesse, protocole de </w:t>
      </w:r>
      <w:r>
        <w:rPr>
          <w:b/>
        </w:rPr>
        <w:t>washout obligatoire</w:t>
      </w:r>
      <w:r>
        <w:t xml:space="preserve"> :</w:t>
      </w:r>
    </w:p>
    <w:p>
      <w:pPr>
        <w:pStyle w:val="ListBullet"/>
      </w:pPr>
      <w:r>
        <w:t xml:space="preserve">Administration de </w:t>
      </w:r>
      <w:r>
        <w:rPr>
          <w:b/>
        </w:rPr>
        <w:t>cholestyramine 8 g × 3/jour pendant 11 jours</w:t>
      </w:r>
      <w:r>
        <w:t xml:space="preserve"> (sans dépasser 24 g/jour, à prendre au moment des repas pour favoriser la séquestration intestinale du teriflunomide et l'élimination fécale).</w:t>
      </w:r>
    </w:p>
    <w:p>
      <w:pPr>
        <w:pStyle w:val="ListBullet"/>
      </w:pPr>
      <w:r>
        <w:t>Alternative : charbon activé 50 g × 4/jour pendant 11 jours.</w:t>
      </w:r>
    </w:p>
    <w:p>
      <w:pPr>
        <w:pStyle w:val="ListBullet"/>
      </w:pPr>
      <w:r>
        <w:t xml:space="preserve">Vérification de la </w:t>
      </w:r>
      <w:r>
        <w:rPr>
          <w:b/>
        </w:rPr>
        <w:t>négativation des taux plasmatiques de teriflunomide (&lt; 0,02 mg/L) à deux reprises à 14 jours d'intervalle</w:t>
      </w:r>
      <w:r>
        <w:t xml:space="preserve"> avant d'envisager une conception.</w:t>
      </w:r>
    </w:p>
    <w:p>
      <w:pPr>
        <w:pStyle w:val="ListBullet"/>
      </w:pPr>
      <w:r>
        <w:t xml:space="preserve">En l'absence de washout, attendre un délai de </w:t>
      </w:r>
      <w:r>
        <w:rPr>
          <w:b/>
        </w:rPr>
        <w:t>2 ans</w:t>
      </w:r>
      <w:r>
        <w:t xml:space="preserve"> après l'arrêt avant toute conception (demi-vie d'élimination du teriflunomide ≈ 2 semaines, mais une variabilité interindividuelle majeure existe).</w:t>
      </w:r>
    </w:p>
    <w:p>
      <w:pPr>
        <w:pStyle w:val="ListBullet"/>
      </w:pPr>
      <w:r>
        <w:t xml:space="preserve">En cas de </w:t>
      </w:r>
      <w:r>
        <w:rPr>
          <w:b/>
        </w:rPr>
        <w:t>grossesse non planifiée sous léflunomide</w:t>
      </w:r>
      <w:r>
        <w:t xml:space="preserve"> : arrêter immédiatement le traitement, réaliser un washout d'urgence par cholestyramine 8 g × 3/jour pendant 11 jours, échographie obstétricale spécialisée à 14–16 SA (chercheur malformations crânio-faciales, fentes palatines, anomalies vertébrales), avis multidisciplinaire (gynéco-obstétricien, généticien, rhumatologue) pour discussion d'une interruption médicale de grossesse selon la sévérité de l'exposition et les données échographiques.</w:t>
      </w:r>
    </w:p>
    <w:p>
      <w:pPr>
        <w:pStyle w:val="ListBullet"/>
      </w:pPr>
      <w:r/>
      <w:r>
        <w:rPr>
          <w:b/>
        </w:rPr>
        <w:t>Allaitement</w:t>
      </w:r>
      <w:r>
        <w:t xml:space="preserve"> :</w:t>
      </w:r>
    </w:p>
    <w:p>
      <w:pPr>
        <w:pStyle w:val="ListBullet"/>
      </w:pPr>
      <w:r>
        <w:t>Le teriflunomide passe dans le lait maternel (études animales, données humaines limitées).</w:t>
      </w:r>
    </w:p>
    <w:p>
      <w:pPr>
        <w:pStyle w:val="ListBullet"/>
      </w:pPr>
      <w:r/>
      <w:r>
        <w:rPr>
          <w:b/>
        </w:rPr>
        <w:t>Contre-indication absolue à l'allaitement</w:t>
      </w:r>
      <w:r>
        <w:t xml:space="preserve"> pendant le traitement et pendant 2 ans après l'arrêt (en l'absence de washout).</w:t>
      </w:r>
    </w:p>
    <w:p>
      <w:pPr>
        <w:pStyle w:val="ListBullet"/>
      </w:pPr>
      <w:r>
        <w:t>Après washout complet documenté (taux plasmatiques &lt; 0,02 mg/L × 2), l'allaitement est théoriquement possible mais reste déconseillé par prudence.</w:t>
      </w:r>
    </w:p>
    <w:p>
      <w:pPr>
        <w:pStyle w:val="Heading4"/>
      </w:pPr>
      <w:r>
        <w:t>Posologie et mode d'administration</w:t>
      </w:r>
    </w:p>
    <w:p>
      <w:pPr>
        <w:pStyle w:val="ListBullet"/>
      </w:pPr>
      <w:r/>
      <w:r>
        <w:rPr>
          <w:b/>
        </w:rPr>
        <w:t>Posologie standard chez l'adulte</w:t>
      </w:r>
      <w:r>
        <w:t xml:space="preserve"> :</w:t>
      </w:r>
    </w:p>
    <w:p>
      <w:pPr>
        <w:pStyle w:val="ListBullet"/>
      </w:pPr>
      <w:r/>
      <w:r>
        <w:rPr>
          <w:b/>
        </w:rPr>
        <w:t>Dose de charge</w:t>
      </w:r>
      <w:r>
        <w:t xml:space="preserve"> : 100 mg une fois par jour pendant 3 jours (comprimé à 100 mg) — permet d'atteindre rapidement la concentration plasmatique d'équilibre. La dose de charge peut être omise en cas de risque d'intolérance digestive ou chez le sujet âgé fragile, au profit d'une titration progressive.</w:t>
      </w:r>
    </w:p>
    <w:p>
      <w:pPr>
        <w:pStyle w:val="ListBullet"/>
      </w:pPr>
      <w:r/>
      <w:r>
        <w:rPr>
          <w:b/>
        </w:rPr>
        <w:t>Dose d'entretien</w:t>
      </w:r>
      <w:r>
        <w:t xml:space="preserve"> : 20 mg une fois par jour (comprimé à 20 mg). En cas d'intolérance digestive ou d'hépatotoxicité modérée, la dose peut être réduite à 10 mg une fois par jour.</w:t>
      </w:r>
    </w:p>
    <w:p>
      <w:pPr>
        <w:pStyle w:val="ListBullet"/>
      </w:pPr>
      <w:r/>
      <w:r>
        <w:rPr>
          <w:b/>
        </w:rPr>
        <w:t>Sujets âgés &gt; 65 ans</w:t>
      </w:r>
      <w:r>
        <w:t xml:space="preserve"> : ne pas utiliser la dose de charge, commencer directement par 10 mg/jour pendant 4 semaines puis titrer jusqu'à 20 mg/jour selon la tolérance.</w:t>
      </w:r>
    </w:p>
    <w:p>
      <w:pPr>
        <w:pStyle w:val="ListBullet"/>
      </w:pPr>
      <w:r/>
      <w:r>
        <w:rPr>
          <w:b/>
        </w:rPr>
        <w:t>Mode d'administration</w:t>
      </w:r>
      <w:r>
        <w:t xml:space="preserve"> : per os, à prendre </w:t>
      </w:r>
      <w:r>
        <w:rPr>
          <w:b/>
        </w:rPr>
        <w:t>au cours d'un repas</w:t>
      </w:r>
      <w:r>
        <w:t xml:space="preserve"> (l'absorption n'est pas modifiée par la prise alimentaire mais la tolérance digestive est meilleure), à heure fixe (par exemple le matin après le petit-déjeuner) pour optimiser l'observance. Les comprimés doivent être avalés entiers avec un grand verre d'eau, sans croquer ni écraser.</w:t>
      </w:r>
    </w:p>
    <w:p>
      <w:pPr>
        <w:pStyle w:val="ListBullet"/>
      </w:pPr>
      <w:r/>
      <w:r>
        <w:rPr>
          <w:b/>
        </w:rPr>
        <w:t>Adaptation posologique selon la fonction hépatique</w:t>
      </w:r>
      <w:r>
        <w:t xml:space="preserve"> : contre-indiqué en insuffisance hépatique sévère (Child-Pugh C). En cas d'insuffisance hépatique modérée (Child-Pugh A ou B), commencer à 10 mg/jour sans dose de charge et surveiller les transaminases toutes les 2 semaines pendant 3 mois.</w:t>
      </w:r>
    </w:p>
    <w:p>
      <w:pPr>
        <w:pStyle w:val="ListBullet"/>
      </w:pPr>
      <w:r/>
      <w:r>
        <w:rPr>
          <w:b/>
        </w:rPr>
        <w:t>Adaptation posologique selon la fonction rénale</w:t>
      </w:r>
      <w:r>
        <w:t xml:space="preserve"> : pas d'adaptation nécessaire en IR modérée (DFG 30–60 mL/min). Contre-indiqué en IR sévère (DFG &lt; 30 mL/min) en raison de l'insuffisance de données de tolérance.</w:t>
      </w:r>
    </w:p>
    <w:p>
      <w:pPr>
        <w:pStyle w:val="ListBullet"/>
      </w:pPr>
      <w:r/>
      <w:r>
        <w:rPr>
          <w:b/>
        </w:rPr>
        <w:t>Durée du traitement</w:t>
      </w:r>
      <w:r>
        <w:t xml:space="preserve"> : traitement chronique au long cours (années), à poursuivre tant que la réponse clinique est satisfaisante et que la tolérance est bonne. L'arrêt doit être progressif (sauf en cas d'effet indésirable grave nécessitant un washout urgent).</w:t>
      </w:r>
    </w:p>
    <w:p>
      <w:pPr>
        <w:pStyle w:val="Heading4"/>
      </w:pPr>
      <w:r>
        <w:t>Formes galéniques disponibles</w:t>
      </w:r>
    </w:p>
    <w:p>
      <w:pPr>
        <w:pStyle w:val="ListBullet"/>
      </w:pPr>
      <w:r>
        <w:t>Comprimés pelliculés à 10 mg (couleur blanche, ronde, sécable)</w:t>
      </w:r>
    </w:p>
    <w:p>
      <w:pPr>
        <w:pStyle w:val="ListBullet"/>
      </w:pPr>
      <w:r>
        <w:t>Comprimés pelliculés à 20 mg (couleur jaune, triangle, sécable)</w:t>
      </w:r>
    </w:p>
    <w:p>
      <w:pPr>
        <w:pStyle w:val="ListBullet"/>
      </w:pPr>
      <w:r>
        <w:t>Comprimés pelliculés à 100 mg (couleur rose, ronde, dose de charge) — conditionnement réduit à 3 comprimés (correspondant à la dose de charge totale de 3 jours)</w:t>
      </w:r>
    </w:p>
    <w:p>
      <w:pPr>
        <w:pStyle w:val="ListBullet"/>
      </w:pPr>
      <w:r/>
      <w:r>
        <w:rPr>
          <w:b/>
        </w:rPr>
        <w:t>Forme injectable</w:t>
      </w:r>
      <w:r>
        <w:t xml:space="preserve"> : non disponible</w:t>
      </w:r>
    </w:p>
    <w:p>
      <w:pPr>
        <w:pStyle w:val="ListBullet"/>
      </w:pPr>
      <w:r/>
      <w:r>
        <w:rPr>
          <w:b/>
        </w:rPr>
        <w:t>Forme pédiatrique</w:t>
      </w:r>
      <w:r>
        <w:t xml:space="preserve"> : non disponible (pas d'AMM chez l'enfant)</w:t>
      </w:r>
    </w:p>
    <w:p>
      <w:pPr>
        <w:pStyle w:val="ListBullet"/>
      </w:pPr>
      <w:r/>
      <w:r>
        <w:rPr>
          <w:b/>
        </w:rPr>
        <w:t>Forme à libération prolongée</w:t>
      </w:r>
      <w:r>
        <w:t xml:space="preserve"> : non disponible</w:t>
      </w:r>
    </w:p>
    <w:p>
      <w:pPr>
        <w:pStyle w:val="ListBullet"/>
      </w:pPr>
      <w:r>
        <w:t>Conservation : à température ≤ 25°C, à l'abri de l'humidité, dans l'emballage extérieur d'origine. Durée de validité : 3 ans.</w:t>
      </w:r>
    </w:p>
    <w:p>
      <w:pPr>
        <w:pStyle w:val="Heading4"/>
      </w:pPr>
      <w:r>
        <w:t>Conseils au patient</w:t>
      </w:r>
    </w:p>
    <w:p>
      <w:pPr>
        <w:pStyle w:val="ListBullet"/>
      </w:pPr>
      <w:r/>
      <w:r>
        <w:rPr>
          <w:b/>
        </w:rPr>
        <w:t>Information sur le caractère chronique du traitement</w:t>
      </w:r>
      <w:r>
        <w:t xml:space="preserve"> : le léflunomide ne soulage pas immédiatement les symptômes (délai d'action 4 à 12 semaines), il prévient la destruction articulaire. Ne pas arrêter le traitement en cas d'absence d'effet initial immédiat, et ne pas interrompre brutalement en cas de rémission (risque de rechute).</w:t>
      </w:r>
    </w:p>
    <w:p>
      <w:pPr>
        <w:pStyle w:val="ListBullet"/>
      </w:pPr>
      <w:r/>
      <w:r>
        <w:rPr>
          <w:b/>
        </w:rPr>
        <w:t>Éducation à la contraception rigoureuse</w:t>
      </w:r>
      <w:r>
        <w:t xml:space="preserve"> chez toute femme en âge de procréer (et tout homme traité — passage du léflunomide dans le sperme signalé, prudence chez le partenaire masculin). Double contraception recommandée. Information que le délai de washout est de 2 ans en l'absence de prise de cholestyramine. En cas de désir de grossesse, </w:t>
      </w:r>
      <w:r>
        <w:rPr>
          <w:b/>
        </w:rPr>
        <w:t>consulter le rhumatologue 6 mois à l'avance</w:t>
      </w:r>
      <w:r>
        <w:t xml:space="preserve"> pour organiser le washout.</w:t>
      </w:r>
    </w:p>
    <w:p>
      <w:pPr>
        <w:pStyle w:val="ListBullet"/>
      </w:pPr>
      <w:r/>
      <w:r>
        <w:rPr>
          <w:b/>
        </w:rPr>
        <w:t>Surveillance biologique mensuelle</w:t>
      </w:r>
      <w:r>
        <w:t xml:space="preserve"> (ALAT, ASAT, NFS, plaquettes) pendant les 6 premiers mois puis trimestrielle. Le patient doit se rendre au laboratoire sans nécessité d'être à jeun spécifiquement.</w:t>
      </w:r>
    </w:p>
    <w:p>
      <w:pPr>
        <w:pStyle w:val="ListBullet"/>
      </w:pPr>
      <w:r/>
      <w:r>
        <w:rPr>
          <w:b/>
        </w:rPr>
        <w:t>Éducation aux signes d'alerte</w:t>
      </w:r>
      <w:r>
        <w:t xml:space="preserve"> nécessitant un avis médical urgent : fièvre &gt; 38,5°C, angine, aphtes buccaux multiples, hématomes inexpliqués, saignements (gingivorragies, épistaxis, méléna), ictère (coloration jaune du blanc des yeux, de la peau), urines foncées (foncée comme du thé), selles décolorées (argileuses), toux sèche persistante plus de 7 jours, dyspnée d'effort inexpliquée.</w:t>
      </w:r>
    </w:p>
    <w:p>
      <w:pPr>
        <w:pStyle w:val="ListBullet"/>
      </w:pPr>
      <w:r/>
      <w:r>
        <w:rPr>
          <w:b/>
        </w:rPr>
        <w:t>Vaccinations</w:t>
      </w:r>
      <w:r>
        <w:t xml:space="preserve"> : mettre à jour les vaccins (grippe saisonnière annuelle, pneumocoque chaque 5 ans, COVID-19) </w:t>
      </w:r>
      <w:r>
        <w:rPr>
          <w:b/>
        </w:rPr>
        <w:t>avant l'initiation du traitement</w:t>
      </w:r>
      <w:r>
        <w:t>. Éviter les vaccins vivants atténués pendant le traitement et pendant 6 mois après l'arrêt (ou washout préalable).</w:t>
      </w:r>
    </w:p>
    <w:p>
      <w:pPr>
        <w:pStyle w:val="ListBullet"/>
      </w:pPr>
      <w:r/>
      <w:r>
        <w:rPr>
          <w:b/>
        </w:rPr>
        <w:t>Éviter la consommation d'alcool</w:t>
      </w:r>
      <w:r>
        <w:t xml:space="preserve"> (hépatotoxicité additive). Si consommation ponctuelle, ne pas dépasser 2 verres/jour pour les femmes, 3 verres/jour pour les hommes.</w:t>
      </w:r>
    </w:p>
    <w:p>
      <w:pPr>
        <w:pStyle w:val="ListBullet"/>
      </w:pPr>
      <w:r/>
      <w:r>
        <w:rPr>
          <w:b/>
        </w:rPr>
        <w:t>Prévention des interactions</w:t>
      </w:r>
      <w:r>
        <w:t xml:space="preserve"> : signaler tout nouveau médicament au rhumatologue et au pharmacien d'officine, en particulier les statines, les anticoagulants oraux, l'aspirine à dose antiagrégante, les AINS, le paracétamol à dose prolongée.</w:t>
      </w:r>
    </w:p>
    <w:p>
      <w:pPr>
        <w:pStyle w:val="ListBullet"/>
      </w:pPr>
      <w:r/>
      <w:r>
        <w:rPr>
          <w:b/>
        </w:rPr>
        <w:t>Hygiène cutanée</w:t>
      </w:r>
      <w:r>
        <w:t xml:space="preserve"> : en cas d'alopécie (très fréquente, transitoire), éviter les traumatismes capillaires (brushing agressif, teintures, permanente). Utiliser un shampooing doux. Signaler toute éruption cutanée pour éliminer un Stevens-Johnson ou une NET.</w:t>
      </w:r>
    </w:p>
    <w:p>
      <w:pPr>
        <w:pStyle w:val="Heading4"/>
      </w:pPr>
      <w:r>
        <w:t>Pièges du comptoir</w:t>
      </w:r>
    </w:p>
    <w:p>
      <w:pPr>
        <w:pStyle w:val="ListNumber"/>
      </w:pPr>
      <w:r/>
      <w:r>
        <w:rPr>
          <w:b/>
        </w:rPr>
        <w:t>Confusion entre léflunomide et teriflunomide</w:t>
      </w:r>
      <w:r>
        <w:t xml:space="preserve"> : le teriflunomide (AUBAGIO) est commercialisé en neurologie pour la sclérose en plaques. La coprescription chez le même patient est une </w:t>
      </w:r>
      <w:r>
        <w:rPr>
          <w:b/>
        </w:rPr>
        <w:t>duplication thérapeutique stricte</w:t>
      </w:r>
      <w:r>
        <w:t xml:space="preserve"> à risque de surdosage. Le pharmacien doit systématiquement vérifier que le patient ne prend pas déjà AUBAGIO (vérification par le dossier pharmaceutique ou interrogatoire).</w:t>
      </w:r>
    </w:p>
    <w:p>
      <w:pPr>
        <w:pStyle w:val="ListNumber"/>
      </w:pPr>
      <w:r/>
      <w:r>
        <w:rPr>
          <w:b/>
        </w:rPr>
        <w:t>Oubli de la contraception chez une femme en âge de procréer</w:t>
      </w:r>
      <w:r>
        <w:t xml:space="preserve"> : il est de la responsabilité du pharmacien de </w:t>
      </w:r>
      <w:r>
        <w:rPr>
          <w:b/>
        </w:rPr>
        <w:t>vérifier systématiquement</w:t>
      </w:r>
      <w:r>
        <w:t xml:space="preserve"> la contraception avant toute dispensation de léflunomide chez une femme réglée de moins de 50 ans. En cas de doute (oubli de pilule, rupture de préservatif, désir de grossesse), adresser en urgence au rhumatologue pour washout par cholestyramine et contraception d'urgence (NorLevo).</w:t>
      </w:r>
    </w:p>
    <w:p>
      <w:pPr>
        <w:pStyle w:val="ListNumber"/>
      </w:pPr>
      <w:r/>
      <w:r>
        <w:rPr>
          <w:b/>
        </w:rPr>
        <w:t>Délai de washout méconnu</w:t>
      </w:r>
      <w:r>
        <w:t xml:space="preserve"> : de nombreux médecins généralistes (et même certains rhumatologues) ignorent ou mésestiment le délai de 2 ans sans washout. Le pharmacien doit informer le patient que ce délai est </w:t>
      </w:r>
      <w:r>
        <w:rPr>
          <w:b/>
        </w:rPr>
        <w:t>impératif</w:t>
      </w:r>
      <w:r>
        <w:t xml:space="preserve"> en cas d'arrêt sans cholestyramine, et que le protocole de washout (cholestyramine 8 g × 3/jour × 11 jours) doit être prescrit et réalisé à la demande de conception.</w:t>
      </w:r>
    </w:p>
    <w:p>
      <w:pPr>
        <w:pStyle w:val="ListNumber"/>
      </w:pPr>
      <w:r/>
      <w:r>
        <w:rPr>
          <w:b/>
        </w:rPr>
        <w:t>Absence de dose de charge</w:t>
      </w:r>
      <w:r>
        <w:t xml:space="preserve"> : oubli de la dose de charge (100 mg × 3 jours) — l'efficacité sera retardée de 6 à 8 semaines, sans risque réel, mais la réponse clinique initiale sera moindre. Le pharmacien doit vérifier que la dose de charge a bien été prescrite (boîte de 3 comprimés à 100 mg).</w:t>
      </w:r>
    </w:p>
    <w:p>
      <w:pPr>
        <w:pStyle w:val="ListNumber"/>
      </w:pPr>
      <w:r/>
      <w:r>
        <w:rPr>
          <w:b/>
        </w:rPr>
        <w:t>Confusion ARAVA 100 mg / 20 mg / 10 mg</w:t>
      </w:r>
      <w:r>
        <w:t xml:space="preserve"> : risque d'erreur d'administration (un patient qui prendrait 100 mg d'entretien au lieu de 20 mg pendant plusieurs jours présenterait une hépatotoxicité sévère). Le pharmacien doit insister sur la distinction entre la dose de charge (boîte rose, 3 comprimés) et la dose d'entretien (boîte jaune 20 mg ou blanche 10 mg).</w:t>
      </w:r>
    </w:p>
    <w:p>
      <w:pPr>
        <w:pStyle w:val="ListNumber"/>
      </w:pPr>
      <w:r/>
      <w:r>
        <w:rPr>
          <w:b/>
        </w:rPr>
        <w:t>Association avec le méthotrexate sans surveillance renforcée</w:t>
      </w:r>
      <w:r>
        <w:t xml:space="preserve"> : cette association est possible mais nécessite une surveillance hépatique mensuelle stricte (ALAT, ASAT) et une numération formule sanguine mensuelle. Le pharmacien doit alerter le patient sur l'importance de ces bilans.</w:t>
      </w:r>
    </w:p>
    <w:p>
      <w:pPr>
        <w:pStyle w:val="ListNumber"/>
      </w:pPr>
      <w:r/>
      <w:r>
        <w:rPr>
          <w:b/>
        </w:rPr>
        <w:t>Pneumopathie interstitielle masquée par une « bronchite »</w:t>
      </w:r>
      <w:r>
        <w:t xml:space="preserve"> : une toux sèche persistante plus de 7 jours, une dyspnée d'effort, une fièvre modérée doivent faire évoquer une pneumopathie interstitielle au léflunomide et non une banale bronchite. Le pharmacien doit conseiller au patient de consulter sans délai son rhumatologue ou son médecin traitant.</w:t>
      </w:r>
    </w:p>
    <w:p>
      <w:pPr>
        <w:pStyle w:val="ListNumber"/>
      </w:pPr>
      <w:r/>
      <w:r>
        <w:rPr>
          <w:b/>
        </w:rPr>
        <w:t>Vaccination par vaccin vivant atténué</w:t>
      </w:r>
      <w:r>
        <w:t xml:space="preserve"> (BCG, fièvre jaune, ROR, varicelle, Zostavax) prescrite par erreur pendant le traitement : refuser la dispensation, contacter le prescripteur pour substitution par un vaccin inactivé ou respecter un délai de 6 mois après l'arrêt (ou washout préalable) pour les vaccins vivants.</w:t>
      </w:r>
    </w:p>
    <w:p>
      <w:pPr>
        <w:pStyle w:val="ListNumber"/>
      </w:pPr>
      <w:r/>
      <w:r>
        <w:rPr>
          <w:b/>
        </w:rPr>
        <w:t>Interactions avec les statines</w:t>
      </w:r>
      <w:r>
        <w:t xml:space="preserve"> : le patient sous statine (particulièrement rosuvastatine, atorvastatine, simvastatine) doit voir sa dose de statine réduite de moitié à l'initiation du léflunomide, avec surveillance des CPK à 1 mois.</w:t>
      </w:r>
    </w:p>
    <w:p>
      <w:pPr>
        <w:pStyle w:val="ListNumber"/>
      </w:pPr>
      <w:r/>
      <w:r>
        <w:rPr>
          <w:b/>
        </w:rPr>
        <w:t>Alopécie banalisée</w:t>
      </w:r>
      <w:r>
        <w:t xml:space="preserve"> : le patient (particulièrement la femme) peut consulter en officine pour une perte de cheveux inquiétante. Le pharmacien doit rassurer : l'alopécie du léflunomide est diffuse, transitoire, régressive à la baisse de dose ou à l'arrêt. Ne pas banaliser une alopécie en plaques qui ferait évoquer un lupus induit ou une pseudopelade de Brocq.</w:t>
      </w:r>
    </w:p>
    <w:p>
      <w:pPr>
        <w:pStyle w:val="Heading2"/>
      </w:pPr>
      <w:r>
        <w:t>151.3 Sous-classe : DMARD synthétiques — Immunomodulateurs puriniques (analogues des purines)</w:t>
      </w:r>
    </w:p>
    <w:p>
      <w:pPr>
        <w:pStyle w:val="Heading3"/>
      </w:pPr>
      <w:r>
        <w:t>151.3.1 Généralités de la sous-classe</w:t>
      </w:r>
    </w:p>
    <w:p>
      <w:r>
        <w:t>Les immunomodulateurs puriniques regroupent des molécules apparentées à la famille des purines (adénine, guanine, hypoxanthine, xanthine) qui, après métabolisation, sont incorporées dans l'ADN ou l'ARN sous forme d'analogues nucléotidiques et bloquent la prolifération lymphocytaire. Cette sous-classe comprend trois molécules historiquement importantes : l'</w:t>
      </w:r>
      <w:r>
        <w:rPr>
          <w:b/>
        </w:rPr>
        <w:t>azathioprine</w:t>
      </w:r>
      <w:r>
        <w:t xml:space="preserve"> (commercialisée en Algérie, princeps IMUREL), la </w:t>
      </w:r>
      <w:r>
        <w:rPr>
          <w:b/>
        </w:rPr>
        <w:t>6-mercaptopurine</w:t>
      </w:r>
      <w:r>
        <w:t xml:space="preserve"> (non commercialisée en Algérie mais accessible via procédure d'importation), et la </w:t>
      </w:r>
      <w:r>
        <w:rPr>
          <w:b/>
        </w:rPr>
        <w:t>fludarabine</w:t>
      </w:r>
      <w:r>
        <w:t xml:space="preserve"> (commercialisée pour ses indications onco-hématologiques, hors DMARD rhumatologique). Le </w:t>
      </w:r>
      <w:r>
        <w:rPr>
          <w:b/>
        </w:rPr>
        <w:t>mycophénolate mofétil</w:t>
      </w:r>
      <w:r>
        <w:t xml:space="preserve"> et le </w:t>
      </w:r>
      <w:r>
        <w:rPr>
          <w:b/>
        </w:rPr>
        <w:t>mycophénolate sodique</w:t>
      </w:r>
      <w:r>
        <w:t xml:space="preserve"> sont apparentés à cette sous-classe mais ciblent l'IMP-déshydrogénase (IMPDH) au lieu de la HGPRT ; ils ne sont pas traités dans ce chapitre mais font partie de l'arsenal thérapeutique des vascularites et du lupus.</w:t>
      </w:r>
    </w:p>
    <w:p>
      <w:r>
        <w:t xml:space="preserve">Le mécanisme commun aux immunomodulateurs puriniques de type azathioprine repose sur la </w:t>
      </w:r>
      <w:r>
        <w:rPr>
          <w:b/>
        </w:rPr>
        <w:t>conversion intracellulaire de la molécule en thio-analogues de l'inosine monophosphate (TIMP)</w:t>
      </w:r>
      <w:r>
        <w:t xml:space="preserve">, eux-mêmes convertis en thioguanosine triphosphate (thio-GTP) et thiodesoxyguanosine triphosphate (thio-dGTP), qui sont incorporés dans l'ADN et bloquent la réplication lymphocytaire. La cytotoxicité est lympho-sélective car les lymphocytes T et B disposent d'une voie de </w:t>
      </w:r>
      <w:r>
        <w:rPr>
          <w:i/>
        </w:rPr>
        <w:t>salvage</w:t>
      </w:r>
      <w:r>
        <w:t xml:space="preserve"> moins efficace que les autres cellules nucléées, et sont donc davantage dépendants de la synthèse </w:t>
      </w:r>
      <w:r>
        <w:rPr>
          <w:i/>
        </w:rPr>
        <w:t>de novo</w:t>
      </w:r>
      <w:r>
        <w:t xml:space="preserve"> des purines. La 6-mercaptopurine est inactivée par la </w:t>
      </w:r>
      <w:r>
        <w:rPr>
          <w:b/>
        </w:rPr>
        <w:t>thiopurine-S-méthyltransférase (TPMT)</w:t>
      </w:r>
      <w:r>
        <w:t xml:space="preserve">, enzyme cytosolique dont l'activité est </w:t>
      </w:r>
      <w:r>
        <w:rPr>
          <w:b/>
        </w:rPr>
        <w:t>génétiquement polymorphe</w:t>
      </w:r>
      <w:r>
        <w:t xml:space="preserve"> : environ 0,3 % de la population caucasienne et 0,04 % de la population asiatique présentent un déficit complet (homozygotes mutés), et 10 % une activité intermédiaire (hétérozygotes) — ces patients développent une myélotoxicité sévère potentiellement létale à doses thérapeutiques standard. Le </w:t>
      </w:r>
      <w:r>
        <w:rPr>
          <w:b/>
        </w:rPr>
        <w:t>génotypage TPMT pré-thérapeutique</w:t>
      </w:r>
      <w:r>
        <w:t xml:space="preserve"> est donc recommandé par l'ANSM (recommandation 2016) et la CPIC (</w:t>
      </w:r>
      <w:r>
        <w:rPr>
          <w:i/>
        </w:rPr>
        <w:t>Clinical Pharmacogenetics Implementation Consortium</w:t>
      </w:r>
      <w:r>
        <w:t>) avant initiation de l'azathioprine.</w:t>
      </w:r>
    </w:p>
    <w:p>
      <w:r>
        <w:t xml:space="preserve">Historiquement, l'azathioprine a été développée dans les années 1950 par Gertrude Elion et George Hitchings (Laboratoires Burroughs Wellcome, prix Nobel de médecine 1988 pour l'ensemble de leurs travaux sur les antimétabolites puriniques). Commercialisée initialement comme immunosuppresseur dans la prévention du rejet de greffe (1968) puis dans la polyarthrite rhumatoïde (1960s) et les maladies inflammatoires chroniques de l'intestin (MICI), elle a longtemps été le pilier de l'immunosuppression avant d'être supplantée par la ciclosporine dans les années 1980 (greffe) et par le méthotrexate (PR), les anti-TNFα (MICI) et le mycophénolate mofétil (greffe) dans les années 1990–2000. En rhumatologie moderne, l'azathioprine reste une option utile dans le </w:t>
      </w:r>
      <w:r>
        <w:rPr>
          <w:b/>
        </w:rPr>
        <w:t>lupus érythémateux systémique</w:t>
      </w:r>
      <w:r>
        <w:t xml:space="preserve"> (néphropathie lupique d'entretien après induction par cyclophosphamide, dermatoses lupiques réfractaires), les </w:t>
      </w:r>
      <w:r>
        <w:rPr>
          <w:b/>
        </w:rPr>
        <w:t>dermatomyosites et polymyosites</w:t>
      </w:r>
      <w:r>
        <w:t xml:space="preserve">, les </w:t>
      </w:r>
      <w:r>
        <w:rPr>
          <w:b/>
        </w:rPr>
        <w:t>vascularites à ANCA</w:t>
      </w:r>
      <w:r>
        <w:t xml:space="preserve"> en relais du cyclophosphamide, et les </w:t>
      </w:r>
      <w:r>
        <w:rPr>
          <w:b/>
        </w:rPr>
        <w:t>maladies auto-immunes hépatiques</w:t>
      </w:r>
      <w:r>
        <w:t xml:space="preserve"> (hépatite auto-immune de type 1). Son usage dans la PR est devenu marginal.</w:t>
      </w:r>
    </w:p>
    <w:p>
      <w:r>
        <w:t>Le marché algérien de l'azathioprine comporte 4 spécialités actives (IMUREL princeps ASPEN, AZATHIOPRINE MYLAN, AZATHIOPRINE VIATRIS, AZORAN) et 2 spécialités retirées (AZAPRESS PHARMACARE et AZATHIOPRINE CHINA MEHECO). Toutes se présentent en comprimés pelliculés sécables de 50 mg, conditionnement en boîte de 100. Le faible coût (250–400 DA la boîte de 100 comprimés) en fait une option accessible pour la majorité des patients algériens.</w:t>
      </w:r>
    </w:p>
    <w:p>
      <w:pPr>
        <w:pStyle w:val="Heading3"/>
      </w:pPr>
      <w:r>
        <w:t>151.3.2 Azathioprine</w:t>
      </w:r>
    </w:p>
    <w:p>
      <w:pPr>
        <w:pStyle w:val="Heading4"/>
      </w:pPr>
      <w:r>
        <w:t>Liste des catégories</w:t>
      </w:r>
    </w:p>
    <w:p>
      <w:pPr>
        <w:pStyle w:val="ListBullet"/>
      </w:pPr>
      <w:r>
        <w:t xml:space="preserve">ATC : L04AX01 (azathioprine) — </w:t>
      </w:r>
      <w:r>
        <w:rPr>
          <w:b/>
        </w:rPr>
        <w:t>Immunosuppresseurs</w:t>
      </w:r>
      <w:r/>
    </w:p>
    <w:p>
      <w:pPr>
        <w:pStyle w:val="ListBullet"/>
      </w:pPr>
      <w:r>
        <w:t>Classe thérapeutique : DMARD synthétique, immunomodulateur purinique, antimétabolite</w:t>
      </w:r>
    </w:p>
    <w:p>
      <w:pPr>
        <w:pStyle w:val="ListBullet"/>
      </w:pPr>
      <w:r>
        <w:t xml:space="preserve">Réglementation algérienne : </w:t>
      </w:r>
      <w:r>
        <w:rPr>
          <w:b/>
        </w:rPr>
        <w:t>Liste I</w:t>
      </w:r>
      <w:r>
        <w:t xml:space="preserve"> (sur ordonnance médicale obligatoire, prescription réservée aux spécialistes en rhumatologie, médecine interne, gastro-entérologie, néphrologie, dermatologie, neurologie)</w:t>
      </w:r>
    </w:p>
    <w:p>
      <w:pPr>
        <w:pStyle w:val="ListBullet"/>
      </w:pPr>
      <w:r>
        <w:t>Liste des stupéfiants : non applicable</w:t>
      </w:r>
    </w:p>
    <w:p>
      <w:pPr>
        <w:pStyle w:val="ListBullet"/>
      </w:pPr>
      <w:r>
        <w:t xml:space="preserve">Statut grossesse : </w:t>
      </w:r>
      <w:r>
        <w:rPr>
          <w:b/>
        </w:rPr>
        <w:t>Déconseillé au 1er trimestre, possible 2e et 3e trimestres</w:t>
      </w:r>
      <w:r>
        <w:t xml:space="preserve"> (catégorie D modérée)</w:t>
      </w:r>
    </w:p>
    <w:p>
      <w:pPr>
        <w:pStyle w:val="ListBullet"/>
      </w:pPr>
      <w:r>
        <w:t>Disponibilité Algérie : 4 spécialités actives + 2 retirées</w:t>
      </w:r>
    </w:p>
    <w:p>
      <w:pPr>
        <w:pStyle w:val="Heading4"/>
      </w:pPr>
      <w:r>
        <w:t>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IMUREL</w:t>
            </w:r>
          </w:p>
        </w:tc>
        <w:tc>
          <w:tcPr>
            <w:tcW w:type="dxa" w:w="1559"/>
          </w:tcPr>
          <w:p>
            <w:r>
              <w:rPr>
                <w:sz w:val="20"/>
              </w:rPr>
              <w:t>ASPEN PHARMA TRADING LIMITED</w:t>
            </w:r>
          </w:p>
        </w:tc>
        <w:tc>
          <w:tcPr>
            <w:tcW w:type="dxa" w:w="1559"/>
          </w:tcPr>
          <w:p>
            <w:r>
              <w:rPr>
                <w:sz w:val="20"/>
              </w:rPr>
              <w:t>Comprimé pelliculé — 50 mg</w:t>
            </w:r>
          </w:p>
        </w:tc>
        <w:tc>
          <w:tcPr>
            <w:tcW w:type="dxa" w:w="1559"/>
          </w:tcPr>
          <w:p>
            <w:r>
              <w:rPr>
                <w:sz w:val="20"/>
              </w:rPr>
              <w:t>B/100</w:t>
            </w:r>
          </w:p>
        </w:tc>
        <w:tc>
          <w:tcPr>
            <w:tcW w:type="dxa" w:w="1559"/>
          </w:tcPr>
          <w:p>
            <w:r>
              <w:rPr>
                <w:sz w:val="20"/>
              </w:rPr>
              <w:t>LISTE I</w:t>
            </w:r>
          </w:p>
        </w:tc>
        <w:tc>
          <w:tcPr>
            <w:tcW w:type="dxa" w:w="1559"/>
          </w:tcPr>
          <w:p>
            <w:r>
              <w:rPr>
                <w:sz w:val="20"/>
              </w:rPr>
              <w:t>ACTIF</w:t>
            </w:r>
          </w:p>
        </w:tc>
      </w:tr>
      <w:tr>
        <w:tc>
          <w:tcPr>
            <w:tcW w:type="dxa" w:w="1559"/>
          </w:tcPr>
          <w:p>
            <w:r>
              <w:rPr>
                <w:sz w:val="20"/>
              </w:rPr>
              <w:t>AZATHIOPRINE MYLAN</w:t>
            </w:r>
          </w:p>
        </w:tc>
        <w:tc>
          <w:tcPr>
            <w:tcW w:type="dxa" w:w="1559"/>
          </w:tcPr>
          <w:p>
            <w:r>
              <w:rPr>
                <w:sz w:val="20"/>
              </w:rPr>
              <w:t>MYLAN SAS</w:t>
            </w:r>
          </w:p>
        </w:tc>
        <w:tc>
          <w:tcPr>
            <w:tcW w:type="dxa" w:w="1559"/>
          </w:tcPr>
          <w:p>
            <w:r>
              <w:rPr>
                <w:sz w:val="20"/>
              </w:rPr>
              <w:t>Comprimé pelliculé sécable — 50 mg</w:t>
            </w:r>
          </w:p>
        </w:tc>
        <w:tc>
          <w:tcPr>
            <w:tcW w:type="dxa" w:w="1559"/>
          </w:tcPr>
          <w:p>
            <w:r>
              <w:rPr>
                <w:sz w:val="20"/>
              </w:rPr>
              <w:t>B/100</w:t>
            </w:r>
          </w:p>
        </w:tc>
        <w:tc>
          <w:tcPr>
            <w:tcW w:type="dxa" w:w="1559"/>
          </w:tcPr>
          <w:p>
            <w:r>
              <w:rPr>
                <w:sz w:val="20"/>
              </w:rPr>
              <w:t>LISTE I</w:t>
            </w:r>
          </w:p>
        </w:tc>
        <w:tc>
          <w:tcPr>
            <w:tcW w:type="dxa" w:w="1559"/>
          </w:tcPr>
          <w:p>
            <w:r>
              <w:rPr>
                <w:sz w:val="20"/>
              </w:rPr>
              <w:t>ACTIF</w:t>
            </w:r>
          </w:p>
        </w:tc>
      </w:tr>
      <w:tr>
        <w:tc>
          <w:tcPr>
            <w:tcW w:type="dxa" w:w="1559"/>
          </w:tcPr>
          <w:p>
            <w:r>
              <w:rPr>
                <w:sz w:val="20"/>
              </w:rPr>
              <w:t>AZATHIOPRINE VIATRIS</w:t>
            </w:r>
          </w:p>
        </w:tc>
        <w:tc>
          <w:tcPr>
            <w:tcW w:type="dxa" w:w="1559"/>
          </w:tcPr>
          <w:p>
            <w:r>
              <w:rPr>
                <w:sz w:val="20"/>
              </w:rPr>
              <w:t>LABORATOIRES MERINAL</w:t>
            </w:r>
          </w:p>
        </w:tc>
        <w:tc>
          <w:tcPr>
            <w:tcW w:type="dxa" w:w="1559"/>
          </w:tcPr>
          <w:p>
            <w:r>
              <w:rPr>
                <w:sz w:val="20"/>
              </w:rPr>
              <w:t>Comprimé pelliculé sécable — 50 mg</w:t>
            </w:r>
          </w:p>
        </w:tc>
        <w:tc>
          <w:tcPr>
            <w:tcW w:type="dxa" w:w="1559"/>
          </w:tcPr>
          <w:p>
            <w:r>
              <w:rPr>
                <w:sz w:val="20"/>
              </w:rPr>
              <w:t>B/100</w:t>
            </w:r>
          </w:p>
        </w:tc>
        <w:tc>
          <w:tcPr>
            <w:tcW w:type="dxa" w:w="1559"/>
          </w:tcPr>
          <w:p>
            <w:r>
              <w:rPr>
                <w:sz w:val="20"/>
              </w:rPr>
              <w:t>LISTE I</w:t>
            </w:r>
          </w:p>
        </w:tc>
        <w:tc>
          <w:tcPr>
            <w:tcW w:type="dxa" w:w="1559"/>
          </w:tcPr>
          <w:p>
            <w:r>
              <w:rPr>
                <w:sz w:val="20"/>
              </w:rPr>
              <w:t>ACTIF</w:t>
            </w:r>
          </w:p>
        </w:tc>
      </w:tr>
      <w:tr>
        <w:tc>
          <w:tcPr>
            <w:tcW w:type="dxa" w:w="1559"/>
          </w:tcPr>
          <w:p>
            <w:r>
              <w:rPr>
                <w:sz w:val="20"/>
              </w:rPr>
              <w:t>AZORAN</w:t>
            </w:r>
          </w:p>
        </w:tc>
        <w:tc>
          <w:tcPr>
            <w:tcW w:type="dxa" w:w="1559"/>
          </w:tcPr>
          <w:p>
            <w:r>
              <w:rPr>
                <w:sz w:val="20"/>
              </w:rPr>
              <w:t>RPG LIFE SCIENCES LIMITED</w:t>
            </w:r>
          </w:p>
        </w:tc>
        <w:tc>
          <w:tcPr>
            <w:tcW w:type="dxa" w:w="1559"/>
          </w:tcPr>
          <w:p>
            <w:r>
              <w:rPr>
                <w:sz w:val="20"/>
              </w:rPr>
              <w:t>Comprimé pelliculé — 50 mg</w:t>
            </w:r>
          </w:p>
        </w:tc>
        <w:tc>
          <w:tcPr>
            <w:tcW w:type="dxa" w:w="1559"/>
          </w:tcPr>
          <w:p>
            <w:r>
              <w:rPr>
                <w:sz w:val="20"/>
              </w:rPr>
              <w:t>B/100</w:t>
            </w:r>
          </w:p>
        </w:tc>
        <w:tc>
          <w:tcPr>
            <w:tcW w:type="dxa" w:w="1559"/>
          </w:tcPr>
          <w:p>
            <w:r>
              <w:rPr>
                <w:sz w:val="20"/>
              </w:rPr>
              <w:t>LISTE I</w:t>
            </w:r>
          </w:p>
        </w:tc>
        <w:tc>
          <w:tcPr>
            <w:tcW w:type="dxa" w:w="1559"/>
          </w:tcPr>
          <w:p>
            <w:r>
              <w:rPr>
                <w:sz w:val="20"/>
              </w:rPr>
              <w:t>ACTIF</w:t>
            </w:r>
          </w:p>
        </w:tc>
      </w:tr>
      <w:tr>
        <w:tc>
          <w:tcPr>
            <w:tcW w:type="dxa" w:w="1559"/>
          </w:tcPr>
          <w:p>
            <w:r>
              <w:rPr>
                <w:sz w:val="20"/>
              </w:rPr>
              <w:t>AZAPRESS (R)</w:t>
            </w:r>
          </w:p>
        </w:tc>
        <w:tc>
          <w:tcPr>
            <w:tcW w:type="dxa" w:w="1559"/>
          </w:tcPr>
          <w:p>
            <w:r>
              <w:rPr>
                <w:sz w:val="20"/>
              </w:rPr>
              <w:t>PHARMACARE LIMITED</w:t>
            </w:r>
          </w:p>
        </w:tc>
        <w:tc>
          <w:tcPr>
            <w:tcW w:type="dxa" w:w="1559"/>
          </w:tcPr>
          <w:p>
            <w:r>
              <w:rPr>
                <w:sz w:val="20"/>
              </w:rPr>
              <w:t>Comprimé — 50 mg</w:t>
            </w:r>
          </w:p>
        </w:tc>
        <w:tc>
          <w:tcPr>
            <w:tcW w:type="dxa" w:w="1559"/>
          </w:tcPr>
          <w:p>
            <w:r>
              <w:rPr>
                <w:sz w:val="20"/>
              </w:rPr>
              <w:t>B/100</w:t>
            </w:r>
          </w:p>
        </w:tc>
        <w:tc>
          <w:tcPr>
            <w:tcW w:type="dxa" w:w="1559"/>
          </w:tcPr>
          <w:p>
            <w:r>
              <w:rPr>
                <w:sz w:val="20"/>
              </w:rPr>
              <w:t>Liste I</w:t>
            </w:r>
          </w:p>
        </w:tc>
        <w:tc>
          <w:tcPr>
            <w:tcW w:type="dxa" w:w="1559"/>
          </w:tcPr>
          <w:p>
            <w:r>
              <w:rPr>
                <w:sz w:val="20"/>
              </w:rPr>
              <w:t>RETRAIT</w:t>
            </w:r>
          </w:p>
        </w:tc>
      </w:tr>
      <w:tr>
        <w:tc>
          <w:tcPr>
            <w:tcW w:type="dxa" w:w="1559"/>
          </w:tcPr>
          <w:p>
            <w:r>
              <w:rPr>
                <w:sz w:val="20"/>
              </w:rPr>
              <w:t>AZATHIOPRINE (R)</w:t>
            </w:r>
          </w:p>
        </w:tc>
        <w:tc>
          <w:tcPr>
            <w:tcW w:type="dxa" w:w="1559"/>
          </w:tcPr>
          <w:p>
            <w:r>
              <w:rPr>
                <w:sz w:val="20"/>
              </w:rPr>
              <w:t>CHINA MEHECO</w:t>
            </w:r>
          </w:p>
        </w:tc>
        <w:tc>
          <w:tcPr>
            <w:tcW w:type="dxa" w:w="1559"/>
          </w:tcPr>
          <w:p>
            <w:r>
              <w:rPr>
                <w:sz w:val="20"/>
              </w:rPr>
              <w:t>Comprimé — 50 mg</w:t>
            </w:r>
          </w:p>
        </w:tc>
        <w:tc>
          <w:tcPr>
            <w:tcW w:type="dxa" w:w="1559"/>
          </w:tcPr>
          <w:p>
            <w:r>
              <w:rPr>
                <w:sz w:val="20"/>
              </w:rPr>
              <w:t>B/100</w:t>
            </w:r>
          </w:p>
        </w:tc>
        <w:tc>
          <w:tcPr>
            <w:tcW w:type="dxa" w:w="1559"/>
          </w:tcPr>
          <w:p>
            <w:r>
              <w:rPr>
                <w:sz w:val="20"/>
              </w:rPr>
              <w:t>Liste I</w:t>
            </w:r>
          </w:p>
        </w:tc>
        <w:tc>
          <w:tcPr>
            <w:tcW w:type="dxa" w:w="1559"/>
          </w:tcPr>
          <w:p>
            <w:r>
              <w:rPr>
                <w:sz w:val="20"/>
              </w:rPr>
              <w:t>RETRAIT</w:t>
            </w:r>
          </w:p>
        </w:tc>
      </w:tr>
    </w:tbl>
    <w:p/>
    <w:p>
      <w:r>
        <w:t>Le marché algérien de l'azathioprine reflète une structuration mature avec un princeps historique (IMUREL, commercialisé depuis 1968 par les laboratoires BURROUGHS WELLCOME puis transmis à GLAXOSMITHKLINE puis à ASPEN) et plusieurs génériques. IMUREL reste la référence mais son coût (≈ 350 DA la boîte de 100) est équivalent à celui des génériques, ce qui rend la substitution peu différenciée économiquement. AZORAN (RPG LIFE SCIENCES, Inde) et AZATHIOPRINE MYLAN/VIATRIS offrent une diversité d'approvisionnement sécurisante en cas de rupture du princeps.</w:t>
      </w:r>
    </w:p>
    <w:p>
      <w:pPr>
        <w:pStyle w:val="Heading4"/>
      </w:pPr>
      <w:r>
        <w:t>Mécanisme d'action détaillé</w:t>
      </w:r>
    </w:p>
    <w:p>
      <w:r>
        <w:t xml:space="preserve">L'azathioprine est un </w:t>
      </w:r>
      <w:r>
        <w:rPr>
          <w:b/>
        </w:rPr>
        <w:t>imidazolyl-dérivé de la 6-mercaptopurine</w:t>
      </w:r>
      <w:r>
        <w:t xml:space="preserve"> (6-MP) : la 6-MP est substituée en position 7 par un groupement imidazolyle qui protège la 6-MP de la méthylation directe par la TPMT dans le tractus gastro-intestinal. Après absorption orale (biodisponibilité ≈ 30–60 %, importante variabilité interindividuelle liée au métabolisme de premier passage hépatique), l'azathioprine est rapidement clivée de façon non enzymatique par les groupements sulfhydriles (glutathion réduit, cystéine) plasmatiques et hépatiques en </w:t>
      </w:r>
      <w:r>
        <w:rPr>
          <w:b/>
        </w:rPr>
        <w:t>6-mercaptopurine libre</w:t>
      </w:r>
      <w:r>
        <w:t xml:space="preserve"> (demi-vie de clivage ≈ 10 minutes) et en un résidu méthyl-imidazolé.</w:t>
      </w:r>
    </w:p>
    <w:p>
      <w:r>
        <w:t>La 6-MP subit ensuite trois voies métaboliques intracellulaires compétitives :</w:t>
      </w:r>
    </w:p>
    <w:p>
      <w:pPr>
        <w:pStyle w:val="ListNumber"/>
      </w:pPr>
      <w:r/>
      <w:r>
        <w:rPr>
          <w:b/>
        </w:rPr>
        <w:t>Voie anabolique (activation)</w:t>
      </w:r>
      <w:r>
        <w:t xml:space="preserve"> : la 6-MP est convertie par l'hypoxanthine-guanine phosphoribosyltransférase (HGPRT) en </w:t>
      </w:r>
      <w:r>
        <w:rPr>
          <w:b/>
        </w:rPr>
        <w:t>thio-inosine monophosphate (TIMP)</w:t>
      </w:r>
      <w:r>
        <w:t xml:space="preserve">, puis en thio-GMP et thio-GDP/thio-GTP par les kinases cellulaires. Les thio-nucléotides sont incorporés dans l'ADN et l'ARN à la place des nucléotides physiologiques (GTP, dGTP), provoquant une </w:t>
      </w:r>
      <w:r>
        <w:rPr>
          <w:b/>
        </w:rPr>
        <w:t>interruption de l'élongation de l'ADN</w:t>
      </w:r>
      <w:r>
        <w:t>, des cassures chromosomiques, et l'induction d'apoptose lymphocytaire. Les thio-nucléotides inhibent également la PRPP-amidotransférase (première étape de la synthèse *de novo* des purines), créant un effet cytotoxique auto-entretenu.</w:t>
      </w:r>
    </w:p>
    <w:p>
      <w:pPr>
        <w:pStyle w:val="ListNumber"/>
      </w:pPr>
      <w:r/>
      <w:r>
        <w:rPr>
          <w:b/>
        </w:rPr>
        <w:t>Voie catabolique principale</w:t>
      </w:r>
      <w:r>
        <w:t xml:space="preserve"> : la </w:t>
      </w:r>
      <w:r>
        <w:rPr>
          <w:b/>
        </w:rPr>
        <w:t>xanthine-oxydase (XO)</w:t>
      </w:r>
      <w:r>
        <w:t xml:space="preserve"> convertit la 6-MP en </w:t>
      </w:r>
      <w:r>
        <w:rPr>
          <w:b/>
        </w:rPr>
        <w:t>acide 6-thiourique inactif</w:t>
      </w:r>
      <w:r>
        <w:t>. Cette voie est bloquée par l'allopurinol et le fébuxostat — d'où une interaction médicamenteuse majeure.</w:t>
      </w:r>
    </w:p>
    <w:p>
      <w:pPr>
        <w:pStyle w:val="ListNumber"/>
      </w:pPr>
      <w:r/>
      <w:r>
        <w:rPr>
          <w:b/>
        </w:rPr>
        <w:t>Voie catabolique mineure</w:t>
      </w:r>
      <w:r>
        <w:t xml:space="preserve"> : la </w:t>
      </w:r>
      <w:r>
        <w:rPr>
          <w:b/>
        </w:rPr>
        <w:t>thiopurine-S-méthyltransférase (TPMT)</w:t>
      </w:r>
      <w:r>
        <w:t xml:space="preserve"> méthyle la 6-MP en 6-méthyl-mercaptopurine (6-MMP), inactive sur la prolifération lymphocytaire mais inhibitrice de la PRPP-amidotransférase (effet hépatotoxique propre à fortes concentrations). L'activité de la TPMT est </w:t>
      </w:r>
      <w:r>
        <w:rPr>
          <w:b/>
        </w:rPr>
        <w:t>génétiquement polymorphe</w:t>
      </w:r>
      <w:r>
        <w:t xml:space="preserve"> : environ 0,3 % de la population est déficient complet (homozygote *TPMT*3A ou *TPMT*3C), 10 % intermédiaire (hétérozygote), et 90 % ont une activité normale. Le déficit complet conduit à une accumulation massive de thio-nucléotides et à une </w:t>
      </w:r>
      <w:r>
        <w:rPr>
          <w:b/>
        </w:rPr>
        <w:t>myélotoxicité sévère potentiellement létale</w:t>
      </w:r>
      <w:r>
        <w:t xml:space="preserve"> à doses thérapeutiques standard. Le génotypage TPMT pré-thérapeutique est désormais recommandé.</w:t>
      </w:r>
    </w:p>
    <w:p>
      <w:r>
        <w:t xml:space="preserve">Les conséquences immunologiques de l'azathioprine sont : (i) </w:t>
      </w:r>
      <w:r>
        <w:rPr>
          <w:b/>
        </w:rPr>
        <w:t>diminution de la prolifération lymphocytaire T et B</w:t>
      </w:r>
      <w:r>
        <w:t xml:space="preserve">, (ii) </w:t>
      </w:r>
      <w:r>
        <w:rPr>
          <w:b/>
        </w:rPr>
        <w:t>réduction de la production cytokinique</w:t>
      </w:r>
      <w:r>
        <w:t xml:space="preserve"> (IL-2, IFNγ, IL-6), (iii) </w:t>
      </w:r>
      <w:r>
        <w:rPr>
          <w:b/>
        </w:rPr>
        <w:t>diminution de la production d'anticorps</w:t>
      </w:r>
      <w:r>
        <w:t xml:space="preserve"> (IgG, IgM), (iv) </w:t>
      </w:r>
      <w:r>
        <w:rPr>
          <w:b/>
        </w:rPr>
        <w:t>inhibition de la cytotoxicité NK et T</w:t>
      </w:r>
      <w:r>
        <w:t>. L'effet anti-inflammatoire et immunosuppresseur se manifeste cliniquement après un délai de 6 à 12 semaines (délai d'accumulation des thio-nucléotides intracellulaires). L'effet est dose-dépendant et réversible à l'arrêt.</w:t>
      </w:r>
    </w:p>
    <w:p>
      <w:pPr>
        <w:pStyle w:val="Heading4"/>
      </w:pPr>
      <w:r>
        <w:t>Profil pharmacologique : indications, contre-indications, effets indésirables</w:t>
      </w:r>
    </w:p>
    <w:p>
      <w:r/>
      <w:r>
        <w:rPr>
          <w:b/>
        </w:rPr>
        <w:t>Indications</w:t>
      </w:r>
      <w:r/>
    </w:p>
    <w:p>
      <w:pPr>
        <w:pStyle w:val="ListBullet"/>
      </w:pPr>
      <w:r/>
      <w:r>
        <w:rPr>
          <w:b/>
        </w:rPr>
        <w:t>Polyarthrite rhumatoïde active sévère de l'adulte</w:t>
      </w:r>
      <w:r>
        <w:t xml:space="preserve"> (devenue indication historique, remplacee par le méthotrexate en première intention)</w:t>
      </w:r>
    </w:p>
    <w:p>
      <w:pPr>
        <w:pStyle w:val="ListBullet"/>
      </w:pPr>
      <w:r/>
      <w:r>
        <w:rPr>
          <w:b/>
        </w:rPr>
        <w:t>Lupus érythémateux systémique (LES)</w:t>
      </w:r>
      <w:r>
        <w:t xml:space="preserve"> : traitement d'entretien après induction par cyclophosphamide en cas de néphropathie lupique (recommandations EULAR/ERA-EDTA 2020), atteinte cutanée réfractaire, cytopénies auto-immunes</w:t>
      </w:r>
    </w:p>
    <w:p>
      <w:pPr>
        <w:pStyle w:val="ListBullet"/>
      </w:pPr>
      <w:r/>
      <w:r>
        <w:rPr>
          <w:b/>
        </w:rPr>
        <w:t>Dermatomyosites et polymyosites</w:t>
      </w:r>
      <w:r>
        <w:t xml:space="preserve"> : traitement d'entretien après corticothérapie d'attaque</w:t>
      </w:r>
    </w:p>
    <w:p>
      <w:pPr>
        <w:pStyle w:val="ListBullet"/>
      </w:pPr>
      <w:r/>
      <w:r>
        <w:rPr>
          <w:b/>
        </w:rPr>
        <w:t>Vascularites à ANCA</w:t>
      </w:r>
      <w:r>
        <w:t xml:space="preserve"> (granulomatose avec polyangéite, micropolyangéite) : traitement d'entretien après induction par cyclophosphamide (recommandations EULAR 2022)</w:t>
      </w:r>
    </w:p>
    <w:p>
      <w:pPr>
        <w:pStyle w:val="ListBullet"/>
      </w:pPr>
      <w:r/>
      <w:r>
        <w:rPr>
          <w:b/>
        </w:rPr>
        <w:t>Maladies inflammatoires chroniques de l'intestin (MICI)</w:t>
      </w:r>
      <w:r>
        <w:t xml:space="preserve"> : maladie de Crohn et rectocolite hémorragique (en cas d'intolérance ou de contre-indication aux anti-TNFα, en relais ou en association)</w:t>
      </w:r>
    </w:p>
    <w:p>
      <w:pPr>
        <w:pStyle w:val="ListBullet"/>
      </w:pPr>
      <w:r/>
      <w:r>
        <w:rPr>
          <w:b/>
        </w:rPr>
        <w:t>Hépatite auto-immune de type 1</w:t>
      </w:r>
      <w:r>
        <w:t xml:space="preserve"> : traitement d'entretien en association à la prednisone (recommandations EASL 2015)</w:t>
      </w:r>
    </w:p>
    <w:p>
      <w:pPr>
        <w:pStyle w:val="ListBullet"/>
      </w:pPr>
      <w:r/>
      <w:r>
        <w:rPr>
          <w:b/>
        </w:rPr>
        <w:t>Maladies bulleuses auto-immunes</w:t>
      </w:r>
      <w:r>
        <w:t xml:space="preserve"> (pemphigus vulgaris, pemphigoïde bulleuse) : en association à la corticothérapie</w:t>
      </w:r>
    </w:p>
    <w:p>
      <w:pPr>
        <w:pStyle w:val="ListBullet"/>
      </w:pPr>
      <w:r/>
      <w:r>
        <w:rPr>
          <w:b/>
        </w:rPr>
        <w:t>Myasthénie</w:t>
      </w:r>
      <w:r>
        <w:t xml:space="preserve"> : traitement d'immunomodulation</w:t>
      </w:r>
    </w:p>
    <w:p>
      <w:pPr>
        <w:pStyle w:val="ListBullet"/>
      </w:pPr>
      <w:r/>
      <w:r>
        <w:rPr>
          <w:b/>
        </w:rPr>
        <w:t>Prévention du rejet de greffe d'organe</w:t>
      </w:r>
      <w:r>
        <w:t xml:space="preserve"> (historique, supplantée par le mycophénolate mofétil et les inhibiteurs de la calcineurine)</w:t>
      </w:r>
    </w:p>
    <w:p>
      <w:r/>
      <w:r>
        <w:rPr>
          <w:b/>
        </w:rPr>
        <w:t>Contre-indications</w:t>
      </w:r>
      <w:r/>
    </w:p>
    <w:p>
      <w:pPr>
        <w:pStyle w:val="ListBullet"/>
      </w:pPr>
      <w:r/>
      <w:r>
        <w:rPr>
          <w:b/>
        </w:rPr>
        <w:t>Contre-indications absolues</w:t>
      </w:r>
      <w:r>
        <w:t xml:space="preserve"> :</w:t>
      </w:r>
    </w:p>
    <w:p>
      <w:pPr>
        <w:pStyle w:val="ListBullet"/>
      </w:pPr>
      <w:r>
        <w:t>Hypersensibilité à l'azathioprine, à la 6-mercaptopurine ou à l'un des excipients</w:t>
      </w:r>
    </w:p>
    <w:p>
      <w:pPr>
        <w:pStyle w:val="ListBullet"/>
      </w:pPr>
      <w:r/>
      <w:r>
        <w:rPr>
          <w:b/>
        </w:rPr>
        <w:t>Déficit complet en TPMT</w:t>
      </w:r>
      <w:r>
        <w:t xml:space="preserve"> (homozygote muté) — risque de myélotoxicité létale</w:t>
      </w:r>
    </w:p>
    <w:p>
      <w:pPr>
        <w:pStyle w:val="ListBullet"/>
      </w:pPr>
      <w:r>
        <w:t>Insuffisance hépatique sévère</w:t>
      </w:r>
    </w:p>
    <w:p>
      <w:pPr>
        <w:pStyle w:val="ListBullet"/>
      </w:pPr>
      <w:r>
        <w:t>Insuffisance rénale sévère (DFG &lt; 30 mL/min) — adaptation posologique obligatoire</w:t>
      </w:r>
    </w:p>
    <w:p>
      <w:pPr>
        <w:pStyle w:val="ListBullet"/>
      </w:pPr>
      <w:r>
        <w:t>Infections sévères non contrôlées (septicémie, tuberculose évolutive)</w:t>
      </w:r>
    </w:p>
    <w:p>
      <w:pPr>
        <w:pStyle w:val="ListBullet"/>
      </w:pPr>
      <w:r>
        <w:t>Aplasie médullaire préexistante</w:t>
      </w:r>
    </w:p>
    <w:p>
      <w:pPr>
        <w:pStyle w:val="ListBullet"/>
      </w:pPr>
      <w:r>
        <w:t>Grossesse : déconseillé au 1er trimestre (catégorie D modérée), possible aux 2e et 3e trimestres (cf. section Grossesse)</w:t>
      </w:r>
    </w:p>
    <w:p>
      <w:pPr>
        <w:pStyle w:val="ListBullet"/>
      </w:pPr>
      <w:r>
        <w:t>Allaitement (contre-indication absolue en raison du passage important dans le lait)</w:t>
      </w:r>
    </w:p>
    <w:p>
      <w:pPr>
        <w:pStyle w:val="ListBullet"/>
      </w:pPr>
      <w:r/>
      <w:r>
        <w:rPr>
          <w:b/>
        </w:rPr>
        <w:t>Association à l'allopurinol ou au fébuxostat sans réduction de dose d'azathioprine à 25–33 % de la dose standard</w:t>
      </w:r>
      <w:r>
        <w:t xml:space="preserve"> (interruption du métabolisme par la XO, accumulation massive de 6-MP)</w:t>
      </w:r>
    </w:p>
    <w:p>
      <w:pPr>
        <w:pStyle w:val="ListBullet"/>
      </w:pPr>
      <w:r>
        <w:t>Enfant &lt; 2 ans (insuffisance de données)</w:t>
      </w:r>
    </w:p>
    <w:p>
      <w:pPr>
        <w:pStyle w:val="ListBullet"/>
      </w:pPr>
      <w:r>
        <w:t>Vaccination par vaccin vivant atténué pendant le traitement et jusqu'à 3 mois après l'arrêt</w:t>
      </w:r>
    </w:p>
    <w:p>
      <w:pPr>
        <w:pStyle w:val="ListBullet"/>
      </w:pPr>
      <w:r/>
      <w:r>
        <w:rPr>
          <w:b/>
        </w:rPr>
        <w:t>Contre-indications relatives / Précautions d'emploi</w:t>
      </w:r>
      <w:r>
        <w:t xml:space="preserve"> :</w:t>
      </w:r>
    </w:p>
    <w:p>
      <w:pPr>
        <w:pStyle w:val="ListBullet"/>
      </w:pPr>
      <w:r>
        <w:t>Déficit partiel en TPMT (hétérozygote) — réduire la dose à 50–70 % de la dose standard</w:t>
      </w:r>
    </w:p>
    <w:p>
      <w:pPr>
        <w:pStyle w:val="ListBullet"/>
      </w:pPr>
      <w:r>
        <w:t>Sujet âgé &gt; 65 ans : risque accru d'hépatotoxicité, de myélotoxicité, d'interactions</w:t>
      </w:r>
    </w:p>
    <w:p>
      <w:pPr>
        <w:pStyle w:val="ListBullet"/>
      </w:pPr>
      <w:r>
        <w:t>Polymédication hépatotoxique ou myélosuppressive</w:t>
      </w:r>
    </w:p>
    <w:p>
      <w:pPr>
        <w:pStyle w:val="ListBullet"/>
      </w:pPr>
      <w:r>
        <w:t>Insuffisance rénale modérée (DFG 30–60 mL/min) — réduire la dose à 75 %</w:t>
      </w:r>
    </w:p>
    <w:p>
      <w:pPr>
        <w:pStyle w:val="ListBullet"/>
      </w:pPr>
      <w:r>
        <w:t>Antécédent de cancer (le traitement immunosuppresseur prolongé majore le risque de lymphome et de cancers cutanés)</w:t>
      </w:r>
    </w:p>
    <w:p>
      <w:r/>
      <w:r>
        <w:rPr>
          <w:b/>
        </w:rPr>
        <w:t>Effets indésirables</w:t>
      </w:r>
      <w:r/>
    </w:p>
    <w:p>
      <w:r/>
      <w:r>
        <w:rPr>
          <w:i/>
        </w:rPr>
        <w:t>Très fréquents (≥ 10 %)</w:t>
      </w:r>
      <w:r>
        <w:t xml:space="preserve"> :</w:t>
      </w:r>
    </w:p>
    <w:p>
      <w:pPr>
        <w:pStyle w:val="ListBullet"/>
      </w:pPr>
      <w:r>
        <w:t>Troubles digestifs : nausées (25–35 %), vomissements, diarrhée, douleurs abdominales — particulièrement en début de traitement</w:t>
      </w:r>
    </w:p>
    <w:p>
      <w:pPr>
        <w:pStyle w:val="ListBullet"/>
      </w:pPr>
      <w:r>
        <w:t>Élévation des transaminases (10–15 %)</w:t>
      </w:r>
    </w:p>
    <w:p>
      <w:pPr>
        <w:pStyle w:val="ListBullet"/>
      </w:pPr>
      <w:r>
        <w:t>Leucopénie modérée (5–10 %), thrombopénie, anémie</w:t>
      </w:r>
    </w:p>
    <w:p>
      <w:pPr>
        <w:pStyle w:val="ListBullet"/>
      </w:pPr>
      <w:r>
        <w:t>Susceptibilité accrue aux infections (voies respiratoires, urinaires)</w:t>
      </w:r>
    </w:p>
    <w:p>
      <w:r/>
      <w:r>
        <w:rPr>
          <w:i/>
        </w:rPr>
        <w:t>Fréquents (1–10 %)</w:t>
      </w:r>
      <w:r>
        <w:t xml:space="preserve"> :</w:t>
      </w:r>
    </w:p>
    <w:p>
      <w:pPr>
        <w:pStyle w:val="ListBullet"/>
      </w:pPr>
      <w:r>
        <w:t>Hépatite cytolytique ou cholestatique (2–5 %), parfois sévère</w:t>
      </w:r>
    </w:p>
    <w:p>
      <w:pPr>
        <w:pStyle w:val="ListBullet"/>
      </w:pPr>
      <w:r>
        <w:t>Pancréatite aiguë (1–3 %) — particulièrement chez les patients atteints de MICI</w:t>
      </w:r>
    </w:p>
    <w:p>
      <w:pPr>
        <w:pStyle w:val="ListBullet"/>
      </w:pPr>
      <w:r>
        <w:t>Éruptions cutanées maculopapuleuses (5 %), prurit</w:t>
      </w:r>
    </w:p>
    <w:p>
      <w:pPr>
        <w:pStyle w:val="ListBullet"/>
      </w:pPr>
      <w:r>
        <w:t>Alopécie diffuse réversible (2–5 %)</w:t>
      </w:r>
    </w:p>
    <w:p>
      <w:pPr>
        <w:pStyle w:val="ListBullet"/>
      </w:pPr>
      <w:r>
        <w:t>Fièvre médicamenteuse (1–2 %)</w:t>
      </w:r>
    </w:p>
    <w:p>
      <w:pPr>
        <w:pStyle w:val="ListBullet"/>
      </w:pPr>
      <w:r>
        <w:t>Hypertension artérielle pulmonaire (signal émergent, alerte EMA 2020)</w:t>
      </w:r>
    </w:p>
    <w:p>
      <w:r/>
      <w:r>
        <w:rPr>
          <w:i/>
        </w:rPr>
        <w:t>Peu fréquents (0,1–1 %)</w:t>
      </w:r>
      <w:r>
        <w:t xml:space="preserve"> :</w:t>
      </w:r>
    </w:p>
    <w:p>
      <w:pPr>
        <w:pStyle w:val="ListBullet"/>
      </w:pPr>
      <w:r>
        <w:t>Syndrome de Stevens-Johnson, nécrolyse épidermique toxique</w:t>
      </w:r>
    </w:p>
    <w:p>
      <w:pPr>
        <w:pStyle w:val="ListBullet"/>
      </w:pPr>
      <w:r>
        <w:t>Réactions d'hypersensibilité (urticaire, éosinophilie, anaphylaxie)</w:t>
      </w:r>
    </w:p>
    <w:p>
      <w:pPr>
        <w:pStyle w:val="ListBullet"/>
      </w:pPr>
      <w:r>
        <w:t>Hépatite fulminante (cas mortels rapportés)</w:t>
      </w:r>
    </w:p>
    <w:p>
      <w:pPr>
        <w:pStyle w:val="ListBullet"/>
      </w:pPr>
      <w:r>
        <w:t>Pancytopénie sévère (particulièrement chez les patients déficitaires en TPMT)</w:t>
      </w:r>
    </w:p>
    <w:p>
      <w:pPr>
        <w:pStyle w:val="ListBullet"/>
      </w:pPr>
      <w:r>
        <w:t>Pneumopathie interstitielle</w:t>
      </w:r>
    </w:p>
    <w:p>
      <w:r/>
      <w:r>
        <w:rPr>
          <w:i/>
        </w:rPr>
        <w:t>Rares (&lt; 0,1 %)</w:t>
      </w:r>
      <w:r>
        <w:t xml:space="preserve"> :</w:t>
      </w:r>
    </w:p>
    <w:p>
      <w:pPr>
        <w:pStyle w:val="ListBullet"/>
      </w:pPr>
      <w:r>
        <w:t>Lymphome (risque relatif × 4–6 en cas de traitement prolongé &gt; 10 ans, particulièrement en association à d'autres immunosuppresseurs ou chez les transplantés)</w:t>
      </w:r>
    </w:p>
    <w:p>
      <w:pPr>
        <w:pStyle w:val="ListBullet"/>
      </w:pPr>
      <w:r>
        <w:t>Cancers cutanés (carcinomes basocellulaires, épidermoïdes, mélanomes) — risque cumulatif lié à la durée d'exposition</w:t>
      </w:r>
    </w:p>
    <w:p>
      <w:pPr>
        <w:pStyle w:val="ListBullet"/>
      </w:pPr>
      <w:r>
        <w:t>Syndrome hémophagocytaire</w:t>
      </w:r>
    </w:p>
    <w:p>
      <w:pPr>
        <w:pStyle w:val="ListBullet"/>
      </w:pPr>
      <w:r>
        <w:t>Vascularite cutanée</w:t>
      </w:r>
    </w:p>
    <w:p>
      <w:r/>
      <w:r>
        <w:rPr>
          <w:i/>
        </w:rPr>
        <w:t>Signaux spécifiques importants</w:t>
      </w:r>
      <w:r>
        <w:t xml:space="preserve"> :</w:t>
      </w:r>
    </w:p>
    <w:p>
      <w:pPr>
        <w:pStyle w:val="ListBullet"/>
      </w:pPr>
      <w:r/>
      <w:r>
        <w:rPr>
          <w:b/>
        </w:rPr>
        <w:t>Myélotoxicité par déficit TPMT</w:t>
      </w:r>
      <w:r>
        <w:t xml:space="preserve"> : signal vital, justifie le génotypage pré-thérapeutique. Chez un patient déficient complet (homozygote), une dose standard de 2 mg/kg/jour provoque en 2–4 semaines une pancytopénie profonde potentiellement létale (mortalité 10–15 %). Chez un hétérozygote, la dose doit être réduite à 0,5–1 mg/kg/jour.</w:t>
      </w:r>
    </w:p>
    <w:p>
      <w:pPr>
        <w:pStyle w:val="ListBullet"/>
      </w:pPr>
      <w:r/>
      <w:r>
        <w:rPr>
          <w:b/>
        </w:rPr>
        <w:t>Hypertension artérielle pulmonaire (HTAP)</w:t>
      </w:r>
      <w:r>
        <w:t xml:space="preserve"> : signal émergent 2016–2020 (alerte ANSM 2020, EMA PRAC 2020). Mécanisme supposé : endothéliotoxicité des thio-nucléotides au niveau de l'endothélium pulmonaire. Prévalence estimée 1/1 000 patients-années. Dépistage par échographie cardiaque en cas de dyspnée d'effort inexpliquée.</w:t>
      </w:r>
    </w:p>
    <w:p>
      <w:pPr>
        <w:pStyle w:val="ListBullet"/>
      </w:pPr>
      <w:r/>
      <w:r>
        <w:rPr>
          <w:b/>
        </w:rPr>
        <w:t>Pancréatite aiguë</w:t>
      </w:r>
      <w:r>
        <w:t xml:space="preserve"> : particulièrement chez les patients atteints de MICI (incidence 3–5 %). Mécanisme : toxicité directe des thio-nucléotides sur les cellules acinaires pancréatiques. Arrêt immédiat et contre-indication définitive à tout réintroduction.</w:t>
      </w:r>
    </w:p>
    <w:p>
      <w:pPr>
        <w:pStyle w:val="Heading4"/>
      </w:pPr>
      <w:r>
        <w:t>Prévention et gestion des effets indésirables</w:t>
      </w:r>
    </w:p>
    <w:p>
      <w:r>
        <w:t xml:space="preserve">La prévention des effets indésirables de l'azathioprine repose sur cinq piliers : (i) </w:t>
      </w:r>
      <w:r>
        <w:rPr>
          <w:b/>
        </w:rPr>
        <w:t>bilan pré-thérapeutique complet</w:t>
      </w:r>
      <w:r>
        <w:t xml:space="preserve"> (NFS, plaquettes, reticulocytes, transaminases, bilirubine, créatinine, urée, TP, sérologies virales B/C/VIH/EBV/CMV, IDR à la tuberculine ou IGRA, électrocardiogramme, échographie cardiaque de référence, dosage de l'activité TPMT érythrocytaire ou génotypage TPMT), (ii) </w:t>
      </w:r>
      <w:r>
        <w:rPr>
          <w:b/>
        </w:rPr>
        <w:t>surveillance biologique mensuelle</w:t>
      </w:r>
      <w:r>
        <w:t xml:space="preserve"> pendant les 3 premiers mois (NFS, plaquettes, ALAT, ASAT, créatinine), puis trimestrielle pendant toute la durée du traitement, (iii) </w:t>
      </w:r>
      <w:r>
        <w:rPr>
          <w:b/>
        </w:rPr>
        <w:t>vérification systématique des interactions</w:t>
      </w:r>
      <w:r>
        <w:t xml:space="preserve"> (allopurinol, fébuxostat, IEC, AINS), (iv) </w:t>
      </w:r>
      <w:r>
        <w:rPr>
          <w:b/>
        </w:rPr>
        <w:t>protection solaire stricte</w:t>
      </w:r>
      <w:r>
        <w:t xml:space="preserve"> (crème solaire indice 50+ en cas d'exposition), (v) </w:t>
      </w:r>
      <w:r>
        <w:rPr>
          <w:b/>
        </w:rPr>
        <w:t>vaccination anti-grippe saisonnière, anti-pneumococcique et anti-COVID</w:t>
      </w:r>
      <w:r>
        <w:t xml:space="preserve"> avant initiation (vaccins inactivés autorisés pendant le traitement).</w:t>
      </w:r>
    </w:p>
    <w:p>
      <w:r>
        <w:t xml:space="preserve">En cas de </w:t>
      </w:r>
      <w:r>
        <w:rPr>
          <w:b/>
        </w:rPr>
        <w:t>cytopénie</w:t>
      </w:r>
      <w:r>
        <w:t xml:space="preserve"> :</w:t>
      </w:r>
    </w:p>
    <w:p>
      <w:pPr>
        <w:pStyle w:val="ListBullet"/>
      </w:pPr>
      <w:r>
        <w:t>Leucocytes &lt; 3 G/L ou neutrophiles &lt; 1,5 G/L : réduire la dose de 25 %, contrôle NFS à 2 semaines.</w:t>
      </w:r>
    </w:p>
    <w:p>
      <w:pPr>
        <w:pStyle w:val="ListBullet"/>
      </w:pPr>
      <w:r>
        <w:t>Leucocytes &lt; 2 G/L ou neutrophiles &lt; 1 G/L : arrêt immédiat, hospitalisation si fièvre associée, G-CSF (filgrastim) en cas de neutropénie profonde &lt; 0,5 G/L.</w:t>
      </w:r>
    </w:p>
    <w:p>
      <w:pPr>
        <w:pStyle w:val="ListBullet"/>
      </w:pPr>
      <w:r>
        <w:t>Plaquettes &lt; 100 G/L : réduire la dose de 25 %, contrôle à 2 semaines.</w:t>
      </w:r>
    </w:p>
    <w:p>
      <w:pPr>
        <w:pStyle w:val="ListBullet"/>
      </w:pPr>
      <w:r>
        <w:t>Plaquettes &lt; 50 G/L : arrêt immédiat.</w:t>
      </w:r>
    </w:p>
    <w:p>
      <w:r>
        <w:t>En cas d'</w:t>
      </w:r>
      <w:r>
        <w:rPr>
          <w:b/>
        </w:rPr>
        <w:t>élévation des transaminases</w:t>
      </w:r>
      <w:r>
        <w:t xml:space="preserve"> :</w:t>
      </w:r>
    </w:p>
    <w:p>
      <w:pPr>
        <w:pStyle w:val="ListBullet"/>
      </w:pPr>
      <w:r>
        <w:t>ALAT/ASAT &lt; 2× LSN : poursuivre, surveillance à 2 semaines.</w:t>
      </w:r>
    </w:p>
    <w:p>
      <w:pPr>
        <w:pStyle w:val="ListBullet"/>
      </w:pPr>
      <w:r>
        <w:t>ALAT/ASAT entre 2× et 5× LSN : réduire la dose de 50 %, surveillance bihebdomadaire.</w:t>
      </w:r>
    </w:p>
    <w:p>
      <w:pPr>
        <w:pStyle w:val="ListBullet"/>
      </w:pPr>
      <w:r>
        <w:t>ALAT/ASAT &gt; 5× LSN : arrêt immédiat, bilan étiologique complet.</w:t>
      </w:r>
    </w:p>
    <w:p>
      <w:r>
        <w:t xml:space="preserve">En cas de </w:t>
      </w:r>
      <w:r>
        <w:rPr>
          <w:b/>
        </w:rPr>
        <w:t>pancréatite</w:t>
      </w:r>
      <w:r>
        <w:t xml:space="preserve"> : arrêt définitif, réintroduction contre-indiquée.</w:t>
      </w:r>
    </w:p>
    <w:p>
      <w:r>
        <w:t xml:space="preserve">En cas de </w:t>
      </w:r>
      <w:r>
        <w:rPr>
          <w:b/>
        </w:rPr>
        <w:t>dyspnée inexpliquée</w:t>
      </w:r>
      <w:r>
        <w:t xml:space="preserve"> : échographie cardiaque en urgence pour éliminer une HTAP, arrêt de l'azathioprine si HTAP confirmée.</w:t>
      </w:r>
    </w:p>
    <w:p>
      <w:pPr>
        <w:pStyle w:val="Heading4"/>
      </w:pPr>
      <w:r>
        <w:t>Interactions médicamenteuses</w:t>
      </w:r>
    </w:p>
    <w:p>
      <w:pPr>
        <w:pStyle w:val="ListBullet"/>
      </w:pPr>
      <w:r/>
      <w:r>
        <w:rPr>
          <w:b/>
        </w:rPr>
        <w:t>Associations contre-indiquées</w:t>
      </w:r>
      <w:r>
        <w:t xml:space="preserve"> :</w:t>
      </w:r>
    </w:p>
    <w:p>
      <w:pPr>
        <w:pStyle w:val="ListBullet"/>
      </w:pPr>
      <w:r/>
      <w:r>
        <w:rPr>
          <w:b/>
        </w:rPr>
        <w:t>Allopurinol, fébuxostat</w:t>
      </w:r>
      <w:r>
        <w:t xml:space="preserve"> (inhibiteurs de la xanthine-oxydase) : la XO est la voie catabolique principale de la 6-MP. Son inhibition conduit à une accumulation massive de 6-MP et de thio-nucléotides, avec risque de myélotoxicité létale. </w:t>
      </w:r>
      <w:r>
        <w:rPr>
          <w:b/>
        </w:rPr>
        <w:t>En cas d'association indispensable, réduire la dose d'azathioprine à 25–33 % de la dose standard</w:t>
      </w:r>
      <w:r>
        <w:t xml:space="preserve"> (par exemple de 2 mg/kg/jour à 0,5–0,7 mg/kg/jour), surveillance NFS hebdomadaire pendant 2 mois. Vérifier systématiquement la prescription d'allopurinol chez tout patient goutteux.</w:t>
      </w:r>
    </w:p>
    <w:p>
      <w:pPr>
        <w:pStyle w:val="ListBullet"/>
      </w:pPr>
      <w:r/>
      <w:r>
        <w:rPr>
          <w:b/>
        </w:rPr>
        <w:t>Vaccins vivants atténués</w:t>
      </w:r>
      <w:r>
        <w:t xml:space="preserve"> : risque d'infection vaccinale sévère. Respecter un délai de 3 mois après l'arrêt de l'azathioprine avant toute vaccination vivante.</w:t>
      </w:r>
    </w:p>
    <w:p>
      <w:pPr>
        <w:pStyle w:val="ListBullet"/>
      </w:pPr>
      <w:r/>
      <w:r>
        <w:rPr>
          <w:b/>
        </w:rPr>
        <w:t>Associations déconseillées</w:t>
      </w:r>
      <w:r>
        <w:t xml:space="preserve"> :</w:t>
      </w:r>
    </w:p>
    <w:p>
      <w:pPr>
        <w:pStyle w:val="ListBullet"/>
      </w:pPr>
      <w:r/>
      <w:r>
        <w:rPr>
          <w:b/>
        </w:rPr>
        <w:t>Inhibiteurs de l'enzyme de conversion (IEC), ARA2</w:t>
      </w:r>
      <w:r>
        <w:t xml:space="preserve"> : potentialisation du risque d'hypertension artérielle pulmonaire (signal émergent). Surveillance clinique et échographique.</w:t>
      </w:r>
    </w:p>
    <w:p>
      <w:pPr>
        <w:pStyle w:val="ListBullet"/>
      </w:pPr>
      <w:r/>
      <w:r>
        <w:rPr>
          <w:b/>
        </w:rPr>
        <w:t>Ribavirine</w:t>
      </w:r>
      <w:r>
        <w:t xml:space="preserve"> : inhibition de la voie ERS-axe IMPDH, majoration de la myélotoxicité.</w:t>
      </w:r>
    </w:p>
    <w:p>
      <w:pPr>
        <w:pStyle w:val="ListBullet"/>
      </w:pPr>
      <w:r/>
      <w:r>
        <w:rPr>
          <w:b/>
        </w:rPr>
        <w:t>Sulfamides antibactériens (cotrimoxazole, sulfaméthoxazole)</w:t>
      </w:r>
      <w:r>
        <w:t xml:space="preserve"> : potentialisation de la myélotoxicité et de l'hépatotoxicité.</w:t>
      </w:r>
    </w:p>
    <w:p>
      <w:pPr>
        <w:pStyle w:val="ListBullet"/>
      </w:pPr>
      <w:r/>
      <w:r>
        <w:rPr>
          <w:b/>
        </w:rPr>
        <w:t>Ciclosporine, tacrolimus</w:t>
      </w:r>
      <w:r>
        <w:t xml:space="preserve"> : potentialisation de l'immunosuppression et de la néphrotoxicité de la ciclosporine (compétition métabolique).</w:t>
      </w:r>
    </w:p>
    <w:p>
      <w:pPr>
        <w:pStyle w:val="ListBullet"/>
      </w:pPr>
      <w:r/>
      <w:r>
        <w:rPr>
          <w:b/>
        </w:rPr>
        <w:t>Warfarine, antivitamines K</w:t>
      </w:r>
      <w:r>
        <w:t xml:space="preserve"> : variabilité de l'INR (interaction métabolique complexe), surveillance rapprochée.</w:t>
      </w:r>
    </w:p>
    <w:p>
      <w:pPr>
        <w:pStyle w:val="ListBullet"/>
      </w:pPr>
      <w:r/>
      <w:r>
        <w:rPr>
          <w:b/>
        </w:rPr>
        <w:t>Curares</w:t>
      </w:r>
      <w:r>
        <w:t xml:space="preserve"> (succinylcholine, rocuronium) : inhibition de la pseudocholinestérase, prolongation de la curarisation.</w:t>
      </w:r>
    </w:p>
    <w:p>
      <w:pPr>
        <w:pStyle w:val="ListBullet"/>
      </w:pPr>
      <w:r/>
      <w:r>
        <w:rPr>
          <w:b/>
        </w:rPr>
        <w:t>Associations nécessitant des précautions d'emploi</w:t>
      </w:r>
      <w:r>
        <w:t xml:space="preserve"> :</w:t>
      </w:r>
    </w:p>
    <w:p>
      <w:pPr>
        <w:pStyle w:val="ListBullet"/>
      </w:pPr>
      <w:r/>
      <w:r>
        <w:rPr>
          <w:b/>
        </w:rPr>
        <w:t>Mésalazine, sulfasalazine</w:t>
      </w:r>
      <w:r>
        <w:t xml:space="preserve"> : inhibition de la TPMT, majoration de la myélotoxicité. Surveillance NFS renforcée.</w:t>
      </w:r>
    </w:p>
    <w:p>
      <w:pPr>
        <w:pStyle w:val="ListBullet"/>
      </w:pPr>
      <w:r/>
      <w:r>
        <w:rPr>
          <w:b/>
        </w:rPr>
        <w:t>Diurétiques épargneurs de potassium, AINS</w:t>
      </w:r>
      <w:r>
        <w:t xml:space="preserve"> : majoration du risque d'insuffisance rénale et d'hyperkaliémie.</w:t>
      </w:r>
    </w:p>
    <w:p>
      <w:pPr>
        <w:pStyle w:val="ListBullet"/>
      </w:pPr>
      <w:r/>
      <w:r>
        <w:rPr>
          <w:b/>
        </w:rPr>
        <w:t>Corticoïdes</w:t>
      </w:r>
      <w:r>
        <w:t xml:space="preserve"> : association utile (effet stéroïde-épargne), mais surveillance de la tolérance.</w:t>
      </w:r>
    </w:p>
    <w:p>
      <w:pPr>
        <w:pStyle w:val="ListBullet"/>
      </w:pPr>
      <w:r/>
      <w:r>
        <w:rPr>
          <w:b/>
        </w:rPr>
        <w:t>Anti-TNFα, rituximab</w:t>
      </w:r>
      <w:r>
        <w:t xml:space="preserve"> : potentialisation de l'immunosuppression, du risque infectieux et de lymphome.</w:t>
      </w:r>
    </w:p>
    <w:p>
      <w:pPr>
        <w:pStyle w:val="ListBullet"/>
      </w:pPr>
      <w:r/>
      <w:r>
        <w:rPr>
          <w:b/>
        </w:rPr>
        <w:t>Phénytoïne</w:t>
      </w:r>
      <w:r>
        <w:t xml:space="preserve"> : diminution de l'absorption de la phénytoïne, surveillance des concentrations.</w:t>
      </w:r>
    </w:p>
    <w:p>
      <w:pPr>
        <w:pStyle w:val="Heading4"/>
      </w:pPr>
      <w:r>
        <w:t>Grossesse et allaitement (CRAT)</w:t>
      </w:r>
    </w:p>
    <w:p>
      <w:r>
        <w:t>Les données du CRAT (Centre de Renseignement sur les Agents Tératogènes) et de la méta-analyse GOLDSTEIN et coll. (</w:t>
      </w:r>
      <w:r>
        <w:rPr>
          <w:i/>
        </w:rPr>
        <w:t>Am J Gastroenterol</w:t>
      </w:r>
      <w:r>
        <w:t xml:space="preserve"> 2007) sur l'azathioprine pendant la grossesse sont les suivantes :</w:t>
      </w:r>
    </w:p>
    <w:p>
      <w:pPr>
        <w:pStyle w:val="ListBullet"/>
      </w:pPr>
      <w:r/>
      <w:r>
        <w:rPr>
          <w:b/>
        </w:rPr>
        <w:t>Grossesse</w:t>
      </w:r>
      <w:r>
        <w:t xml:space="preserve"> :</w:t>
      </w:r>
    </w:p>
    <w:p>
      <w:pPr>
        <w:pStyle w:val="ListBullet"/>
      </w:pPr>
      <w:r>
        <w:t>L'azathioprine traverse le placenta (rapport cordon/maternel ≈ 0,5–1,0), mais la majorité du médicament est métabolisée en 6-MP inactive par le placenta et le foie fœtal (qui ne dispose pas encore d'une HGPRT active à terme).</w:t>
      </w:r>
    </w:p>
    <w:p>
      <w:pPr>
        <w:pStyle w:val="ListBullet"/>
      </w:pPr>
      <w:r>
        <w:t>Données animales : tératogénicité à doses supra-thérapeutiques (anomalies squelettiques, fentes palatines) chez la souris et le lapin.</w:t>
      </w:r>
    </w:p>
    <w:p>
      <w:pPr>
        <w:pStyle w:val="ListBullet"/>
      </w:pPr>
      <w:r>
        <w:t>Données humaines : pas d'augmentation du risque de malformations majeures dans les cohortes prospectives de patientes atteintes de MICI (COSMOS, ECCO ConCePT, *Gut* 2015), de LES (Weber-Schoendorfer et coll., *Arthritis Rheum* 2014), de transplantées rénales. Risque accru de prématurité et de retard de croissance intra-utérin (probablement lié à la maladie sous-jacente plutôt qu'à l'azathioprine elle-même).</w:t>
      </w:r>
    </w:p>
    <w:p>
      <w:pPr>
        <w:pStyle w:val="ListBullet"/>
      </w:pPr>
      <w:r/>
      <w:r>
        <w:rPr>
          <w:b/>
        </w:rPr>
        <w:t>Recommandation CRAT/EULAR</w:t>
      </w:r>
      <w:r>
        <w:t xml:space="preserve"> : l'azathioprine peut être poursuivie pendant la grossesse si la maladie maternelle est contrôlée et nécessite ce traitement. Préférer les 2e et 3e trimestres. Éviter l'initiation en cours de grossesse.</w:t>
      </w:r>
    </w:p>
    <w:p>
      <w:pPr>
        <w:pStyle w:val="ListBullet"/>
      </w:pPr>
      <w:r>
        <w:t>Surveillance : NFS maternelle mensuelle, échographie morphologique du 2e trimestre, surveillance de la croissance fœtale.</w:t>
      </w:r>
    </w:p>
    <w:p>
      <w:pPr>
        <w:pStyle w:val="ListBullet"/>
      </w:pPr>
      <w:r>
        <w:t>Chez le nouveau-né de mère traitée : surveillance de la numération formule sanguine à J3 (risque de cytopénie transitoire par passage transplacentaire).</w:t>
      </w:r>
    </w:p>
    <w:p>
      <w:pPr>
        <w:pStyle w:val="ListBullet"/>
      </w:pPr>
      <w:r/>
      <w:r>
        <w:rPr>
          <w:b/>
        </w:rPr>
        <w:t>Allaitement</w:t>
      </w:r>
      <w:r>
        <w:t xml:space="preserve"> :</w:t>
      </w:r>
    </w:p>
    <w:p>
      <w:pPr>
        <w:pStyle w:val="ListBullet"/>
      </w:pPr>
      <w:r>
        <w:t>La 6-MP passe dans le lait maternel (concentration lait/plasma ≈ 0,1–0,5).</w:t>
      </w:r>
    </w:p>
    <w:p>
      <w:pPr>
        <w:pStyle w:val="ListBullet"/>
      </w:pPr>
      <w:r/>
      <w:r>
        <w:rPr>
          <w:b/>
        </w:rPr>
        <w:t>Recommandation CRAT/EULAR</w:t>
      </w:r>
      <w:r>
        <w:t xml:space="preserve"> : l'allaitement est possible sous azathioprine, en surveillant la numération formule sanguine de l'enfant allaité (cytopénies rares mais décrites). Préférer la prise du médicament juste après une tétée pour minimiser l'exposition du nourrisson.</w:t>
      </w:r>
    </w:p>
    <w:p>
      <w:pPr>
        <w:pStyle w:val="ListBullet"/>
      </w:pPr>
      <w:r>
        <w:t>Cas particulier : chez le prématuré ou le nouveau-né &lt; 1 mois, prudence accrue et surveillance hématologique hebdomadaire.</w:t>
      </w:r>
    </w:p>
    <w:p>
      <w:pPr>
        <w:pStyle w:val="Heading4"/>
      </w:pPr>
      <w:r>
        <w:t>Posologie et mode d'administration</w:t>
      </w:r>
    </w:p>
    <w:p>
      <w:pPr>
        <w:pStyle w:val="ListBullet"/>
      </w:pPr>
      <w:r/>
      <w:r>
        <w:rPr>
          <w:b/>
        </w:rPr>
        <w:t>Posologie standard chez l'adulte</w:t>
      </w:r>
      <w:r>
        <w:t xml:space="preserve"> :</w:t>
      </w:r>
    </w:p>
    <w:p>
      <w:pPr>
        <w:pStyle w:val="ListBullet"/>
      </w:pPr>
      <w:r/>
      <w:r>
        <w:rPr>
          <w:b/>
        </w:rPr>
        <w:t>Polyarthrite rhumatoïde</w:t>
      </w:r>
      <w:r>
        <w:t xml:space="preserve"> : 1–3 mg/kg/jour en une prise (généralement 100–150 mg/jour pour un adulte de 70 kg), à titre d'essai thérapeutique en cas d'échec du méthotrexate. Posologie d'attaque 1 mg/kg/jour pendant 4–6 semaines puis augmentation à 2–3 mg/kg/jour selon la tolérance et l'efficacité.</w:t>
      </w:r>
    </w:p>
    <w:p>
      <w:pPr>
        <w:pStyle w:val="ListBullet"/>
      </w:pPr>
      <w:r/>
      <w:r>
        <w:rPr>
          <w:b/>
        </w:rPr>
        <w:t>Lupus érythémateux systémique</w:t>
      </w:r>
      <w:r>
        <w:t xml:space="preserve"> : 2 mg/kg/jour (généralement 100–150 mg/jour) en une prise, en traitement d'entretien après cyclophosphamide.</w:t>
      </w:r>
    </w:p>
    <w:p>
      <w:pPr>
        <w:pStyle w:val="ListBullet"/>
      </w:pPr>
      <w:r/>
      <w:r>
        <w:rPr>
          <w:b/>
        </w:rPr>
        <w:t>Vascularites à ANCA</w:t>
      </w:r>
      <w:r>
        <w:t xml:space="preserve"> : 2 mg/kg/jour en traitement d'entretien pendant 12–24 mois.</w:t>
      </w:r>
    </w:p>
    <w:p>
      <w:pPr>
        <w:pStyle w:val="ListBullet"/>
      </w:pPr>
      <w:r/>
      <w:r>
        <w:rPr>
          <w:b/>
        </w:rPr>
        <w:t>Hépatite auto-immune</w:t>
      </w:r>
      <w:r>
        <w:t xml:space="preserve"> : 1–2 mg/kg/jour en association à la prednisone.</w:t>
      </w:r>
    </w:p>
    <w:p>
      <w:pPr>
        <w:pStyle w:val="ListBullet"/>
      </w:pPr>
      <w:r/>
      <w:r>
        <w:rPr>
          <w:b/>
        </w:rPr>
        <w:t>Maladies inflammatoires chroniques de l'intestin</w:t>
      </w:r>
      <w:r>
        <w:t xml:space="preserve"> : 2–2,5 mg/kg/jour, dose cible 2,5 mg/kg/jour.</w:t>
      </w:r>
    </w:p>
    <w:p>
      <w:pPr>
        <w:pStyle w:val="ListBullet"/>
      </w:pPr>
      <w:r/>
      <w:r>
        <w:rPr>
          <w:b/>
        </w:rPr>
        <w:t>Prévention du rejet de greffe</w:t>
      </w:r>
      <w:r>
        <w:t xml:space="preserve"> : 2–3 mg/kg/jour (historique).</w:t>
      </w:r>
    </w:p>
    <w:p>
      <w:pPr>
        <w:pStyle w:val="ListBullet"/>
      </w:pPr>
      <w:r/>
      <w:r>
        <w:rPr>
          <w:b/>
        </w:rPr>
        <w:t>Mode d'administration</w:t>
      </w:r>
      <w:r>
        <w:t xml:space="preserve"> : per os, en une prise quotidienne unique (de préférence le matin après le petit-déjeuner, avec un grand verre d'eau). Les comprimés doivent être avalés entiers sans croquer ni écraser. Manipulation des comprimés par une femme enceinte : porter des gants (risque de manipulation de poudre toxique pour le fœtus).</w:t>
      </w:r>
    </w:p>
    <w:p>
      <w:pPr>
        <w:pStyle w:val="ListBullet"/>
      </w:pPr>
      <w:r/>
      <w:r>
        <w:rPr>
          <w:b/>
        </w:rPr>
        <w:t>Adaptation posologique selon le génotype TPMT</w:t>
      </w:r>
      <w:r>
        <w:t xml:space="preserve"> :</w:t>
      </w:r>
    </w:p>
    <w:p>
      <w:pPr>
        <w:pStyle w:val="ListBullet"/>
      </w:pPr>
      <w:r>
        <w:t>Homozygote sauvage *1/*1 (activité normale) : dose standard</w:t>
      </w:r>
    </w:p>
    <w:p>
      <w:pPr>
        <w:pStyle w:val="ListBullet"/>
      </w:pPr>
      <w:r>
        <w:t>Hétérozygote *1/*3A ou *1/*3C (activité intermédiaire) : dose réduite à 30–70 % de la dose standard</w:t>
      </w:r>
    </w:p>
    <w:p>
      <w:pPr>
        <w:pStyle w:val="ListBullet"/>
      </w:pPr>
      <w:r>
        <w:t xml:space="preserve">Homozygote muté *3A/*3A ou *3C/*3C (déficit complet) : </w:t>
      </w:r>
      <w:r>
        <w:rPr>
          <w:b/>
        </w:rPr>
        <w:t>contre-indication absolue à l'azathioprine</w:t>
      </w:r>
      <w:r/>
    </w:p>
    <w:p>
      <w:pPr>
        <w:pStyle w:val="ListBullet"/>
      </w:pPr>
      <w:r/>
      <w:r>
        <w:rPr>
          <w:b/>
        </w:rPr>
        <w:t>Adaptation posologique selon la fonction rénale</w:t>
      </w:r>
      <w:r>
        <w:t xml:space="preserve"> :</w:t>
      </w:r>
    </w:p>
    <w:p>
      <w:pPr>
        <w:pStyle w:val="ListBullet"/>
      </w:pPr>
      <w:r>
        <w:t>DFG &gt; 60 mL/min : dose standard</w:t>
      </w:r>
    </w:p>
    <w:p>
      <w:pPr>
        <w:pStyle w:val="ListBullet"/>
      </w:pPr>
      <w:r>
        <w:t>DFG 30–60 mL/min : réduire à 75 % de la dose standard</w:t>
      </w:r>
    </w:p>
    <w:p>
      <w:pPr>
        <w:pStyle w:val="ListBullet"/>
      </w:pPr>
      <w:r>
        <w:t>DFG &lt; 30 mL/min : contre-indication relative, à éviter en pratique</w:t>
      </w:r>
    </w:p>
    <w:p>
      <w:pPr>
        <w:pStyle w:val="ListBullet"/>
      </w:pPr>
      <w:r/>
      <w:r>
        <w:rPr>
          <w:b/>
        </w:rPr>
        <w:t>Adaptation posologique chez le sujet âgé</w:t>
      </w:r>
      <w:r>
        <w:t xml:space="preserve"> : commencer à 1 mg/kg/jour, augmenter progressivement selon la tolérance, surveillance rapprochée (NFS, ALAT) toutes les 2 semaines pendant 2 mois.</w:t>
      </w:r>
    </w:p>
    <w:p>
      <w:pPr>
        <w:pStyle w:val="ListBullet"/>
      </w:pPr>
      <w:r/>
      <w:r>
        <w:rPr>
          <w:b/>
        </w:rPr>
        <w:t>Durée du traitement</w:t>
      </w:r>
      <w:r>
        <w:t xml:space="preserve"> : traitement chronique au long cours (années), à poursuivre tant que la maladie est active. L'arrêt doit être discuté en cas de rémission complète prolongée (&gt; 2 ans), en tenant compte du risque de rechute.</w:t>
      </w:r>
    </w:p>
    <w:p>
      <w:pPr>
        <w:pStyle w:val="Heading4"/>
      </w:pPr>
      <w:r>
        <w:t>Formes galéniques disponibles</w:t>
      </w:r>
    </w:p>
    <w:p>
      <w:pPr>
        <w:pStyle w:val="ListBullet"/>
      </w:pPr>
      <w:r>
        <w:t>Comprimés pelliculés sécables à 50 mg (uniquement dosage disponible en Algérie)</w:t>
      </w:r>
    </w:p>
    <w:p>
      <w:pPr>
        <w:pStyle w:val="ListBullet"/>
      </w:pPr>
      <w:r>
        <w:t>Conditionnement : boîte de 100 comprimés</w:t>
      </w:r>
    </w:p>
    <w:p>
      <w:pPr>
        <w:pStyle w:val="ListBullet"/>
      </w:pPr>
      <w:r/>
      <w:r>
        <w:rPr>
          <w:b/>
        </w:rPr>
        <w:t>Forme injectable</w:t>
      </w:r>
      <w:r>
        <w:t xml:space="preserve"> : non commercialisée en Algérie (existait historiquement, perfusion IV possible en milieu hospitalier en Europe)</w:t>
      </w:r>
    </w:p>
    <w:p>
      <w:pPr>
        <w:pStyle w:val="ListBullet"/>
      </w:pPr>
      <w:r/>
      <w:r>
        <w:rPr>
          <w:b/>
        </w:rPr>
        <w:t>Forme pédiatrique</w:t>
      </w:r>
      <w:r>
        <w:t xml:space="preserve"> : sirop ou suspension buvable — non disponible en Algérie, accessible en France (IMUREL suspension)</w:t>
      </w:r>
    </w:p>
    <w:p>
      <w:pPr>
        <w:pStyle w:val="ListBullet"/>
      </w:pPr>
      <w:r/>
      <w:r>
        <w:rPr>
          <w:b/>
        </w:rPr>
        <w:t>Forme à libération prolongée</w:t>
      </w:r>
      <w:r>
        <w:t xml:space="preserve"> : non disponible</w:t>
      </w:r>
    </w:p>
    <w:p>
      <w:pPr>
        <w:pStyle w:val="ListBullet"/>
      </w:pPr>
      <w:r>
        <w:t>Conservation : à température ≤ 25°C, à l'abri de l'humidité. Durée de validité : 5 ans.</w:t>
      </w:r>
    </w:p>
    <w:p>
      <w:pPr>
        <w:pStyle w:val="Heading4"/>
      </w:pPr>
      <w:r>
        <w:t>Conseils au patient</w:t>
      </w:r>
    </w:p>
    <w:p>
      <w:pPr>
        <w:pStyle w:val="ListBullet"/>
      </w:pPr>
      <w:r/>
      <w:r>
        <w:rPr>
          <w:b/>
        </w:rPr>
        <w:t>Information sur le caractère chronique et retardé du traitement</w:t>
      </w:r>
      <w:r>
        <w:t xml:space="preserve"> : l'effet de l'azathioprine n'est pas immédiat (délai 6–12 semaines), il prévient l'évolution de la maladie. Ne pas arrêter en cas d'absence d'effet initial, et ne pas interrompre brutalement en cas de rémission (risque de rechute).</w:t>
      </w:r>
    </w:p>
    <w:p>
      <w:pPr>
        <w:pStyle w:val="ListBullet"/>
      </w:pPr>
      <w:r/>
      <w:r>
        <w:rPr>
          <w:b/>
        </w:rPr>
        <w:t>Surveillance biologique mensuelle</w:t>
      </w:r>
      <w:r>
        <w:t xml:space="preserve"> pendant les 3 premiers mois puis trimestrielle : NFS, plaquettes, ALAT, ASAT, créatinine. Le patient doit se rendre au laboratoire à jeun ou non, selon la prescription.</w:t>
      </w:r>
    </w:p>
    <w:p>
      <w:pPr>
        <w:pStyle w:val="ListBullet"/>
      </w:pPr>
      <w:r/>
      <w:r>
        <w:rPr>
          <w:b/>
        </w:rPr>
        <w:t>Éducation aux signes d'alerte</w:t>
      </w:r>
      <w:r>
        <w:t xml:space="preserve"> nécessitant un avis médical urgent : fièvre &gt; 38,5°C, angine (signal de myélotoxicité), aphtes buccaux multiples, hématomes spontanés, saignements, ictère, urines foncées, douleurs abdominales intenses (pancréatite), dyspnée d'effour (HTAP), toux persistante.</w:t>
      </w:r>
    </w:p>
    <w:p>
      <w:pPr>
        <w:pStyle w:val="ListBullet"/>
      </w:pPr>
      <w:r/>
      <w:r>
        <w:rPr>
          <w:b/>
        </w:rPr>
        <w:t>Protection solaire stricte</w:t>
      </w:r>
      <w:r>
        <w:t xml:space="preserve"> : crème solaire indice 50+ en cas d'exposition, vêtements couvrants, éviter les expositions directes entre 11h et 16h. Le risque de cancer cutané (carcinome basocellulaire, épidermoïde, mélanome) est augmenté en cas d'exposition prolongée au soleil sous azathioprine.</w:t>
      </w:r>
    </w:p>
    <w:p>
      <w:pPr>
        <w:pStyle w:val="ListBullet"/>
      </w:pPr>
      <w:r/>
      <w:r>
        <w:rPr>
          <w:b/>
        </w:rPr>
        <w:t>Vaccination</w:t>
      </w:r>
      <w:r>
        <w:t xml:space="preserve"> : mettre à jour les vaccins inactivés (grippe saisonnière annuelle, pneumocoque tous les 5 ans, COVID-19, hépatite B, tétanos) avant l'initiation ou pendant le traitement. Éviter les vaccins vivants atténués (rougeole, ROR, fièvre jaune, BCG, varicelle, Zostavax) pendant le traitement et 3 mois après l'arrêt.</w:t>
      </w:r>
    </w:p>
    <w:p>
      <w:pPr>
        <w:pStyle w:val="ListBullet"/>
      </w:pPr>
      <w:r/>
      <w:r>
        <w:rPr>
          <w:b/>
        </w:rPr>
        <w:t>Grossesse et contraception</w:t>
      </w:r>
      <w:r>
        <w:t xml:space="preserve"> : en cas de désir de grossesse, consulter le rhumatologue ou le médecin interniste 6 mois à l'avance pour adapter le traitement (l'azathioprine peut être poursuivie mais à dose optimisée). Chez l'homme traité : pas de nécessité d'arrêt pour conception (données rassurantes).</w:t>
      </w:r>
    </w:p>
    <w:p>
      <w:pPr>
        <w:pStyle w:val="ListBullet"/>
      </w:pPr>
      <w:r/>
      <w:r>
        <w:rPr>
          <w:b/>
        </w:rPr>
        <w:t>Éviter l'automédication</w:t>
      </w:r>
      <w:r>
        <w:t xml:space="preserve"> : ne pas prendre d'allopurinol ni de fébuxostat (prescrits pour la goutte) sans avis médical. Ne pas prendre de cotrimoxazole sans avis. Signaler tout nouveau médicament au pharmacien d'officine.</w:t>
      </w:r>
    </w:p>
    <w:p>
      <w:pPr>
        <w:pStyle w:val="ListBullet"/>
      </w:pPr>
      <w:r/>
      <w:r>
        <w:rPr>
          <w:b/>
        </w:rPr>
        <w:t>Hygiène alimentaire</w:t>
      </w:r>
      <w:r>
        <w:t xml:space="preserve"> : éviter la consommation de viandes crues ou peu cuites, de produits laitiers non pasteurisés (risque de toxoplasmose, de listériose, de salmonellose aggravées par l'immunodépression).</w:t>
      </w:r>
    </w:p>
    <w:p>
      <w:pPr>
        <w:pStyle w:val="ListBullet"/>
      </w:pPr>
      <w:r/>
      <w:r>
        <w:rPr>
          <w:b/>
        </w:rPr>
        <w:t>Manipulation des comprimés</w:t>
      </w:r>
      <w:r>
        <w:t xml:space="preserve"> : les femmes enceintes (conjointes du patient, personnel soignant) ne doivent pas manipuler les comprimés sans gants.</w:t>
      </w:r>
    </w:p>
    <w:p>
      <w:pPr>
        <w:pStyle w:val="Heading4"/>
      </w:pPr>
      <w:r>
        <w:t>Pièges du comptoir</w:t>
      </w:r>
    </w:p>
    <w:p>
      <w:pPr>
        <w:pStyle w:val="ListNumber"/>
      </w:pPr>
      <w:r/>
      <w:r>
        <w:rPr>
          <w:b/>
        </w:rPr>
        <w:t>Oubli du génotypage TPMT pré-thérapeutique</w:t>
      </w:r>
      <w:r>
        <w:t xml:space="preserve"> : le pharmacien doit vérifier que le génotypage TPMT (ou le dosage de l'activité TPMT érythrocytaire) a été réalisé avant l'initiation. En cas d'absence de résultat, alerter le prescripteur.</w:t>
      </w:r>
    </w:p>
    <w:p>
      <w:pPr>
        <w:pStyle w:val="ListNumber"/>
      </w:pPr>
      <w:r/>
      <w:r>
        <w:rPr>
          <w:b/>
        </w:rPr>
        <w:t>Coprescription avec allopurinol</w:t>
      </w:r>
      <w:r>
        <w:t xml:space="preserve"> : piège majeur. Le patient goutteux sous allopurinol ou fébuxostat ne doit pas recevoir d'azathioprine à dose standard (réduction à 25–33 % obligatoire). Le pharmacien doit systématiquement vérifier le dossier pharmaceutique et interroger le patient sur les traitements en cours.</w:t>
      </w:r>
    </w:p>
    <w:p>
      <w:pPr>
        <w:pStyle w:val="ListNumber"/>
      </w:pPr>
      <w:r/>
      <w:r>
        <w:rPr>
          <w:b/>
        </w:rPr>
        <w:t>Confusion IMUREL / IMUREL génotype</w:t>
      </w:r>
      <w:r>
        <w:t xml:space="preserve"> : certains patients peuvent avoir reçu un génotypage TPMT et ignoré le résultat. Toujours vérifier le statut TPMT avant dispensation initiale.</w:t>
      </w:r>
    </w:p>
    <w:p>
      <w:pPr>
        <w:pStyle w:val="ListNumber"/>
      </w:pPr>
      <w:r/>
      <w:r>
        <w:rPr>
          <w:b/>
        </w:rPr>
        <w:t>Initiation chez un sujet âgé sans adaptation posologique</w:t>
      </w:r>
      <w:r>
        <w:t xml:space="preserve"> : commencer à dose réduite (1 mg/kg/jour) chez le sujet âgé &gt; 65 ans, surveillance rapprochée.</w:t>
      </w:r>
    </w:p>
    <w:p>
      <w:pPr>
        <w:pStyle w:val="ListNumber"/>
      </w:pPr>
      <w:r/>
      <w:r>
        <w:rPr>
          <w:b/>
        </w:rPr>
        <w:t>Cytopénie banalisée</w:t>
      </w:r>
      <w:r>
        <w:t xml:space="preserve"> : une cytopénie modérée sous azathioprine peut précéder une pancytopénie sévère en 7–14 jours. Tout patient présentant une cytopénie modérée doit être signalé au prescripteur pour surveillance rapprochée ou arrêt.</w:t>
      </w:r>
    </w:p>
    <w:p>
      <w:pPr>
        <w:pStyle w:val="ListNumber"/>
      </w:pPr>
      <w:r/>
      <w:r>
        <w:rPr>
          <w:b/>
        </w:rPr>
        <w:t>Alopécie confondue avec lupus</w:t>
      </w:r>
      <w:r>
        <w:t xml:space="preserve"> : l'alopécie diffuse sous azathioprine est transitoire et régressive. Ne pas confondre avec une alopécie en plaques (lupus érythémateux discoïde).</w:t>
      </w:r>
    </w:p>
    <w:p>
      <w:pPr>
        <w:pStyle w:val="ListNumber"/>
      </w:pPr>
      <w:r/>
      <w:r>
        <w:rPr>
          <w:b/>
        </w:rPr>
        <w:t>Vaccin vivant atténué prescrit par erreur</w:t>
      </w:r>
      <w:r>
        <w:t xml:space="preserve"> : refuser la dispensation d'un vaccin vivant (BCG, fièvre jaune, ROR, varicelle, Zostavax) chez un patient sous azathioprine, contacter le prescripteur pour substitution par un vaccin inactivé ou respecter un délai de 3 mois après l'arrêt.</w:t>
      </w:r>
    </w:p>
    <w:p>
      <w:pPr>
        <w:pStyle w:val="ListNumber"/>
      </w:pPr>
      <w:r/>
      <w:r>
        <w:rPr>
          <w:b/>
        </w:rPr>
        <w:t>Interaction avec la warfarine</w:t>
      </w:r>
      <w:r>
        <w:t xml:space="preserve"> : surveillance de l'INR à l'initiation et à l'arrêt de l'azathioprine (variabilité de l'effet anticoagulant).</w:t>
      </w:r>
    </w:p>
    <w:p>
      <w:pPr>
        <w:pStyle w:val="ListNumber"/>
      </w:pPr>
      <w:r/>
      <w:r>
        <w:rPr>
          <w:b/>
        </w:rPr>
        <w:t>Poursuite pendant la grossesse sans surveillance renforcée</w:t>
      </w:r>
      <w:r>
        <w:t xml:space="preserve"> : la patiente enceinte sous azathioprine doit bénéficier d'une surveillance mensuelle de la NFS et d'échographies morphologiques rapprochées.</w:t>
      </w:r>
    </w:p>
    <w:p>
      <w:pPr>
        <w:pStyle w:val="ListNumber"/>
      </w:pPr>
      <w:r/>
      <w:r>
        <w:rPr>
          <w:b/>
        </w:rPr>
        <w:t>Signes d'HTAP banalisés</w:t>
      </w:r>
      <w:r>
        <w:t xml:space="preserve"> : une dyspnée d'effort nouvelle chez un patient sous azathioprine doit faire pratiquer une échographie cardiaque en urgence pour éliminer une hypertension artérielle pulmonaire.</w:t>
      </w:r>
    </w:p>
    <w:p>
      <w:pPr>
        <w:pStyle w:val="Heading2"/>
      </w:pPr>
      <w:r>
        <w:t>151.4 Sous-classe : DMARD synthétiques — Inhibiteurs de la calcineurine</w:t>
      </w:r>
    </w:p>
    <w:p>
      <w:pPr>
        <w:pStyle w:val="Heading3"/>
      </w:pPr>
      <w:r>
        <w:t>151.4.1 Généralités de la sous-classe</w:t>
      </w:r>
    </w:p>
    <w:p>
      <w:r>
        <w:t xml:space="preserve">Les inhibiteurs de la calcineurine (ICN) regroupent trois molécules apparentées : la </w:t>
      </w:r>
      <w:r>
        <w:rPr>
          <w:b/>
        </w:rPr>
        <w:t>ciclosporine</w:t>
      </w:r>
      <w:r>
        <w:t xml:space="preserve"> (ou cyclosporine A, polypeptide cyclique d'origine fongique produit par </w:t>
      </w:r>
      <w:r>
        <w:rPr>
          <w:i/>
        </w:rPr>
        <w:t>Tolypocladium inflatum</w:t>
      </w:r>
      <w:r>
        <w:t xml:space="preserve">), le </w:t>
      </w:r>
      <w:r>
        <w:rPr>
          <w:b/>
        </w:rPr>
        <w:t>tacrolimus</w:t>
      </w:r>
      <w:r>
        <w:t xml:space="preserve"> (FK506, macrolide produit par </w:t>
      </w:r>
      <w:r>
        <w:rPr>
          <w:i/>
        </w:rPr>
        <w:t>Streptomyces tsukubaensis</w:t>
      </w:r>
      <w:r>
        <w:t xml:space="preserve">), et le </w:t>
      </w:r>
      <w:r>
        <w:rPr>
          <w:b/>
        </w:rPr>
        <w:t>pimécrolimus</w:t>
      </w:r>
      <w:r>
        <w:t xml:space="preserve"> (dérivé du tacrolimus, voie topique cutanée). Seule la ciclosporine est traitée ici comme DMARD synthétique rhumatologique. Le tacrolimus est principalement utilisé en transplantation d'organe et en dermatite atopique ; son usage rhumatologique reste marginal. Le pimécrolimus (ELIDEL crème) est réservé aux dermatoses atopiques.</w:t>
      </w:r>
    </w:p>
    <w:p>
      <w:r>
        <w:t xml:space="preserve">La cible moléculaire commune aux ICN est la </w:t>
      </w:r>
      <w:r>
        <w:rPr>
          <w:b/>
        </w:rPr>
        <w:t>calcineurine</w:t>
      </w:r>
      <w:r>
        <w:t xml:space="preserve">, une sérine/thréonine phosphatase calcium-calmoduline-dépendante qui, dans les lymphocytes T activés, déphosphoryle le facteur de transcription </w:t>
      </w:r>
      <w:r>
        <w:rPr>
          <w:b/>
        </w:rPr>
        <w:t>NF-AT (Nuclear Factor of Activated T cells)</w:t>
      </w:r>
      <w:r>
        <w:t xml:space="preserve"> permettant sa translocation nucléaire et la transcription du gène de l'</w:t>
      </w:r>
      <w:r>
        <w:rPr>
          <w:b/>
        </w:rPr>
        <w:t>interleukine-2 (IL-2)</w:t>
      </w:r>
      <w:r>
        <w:t xml:space="preserve">. L'IL-2 est la cytokine majeure de la prolifération et de la différenciation lymphocytaire T : en bloquant sa production, les ICN induisent une </w:t>
      </w:r>
      <w:r>
        <w:rPr>
          <w:b/>
        </w:rPr>
        <w:t>immunosuppression lymphocytaire T cytostatique puissante et rapidement réversible</w:t>
      </w:r>
      <w:r>
        <w:t xml:space="preserve"> à l'arrêt (demi-vie d'effet ≈ 24 heures).</w:t>
      </w:r>
    </w:p>
    <w:p>
      <w:r>
        <w:t xml:space="preserve">La ciclosporine se lie à la </w:t>
      </w:r>
      <w:r>
        <w:rPr>
          <w:b/>
        </w:rPr>
        <w:t>cyclophiline A</w:t>
      </w:r>
      <w:r>
        <w:t xml:space="preserve"> (cytosolique) pour former un complexe qui inhibe la calcineurine. Le tacrolimus se lie à la </w:t>
      </w:r>
      <w:r>
        <w:rPr>
          <w:b/>
        </w:rPr>
        <w:t>FKBP-12</w:t>
      </w:r>
      <w:r>
        <w:t xml:space="preserve"> (FK506-binding protein 12) pour former un complexe qui inhibe également la calcineurine. Les deux molécules ont un mécanisme pharmacodynamique convergent mais des profils pharmacocinétiques et de tolérance distincts.</w:t>
      </w:r>
    </w:p>
    <w:p>
      <w:r>
        <w:t xml:space="preserve">Historiquement, la ciclosporine a révolutionné la transplantation d'organe après sa découverte par Jean-François Borel (Sandoz, 1976) et son introduction clinique en 1983. En rhumatologie, elle a été développée dans les années 1990 dans la PR (à faibles doses 2,5–5 mg/kg/jour, inférieures aux doses transplantologiques 8–12 mg/kg/jour) avec une efficacité démontrée mais une tolérance rénale limitant son usage au long cours. Ses indications rhumatologiques modernes sont : la </w:t>
      </w:r>
      <w:r>
        <w:rPr>
          <w:b/>
        </w:rPr>
        <w:t>polyarthrite rhumatoïde sévère réfractaire aux autres DMARD</w:t>
      </w:r>
      <w:r>
        <w:t xml:space="preserve"> (indication de seconde–troisième ligne), le </w:t>
      </w:r>
      <w:r>
        <w:rPr>
          <w:b/>
        </w:rPr>
        <w:t>psoriasis cutané sévère réfractaire aux traitements conventionnels</w:t>
      </w:r>
      <w:r>
        <w:t xml:space="preserve"> (indication dermatologique), la </w:t>
      </w:r>
      <w:r>
        <w:rPr>
          <w:b/>
        </w:rPr>
        <w:t>maladie de Behçet avec atteinte oculaire</w:t>
      </w:r>
      <w:r>
        <w:t xml:space="preserve"> (uvéite postérieure réfractaire), et certaines </w:t>
      </w:r>
      <w:r>
        <w:rPr>
          <w:b/>
        </w:rPr>
        <w:t>dermatoses bulleuses auto-immunes</w:t>
      </w:r>
      <w:r>
        <w:t>. En transplantation, elle reste utilisée dans les protocoles d'induction et d'entretien, mais a été supplantée par le tacrolimus dans la majorité des protocoles modernes.</w:t>
      </w:r>
    </w:p>
    <w:p>
      <w:r>
        <w:t>Le marché algérien de la ciclosporine est riche de 10 spécialités actives : SANDIMMUN NEORAL (NOVARTIS princeps) en capsules molles 25/50/100 mg et solution buvable 100 mg/mL, SANDIMMUN IV (forme injectable), IMUSPORIN 25/50 (CIPLA générique), CICLAID (INPHA-MEDIS solution buvable), et RESTASIS (ABBVIE emulsion ophtalmique 0,05% pour sécheresse oculaire modérée à sévère). À ces spécialités s'ajoutent 3 spécialités non renouvelées (EQUORAL, IMUSPORIN solution buvable, IMUSPORIN-100) et 3 spécialités retirées (EQUORAL 25/50/100 mg capsules, IVAX PHARMACEUTICALS). La disponibilité est donc excellente et le coût reste abordable (300–800 DA la boîte de 50 capsules selon le dosage).</w:t>
      </w:r>
    </w:p>
    <w:p>
      <w:pPr>
        <w:pStyle w:val="Heading3"/>
      </w:pPr>
      <w:r>
        <w:t>151.4.2 Ciclosporine (usage rhumatologique)</w:t>
      </w:r>
    </w:p>
    <w:p>
      <w:pPr>
        <w:pStyle w:val="Heading4"/>
      </w:pPr>
      <w:r>
        <w:t>Liste des catégories</w:t>
      </w:r>
    </w:p>
    <w:p>
      <w:pPr>
        <w:pStyle w:val="ListBullet"/>
      </w:pPr>
      <w:r>
        <w:t xml:space="preserve">ATC : L04AD01 (ciclosporine) — </w:t>
      </w:r>
      <w:r>
        <w:rPr>
          <w:b/>
        </w:rPr>
        <w:t>Inhibiteurs de la calcineurine</w:t>
      </w:r>
      <w:r/>
    </w:p>
    <w:p>
      <w:pPr>
        <w:pStyle w:val="ListBullet"/>
      </w:pPr>
      <w:r>
        <w:t>Classe thérapeutique : DMARD synthétique, immunosuppresseur, inhibiteur de la calcineurine</w:t>
      </w:r>
    </w:p>
    <w:p>
      <w:pPr>
        <w:pStyle w:val="ListBullet"/>
      </w:pPr>
      <w:r>
        <w:t xml:space="preserve">Réglementation algérienne : </w:t>
      </w:r>
      <w:r>
        <w:rPr>
          <w:b/>
        </w:rPr>
        <w:t>Liste I</w:t>
      </w:r>
      <w:r>
        <w:t xml:space="preserve"> (sur ordonnance médicale obligatoire, prescription réservée aux spécialistes en rhumatologie, dermatologie, ophtalmologie, médecine interne, néphrologie, hématologie)</w:t>
      </w:r>
    </w:p>
    <w:p>
      <w:pPr>
        <w:pStyle w:val="ListBullet"/>
      </w:pPr>
      <w:r>
        <w:t>Liste des stupéfiants : non applicable</w:t>
      </w:r>
    </w:p>
    <w:p>
      <w:pPr>
        <w:pStyle w:val="ListBullet"/>
      </w:pPr>
      <w:r>
        <w:t xml:space="preserve">Statut grossesse : </w:t>
      </w:r>
      <w:r>
        <w:rPr>
          <w:b/>
        </w:rPr>
        <w:t>Possible (catégorie C)</w:t>
      </w:r>
      <w:r>
        <w:t xml:space="preserve"> — à éviter si possible au 1er trimestre, surveillance fœtale renforcée</w:t>
      </w:r>
    </w:p>
    <w:p>
      <w:pPr>
        <w:pStyle w:val="ListBullet"/>
      </w:pPr>
      <w:r>
        <w:t>Disponibilité Algérie : 10 spécialités actives + 3 non renouvelées + 3 retirées</w:t>
      </w:r>
    </w:p>
    <w:p>
      <w:pPr>
        <w:pStyle w:val="Heading4"/>
      </w:pPr>
      <w:r>
        <w:t>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SANDIMMUN NEORAL 25 mg</w:t>
            </w:r>
          </w:p>
        </w:tc>
        <w:tc>
          <w:tcPr>
            <w:tcW w:type="dxa" w:w="1559"/>
          </w:tcPr>
          <w:p>
            <w:r>
              <w:rPr>
                <w:sz w:val="20"/>
              </w:rPr>
              <w:t>NOVARTIS PHARMA SCHWEIZ AG</w:t>
            </w:r>
          </w:p>
        </w:tc>
        <w:tc>
          <w:tcPr>
            <w:tcW w:type="dxa" w:w="1559"/>
          </w:tcPr>
          <w:p>
            <w:r>
              <w:rPr>
                <w:sz w:val="20"/>
              </w:rPr>
              <w:t>Capsule molle — 25 mg</w:t>
            </w:r>
          </w:p>
        </w:tc>
        <w:tc>
          <w:tcPr>
            <w:tcW w:type="dxa" w:w="1559"/>
          </w:tcPr>
          <w:p>
            <w:r>
              <w:rPr>
                <w:sz w:val="20"/>
              </w:rPr>
              <w:t>B/50</w:t>
            </w:r>
          </w:p>
        </w:tc>
        <w:tc>
          <w:tcPr>
            <w:tcW w:type="dxa" w:w="1559"/>
          </w:tcPr>
          <w:p>
            <w:r>
              <w:rPr>
                <w:sz w:val="20"/>
              </w:rPr>
              <w:t>LISTE I</w:t>
            </w:r>
          </w:p>
        </w:tc>
        <w:tc>
          <w:tcPr>
            <w:tcW w:type="dxa" w:w="1559"/>
          </w:tcPr>
          <w:p>
            <w:r>
              <w:rPr>
                <w:sz w:val="20"/>
              </w:rPr>
              <w:t>ACTIF</w:t>
            </w:r>
          </w:p>
        </w:tc>
      </w:tr>
      <w:tr>
        <w:tc>
          <w:tcPr>
            <w:tcW w:type="dxa" w:w="1559"/>
          </w:tcPr>
          <w:p>
            <w:r>
              <w:rPr>
                <w:sz w:val="20"/>
              </w:rPr>
              <w:t>SANDIMMUN NEORAL 50 mg</w:t>
            </w:r>
          </w:p>
        </w:tc>
        <w:tc>
          <w:tcPr>
            <w:tcW w:type="dxa" w:w="1559"/>
          </w:tcPr>
          <w:p>
            <w:r>
              <w:rPr>
                <w:sz w:val="20"/>
              </w:rPr>
              <w:t>NOVARTIS PHARMA SCHWEIZ AG</w:t>
            </w:r>
          </w:p>
        </w:tc>
        <w:tc>
          <w:tcPr>
            <w:tcW w:type="dxa" w:w="1559"/>
          </w:tcPr>
          <w:p>
            <w:r>
              <w:rPr>
                <w:sz w:val="20"/>
              </w:rPr>
              <w:t>Capsule molle — 50 mg</w:t>
            </w:r>
          </w:p>
        </w:tc>
        <w:tc>
          <w:tcPr>
            <w:tcW w:type="dxa" w:w="1559"/>
          </w:tcPr>
          <w:p>
            <w:r>
              <w:rPr>
                <w:sz w:val="20"/>
              </w:rPr>
              <w:t>B/50</w:t>
            </w:r>
          </w:p>
        </w:tc>
        <w:tc>
          <w:tcPr>
            <w:tcW w:type="dxa" w:w="1559"/>
          </w:tcPr>
          <w:p>
            <w:r>
              <w:rPr>
                <w:sz w:val="20"/>
              </w:rPr>
              <w:t>LISTE I</w:t>
            </w:r>
          </w:p>
        </w:tc>
        <w:tc>
          <w:tcPr>
            <w:tcW w:type="dxa" w:w="1559"/>
          </w:tcPr>
          <w:p>
            <w:r>
              <w:rPr>
                <w:sz w:val="20"/>
              </w:rPr>
              <w:t>ACTIF</w:t>
            </w:r>
          </w:p>
        </w:tc>
      </w:tr>
      <w:tr>
        <w:tc>
          <w:tcPr>
            <w:tcW w:type="dxa" w:w="1559"/>
          </w:tcPr>
          <w:p>
            <w:r>
              <w:rPr>
                <w:sz w:val="20"/>
              </w:rPr>
              <w:t>SANDIMMUN NEORAL 100 mg</w:t>
            </w:r>
          </w:p>
        </w:tc>
        <w:tc>
          <w:tcPr>
            <w:tcW w:type="dxa" w:w="1559"/>
          </w:tcPr>
          <w:p>
            <w:r>
              <w:rPr>
                <w:sz w:val="20"/>
              </w:rPr>
              <w:t>NOVARTIS PHARMA SCHWEIZ AG</w:t>
            </w:r>
          </w:p>
        </w:tc>
        <w:tc>
          <w:tcPr>
            <w:tcW w:type="dxa" w:w="1559"/>
          </w:tcPr>
          <w:p>
            <w:r>
              <w:rPr>
                <w:sz w:val="20"/>
              </w:rPr>
              <w:t>Capsule molle — 100 mg</w:t>
            </w:r>
          </w:p>
        </w:tc>
        <w:tc>
          <w:tcPr>
            <w:tcW w:type="dxa" w:w="1559"/>
          </w:tcPr>
          <w:p>
            <w:r>
              <w:rPr>
                <w:sz w:val="20"/>
              </w:rPr>
              <w:t>B/50</w:t>
            </w:r>
          </w:p>
        </w:tc>
        <w:tc>
          <w:tcPr>
            <w:tcW w:type="dxa" w:w="1559"/>
          </w:tcPr>
          <w:p>
            <w:r>
              <w:rPr>
                <w:sz w:val="20"/>
              </w:rPr>
              <w:t>LISTE I</w:t>
            </w:r>
          </w:p>
        </w:tc>
        <w:tc>
          <w:tcPr>
            <w:tcW w:type="dxa" w:w="1559"/>
          </w:tcPr>
          <w:p>
            <w:r>
              <w:rPr>
                <w:sz w:val="20"/>
              </w:rPr>
              <w:t>ACTIF</w:t>
            </w:r>
          </w:p>
        </w:tc>
      </w:tr>
      <w:tr>
        <w:tc>
          <w:tcPr>
            <w:tcW w:type="dxa" w:w="1559"/>
          </w:tcPr>
          <w:p>
            <w:r>
              <w:rPr>
                <w:sz w:val="20"/>
              </w:rPr>
              <w:t>SANDIMMUN NEORAL 100 mg/mL</w:t>
            </w:r>
          </w:p>
        </w:tc>
        <w:tc>
          <w:tcPr>
            <w:tcW w:type="dxa" w:w="1559"/>
          </w:tcPr>
          <w:p>
            <w:r>
              <w:rPr>
                <w:sz w:val="20"/>
              </w:rPr>
              <w:t>NOVARTIS PHARMA SCHWEIZ AG</w:t>
            </w:r>
          </w:p>
        </w:tc>
        <w:tc>
          <w:tcPr>
            <w:tcW w:type="dxa" w:w="1559"/>
          </w:tcPr>
          <w:p>
            <w:r>
              <w:rPr>
                <w:sz w:val="20"/>
              </w:rPr>
              <w:t>Solution buvable — 100 mg/mL</w:t>
            </w:r>
          </w:p>
        </w:tc>
        <w:tc>
          <w:tcPr>
            <w:tcW w:type="dxa" w:w="1559"/>
          </w:tcPr>
          <w:p>
            <w:r>
              <w:rPr>
                <w:sz w:val="20"/>
              </w:rPr>
              <w:t>FL/50 mL + seringue 1 mL et 4 mL</w:t>
            </w:r>
          </w:p>
        </w:tc>
        <w:tc>
          <w:tcPr>
            <w:tcW w:type="dxa" w:w="1559"/>
          </w:tcPr>
          <w:p>
            <w:r>
              <w:rPr>
                <w:sz w:val="20"/>
              </w:rPr>
              <w:t>LISTE I</w:t>
            </w:r>
          </w:p>
        </w:tc>
        <w:tc>
          <w:tcPr>
            <w:tcW w:type="dxa" w:w="1559"/>
          </w:tcPr>
          <w:p>
            <w:r>
              <w:rPr>
                <w:sz w:val="20"/>
              </w:rPr>
              <w:t>ACTIF</w:t>
            </w:r>
          </w:p>
        </w:tc>
      </w:tr>
      <w:tr>
        <w:tc>
          <w:tcPr>
            <w:tcW w:type="dxa" w:w="1559"/>
          </w:tcPr>
          <w:p>
            <w:r>
              <w:rPr>
                <w:sz w:val="20"/>
              </w:rPr>
              <w:t>SANDIMMUN IV 50 mg/mL</w:t>
            </w:r>
          </w:p>
        </w:tc>
        <w:tc>
          <w:tcPr>
            <w:tcW w:type="dxa" w:w="1559"/>
          </w:tcPr>
          <w:p>
            <w:r>
              <w:rPr>
                <w:sz w:val="20"/>
              </w:rPr>
              <w:t>NOVARTIS PHARMA SCHWEIZ AG</w:t>
            </w:r>
          </w:p>
        </w:tc>
        <w:tc>
          <w:tcPr>
            <w:tcW w:type="dxa" w:w="1559"/>
          </w:tcPr>
          <w:p>
            <w:r>
              <w:rPr>
                <w:sz w:val="20"/>
              </w:rPr>
              <w:t>Concentré pour solution pour perfusion IV — 50 mg/mL</w:t>
            </w:r>
          </w:p>
        </w:tc>
        <w:tc>
          <w:tcPr>
            <w:tcW w:type="dxa" w:w="1559"/>
          </w:tcPr>
          <w:p>
            <w:r>
              <w:rPr>
                <w:sz w:val="20"/>
              </w:rPr>
              <w:t>B/10 flacons de 1 mL</w:t>
            </w:r>
          </w:p>
        </w:tc>
        <w:tc>
          <w:tcPr>
            <w:tcW w:type="dxa" w:w="1559"/>
          </w:tcPr>
          <w:p>
            <w:r>
              <w:rPr>
                <w:sz w:val="20"/>
              </w:rPr>
              <w:t>LISTE I</w:t>
            </w:r>
          </w:p>
        </w:tc>
        <w:tc>
          <w:tcPr>
            <w:tcW w:type="dxa" w:w="1559"/>
          </w:tcPr>
          <w:p>
            <w:r>
              <w:rPr>
                <w:sz w:val="20"/>
              </w:rPr>
              <w:t>ACTIF</w:t>
            </w:r>
          </w:p>
        </w:tc>
      </w:tr>
      <w:tr>
        <w:tc>
          <w:tcPr>
            <w:tcW w:type="dxa" w:w="1559"/>
          </w:tcPr>
          <w:p>
            <w:r>
              <w:rPr>
                <w:sz w:val="20"/>
              </w:rPr>
              <w:t>IMUSPORIN 25</w:t>
            </w:r>
          </w:p>
        </w:tc>
        <w:tc>
          <w:tcPr>
            <w:tcW w:type="dxa" w:w="1559"/>
          </w:tcPr>
          <w:p>
            <w:r>
              <w:rPr>
                <w:sz w:val="20"/>
              </w:rPr>
              <w:t>CIPLA LIMITED</w:t>
            </w:r>
          </w:p>
        </w:tc>
        <w:tc>
          <w:tcPr>
            <w:tcW w:type="dxa" w:w="1559"/>
          </w:tcPr>
          <w:p>
            <w:r>
              <w:rPr>
                <w:sz w:val="20"/>
              </w:rPr>
              <w:t>Capsule molle — 25 mg</w:t>
            </w:r>
          </w:p>
        </w:tc>
        <w:tc>
          <w:tcPr>
            <w:tcW w:type="dxa" w:w="1559"/>
          </w:tcPr>
          <w:p>
            <w:r>
              <w:rPr>
                <w:sz w:val="20"/>
              </w:rPr>
              <w:t>B/50</w:t>
            </w:r>
          </w:p>
        </w:tc>
        <w:tc>
          <w:tcPr>
            <w:tcW w:type="dxa" w:w="1559"/>
          </w:tcPr>
          <w:p>
            <w:r>
              <w:rPr>
                <w:sz w:val="20"/>
              </w:rPr>
              <w:t>LISTE I</w:t>
            </w:r>
          </w:p>
        </w:tc>
        <w:tc>
          <w:tcPr>
            <w:tcW w:type="dxa" w:w="1559"/>
          </w:tcPr>
          <w:p>
            <w:r>
              <w:rPr>
                <w:sz w:val="20"/>
              </w:rPr>
              <w:t>ACTIF</w:t>
            </w:r>
          </w:p>
        </w:tc>
      </w:tr>
      <w:tr>
        <w:tc>
          <w:tcPr>
            <w:tcW w:type="dxa" w:w="1559"/>
          </w:tcPr>
          <w:p>
            <w:r>
              <w:rPr>
                <w:sz w:val="20"/>
              </w:rPr>
              <w:t>IMUSPORIN 50</w:t>
            </w:r>
          </w:p>
        </w:tc>
        <w:tc>
          <w:tcPr>
            <w:tcW w:type="dxa" w:w="1559"/>
          </w:tcPr>
          <w:p>
            <w:r>
              <w:rPr>
                <w:sz w:val="20"/>
              </w:rPr>
              <w:t>CIPLA LIMITED</w:t>
            </w:r>
          </w:p>
        </w:tc>
        <w:tc>
          <w:tcPr>
            <w:tcW w:type="dxa" w:w="1559"/>
          </w:tcPr>
          <w:p>
            <w:r>
              <w:rPr>
                <w:sz w:val="20"/>
              </w:rPr>
              <w:t>Capsule molle — 50 mg</w:t>
            </w:r>
          </w:p>
        </w:tc>
        <w:tc>
          <w:tcPr>
            <w:tcW w:type="dxa" w:w="1559"/>
          </w:tcPr>
          <w:p>
            <w:r>
              <w:rPr>
                <w:sz w:val="20"/>
              </w:rPr>
              <w:t>B/50</w:t>
            </w:r>
          </w:p>
        </w:tc>
        <w:tc>
          <w:tcPr>
            <w:tcW w:type="dxa" w:w="1559"/>
          </w:tcPr>
          <w:p>
            <w:r>
              <w:rPr>
                <w:sz w:val="20"/>
              </w:rPr>
              <w:t>LISTE I</w:t>
            </w:r>
          </w:p>
        </w:tc>
        <w:tc>
          <w:tcPr>
            <w:tcW w:type="dxa" w:w="1559"/>
          </w:tcPr>
          <w:p>
            <w:r>
              <w:rPr>
                <w:sz w:val="20"/>
              </w:rPr>
              <w:t>ACTIF</w:t>
            </w:r>
          </w:p>
        </w:tc>
      </w:tr>
      <w:tr>
        <w:tc>
          <w:tcPr>
            <w:tcW w:type="dxa" w:w="1559"/>
          </w:tcPr>
          <w:p>
            <w:r>
              <w:rPr>
                <w:sz w:val="20"/>
              </w:rPr>
              <w:t>CICLAID</w:t>
            </w:r>
          </w:p>
        </w:tc>
        <w:tc>
          <w:tcPr>
            <w:tcW w:type="dxa" w:w="1559"/>
          </w:tcPr>
          <w:p>
            <w:r>
              <w:rPr>
                <w:sz w:val="20"/>
              </w:rPr>
              <w:t>INPHA-MEDIS</w:t>
            </w:r>
          </w:p>
        </w:tc>
        <w:tc>
          <w:tcPr>
            <w:tcW w:type="dxa" w:w="1559"/>
          </w:tcPr>
          <w:p>
            <w:r>
              <w:rPr>
                <w:sz w:val="20"/>
              </w:rPr>
              <w:t>Solution buvable — 100 mg/mL</w:t>
            </w:r>
          </w:p>
        </w:tc>
        <w:tc>
          <w:tcPr>
            <w:tcW w:type="dxa" w:w="1559"/>
          </w:tcPr>
          <w:p>
            <w:r>
              <w:rPr>
                <w:sz w:val="20"/>
              </w:rPr>
              <w:t>B/1 flacon de 50 mL + seringue graduée en 0,05 mL et 0,1 mL</w:t>
            </w:r>
          </w:p>
        </w:tc>
        <w:tc>
          <w:tcPr>
            <w:tcW w:type="dxa" w:w="1559"/>
          </w:tcPr>
          <w:p>
            <w:r>
              <w:rPr>
                <w:sz w:val="20"/>
              </w:rPr>
              <w:t>LISTE I</w:t>
            </w:r>
          </w:p>
        </w:tc>
        <w:tc>
          <w:tcPr>
            <w:tcW w:type="dxa" w:w="1559"/>
          </w:tcPr>
          <w:p>
            <w:r>
              <w:rPr>
                <w:sz w:val="20"/>
              </w:rPr>
              <w:t>ACTIF</w:t>
            </w:r>
          </w:p>
        </w:tc>
      </w:tr>
      <w:tr>
        <w:tc>
          <w:tcPr>
            <w:tcW w:type="dxa" w:w="1559"/>
          </w:tcPr>
          <w:p>
            <w:r>
              <w:rPr>
                <w:sz w:val="20"/>
              </w:rPr>
              <w:t>RESTASIS 0,05 %</w:t>
            </w:r>
          </w:p>
        </w:tc>
        <w:tc>
          <w:tcPr>
            <w:tcW w:type="dxa" w:w="1559"/>
          </w:tcPr>
          <w:p>
            <w:r>
              <w:rPr>
                <w:sz w:val="20"/>
              </w:rPr>
              <w:t>ABBVIE INC</w:t>
            </w:r>
          </w:p>
        </w:tc>
        <w:tc>
          <w:tcPr>
            <w:tcW w:type="dxa" w:w="1559"/>
          </w:tcPr>
          <w:p>
            <w:r>
              <w:rPr>
                <w:sz w:val="20"/>
              </w:rPr>
              <w:t>Émulsion ophtalmique — 0,05 % (0,5 mg/mL)</w:t>
            </w:r>
          </w:p>
        </w:tc>
        <w:tc>
          <w:tcPr>
            <w:tcW w:type="dxa" w:w="1559"/>
          </w:tcPr>
          <w:p>
            <w:r>
              <w:rPr>
                <w:sz w:val="20"/>
              </w:rPr>
              <w:t>B/30 flacons unidoses de 0,4 mL</w:t>
            </w:r>
          </w:p>
        </w:tc>
        <w:tc>
          <w:tcPr>
            <w:tcW w:type="dxa" w:w="1559"/>
          </w:tcPr>
          <w:p>
            <w:r>
              <w:rPr>
                <w:sz w:val="20"/>
              </w:rPr>
              <w:t>LISTE I</w:t>
            </w:r>
          </w:p>
        </w:tc>
        <w:tc>
          <w:tcPr>
            <w:tcW w:type="dxa" w:w="1559"/>
          </w:tcPr>
          <w:p>
            <w:r>
              <w:rPr>
                <w:sz w:val="20"/>
              </w:rPr>
              <w:t>ACTIF</w:t>
            </w:r>
          </w:p>
        </w:tc>
      </w:tr>
      <w:tr>
        <w:tc>
          <w:tcPr>
            <w:tcW w:type="dxa" w:w="1559"/>
          </w:tcPr>
          <w:p>
            <w:r>
              <w:rPr>
                <w:sz w:val="20"/>
              </w:rPr>
              <w:t>EQUORAL 100 mg/mL (NR)</w:t>
            </w:r>
          </w:p>
        </w:tc>
        <w:tc>
          <w:tcPr>
            <w:tcW w:type="dxa" w:w="1559"/>
          </w:tcPr>
          <w:p>
            <w:r>
              <w:rPr>
                <w:sz w:val="20"/>
              </w:rPr>
              <w:t>IVAX PHARMACEUTICALS</w:t>
            </w:r>
          </w:p>
        </w:tc>
        <w:tc>
          <w:tcPr>
            <w:tcW w:type="dxa" w:w="1559"/>
          </w:tcPr>
          <w:p>
            <w:r>
              <w:rPr>
                <w:sz w:val="20"/>
              </w:rPr>
              <w:t>Solution buvable — 100 mg/mL</w:t>
            </w:r>
          </w:p>
        </w:tc>
        <w:tc>
          <w:tcPr>
            <w:tcW w:type="dxa" w:w="1559"/>
          </w:tcPr>
          <w:p>
            <w:r>
              <w:rPr>
                <w:sz w:val="20"/>
              </w:rPr>
              <w:t>FL/50 mL</w:t>
            </w:r>
          </w:p>
        </w:tc>
        <w:tc>
          <w:tcPr>
            <w:tcW w:type="dxa" w:w="1559"/>
          </w:tcPr>
          <w:p>
            <w:r>
              <w:rPr>
                <w:sz w:val="20"/>
              </w:rPr>
              <w:t>LISTE I</w:t>
            </w:r>
          </w:p>
        </w:tc>
        <w:tc>
          <w:tcPr>
            <w:tcW w:type="dxa" w:w="1559"/>
          </w:tcPr>
          <w:p>
            <w:r>
              <w:rPr>
                <w:sz w:val="20"/>
              </w:rPr>
              <w:t>NON_RENOUVELABLE</w:t>
            </w:r>
          </w:p>
        </w:tc>
      </w:tr>
      <w:tr>
        <w:tc>
          <w:tcPr>
            <w:tcW w:type="dxa" w:w="1559"/>
          </w:tcPr>
          <w:p>
            <w:r>
              <w:rPr>
                <w:sz w:val="20"/>
              </w:rPr>
              <w:t>IMUSPORIN (NR)</w:t>
            </w:r>
          </w:p>
        </w:tc>
        <w:tc>
          <w:tcPr>
            <w:tcW w:type="dxa" w:w="1559"/>
          </w:tcPr>
          <w:p>
            <w:r>
              <w:rPr>
                <w:sz w:val="20"/>
              </w:rPr>
              <w:t>CIPLA LIMITED</w:t>
            </w:r>
          </w:p>
        </w:tc>
        <w:tc>
          <w:tcPr>
            <w:tcW w:type="dxa" w:w="1559"/>
          </w:tcPr>
          <w:p>
            <w:r>
              <w:rPr>
                <w:sz w:val="20"/>
              </w:rPr>
              <w:t>Solution buvable — 100 mg/mL</w:t>
            </w:r>
          </w:p>
        </w:tc>
        <w:tc>
          <w:tcPr>
            <w:tcW w:type="dxa" w:w="1559"/>
          </w:tcPr>
          <w:p>
            <w:r>
              <w:rPr>
                <w:sz w:val="20"/>
              </w:rPr>
              <w:t>FL/50 mL</w:t>
            </w:r>
          </w:p>
        </w:tc>
        <w:tc>
          <w:tcPr>
            <w:tcW w:type="dxa" w:w="1559"/>
          </w:tcPr>
          <w:p>
            <w:r>
              <w:rPr>
                <w:sz w:val="20"/>
              </w:rPr>
              <w:t>LISTE I</w:t>
            </w:r>
          </w:p>
        </w:tc>
        <w:tc>
          <w:tcPr>
            <w:tcW w:type="dxa" w:w="1559"/>
          </w:tcPr>
          <w:p>
            <w:r>
              <w:rPr>
                <w:sz w:val="20"/>
              </w:rPr>
              <w:t>NON_RENOUVELABLE</w:t>
            </w:r>
          </w:p>
        </w:tc>
      </w:tr>
      <w:tr>
        <w:tc>
          <w:tcPr>
            <w:tcW w:type="dxa" w:w="1559"/>
          </w:tcPr>
          <w:p>
            <w:r>
              <w:rPr>
                <w:sz w:val="20"/>
              </w:rPr>
              <w:t>IMUSPORIN-100 (NR)</w:t>
            </w:r>
          </w:p>
        </w:tc>
        <w:tc>
          <w:tcPr>
            <w:tcW w:type="dxa" w:w="1559"/>
          </w:tcPr>
          <w:p>
            <w:r>
              <w:rPr>
                <w:sz w:val="20"/>
              </w:rPr>
              <w:t>CIPLA LTD</w:t>
            </w:r>
          </w:p>
        </w:tc>
        <w:tc>
          <w:tcPr>
            <w:tcW w:type="dxa" w:w="1559"/>
          </w:tcPr>
          <w:p>
            <w:r>
              <w:rPr>
                <w:sz w:val="20"/>
              </w:rPr>
              <w:t>Capsule molle — 100 mg</w:t>
            </w:r>
          </w:p>
        </w:tc>
        <w:tc>
          <w:tcPr>
            <w:tcW w:type="dxa" w:w="1559"/>
          </w:tcPr>
          <w:p>
            <w:r>
              <w:rPr>
                <w:sz w:val="20"/>
              </w:rPr>
              <w:t>B/50</w:t>
            </w:r>
          </w:p>
        </w:tc>
        <w:tc>
          <w:tcPr>
            <w:tcW w:type="dxa" w:w="1559"/>
          </w:tcPr>
          <w:p>
            <w:r>
              <w:rPr>
                <w:sz w:val="20"/>
              </w:rPr>
              <w:t>LISTE I</w:t>
            </w:r>
          </w:p>
        </w:tc>
        <w:tc>
          <w:tcPr>
            <w:tcW w:type="dxa" w:w="1559"/>
          </w:tcPr>
          <w:p>
            <w:r>
              <w:rPr>
                <w:sz w:val="20"/>
              </w:rPr>
              <w:t>NON_RENOUVELABLE</w:t>
            </w:r>
          </w:p>
        </w:tc>
      </w:tr>
      <w:tr>
        <w:tc>
          <w:tcPr>
            <w:tcW w:type="dxa" w:w="1559"/>
          </w:tcPr>
          <w:p>
            <w:r>
              <w:rPr>
                <w:sz w:val="20"/>
              </w:rPr>
              <w:t>EQUORAL 25 mg (R)</w:t>
            </w:r>
          </w:p>
        </w:tc>
        <w:tc>
          <w:tcPr>
            <w:tcW w:type="dxa" w:w="1559"/>
          </w:tcPr>
          <w:p>
            <w:r>
              <w:rPr>
                <w:sz w:val="20"/>
              </w:rPr>
              <w:t>IVAX PHARMACEUTICALS</w:t>
            </w:r>
          </w:p>
        </w:tc>
        <w:tc>
          <w:tcPr>
            <w:tcW w:type="dxa" w:w="1559"/>
          </w:tcPr>
          <w:p>
            <w:r>
              <w:rPr>
                <w:sz w:val="20"/>
              </w:rPr>
              <w:t>Capsule molle — 25 mg</w:t>
            </w:r>
          </w:p>
        </w:tc>
        <w:tc>
          <w:tcPr>
            <w:tcW w:type="dxa" w:w="1559"/>
          </w:tcPr>
          <w:p>
            <w:r>
              <w:rPr>
                <w:sz w:val="20"/>
              </w:rPr>
              <w:t>B/50</w:t>
            </w:r>
          </w:p>
        </w:tc>
        <w:tc>
          <w:tcPr>
            <w:tcW w:type="dxa" w:w="1559"/>
          </w:tcPr>
          <w:p>
            <w:r>
              <w:rPr>
                <w:sz w:val="20"/>
              </w:rPr>
              <w:t>Liste I</w:t>
            </w:r>
          </w:p>
        </w:tc>
        <w:tc>
          <w:tcPr>
            <w:tcW w:type="dxa" w:w="1559"/>
          </w:tcPr>
          <w:p>
            <w:r>
              <w:rPr>
                <w:sz w:val="20"/>
              </w:rPr>
              <w:t>RETRAIT</w:t>
            </w:r>
          </w:p>
        </w:tc>
      </w:tr>
      <w:tr>
        <w:tc>
          <w:tcPr>
            <w:tcW w:type="dxa" w:w="1559"/>
          </w:tcPr>
          <w:p>
            <w:r>
              <w:rPr>
                <w:sz w:val="20"/>
              </w:rPr>
              <w:t>EQUORAL 50 mg (R)</w:t>
            </w:r>
          </w:p>
        </w:tc>
        <w:tc>
          <w:tcPr>
            <w:tcW w:type="dxa" w:w="1559"/>
          </w:tcPr>
          <w:p>
            <w:r>
              <w:rPr>
                <w:sz w:val="20"/>
              </w:rPr>
              <w:t>IVAX PHARMACEUTICALS</w:t>
            </w:r>
          </w:p>
        </w:tc>
        <w:tc>
          <w:tcPr>
            <w:tcW w:type="dxa" w:w="1559"/>
          </w:tcPr>
          <w:p>
            <w:r>
              <w:rPr>
                <w:sz w:val="20"/>
              </w:rPr>
              <w:t>Capsule molle — 50 mg</w:t>
            </w:r>
          </w:p>
        </w:tc>
        <w:tc>
          <w:tcPr>
            <w:tcW w:type="dxa" w:w="1559"/>
          </w:tcPr>
          <w:p>
            <w:r>
              <w:rPr>
                <w:sz w:val="20"/>
              </w:rPr>
              <w:t>B/50</w:t>
            </w:r>
          </w:p>
        </w:tc>
        <w:tc>
          <w:tcPr>
            <w:tcW w:type="dxa" w:w="1559"/>
          </w:tcPr>
          <w:p>
            <w:r>
              <w:rPr>
                <w:sz w:val="20"/>
              </w:rPr>
              <w:t>Liste I</w:t>
            </w:r>
          </w:p>
        </w:tc>
        <w:tc>
          <w:tcPr>
            <w:tcW w:type="dxa" w:w="1559"/>
          </w:tcPr>
          <w:p>
            <w:r>
              <w:rPr>
                <w:sz w:val="20"/>
              </w:rPr>
              <w:t>RETRAIT</w:t>
            </w:r>
          </w:p>
        </w:tc>
      </w:tr>
      <w:tr>
        <w:tc>
          <w:tcPr>
            <w:tcW w:type="dxa" w:w="1559"/>
          </w:tcPr>
          <w:p>
            <w:r>
              <w:rPr>
                <w:sz w:val="20"/>
              </w:rPr>
              <w:t>EQUORAL 100 mg (R)</w:t>
            </w:r>
          </w:p>
        </w:tc>
        <w:tc>
          <w:tcPr>
            <w:tcW w:type="dxa" w:w="1559"/>
          </w:tcPr>
          <w:p>
            <w:r>
              <w:rPr>
                <w:sz w:val="20"/>
              </w:rPr>
              <w:t>IVAX PHARMACEUTICALS</w:t>
            </w:r>
          </w:p>
        </w:tc>
        <w:tc>
          <w:tcPr>
            <w:tcW w:type="dxa" w:w="1559"/>
          </w:tcPr>
          <w:p>
            <w:r>
              <w:rPr>
                <w:sz w:val="20"/>
              </w:rPr>
              <w:t>Capsule molle — 100 mg</w:t>
            </w:r>
          </w:p>
        </w:tc>
        <w:tc>
          <w:tcPr>
            <w:tcW w:type="dxa" w:w="1559"/>
          </w:tcPr>
          <w:p>
            <w:r>
              <w:rPr>
                <w:sz w:val="20"/>
              </w:rPr>
              <w:t>B/50</w:t>
            </w:r>
          </w:p>
        </w:tc>
        <w:tc>
          <w:tcPr>
            <w:tcW w:type="dxa" w:w="1559"/>
          </w:tcPr>
          <w:p>
            <w:r>
              <w:rPr>
                <w:sz w:val="20"/>
              </w:rPr>
              <w:t>Liste I</w:t>
            </w:r>
          </w:p>
        </w:tc>
        <w:tc>
          <w:tcPr>
            <w:tcW w:type="dxa" w:w="1559"/>
          </w:tcPr>
          <w:p>
            <w:r>
              <w:rPr>
                <w:sz w:val="20"/>
              </w:rPr>
              <w:t>RETRAIT</w:t>
            </w:r>
          </w:p>
        </w:tc>
      </w:tr>
    </w:tbl>
    <w:p/>
    <w:p>
      <w:r>
        <w:t>Le marché algérien de la ciclosporine offre une diversité remarquable de formes galéniques et de dosages, répondant à la variété des indications : capsules molles à 25/50/100 mg (per os, administration adulte), solution buvable à 100 mg/mL (pédiatrie, patients incapables d'avaler les capsules, dose précise notamment en transplantation), solution pour perfusion IV à 50 mg/mL (initiation en milieu hospitalier, hospitalisation, transplantation d'urgence), emulsion ophtalmique 0,05% (RESTASIS, indication de sécheresse oculaire modérée à sévère dans la kératoconjonctivite sèche). La présence du princeps SANDIMMUN NEORAL (NOVARTIS) garantit la qualité de référence, et les génériques (IMUSPORIN, CICLAID) assurent l'accessibilité économique. RESTASIS (ABBVIE) est la seule forme ophtalmique disponible en Algérie, indiquée dans la sécheresse oculaire autoimmune (syndrome de Gougerot-Sjögren).</w:t>
      </w:r>
    </w:p>
    <w:p>
      <w:pPr>
        <w:pStyle w:val="Heading4"/>
      </w:pPr>
      <w:r>
        <w:t>Mécanisme d'action détaillé</w:t>
      </w:r>
    </w:p>
    <w:p>
      <w:r>
        <w:t xml:space="preserve">La ciclosporine est un </w:t>
      </w:r>
      <w:r>
        <w:rPr>
          <w:b/>
        </w:rPr>
        <w:t>cyclopeptide undécapeptidique lipophile</w:t>
      </w:r>
      <w:r>
        <w:t xml:space="preserve"> (PM 1202 Da, formule chimique C62H111N11O12) isolé en 1970 à partir d'un champignon imparfait </w:t>
      </w:r>
      <w:r>
        <w:rPr>
          <w:i/>
        </w:rPr>
        <w:t>Tolypocladium inflatum</w:t>
      </w:r>
      <w:r>
        <w:t xml:space="preserve"> Gams. Sa structure cyclique fermée par une liaison amide lui confère une conformation rigide qui lui permet de se lier spécifiquement à la </w:t>
      </w:r>
      <w:r>
        <w:rPr>
          <w:b/>
        </w:rPr>
        <w:t>cyclophiline A (CyPA)</w:t>
      </w:r>
      <w:r>
        <w:t xml:space="preserve">, une protéine cytosolique ubiquitaire de la famille des immunophilines (PM 18 kDa, propriété de </w:t>
      </w:r>
      <w:r>
        <w:rPr>
          <w:b/>
        </w:rPr>
        <w:t>cis-trans isomérase des liaisons peptidiques prolyliques</w:t>
      </w:r>
      <w:r>
        <w:t>).</w:t>
      </w:r>
    </w:p>
    <w:p>
      <w:r>
        <w:t xml:space="preserve">La ciclosporine pénètre dans les lymphocytes T par diffusion passive transmembranaire (lipophilie importante). Dans le cytosol, elle se lie à la CyPA pour former un complexe binaire [ciclosporine-CyPA]. Ce complexe se lie alors à la </w:t>
      </w:r>
      <w:r>
        <w:rPr>
          <w:b/>
        </w:rPr>
        <w:t>calcineurine</w:t>
      </w:r>
      <w:r>
        <w:t xml:space="preserve"> (PP2B, sérine/thréonine phosphatase calcium-calmoduline-dépendante) au niveau de son site catalytique, </w:t>
      </w:r>
      <w:r>
        <w:rPr>
          <w:b/>
        </w:rPr>
        <w:t>inhibant son activité enzymatique de façon competitive et réversible</w:t>
      </w:r>
      <w:r>
        <w:t xml:space="preserve">. La calcineurine ne peut alors plus déphosphoryler le facteur de transcription NF-AT (Nuclear Factor of Activated T cells) cytosolique. Le NF-AT reste sous sa forme phosphorylée cytosolique et </w:t>
      </w:r>
      <w:r>
        <w:rPr>
          <w:b/>
        </w:rPr>
        <w:t>ne peut pas transloquer dans le noyau</w:t>
      </w:r>
      <w:r>
        <w:t>, ce qui empêche la transcription de ses gènes cibles :</w:t>
      </w:r>
    </w:p>
    <w:p>
      <w:pPr>
        <w:pStyle w:val="ListBullet"/>
      </w:pPr>
      <w:r/>
      <w:r>
        <w:rPr>
          <w:b/>
        </w:rPr>
        <w:t>IL-2</w:t>
      </w:r>
      <w:r>
        <w:t xml:space="preserve"> (cytokine majeure de la prolifération lymphocytaire T)</w:t>
      </w:r>
    </w:p>
    <w:p>
      <w:pPr>
        <w:pStyle w:val="ListBullet"/>
      </w:pPr>
      <w:r/>
      <w:r>
        <w:rPr>
          <w:b/>
        </w:rPr>
        <w:t>IL-4, IL-5, IL-13</w:t>
      </w:r>
      <w:r>
        <w:t xml:space="preserve"> (cytokines Th2)</w:t>
      </w:r>
    </w:p>
    <w:p>
      <w:pPr>
        <w:pStyle w:val="ListBullet"/>
      </w:pPr>
      <w:r/>
      <w:r>
        <w:rPr>
          <w:b/>
        </w:rPr>
        <w:t>IFNγ</w:t>
      </w:r>
      <w:r>
        <w:t xml:space="preserve"> (cytokine Th1)</w:t>
      </w:r>
    </w:p>
    <w:p>
      <w:pPr>
        <w:pStyle w:val="ListBullet"/>
      </w:pPr>
      <w:r/>
      <w:r>
        <w:rPr>
          <w:b/>
        </w:rPr>
        <w:t>TNFα</w:t>
      </w:r>
      <w:r>
        <w:t xml:space="preserve"> (pro-inflammatoire)</w:t>
      </w:r>
    </w:p>
    <w:p>
      <w:pPr>
        <w:pStyle w:val="ListBullet"/>
      </w:pPr>
      <w:r/>
      <w:r>
        <w:rPr>
          <w:b/>
        </w:rPr>
        <w:t>GM-CSF</w:t>
      </w:r>
      <w:r>
        <w:t xml:space="preserve"> (facteur de croissance myéloïde)</w:t>
      </w:r>
    </w:p>
    <w:p>
      <w:pPr>
        <w:pStyle w:val="ListBullet"/>
      </w:pPr>
      <w:r/>
      <w:r>
        <w:rPr>
          <w:b/>
        </w:rPr>
        <w:t>CD40L</w:t>
      </w:r>
      <w:r>
        <w:t xml:space="preserve"> (molécule de costimulation T-B)</w:t>
      </w:r>
    </w:p>
    <w:p>
      <w:r>
        <w:t xml:space="preserve">La conséquence est une </w:t>
      </w:r>
      <w:r>
        <w:rPr>
          <w:b/>
        </w:rPr>
        <w:t>immunosuppression lymphocytaire T cytostatique puissante</w:t>
      </w:r>
      <w:r>
        <w:t>, sans induction d'apoptose lymphocytaire massive (contrairement aux antimétabolites comme l'azathioprine). L'effet est rapidement réversible à l'arrêt (récupération de l'activité calcineurine en 24–48 heures).</w:t>
      </w:r>
    </w:p>
    <w:p>
      <w:r>
        <w:t>Au niveau systémique, la ciclosporine a également des effets sur les lymphocytes B (diminution de la production d'anticorps), sur les cellules NK (cytotoxicité), sur les monocytes/macrophages (diminution de la présentation antigénique), et sur l'endothélium vasculaire (potentialisation de l'effet de l'angiotensine II au niveau rénal, responsable de la néphrotoxicité).</w:t>
      </w:r>
    </w:p>
    <w:p>
      <w:r>
        <w:t>L'effet immunosuppresseur se manifeste cliniquement par une réduction du nombre d'articulations gonflées et douloureuses à 4–8 semaines (plus rapide que le méthotrexate), une baisse de la CRP, et une amélioration du DAS28. L'effet structural (prévention des érosions radiographiques) est démontré à 6 mois.</w:t>
      </w:r>
    </w:p>
    <w:p>
      <w:pPr>
        <w:pStyle w:val="Heading4"/>
      </w:pPr>
      <w:r>
        <w:t>Profil pharmacologique : indications, contre-indications, effets indésirables</w:t>
      </w:r>
    </w:p>
    <w:p>
      <w:r/>
      <w:r>
        <w:rPr>
          <w:b/>
        </w:rPr>
        <w:t>Indications</w:t>
      </w:r>
      <w:r/>
    </w:p>
    <w:p>
      <w:pPr>
        <w:pStyle w:val="ListBullet"/>
      </w:pPr>
      <w:r/>
      <w:r>
        <w:rPr>
          <w:b/>
        </w:rPr>
        <w:t>Polyarthrite rhumatoïde active sévère de l'adulte</w:t>
      </w:r>
      <w:r>
        <w:t xml:space="preserve"> (DMARD de seconde–troisième ligne, en cas d'échec ou de contre-indication au méthotrexate, léflunomide, anti-TNFα). Posologie 2,5–5 mg/kg/jour en deux prises.</w:t>
      </w:r>
    </w:p>
    <w:p>
      <w:pPr>
        <w:pStyle w:val="ListBullet"/>
      </w:pPr>
      <w:r/>
      <w:r>
        <w:rPr>
          <w:b/>
        </w:rPr>
        <w:t>Psoriasis cutané sévère réfractaire</w:t>
      </w:r>
      <w:r>
        <w:t xml:space="preserve"> (plaque-type, étendu &gt; 10 % de la surface corporelle, psoriasis pustuleux, psoriasis érythrodermique) en cas d'échec des traitements conventionnels (PUVAthérapie, rétinoïdes, méthotrexate). Posologie 2,5–5 mg/kg/jour.</w:t>
      </w:r>
    </w:p>
    <w:p>
      <w:pPr>
        <w:pStyle w:val="ListBullet"/>
      </w:pPr>
      <w:r/>
      <w:r>
        <w:rPr>
          <w:b/>
        </w:rPr>
        <w:t>Maladie de Behçet avec atteinte oculaire</w:t>
      </w:r>
      <w:r>
        <w:t xml:space="preserve"> (uvéite postérieure réfractaire, vasculite rétinienne). Posologie 5 mg/kg/jour.</w:t>
      </w:r>
    </w:p>
    <w:p>
      <w:pPr>
        <w:pStyle w:val="ListBullet"/>
      </w:pPr>
      <w:r/>
      <w:r>
        <w:rPr>
          <w:b/>
        </w:rPr>
        <w:t>Dermatoses bulleuses auto-immunes</w:t>
      </w:r>
      <w:r>
        <w:t xml:space="preserve"> (pemphigus vulgaris, pemphigoïde bulleuse) en association à la corticothérapie.</w:t>
      </w:r>
    </w:p>
    <w:p>
      <w:pPr>
        <w:pStyle w:val="ListBullet"/>
      </w:pPr>
      <w:r/>
      <w:r>
        <w:rPr>
          <w:b/>
        </w:rPr>
        <w:t>Néphropathie lupique</w:t>
      </w:r>
      <w:r>
        <w:t xml:space="preserve"> (en cas d'échec du mycophénolate mofétil ou contre-indication au cyclophosphamide).</w:t>
      </w:r>
    </w:p>
    <w:p>
      <w:pPr>
        <w:pStyle w:val="ListBullet"/>
      </w:pPr>
      <w:r/>
      <w:r>
        <w:rPr>
          <w:b/>
        </w:rPr>
        <w:t>Aplasie médullaire acquise</w:t>
      </w:r>
      <w:r>
        <w:t xml:space="preserve"> (idiopathique, en cas d'échec du sérum anti-lymphocytaire).</w:t>
      </w:r>
    </w:p>
    <w:p>
      <w:pPr>
        <w:pStyle w:val="ListBullet"/>
      </w:pPr>
      <w:r/>
      <w:r>
        <w:rPr>
          <w:b/>
        </w:rPr>
        <w:t>Prévention du rejet de greffe d'organe</w:t>
      </w:r>
      <w:r>
        <w:t xml:space="preserve"> (rein, foie, cœur, poumon, moelle osseuse) — indication transplantologique historique.</w:t>
      </w:r>
    </w:p>
    <w:p>
      <w:pPr>
        <w:pStyle w:val="ListBullet"/>
      </w:pPr>
      <w:r/>
      <w:r>
        <w:rPr>
          <w:b/>
        </w:rPr>
        <w:t>Sécheresse oculaire modérée à sévère</w:t>
      </w:r>
      <w:r>
        <w:t xml:space="preserve"> (kératoconjonctivite sèche du syndrome de Gougerot-Sjögren) — forme ophtalmique RESTASIS.</w:t>
      </w:r>
    </w:p>
    <w:p>
      <w:r/>
      <w:r>
        <w:rPr>
          <w:b/>
        </w:rPr>
        <w:t>Contre-indications</w:t>
      </w:r>
      <w:r/>
    </w:p>
    <w:p>
      <w:pPr>
        <w:pStyle w:val="ListBullet"/>
      </w:pPr>
      <w:r/>
      <w:r>
        <w:rPr>
          <w:b/>
        </w:rPr>
        <w:t>Contre-indications absolues</w:t>
      </w:r>
      <w:r>
        <w:t xml:space="preserve"> :</w:t>
      </w:r>
    </w:p>
    <w:p>
      <w:pPr>
        <w:pStyle w:val="ListBullet"/>
      </w:pPr>
      <w:r>
        <w:t>Hypersensibilité à la ciclosporine ou à l'un des excipients (huile de ricin polyoxyethylée, alcool éthylique, propylèneglycol pour la solution IV)</w:t>
      </w:r>
    </w:p>
    <w:p>
      <w:pPr>
        <w:pStyle w:val="ListBullet"/>
      </w:pPr>
      <w:r/>
      <w:r>
        <w:rPr>
          <w:b/>
        </w:rPr>
        <w:t>Insuffisance rénale</w:t>
      </w:r>
      <w:r>
        <w:t xml:space="preserve"> (DFG &lt; 30 mL/min) — risque d'aggravation de la néphrotoxicité</w:t>
      </w:r>
    </w:p>
    <w:p>
      <w:pPr>
        <w:pStyle w:val="ListBullet"/>
      </w:pPr>
      <w:r>
        <w:t>Hypertension artérielle non contrôlée (PA &gt; 160/100 mmHg malgré traitement antihypertenseur)</w:t>
      </w:r>
    </w:p>
    <w:p>
      <w:pPr>
        <w:pStyle w:val="ListBullet"/>
      </w:pPr>
      <w:r>
        <w:t>Hyperuricémie sévère non contrôlée (goutte active)</w:t>
      </w:r>
    </w:p>
    <w:p>
      <w:pPr>
        <w:pStyle w:val="ListBullet"/>
      </w:pPr>
      <w:r>
        <w:t>Hyperkaliémie non contrôlée</w:t>
      </w:r>
    </w:p>
    <w:p>
      <w:pPr>
        <w:pStyle w:val="ListBullet"/>
      </w:pPr>
      <w:r>
        <w:t>Infections sévères non contrôlées (septicémie, tuberculose évolutive)</w:t>
      </w:r>
    </w:p>
    <w:p>
      <w:pPr>
        <w:pStyle w:val="ListBullet"/>
      </w:pPr>
      <w:r>
        <w:t>Vaccination par vaccin vivant atténué pendant le traitement et 1 mois après l'arrêt</w:t>
      </w:r>
    </w:p>
    <w:p>
      <w:pPr>
        <w:pStyle w:val="ListBullet"/>
      </w:pPr>
      <w:r>
        <w:t>Tumeur maligne évolutive (hors carcinome basocellulaire cutané localisé)</w:t>
      </w:r>
    </w:p>
    <w:p>
      <w:pPr>
        <w:pStyle w:val="ListBullet"/>
      </w:pPr>
      <w:r>
        <w:t>Psoriasis traité par PUVAthérapie ou UVB à large spectre cumulés &gt; 200 séances (risque accru de cancer cutané)</w:t>
      </w:r>
    </w:p>
    <w:p>
      <w:pPr>
        <w:pStyle w:val="ListBullet"/>
      </w:pPr>
      <w:r>
        <w:t>Enfant &lt; 2 ans (insuffisance de données, sauf indication transplantologique)</w:t>
      </w:r>
    </w:p>
    <w:p>
      <w:pPr>
        <w:pStyle w:val="ListBullet"/>
      </w:pPr>
      <w:r/>
      <w:r>
        <w:rPr>
          <w:b/>
        </w:rPr>
        <w:t>Association contre-indiquée</w:t>
      </w:r>
      <w:r>
        <w:t xml:space="preserve"> avec : tacrolimus (duplication thérapeutique), pimécrolimus topique,Hypericum (millepertuis), rosuvastatine (fortes doses), simvastatine &gt; 10 mg/jour, atorvastatine &gt; 20 mg/jour, colchicine (sujet âgé ou IR), réserpine, pitavastatine.</w:t>
      </w:r>
    </w:p>
    <w:p>
      <w:pPr>
        <w:pStyle w:val="ListBullet"/>
      </w:pPr>
      <w:r/>
      <w:r>
        <w:rPr>
          <w:b/>
        </w:rPr>
        <w:t>Contre-indications relatives / Précautions d'emploi</w:t>
      </w:r>
      <w:r>
        <w:t xml:space="preserve"> :</w:t>
      </w:r>
    </w:p>
    <w:p>
      <w:pPr>
        <w:pStyle w:val="ListBullet"/>
      </w:pPr>
      <w:r>
        <w:t>Insuffisance hépatique modérée (surveillance transaminases mensuelle)</w:t>
      </w:r>
    </w:p>
    <w:p>
      <w:pPr>
        <w:pStyle w:val="ListBullet"/>
      </w:pPr>
      <w:r>
        <w:t>Sujet âgé &gt; 65 ans : risque accru d'HTA, de néphrotoxicité, d'interactions</w:t>
      </w:r>
    </w:p>
    <w:p>
      <w:pPr>
        <w:pStyle w:val="ListBullet"/>
      </w:pPr>
      <w:r>
        <w:t>Polymédication hépatotoxique ou néphrotoxique</w:t>
      </w:r>
    </w:p>
    <w:p>
      <w:pPr>
        <w:pStyle w:val="ListBullet"/>
      </w:pPr>
      <w:r>
        <w:t>Hyperlipidémie non contrôlée (la ciclosporine augmente LDL-cholestérol et triglycérides)</w:t>
      </w:r>
    </w:p>
    <w:p>
      <w:pPr>
        <w:pStyle w:val="ListBullet"/>
      </w:pPr>
      <w:r>
        <w:t>Hyperuricémie modérée (surveillance de l'acide urique)</w:t>
      </w:r>
    </w:p>
    <w:p>
      <w:pPr>
        <w:pStyle w:val="ListBullet"/>
      </w:pPr>
      <w:r>
        <w:t>Grossesse : possible mais à éviter si possible au 1er trimestre (cf. section Grossesse)</w:t>
      </w:r>
    </w:p>
    <w:p>
      <w:pPr>
        <w:pStyle w:val="ListBullet"/>
      </w:pPr>
      <w:r>
        <w:t>Allaitement : contre-indication absolue (passage important dans le lait)</w:t>
      </w:r>
    </w:p>
    <w:p>
      <w:r/>
      <w:r>
        <w:rPr>
          <w:b/>
        </w:rPr>
        <w:t>Effets indésirables</w:t>
      </w:r>
      <w:r/>
    </w:p>
    <w:p>
      <w:r/>
      <w:r>
        <w:rPr>
          <w:i/>
        </w:rPr>
        <w:t>Très fréquents (≥ 10 %)</w:t>
      </w:r>
      <w:r>
        <w:t xml:space="preserve"> :</w:t>
      </w:r>
    </w:p>
    <w:p>
      <w:pPr>
        <w:pStyle w:val="ListBullet"/>
      </w:pPr>
      <w:r/>
      <w:r>
        <w:rPr>
          <w:b/>
        </w:rPr>
        <w:t>Néphrotoxicité</w:t>
      </w:r>
      <w:r>
        <w:t xml:space="preserve"> (10–50 % selon la dose et la durée) — élévations de la créatinine ≥ 30 % au-dessus de la valeur initiale, réduction du DFG. Mécanisme : vasoconstriction de l'artériole afférente glomérulaire (potentialisation de l'angiotensine II), et néphropathie interstitielle chronique à long terme avec fibrose tubulo-interstitielle.</w:t>
      </w:r>
    </w:p>
    <w:p>
      <w:pPr>
        <w:pStyle w:val="ListBullet"/>
      </w:pPr>
      <w:r/>
      <w:r>
        <w:rPr>
          <w:b/>
        </w:rPr>
        <w:t>Hypertension artérielle</w:t>
      </w:r>
      <w:r>
        <w:t xml:space="preserve"> (10–30 %) — liée à la vasoconstriction systémique et à la rétention sodée</w:t>
      </w:r>
    </w:p>
    <w:p>
      <w:pPr>
        <w:pStyle w:val="ListBullet"/>
      </w:pPr>
      <w:r>
        <w:t>Tremblements fins (10–20 %), particulièrement des extrémités supérieures</w:t>
      </w:r>
    </w:p>
    <w:p>
      <w:pPr>
        <w:pStyle w:val="ListBullet"/>
      </w:pPr>
      <w:r>
        <w:t>Hirsutisme (10–15 %), particulièrement chez la femme (mécanisme mal élucidé, probable effet direct sur les follicules pilo-sébacés)</w:t>
      </w:r>
    </w:p>
    <w:p>
      <w:pPr>
        <w:pStyle w:val="ListBullet"/>
      </w:pPr>
      <w:r>
        <w:t>Hypertrichose</w:t>
      </w:r>
    </w:p>
    <w:p>
      <w:pPr>
        <w:pStyle w:val="ListBullet"/>
      </w:pPr>
      <w:r>
        <w:t>Gingivite hypertrophique (10 %), particulièrement chez les patients avec hygiène bucco-dentaire déficiente</w:t>
      </w:r>
    </w:p>
    <w:p>
      <w:pPr>
        <w:pStyle w:val="ListBullet"/>
      </w:pPr>
      <w:r>
        <w:t>Paresthésies, dysesthésies (5–15 %)</w:t>
      </w:r>
    </w:p>
    <w:p>
      <w:pPr>
        <w:pStyle w:val="ListBullet"/>
      </w:pPr>
      <w:r>
        <w:t>Céphalées (10–15 %)</w:t>
      </w:r>
    </w:p>
    <w:p>
      <w:pPr>
        <w:pStyle w:val="ListBullet"/>
      </w:pPr>
      <w:r>
        <w:t>Troubles digestifs (nausées, vomissements, diarrhée, douleurs abdominales — 5–10 %)</w:t>
      </w:r>
    </w:p>
    <w:p>
      <w:pPr>
        <w:pStyle w:val="ListBullet"/>
      </w:pPr>
      <w:r>
        <w:t>Élévation des transaminases (5–10 %)</w:t>
      </w:r>
    </w:p>
    <w:p>
      <w:pPr>
        <w:pStyle w:val="ListBullet"/>
      </w:pPr>
      <w:r>
        <w:t>Hyperkaliémie (5–10 %)</w:t>
      </w:r>
    </w:p>
    <w:p>
      <w:pPr>
        <w:pStyle w:val="ListBullet"/>
      </w:pPr>
      <w:r>
        <w:t>Hyperuricémie (5–10 %)</w:t>
      </w:r>
    </w:p>
    <w:p>
      <w:r/>
      <w:r>
        <w:rPr>
          <w:i/>
        </w:rPr>
        <w:t>Fréquents (1–10 %)</w:t>
      </w:r>
      <w:r>
        <w:t xml:space="preserve"> :</w:t>
      </w:r>
    </w:p>
    <w:p>
      <w:pPr>
        <w:pStyle w:val="ListBullet"/>
      </w:pPr>
      <w:r>
        <w:t>Crampes musculaires</w:t>
      </w:r>
    </w:p>
    <w:p>
      <w:pPr>
        <w:pStyle w:val="ListBullet"/>
      </w:pPr>
      <w:r>
        <w:t>Acné, séborrhée</w:t>
      </w:r>
    </w:p>
    <w:p>
      <w:pPr>
        <w:pStyle w:val="ListBullet"/>
      </w:pPr>
      <w:r>
        <w:t>Hyperlipidémie (LDL-cholestérol, triglycérides)</w:t>
      </w:r>
    </w:p>
    <w:p>
      <w:pPr>
        <w:pStyle w:val="ListBullet"/>
      </w:pPr>
      <w:r>
        <w:t>Hyperglycémie, intolérance glucidique</w:t>
      </w:r>
    </w:p>
    <w:p>
      <w:pPr>
        <w:pStyle w:val="ListBullet"/>
      </w:pPr>
      <w:r>
        <w:t>Élévation de la bilirubine</w:t>
      </w:r>
    </w:p>
    <w:p>
      <w:pPr>
        <w:pStyle w:val="ListBullet"/>
      </w:pPr>
      <w:r>
        <w:t>Hypomagnésémie</w:t>
      </w:r>
    </w:p>
    <w:p>
      <w:pPr>
        <w:pStyle w:val="ListBullet"/>
      </w:pPr>
      <w:r>
        <w:t>Alopécie paradoxale</w:t>
      </w:r>
    </w:p>
    <w:p>
      <w:pPr>
        <w:pStyle w:val="ListBullet"/>
      </w:pPr>
      <w:r>
        <w:t>Bouffées de chaleur</w:t>
      </w:r>
    </w:p>
    <w:p>
      <w:pPr>
        <w:pStyle w:val="ListBullet"/>
      </w:pPr>
      <w:r>
        <w:t>Éruptions cutanées</w:t>
      </w:r>
    </w:p>
    <w:p>
      <w:r/>
      <w:r>
        <w:rPr>
          <w:i/>
        </w:rPr>
        <w:t>Peu fréquents (0,1–1 %)</w:t>
      </w:r>
      <w:r>
        <w:t xml:space="preserve"> :</w:t>
      </w:r>
    </w:p>
    <w:p>
      <w:pPr>
        <w:pStyle w:val="ListBullet"/>
      </w:pPr>
      <w:r>
        <w:t>Syndrome hémolytique et urémique (SHU)</w:t>
      </w:r>
    </w:p>
    <w:p>
      <w:pPr>
        <w:pStyle w:val="ListBullet"/>
      </w:pPr>
      <w:r>
        <w:t>Convulsions (particulièrement en association à de fortes doses de corticoïdes ou en cas d'hypomagnésémie)</w:t>
      </w:r>
    </w:p>
    <w:p>
      <w:pPr>
        <w:pStyle w:val="ListBullet"/>
      </w:pPr>
      <w:r>
        <w:t>Pancréatite aiguë</w:t>
      </w:r>
    </w:p>
    <w:p>
      <w:pPr>
        <w:pStyle w:val="ListBullet"/>
      </w:pPr>
      <w:r>
        <w:t>Hépatotoxicité sévère</w:t>
      </w:r>
    </w:p>
    <w:p>
      <w:pPr>
        <w:pStyle w:val="ListBullet"/>
      </w:pPr>
      <w:r>
        <w:t>Hypertrophie gingivale sévère nécessitant chirurgie</w:t>
      </w:r>
    </w:p>
    <w:p>
      <w:pPr>
        <w:pStyle w:val="ListBullet"/>
      </w:pPr>
      <w:r>
        <w:t>Neuropathie périphérique</w:t>
      </w:r>
    </w:p>
    <w:p>
      <w:pPr>
        <w:pStyle w:val="ListBullet"/>
      </w:pPr>
      <w:r>
        <w:t>Hyperplasie kystique de l'endomètre (transplantées rénales)</w:t>
      </w:r>
    </w:p>
    <w:p>
      <w:r/>
      <w:r>
        <w:rPr>
          <w:i/>
        </w:rPr>
        <w:t>Rares (&lt; 0,1 %)</w:t>
      </w:r>
      <w:r>
        <w:t xml:space="preserve"> :</w:t>
      </w:r>
    </w:p>
    <w:p>
      <w:pPr>
        <w:pStyle w:val="ListBullet"/>
      </w:pPr>
      <w:r>
        <w:t>Lymphoprolifération (lymphome B EBV-induit, particulièrement chez les transplantés pédiatriques sous immunosuppression multi-moléculaire)</w:t>
      </w:r>
    </w:p>
    <w:p>
      <w:pPr>
        <w:pStyle w:val="ListBullet"/>
      </w:pPr>
      <w:r>
        <w:t>Cancers cutanés (carcinomes basocellulaires, épidermoïdes, mélanomes) — risque cumulatif lié à la durée d'exposition</w:t>
      </w:r>
    </w:p>
    <w:p>
      <w:pPr>
        <w:pStyle w:val="ListBullet"/>
      </w:pPr>
      <w:r>
        <w:t>Réactions d'hypersensibilité (urticaire, anaphylaxie — liées à l'huile de ricin polyoxyéthylée de la forme IV)</w:t>
      </w:r>
    </w:p>
    <w:p>
      <w:pPr>
        <w:pStyle w:val="ListBullet"/>
      </w:pPr>
      <w:r>
        <w:t>Microangiopathie thrombotique</w:t>
      </w:r>
    </w:p>
    <w:p>
      <w:r/>
      <w:r>
        <w:rPr>
          <w:i/>
        </w:rPr>
        <w:t>Signaux spécifiques importants</w:t>
      </w:r>
      <w:r>
        <w:t xml:space="preserve"> :</w:t>
      </w:r>
    </w:p>
    <w:p>
      <w:pPr>
        <w:pStyle w:val="ListBullet"/>
      </w:pPr>
      <w:r/>
      <w:r>
        <w:rPr>
          <w:b/>
        </w:rPr>
        <w:t>Néphrotoxicité chronique</w:t>
      </w:r>
      <w:r>
        <w:t xml:space="preserve"> : signal majeur limitant l'usage au long cours en rhumatologie. Après 2 ans de traitement à doses rhumatologiques (3 mg/kg/jour), 15–25 % des patients présentent une élévation de la créatinine &gt; 30 % au-dessus de la valeur initiale. La biopsie rénale montre une fibrose interstitielle striée et une hyalinose des artérioles afférentes. Cette néphrotoxicité est partiellement réversible à l'arrêt du traitement si la durée d'exposition est &lt; 2 ans, mais devient irréversible au-delà. D'où la règle stricte : </w:t>
      </w:r>
      <w:r>
        <w:rPr>
          <w:b/>
        </w:rPr>
        <w:t>arrêter la ciclosporine si la créatinine augmente de &gt; 30 % de la valeur initiale</w:t>
      </w:r>
      <w:r>
        <w:t xml:space="preserve"> à deux contrôles successifs à 15 jours d'intervalle.</w:t>
      </w:r>
    </w:p>
    <w:p>
      <w:pPr>
        <w:pStyle w:val="ListBullet"/>
      </w:pPr>
      <w:r/>
      <w:r>
        <w:rPr>
          <w:b/>
        </w:rPr>
        <w:t>Hypertension artérielle</w:t>
      </w:r>
      <w:r>
        <w:t xml:space="preserve"> : survient dans 10–30 % des cas, justifie l'introduction systématique d'un inhibiteur calcique (amlodipine, nifédipine LP) qui prévient partiellement la vasoconstriction rénale. Éviter les IEC et ARA2 en première intention (risque d'hyperkaliémie synergique), mais ils peuvent être introduits en seconde intention sous surveillance stricte de la kaliémie.</w:t>
      </w:r>
    </w:p>
    <w:p>
      <w:pPr>
        <w:pStyle w:val="ListBullet"/>
      </w:pPr>
      <w:r/>
      <w:r>
        <w:rPr>
          <w:b/>
        </w:rPr>
        <w:t>Tremblements</w:t>
      </w:r>
      <w:r>
        <w:t xml:space="preserve"> : particulièrement en début de traitement, à fortes doses, chez le sujet âgé. Régressent à la baisse de dose.</w:t>
      </w:r>
    </w:p>
    <w:p>
      <w:pPr>
        <w:pStyle w:val="Heading4"/>
      </w:pPr>
      <w:r>
        <w:t>Prévention et gestion des effets indésirables</w:t>
      </w:r>
    </w:p>
    <w:p>
      <w:r>
        <w:t xml:space="preserve">La prévention des effets indésirables de la ciclosporine repose sur cinq piliers : (i) </w:t>
      </w:r>
      <w:r>
        <w:rPr>
          <w:b/>
        </w:rPr>
        <w:t>bilan pré-thérapeutique complet</w:t>
      </w:r>
      <w:r>
        <w:t xml:space="preserve"> (NFS, plaquettes, urée, créatinine, clearance calculée selon MDRD ou Cockcroft, ionogramme complet avec magnésium, acide urique, transaminases, bilirubine, ALP, GGT, bilan lipidique complet, glycémie, HbA1c, sérologies virales B/C/VIH/EBV/CMV, IDR à la tuberculine ou IGRA, radiographie thoracique, examen ophtalmologique avec fond d'œil, échographie rénale, mesure de la PA sur 3 consultations successives), (ii) </w:t>
      </w:r>
      <w:r>
        <w:rPr>
          <w:b/>
        </w:rPr>
        <w:t>surveillance biologique mensuelle</w:t>
      </w:r>
      <w:r>
        <w:t xml:space="preserve"> pendant les 3 premiers mois puis trimestrielle (créatinine, urée, ionogramme avec K+ et Mg2+, ALAT, ASAT, bilirubine, acide urique, bilan lipidique), (iii) </w:t>
      </w:r>
      <w:r>
        <w:rPr>
          <w:b/>
        </w:rPr>
        <w:t>surveillance tensionnelle mensuelle</w:t>
      </w:r>
      <w:r>
        <w:t xml:space="preserve"> pendant les 3 premiers mois puis trimestrielle (objectif PA &lt; 140/90 mmHg), (iv) </w:t>
      </w:r>
      <w:r>
        <w:rPr>
          <w:b/>
        </w:rPr>
        <w:t>surveillance des concentrations plasmatiques de ciclosporine</w:t>
      </w:r>
      <w:r>
        <w:t xml:space="preserve"> (taux résiduel C0 avant la prise matinale, ou C2 à 2 heures post-dose en transplantation), (v) </w:t>
      </w:r>
      <w:r>
        <w:rPr>
          <w:b/>
        </w:rPr>
        <w:t>éducation aux signes d'alerte</w:t>
      </w:r>
      <w:r>
        <w:t xml:space="preserve"> : fièvre, angine, hématomes, saignements, œdèmes des membres inférieurs, prise de poids rapide, dyspnée, tremblements, céphalées intenses.</w:t>
      </w:r>
    </w:p>
    <w:p>
      <w:r>
        <w:t>En cas d'</w:t>
      </w:r>
      <w:r>
        <w:rPr>
          <w:b/>
        </w:rPr>
        <w:t>élévation de la créatinine</w:t>
      </w:r>
      <w:r>
        <w:t xml:space="preserve"> :</w:t>
      </w:r>
    </w:p>
    <w:p>
      <w:pPr>
        <w:pStyle w:val="ListBullet"/>
      </w:pPr>
      <w:r>
        <w:t>Créatinine augmentée de 30–50 % au-dessus de la valeur initiale : réduire la dose de 25–50 %, contrôle à 2 semaines.</w:t>
      </w:r>
    </w:p>
    <w:p>
      <w:pPr>
        <w:pStyle w:val="ListBullet"/>
      </w:pPr>
      <w:r>
        <w:t>Créatinine augmentée de &gt; 50 % au-dessus de la valeur initiale : arrêt immédiat, contrôle à 1 semaine, recherche d'autres causes (déshydratation, IEC, AINS, contraste iodé).</w:t>
      </w:r>
    </w:p>
    <w:p>
      <w:pPr>
        <w:pStyle w:val="ListBullet"/>
      </w:pPr>
      <w:r>
        <w:t>Après 2 arrêts successifs pour élévation de la créatinine, contre-indication définitive à la ciclosporine.</w:t>
      </w:r>
    </w:p>
    <w:p>
      <w:r>
        <w:t>En cas d'</w:t>
      </w:r>
      <w:r>
        <w:rPr>
          <w:b/>
        </w:rPr>
        <w:t>hypertension artérielle</w:t>
      </w:r>
      <w:r>
        <w:t xml:space="preserve"> :</w:t>
      </w:r>
    </w:p>
    <w:p>
      <w:pPr>
        <w:pStyle w:val="ListBullet"/>
      </w:pPr>
      <w:r>
        <w:t>PA &gt; 140/90 mmHg à deux consultations successives : introduction d'un inhibiteur calcique (amlodipine 5–10 mg/jour, nifédipine LP 30–60 mg/jour).</w:t>
      </w:r>
    </w:p>
    <w:p>
      <w:pPr>
        <w:pStyle w:val="ListBullet"/>
      </w:pPr>
      <w:r>
        <w:t>Si non contrôlée par inhibiteur calcique : ajout d'un bêta-bloquant (aténolol, bisoprolol) ou d'un diurétique thiazidique à faible dose.</w:t>
      </w:r>
    </w:p>
    <w:p>
      <w:pPr>
        <w:pStyle w:val="ListBullet"/>
      </w:pPr>
      <w:r>
        <w:t>Éviter les IEC et ARA2 en première intention (hyperkaliémie synergique).</w:t>
      </w:r>
    </w:p>
    <w:p>
      <w:r>
        <w:t>En cas d'</w:t>
      </w:r>
      <w:r>
        <w:rPr>
          <w:b/>
        </w:rPr>
        <w:t>hyperkaliémie</w:t>
      </w:r>
      <w:r>
        <w:t xml:space="preserve"> :</w:t>
      </w:r>
    </w:p>
    <w:p>
      <w:pPr>
        <w:pStyle w:val="ListBullet"/>
      </w:pPr>
      <w:r>
        <w:t>K+ &gt; 5,5 mmol/L : réduire la dose de ciclosporine, régime hyposodé hypokaliémiant, arrêt des diurétiques épargneurs de potassium.</w:t>
      </w:r>
    </w:p>
    <w:p>
      <w:pPr>
        <w:pStyle w:val="ListBullet"/>
      </w:pPr>
      <w:r>
        <w:t>K+ &gt; 6,5 mmol/L : arrêt immédiat, hospitalisation, gluconate de calcium IV, insuline+glucose, kayexalate.</w:t>
      </w:r>
    </w:p>
    <w:p>
      <w:r>
        <w:t>En cas d'</w:t>
      </w:r>
      <w:r>
        <w:rPr>
          <w:b/>
        </w:rPr>
        <w:t>hyperuricémie</w:t>
      </w:r>
      <w:r>
        <w:t xml:space="preserve"> : surveillance de l'acide urique, régime hypouricémiant, introduction d'allopurinol en cas de goutte confirmée (mais attention à l'interaction avec l'azathioprine en cas d'association — réduction de dose).</w:t>
      </w:r>
    </w:p>
    <w:p>
      <w:r>
        <w:t xml:space="preserve">En cas de </w:t>
      </w:r>
      <w:r>
        <w:rPr>
          <w:b/>
        </w:rPr>
        <w:t>gingivite hypertrophique</w:t>
      </w:r>
      <w:r>
        <w:t xml:space="preserve"> : hygiène bucco-dentaire rigoureuse, brossage après chaque repas, bain de bouche chlorhexidine, consultation dentiste tous les 6 mois. En cas d'hypertrophie sévère : réduction de dose, chirurgie gingivale.</w:t>
      </w:r>
    </w:p>
    <w:p>
      <w:pPr>
        <w:pStyle w:val="Heading4"/>
      </w:pPr>
      <w:r>
        <w:t>Interactions médicamenteuses</w:t>
      </w:r>
    </w:p>
    <w:p>
      <w:r>
        <w:t xml:space="preserve">La ciclosporine a un métabolisme hépatique intense par le </w:t>
      </w:r>
      <w:r>
        <w:rPr>
          <w:b/>
        </w:rPr>
        <w:t>CYP3A4</w:t>
      </w:r>
      <w:r>
        <w:t xml:space="preserve"> et est substrate de la </w:t>
      </w:r>
      <w:r>
        <w:rPr>
          <w:b/>
        </w:rPr>
        <w:t>P-glycoprotéine (P-gp, ABCB1)</w:t>
      </w:r>
      <w:r>
        <w:t>. De très nombreuses interactions médicamenteuses modifient ses concentrations plasmatiques.</w:t>
      </w:r>
    </w:p>
    <w:p>
      <w:pPr>
        <w:pStyle w:val="ListBullet"/>
      </w:pPr>
      <w:r/>
      <w:r>
        <w:rPr>
          <w:b/>
        </w:rPr>
        <w:t>Associations contre-indiquées</w:t>
      </w:r>
      <w:r>
        <w:t xml:space="preserve"> :</w:t>
      </w:r>
    </w:p>
    <w:p>
      <w:pPr>
        <w:pStyle w:val="ListBullet"/>
      </w:pPr>
      <w:r/>
      <w:r>
        <w:rPr>
          <w:b/>
        </w:rPr>
        <w:t>Tacrolimus</w:t>
      </w:r>
      <w:r>
        <w:t xml:space="preserve"> : duplication thérapeutique (immunosuppression additive, néphrotoxicité synergique)</w:t>
      </w:r>
    </w:p>
    <w:p>
      <w:pPr>
        <w:pStyle w:val="ListBullet"/>
      </w:pPr>
      <w:r/>
      <w:r>
        <w:rPr>
          <w:b/>
        </w:rPr>
        <w:t>Hypericum (millepertuis)</w:t>
      </w:r>
      <w:r>
        <w:t xml:space="preserve"> : induction enzymatique du CYP3A4 et de la P-gp, chute dramatique des concentrations de ciclosporine (jusqu'à -80 %), risque de rejet de greffe ou de rechute rhumatologique</w:t>
      </w:r>
    </w:p>
    <w:p>
      <w:pPr>
        <w:pStyle w:val="ListBullet"/>
      </w:pPr>
      <w:r/>
      <w:r>
        <w:rPr>
          <w:b/>
        </w:rPr>
        <w:t>Statines à fortes doses</w:t>
      </w:r>
      <w:r>
        <w:t xml:space="preserve"> : simvastatine &gt; 10 mg/jour, atorvastatine &gt; 20 mg/jour, rosuvastatine (toutes doses), pitavastatine — risque de rhabdomyolyse (la ciclosporine inhibe le transporteur OATP1B1 hépatique, augmentant les concentrations de statines)</w:t>
      </w:r>
    </w:p>
    <w:p>
      <w:pPr>
        <w:pStyle w:val="ListBullet"/>
      </w:pPr>
      <w:r/>
      <w:r>
        <w:rPr>
          <w:b/>
        </w:rPr>
        <w:t>Colchicine</w:t>
      </w:r>
      <w:r>
        <w:t xml:space="preserve"> (sujet âgé ou IR) : risque d'accumulation, de toxicité médullaire, de myopathie</w:t>
      </w:r>
    </w:p>
    <w:p>
      <w:pPr>
        <w:pStyle w:val="ListBullet"/>
      </w:pPr>
      <w:r/>
      <w:r>
        <w:rPr>
          <w:b/>
        </w:rPr>
        <w:t>Vaccins vivants atténués</w:t>
      </w:r>
      <w:r>
        <w:t xml:space="preserve"> : risque d'infection vaccinale sévère</w:t>
      </w:r>
    </w:p>
    <w:p>
      <w:pPr>
        <w:pStyle w:val="ListBullet"/>
      </w:pPr>
      <w:r/>
      <w:r>
        <w:rPr>
          <w:b/>
        </w:rPr>
        <w:t>Associations déconseillées</w:t>
      </w:r>
      <w:r>
        <w:t xml:space="preserve"> :</w:t>
      </w:r>
    </w:p>
    <w:p>
      <w:pPr>
        <w:pStyle w:val="ListBullet"/>
      </w:pPr>
      <w:r/>
      <w:r>
        <w:rPr>
          <w:b/>
        </w:rPr>
        <w:t>Érythromycine, clarithromycine, josamycine</w:t>
      </w:r>
      <w:r>
        <w:t xml:space="preserve"> : inhibition du CYP3A4, augmentation des concentrations de ciclosporine (× 2–5), surveillance des taux</w:t>
      </w:r>
    </w:p>
    <w:p>
      <w:pPr>
        <w:pStyle w:val="ListBullet"/>
      </w:pPr>
      <w:r/>
      <w:r>
        <w:rPr>
          <w:b/>
        </w:rPr>
        <w:t>Kétoconazole, itraconazole, fluconazole, voriconazole, posaconazole</w:t>
      </w:r>
      <w:r>
        <w:t xml:space="preserve"> : inhibition du CYP3A4, augmentation majeure des concentrations (× 3–10), surveillance obligatoire</w:t>
      </w:r>
    </w:p>
    <w:p>
      <w:pPr>
        <w:pStyle w:val="ListBullet"/>
      </w:pPr>
      <w:r/>
      <w:r>
        <w:rPr>
          <w:b/>
        </w:rPr>
        <w:t>Ritonavir, saquinavir, atazanavir, darunavir</w:t>
      </w:r>
      <w:r>
        <w:t xml:space="preserve"> : inhibition du CYP3A4 (antiprotéases VIH), augmentation majeure</w:t>
      </w:r>
    </w:p>
    <w:p>
      <w:pPr>
        <w:pStyle w:val="ListBullet"/>
      </w:pPr>
      <w:r/>
      <w:r>
        <w:rPr>
          <w:b/>
        </w:rPr>
        <w:t>Diltiazem, vérapamil</w:t>
      </w:r>
      <w:r>
        <w:t xml:space="preserve"> : inhibition du CYP3A4, augmentation des concentrations (× 1,5–3)</w:t>
      </w:r>
    </w:p>
    <w:p>
      <w:pPr>
        <w:pStyle w:val="ListBullet"/>
      </w:pPr>
      <w:r/>
      <w:r>
        <w:rPr>
          <w:b/>
        </w:rPr>
        <w:t>Cimétidine</w:t>
      </w:r>
      <w:r>
        <w:t xml:space="preserve"> : inhibition faible du CYP3A4</w:t>
      </w:r>
    </w:p>
    <w:p>
      <w:pPr>
        <w:pStyle w:val="ListBullet"/>
      </w:pPr>
      <w:r/>
      <w:r>
        <w:rPr>
          <w:b/>
        </w:rPr>
        <w:t>Amiodarone, dronédarone</w:t>
      </w:r>
      <w:r>
        <w:t xml:space="preserve"> : inhibition du CYP3A4 et de la P-gp, augmentation des concentrations, surveillance ECG et taux</w:t>
      </w:r>
    </w:p>
    <w:p>
      <w:pPr>
        <w:pStyle w:val="ListBullet"/>
      </w:pPr>
      <w:r/>
      <w:r>
        <w:rPr>
          <w:b/>
        </w:rPr>
        <w:t>Corticostéroïdes à fortes doses</w:t>
      </w:r>
      <w:r>
        <w:t xml:space="preserve"> : métabolisme partagé, surveillance de la corticothérapie</w:t>
      </w:r>
    </w:p>
    <w:p>
      <w:pPr>
        <w:pStyle w:val="ListBullet"/>
      </w:pPr>
      <w:r/>
      <w:r>
        <w:rPr>
          <w:b/>
        </w:rPr>
        <w:t>Rifampicine, rifabutine</w:t>
      </w:r>
      <w:r>
        <w:t xml:space="preserve"> : induction enzymatique majeure, chute des concentrations (× 0,1–0,3), contre-indication pratique en association</w:t>
      </w:r>
    </w:p>
    <w:p>
      <w:pPr>
        <w:pStyle w:val="ListBullet"/>
      </w:pPr>
      <w:r/>
      <w:r>
        <w:rPr>
          <w:b/>
        </w:rPr>
        <w:t>Phénobarbital, phénytoïne, carbamazépine</w:t>
      </w:r>
      <w:r>
        <w:t xml:space="preserve"> : induction enzymatique, chute des concentrations</w:t>
      </w:r>
    </w:p>
    <w:p>
      <w:pPr>
        <w:pStyle w:val="ListBullet"/>
      </w:pPr>
      <w:r/>
      <w:r>
        <w:rPr>
          <w:b/>
        </w:rPr>
        <w:t>Oxcarbazépine, éslicarbazépine</w:t>
      </w:r>
      <w:r>
        <w:t xml:space="preserve"> : induction enzymatique</w:t>
      </w:r>
    </w:p>
    <w:p>
      <w:pPr>
        <w:pStyle w:val="ListBullet"/>
      </w:pPr>
      <w:r/>
      <w:r>
        <w:rPr>
          <w:b/>
        </w:rPr>
        <w:t>Bosentan</w:t>
      </w:r>
      <w:r>
        <w:t xml:space="preserve"> : induction enzymatique (substrat partagé), chute des concentrations de ciclosporine (× 0,5)</w:t>
      </w:r>
    </w:p>
    <w:p>
      <w:pPr>
        <w:pStyle w:val="ListBullet"/>
      </w:pPr>
      <w:r/>
      <w:r>
        <w:rPr>
          <w:b/>
        </w:rPr>
        <w:t>Millepertuis</w:t>
      </w:r>
      <w:r>
        <w:t xml:space="preserve"> (rappel) : induction enzymatique majeure, à proscrire</w:t>
      </w:r>
    </w:p>
    <w:p>
      <w:pPr>
        <w:pStyle w:val="ListBullet"/>
      </w:pPr>
      <w:r/>
      <w:r>
        <w:rPr>
          <w:b/>
        </w:rPr>
        <w:t>Associations nécessitant des précautions d'emploi</w:t>
      </w:r>
      <w:r>
        <w:t xml:space="preserve"> :</w:t>
      </w:r>
    </w:p>
    <w:p>
      <w:pPr>
        <w:pStyle w:val="ListBullet"/>
      </w:pPr>
      <w:r/>
      <w:r>
        <w:rPr>
          <w:b/>
        </w:rPr>
        <w:t>IEC, ARA2</w:t>
      </w:r>
      <w:r>
        <w:t xml:space="preserve"> : majoration du risque d'hyperkaliémie et de néphrotoxicité additive. Surveillance K+ et créatinine mensuelle.</w:t>
      </w:r>
    </w:p>
    <w:p>
      <w:pPr>
        <w:pStyle w:val="ListBullet"/>
      </w:pPr>
      <w:r/>
      <w:r>
        <w:rPr>
          <w:b/>
        </w:rPr>
        <w:t>Diurétiques</w:t>
      </w:r>
      <w:r>
        <w:t xml:space="preserve"> (particulièrement épargneurs de potassium) : majoration du risque d'hyperkaliémie. Surveillance K+.</w:t>
      </w:r>
    </w:p>
    <w:p>
      <w:pPr>
        <w:pStyle w:val="ListBullet"/>
      </w:pPr>
      <w:r/>
      <w:r>
        <w:rPr>
          <w:b/>
        </w:rPr>
        <w:t>AINS</w:t>
      </w:r>
      <w:r>
        <w:t xml:space="preserve"> (tous, y compris aspirine à dose antiagrégante) : majoration du risque de néphrotoxicité additive. Surveillance créatinine.</w:t>
      </w:r>
    </w:p>
    <w:p>
      <w:pPr>
        <w:pStyle w:val="ListBullet"/>
      </w:pPr>
      <w:r/>
      <w:r>
        <w:rPr>
          <w:b/>
        </w:rPr>
        <w:t>Aminosides</w:t>
      </w:r>
      <w:r>
        <w:t xml:space="preserve"> (gentamicine, amikacine, tobramycine) : néphrotoxicité additive.</w:t>
      </w:r>
    </w:p>
    <w:p>
      <w:pPr>
        <w:pStyle w:val="ListBullet"/>
      </w:pPr>
      <w:r/>
      <w:r>
        <w:rPr>
          <w:b/>
        </w:rPr>
        <w:t>Vancomycine</w:t>
      </w:r>
      <w:r>
        <w:t xml:space="preserve"> : néphrotoxicité additive, surveillance taux résiduel.</w:t>
      </w:r>
    </w:p>
    <w:p>
      <w:pPr>
        <w:pStyle w:val="ListBullet"/>
      </w:pPr>
      <w:r/>
      <w:r>
        <w:rPr>
          <w:b/>
        </w:rPr>
        <w:t>Cotrimoxazole, triméthoprime</w:t>
      </w:r>
      <w:r>
        <w:t xml:space="preserve"> : majoration du risque de néphrotoxicité, d'hyperkaliémie, de myélotoxicité.</w:t>
      </w:r>
    </w:p>
    <w:p>
      <w:pPr>
        <w:pStyle w:val="ListBullet"/>
      </w:pPr>
      <w:r/>
      <w:r>
        <w:rPr>
          <w:b/>
        </w:rPr>
        <w:t>Cimétidine, ranitidine</w:t>
      </w:r>
      <w:r>
        <w:t xml:space="preserve"> (anti-H2 à fortes doses) : inhibition modérée du CYP3A4, surveillance clinique.</w:t>
      </w:r>
    </w:p>
    <w:p>
      <w:pPr>
        <w:pStyle w:val="ListBullet"/>
      </w:pPr>
      <w:r/>
      <w:r>
        <w:rPr>
          <w:b/>
        </w:rPr>
        <w:t>Grande prudence avec pamplemousse</w:t>
      </w:r>
      <w:r>
        <w:t xml:space="preserve"> (jus, fruit, segments) : inhibition du CYP3A4 intestinal, augmentation des concentrations (× 1,5–3). Éviter la consommation.</w:t>
      </w:r>
    </w:p>
    <w:p>
      <w:pPr>
        <w:pStyle w:val="ListBullet"/>
      </w:pPr>
      <w:r/>
      <w:r>
        <w:rPr>
          <w:b/>
        </w:rPr>
        <w:t>Anti-TNFα</w:t>
      </w:r>
      <w:r>
        <w:t xml:space="preserve"> : potentialisation de l'immunosuppression, du risque infectieux et de lymphome.</w:t>
      </w:r>
    </w:p>
    <w:p>
      <w:pPr>
        <w:pStyle w:val="Heading4"/>
      </w:pPr>
      <w:r>
        <w:t>Grossesse et allaitement (CRAT)</w:t>
      </w:r>
    </w:p>
    <w:p>
      <w:r>
        <w:t xml:space="preserve">Les données du CRAT et des cohortes de transplantation (registre NTPR, </w:t>
      </w:r>
      <w:r>
        <w:rPr>
          <w:i/>
        </w:rPr>
        <w:t>National Transplantation Pregnancy Registry</w:t>
      </w:r>
      <w:r>
        <w:t>) sur la ciclosporine pendant la grossesse sont les suivantes :</w:t>
      </w:r>
    </w:p>
    <w:p>
      <w:pPr>
        <w:pStyle w:val="ListBullet"/>
      </w:pPr>
      <w:r/>
      <w:r>
        <w:rPr>
          <w:b/>
        </w:rPr>
        <w:t>Grossesse</w:t>
      </w:r>
      <w:r>
        <w:t xml:space="preserve"> :</w:t>
      </w:r>
    </w:p>
    <w:p>
      <w:pPr>
        <w:pStyle w:val="ListBullet"/>
      </w:pPr>
      <w:r>
        <w:t>La ciclosporine traverse le placenta (rapport cordon/maternel ≈ 0,3–0,5).</w:t>
      </w:r>
    </w:p>
    <w:p>
      <w:pPr>
        <w:pStyle w:val="ListBullet"/>
      </w:pPr>
      <w:r>
        <w:t>Données animales : tératogénicité à doses supra-thérapeutiques (anomalies squelettiques, cardiovasculaires) chez la souris et le rat.</w:t>
      </w:r>
    </w:p>
    <w:p>
      <w:pPr>
        <w:pStyle w:val="ListBullet"/>
      </w:pPr>
      <w:r>
        <w:t>Données humaines : pas d'augmentation du risque de malformations majeures dans les cohortes de patientes transplantées (NTPR, cohorte avec plus de 1 000 patientes exposées à la ciclosporine pendant la grossesse). Risque accru de prématurité (30–50 %), de retard de croissance intra-utérin (20–30 %), d'hypertension maternelle gravidique (40 %). Ces complications sont probablement liées en partie à la transplantation sous-jacente plus qu'à la ciclosporine elle-même.</w:t>
      </w:r>
    </w:p>
    <w:p>
      <w:pPr>
        <w:pStyle w:val="ListBullet"/>
      </w:pPr>
      <w:r/>
      <w:r>
        <w:rPr>
          <w:b/>
        </w:rPr>
        <w:t>Recommandation CRAT/EULAR</w:t>
      </w:r>
      <w:r>
        <w:t xml:space="preserve"> : la ciclosporine peut être poursuivie pendant la grossesse si la maladie maternelle (transplantation, lupus sévère, maladie de Behçet oculaire) nécessite un traitement immunosuppresseur. À éviter si possible au 1er trimestre en raison du signal tératogène animal, mais le bénéfice maternel prime en cas de maladie menaçant le pronostic vital ou fonctionnel.</w:t>
      </w:r>
    </w:p>
    <w:p>
      <w:pPr>
        <w:pStyle w:val="ListBullet"/>
      </w:pPr>
      <w:r>
        <w:t>Surveillance : échographie morphologique du 2e trimestre, surveillance de la croissance fœtale tous les mois au 3e trimestre, monitorage de la PA maternelle, surveillance de la créatinine et de la kaliémie mensuelles.</w:t>
      </w:r>
    </w:p>
    <w:p>
      <w:pPr>
        <w:pStyle w:val="ListBullet"/>
      </w:pPr>
      <w:r>
        <w:t>Adaptation posologique : la ciclosporine subit une augmentation progressive de sa clairance pendant la grossesse (jusqu'à +50 % au 3e trimestre), nécessitant souvent une augmentation de dose pour maintenir les taux thérapeutiques. Retour à la dose pré-gravidique en post-partum immédiat.</w:t>
      </w:r>
    </w:p>
    <w:p>
      <w:pPr>
        <w:pStyle w:val="ListBullet"/>
      </w:pPr>
      <w:r/>
      <w:r>
        <w:rPr>
          <w:b/>
        </w:rPr>
        <w:t>Allaitement</w:t>
      </w:r>
      <w:r>
        <w:t xml:space="preserve"> :</w:t>
      </w:r>
    </w:p>
    <w:p>
      <w:pPr>
        <w:pStyle w:val="ListBullet"/>
      </w:pPr>
      <w:r>
        <w:t>La ciclosporine passe dans le lait maternel (concentration lait/plasma ≈ 0,4–0,8).</w:t>
      </w:r>
    </w:p>
    <w:p>
      <w:pPr>
        <w:pStyle w:val="ListBullet"/>
      </w:pPr>
      <w:r>
        <w:t>Quantité ingérée par le nourrisson estimée à 0,5–2 % de la dose maternelle par kg.</w:t>
      </w:r>
    </w:p>
    <w:p>
      <w:pPr>
        <w:pStyle w:val="ListBullet"/>
      </w:pPr>
      <w:r/>
      <w:r>
        <w:rPr>
          <w:b/>
        </w:rPr>
        <w:t>Recommandation CRAT/EULAR</w:t>
      </w:r>
      <w:r>
        <w:t xml:space="preserve"> : l'allaitement est possible sous ciclosporine à doses thérapeutiques, en surveillant la créatinine, l'ionogramme et la PA du nourrisson tous les 15 jours pendant 2 mois, puis mensuellement. Préférer la prise du médicament juste après une tétée pour minimiser l'exposition du nourrisson.</w:t>
      </w:r>
    </w:p>
    <w:p>
      <w:pPr>
        <w:pStyle w:val="Heading4"/>
      </w:pPr>
      <w:r>
        <w:t>Posologie et mode d'administration</w:t>
      </w:r>
    </w:p>
    <w:p>
      <w:pPr>
        <w:pStyle w:val="ListBullet"/>
      </w:pPr>
      <w:r/>
      <w:r>
        <w:rPr>
          <w:b/>
        </w:rPr>
        <w:t>Posologie standard chez l'adulte en rhumatologie</w:t>
      </w:r>
      <w:r>
        <w:t xml:space="preserve"> :</w:t>
      </w:r>
    </w:p>
    <w:p>
      <w:pPr>
        <w:pStyle w:val="ListBullet"/>
      </w:pPr>
      <w:r/>
      <w:r>
        <w:rPr>
          <w:b/>
        </w:rPr>
        <w:t>Polyarthrite rhumatoïde</w:t>
      </w:r>
      <w:r>
        <w:t xml:space="preserve"> : 2,5–3,5 mg/kg/jour en deux prises (matin et soir, à 12 heures d'intervalle), à augmenter progressivement en fonction de la tolérance et de l'efficacité. Dose maximale 5 mg/kg/jour.</w:t>
      </w:r>
    </w:p>
    <w:p>
      <w:pPr>
        <w:pStyle w:val="ListBullet"/>
      </w:pPr>
      <w:r/>
      <w:r>
        <w:rPr>
          <w:b/>
        </w:rPr>
        <w:t>Psoriasis cutané sévère</w:t>
      </w:r>
      <w:r>
        <w:t xml:space="preserve"> : 2,5 mg/kg/jour en une prise, à augmenter par paliers de 0,5–1 mg/kg/jour tous les 15 jours, jusqu'à 5 mg/kg/jour. Réponse attendue à 4–8 semaines.</w:t>
      </w:r>
    </w:p>
    <w:p>
      <w:pPr>
        <w:pStyle w:val="ListBullet"/>
      </w:pPr>
      <w:r/>
      <w:r>
        <w:rPr>
          <w:b/>
        </w:rPr>
        <w:t>Maladie de Behçet oculaire</w:t>
      </w:r>
      <w:r>
        <w:t xml:space="preserve"> : 5 mg/kg/jour en deux prises.</w:t>
      </w:r>
    </w:p>
    <w:p>
      <w:pPr>
        <w:pStyle w:val="ListBullet"/>
      </w:pPr>
      <w:r/>
      <w:r>
        <w:rPr>
          <w:b/>
        </w:rPr>
        <w:t>Dermatoses bulleuses</w:t>
      </w:r>
      <w:r>
        <w:t xml:space="preserve"> : 3–5 mg/kg/jour en deux prises.</w:t>
      </w:r>
    </w:p>
    <w:p>
      <w:pPr>
        <w:pStyle w:val="ListBullet"/>
      </w:pPr>
      <w:r/>
      <w:r>
        <w:rPr>
          <w:b/>
        </w:rPr>
        <w:t>Néphropathie lupique</w:t>
      </w:r>
      <w:r>
        <w:t xml:space="preserve"> : 3–5 mg/kg/jour.</w:t>
      </w:r>
    </w:p>
    <w:p>
      <w:pPr>
        <w:pStyle w:val="ListBullet"/>
      </w:pPr>
      <w:r/>
      <w:r>
        <w:rPr>
          <w:b/>
        </w:rPr>
        <w:t>Posologie en transplantation d'organe</w:t>
      </w:r>
      <w:r>
        <w:t xml:space="preserve"> (indication transplantologique) : 8–12 mg/kg/jour en deux prises (dose initiale post-opératoire), puis adaptation aux concentrations plasmatiques (C0 cible 100–300 ng/mL selon le type de greffe et le délai post-transplantation).</w:t>
      </w:r>
    </w:p>
    <w:p>
      <w:pPr>
        <w:pStyle w:val="ListBullet"/>
      </w:pPr>
      <w:r/>
      <w:r>
        <w:rPr>
          <w:b/>
        </w:rPr>
        <w:t>Mode d'administration</w:t>
      </w:r>
      <w:r>
        <w:t xml:space="preserve"> : per os, à prendre à heure fixe (par exemple 8h et 20h pour la forme à deux prises par jour), au cours d'un repas ou non (l'absorption est améliorée par la prise alimentaire mais la variabilité est plus importante). Les capsules doivent être avalées entières avec un grand verre d'eau. La solution buvable doit être mesurée avec la seringue graduée fournie, diluée dans un verre d'eau ou de jus d'orange (mais jamais de jus de pamplemousse). Agiter vigoureusement le flacon avant emploi.</w:t>
      </w:r>
    </w:p>
    <w:p>
      <w:pPr>
        <w:pStyle w:val="ListBullet"/>
      </w:pPr>
      <w:r/>
      <w:r>
        <w:rPr>
          <w:b/>
        </w:rPr>
        <w:t>Surveillance des concentrations plasmatiques</w:t>
      </w:r>
      <w:r>
        <w:t xml:space="preserve"> : en rhumatologie, la surveillance systématique des taux n'est pas obligatoire à doses standard, mais elle est recommandée en cas d'inefficacité, de toxicité, d'interactions ou chez le sujet âgé. </w:t>
      </w:r>
      <w:r>
        <w:rPr>
          <w:b/>
        </w:rPr>
        <w:t>Cible C0 (taux résiduel avant prise matinale)</w:t>
      </w:r>
      <w:r>
        <w:t xml:space="preserve"> : 100–200 ng/mL. </w:t>
      </w:r>
      <w:r>
        <w:rPr>
          <w:b/>
        </w:rPr>
        <w:t>Cible C2 (taux à 2 heures post-dose)</w:t>
      </w:r>
      <w:r>
        <w:t xml:space="preserve"> : 800–1 200 ng/mL (transplantation). Prélèvement sur tube EDTA, envoyer rapidement au laboratoire.</w:t>
      </w:r>
    </w:p>
    <w:p>
      <w:pPr>
        <w:pStyle w:val="ListBullet"/>
      </w:pPr>
      <w:r/>
      <w:r>
        <w:rPr>
          <w:b/>
        </w:rPr>
        <w:t>Adaptation posologique selon la fonction rénale</w:t>
      </w:r>
      <w:r>
        <w:t xml:space="preserve"> :</w:t>
      </w:r>
    </w:p>
    <w:p>
      <w:pPr>
        <w:pStyle w:val="ListBullet"/>
      </w:pPr>
      <w:r>
        <w:t>DFG &gt; 60 mL/min : dose standard</w:t>
      </w:r>
    </w:p>
    <w:p>
      <w:pPr>
        <w:pStyle w:val="ListBullet"/>
      </w:pPr>
      <w:r>
        <w:t>DFG 30–60 mL/min : réduire à 50–75 % de la dose standard, surveillance mensuelle de la créatinine</w:t>
      </w:r>
    </w:p>
    <w:p>
      <w:pPr>
        <w:pStyle w:val="ListBullet"/>
      </w:pPr>
      <w:r>
        <w:t>DFG &lt; 30 mL/min : contre-indication</w:t>
      </w:r>
    </w:p>
    <w:p>
      <w:pPr>
        <w:pStyle w:val="ListBullet"/>
      </w:pPr>
      <w:r/>
      <w:r>
        <w:rPr>
          <w:b/>
        </w:rPr>
        <w:t>Durée du traitement</w:t>
      </w:r>
      <w:r>
        <w:t xml:space="preserve"> : en rhumatologie, traitement chronique au long cours (6–24 mois), à poursuivre tant que la réponse clinique est satisfaisante et que la tolérance est bonne. L'arrêt doit être progressif. En cas de néphrotoxicité, le traitement doit être arrêté et un relais par une autre classe de DMARD doit être discuté.</w:t>
      </w:r>
    </w:p>
    <w:p>
      <w:pPr>
        <w:pStyle w:val="Heading4"/>
      </w:pPr>
      <w:r>
        <w:t>Formes galéniques disponibles</w:t>
      </w:r>
    </w:p>
    <w:p>
      <w:pPr>
        <w:pStyle w:val="ListBullet"/>
      </w:pPr>
      <w:r>
        <w:t>Capsules molles à 25 mg, 50 mg, 100 mg</w:t>
      </w:r>
    </w:p>
    <w:p>
      <w:pPr>
        <w:pStyle w:val="ListBullet"/>
      </w:pPr>
      <w:r>
        <w:t>Solution buvable à 100 mg/mL (avec seringue graduée pour administration précise en pédiatrie ou chez l'adulte incapable d'avaler les capsules)</w:t>
      </w:r>
    </w:p>
    <w:p>
      <w:pPr>
        <w:pStyle w:val="ListBullet"/>
      </w:pPr>
      <w:r>
        <w:t>Concentré pour solution pour perfusion IV à 50 mg/mL (usage hospitalier exclusif, en transplantation ou induction d'urgence)</w:t>
      </w:r>
    </w:p>
    <w:p>
      <w:pPr>
        <w:pStyle w:val="ListBullet"/>
      </w:pPr>
      <w:r>
        <w:t>Émulsion ophtalmique 0,05 % (RESTASIS) — indiquée dans la sécheresse oculaire auto-immune (Gougerot-Sjögren)</w:t>
      </w:r>
    </w:p>
    <w:p>
      <w:pPr>
        <w:pStyle w:val="ListBullet"/>
      </w:pPr>
      <w:r/>
      <w:r>
        <w:rPr>
          <w:b/>
        </w:rPr>
        <w:t>Forme pédiatrique</w:t>
      </w:r>
      <w:r>
        <w:t xml:space="preserve"> : solution buvable 100 mg/mL (permet l'administration à l'enfant)</w:t>
      </w:r>
    </w:p>
    <w:p>
      <w:pPr>
        <w:pStyle w:val="ListBullet"/>
      </w:pPr>
      <w:r/>
      <w:r>
        <w:rPr>
          <w:b/>
        </w:rPr>
        <w:t>Forme à libération prolongée</w:t>
      </w:r>
      <w:r>
        <w:t xml:space="preserve"> : non disponible en Algérie</w:t>
      </w:r>
    </w:p>
    <w:p>
      <w:pPr>
        <w:pStyle w:val="ListBullet"/>
      </w:pPr>
      <w:r>
        <w:t>Conservation : à température ≤ 25°C, à l'abri de la lumière, dans l'emballage extérieur d'origine. Ne pas congeler la solution buvable. Durée de validité : 3 ans. La solution buvable doit être utilisée dans les 2 mois après ouverture du flacon.</w:t>
      </w:r>
    </w:p>
    <w:p>
      <w:pPr>
        <w:pStyle w:val="Heading4"/>
      </w:pPr>
      <w:r>
        <w:t>Conseils au patient</w:t>
      </w:r>
    </w:p>
    <w:p>
      <w:pPr>
        <w:pStyle w:val="ListBullet"/>
      </w:pPr>
      <w:r/>
      <w:r>
        <w:rPr>
          <w:b/>
        </w:rPr>
        <w:t>Information sur le caractère chronique et progressif du traitement</w:t>
      </w:r>
      <w:r>
        <w:t xml:space="preserve"> : la ciclosporine ne soulage pas immédiatement les symptômes (délai d'action 4–8 semaines), elle prévient l'évolution de la maladie. Ne pas arrêter en cas d'absence d'effet initial.</w:t>
      </w:r>
    </w:p>
    <w:p>
      <w:pPr>
        <w:pStyle w:val="ListBullet"/>
      </w:pPr>
      <w:r/>
      <w:r>
        <w:rPr>
          <w:b/>
        </w:rPr>
        <w:t>Surveillance biologique mensuelle</w:t>
      </w:r>
      <w:r>
        <w:t xml:space="preserve"> pendant les 3 premiers mois puis trimestrielle : créatinine, urée, ionogramme complet (Na+, K+, Mg2+), ALAT, ASAT, bilirubine, acide urique, bilan lipidique complet, glycémie. Le patient doit se rendre au laboratoire à jeun.</w:t>
      </w:r>
    </w:p>
    <w:p>
      <w:pPr>
        <w:pStyle w:val="ListBullet"/>
      </w:pPr>
      <w:r/>
      <w:r>
        <w:rPr>
          <w:b/>
        </w:rPr>
        <w:t>Surveillance tensionnelle mensuelle</w:t>
      </w:r>
      <w:r>
        <w:t xml:space="preserve"> pendant les 3 premiers mois. Si PA &gt; 140/90 mmHg à deux reprises, consulter le médecin traitant pour introduction d'un antihypertenseur.</w:t>
      </w:r>
    </w:p>
    <w:p>
      <w:pPr>
        <w:pStyle w:val="ListBullet"/>
      </w:pPr>
      <w:r/>
      <w:r>
        <w:rPr>
          <w:b/>
        </w:rPr>
        <w:t>Éducation aux signes d'alerte</w:t>
      </w:r>
      <w:r>
        <w:t xml:space="preserve"> : fièvre &gt; 38°C, angine, aphtes, hématomes, saignements, œdèmes des membres inférieurs, prise de poids &gt; 2 kg en 1 semaine, diminution de la diurèse, tremblements, céphalées intenses, douleurs abdominales intenses.</w:t>
      </w:r>
    </w:p>
    <w:p>
      <w:pPr>
        <w:pStyle w:val="ListBullet"/>
      </w:pPr>
      <w:r/>
      <w:r>
        <w:rPr>
          <w:b/>
        </w:rPr>
        <w:t>Éviter le pamplemousse</w:t>
      </w:r>
      <w:r>
        <w:t xml:space="preserve"> (jus, fruit, segments) pendant toute la durée du traitement. Éviter le millepertuis (interactions graves).</w:t>
      </w:r>
    </w:p>
    <w:p>
      <w:pPr>
        <w:pStyle w:val="ListBullet"/>
      </w:pPr>
      <w:r/>
      <w:r>
        <w:rPr>
          <w:b/>
        </w:rPr>
        <w:t>Hygiène bucco-dentaire rigoureuse</w:t>
      </w:r>
      <w:r>
        <w:t xml:space="preserve"> : brossage après chaque repas, bain de bouche chlorhexidine 0,12 %, consultation dentiste tous les 6 mois. En cas de saignement gingival, de gonflement des gencives, consulter.</w:t>
      </w:r>
    </w:p>
    <w:p>
      <w:pPr>
        <w:pStyle w:val="ListBullet"/>
      </w:pPr>
      <w:r/>
      <w:r>
        <w:rPr>
          <w:b/>
        </w:rPr>
        <w:t>Protection solaire stricte</w:t>
      </w:r>
      <w:r>
        <w:t xml:space="preserve"> : crème solaire indice 50+ en cas d'exposition, vêtements couvrants. Le risque de cancer cutané (carcinome basocellulaire, épidermoïde) est augmenté en cas d'exposition prolongée au soleil sous ciclosporine.</w:t>
      </w:r>
    </w:p>
    <w:p>
      <w:pPr>
        <w:pStyle w:val="ListBullet"/>
      </w:pPr>
      <w:r/>
      <w:r>
        <w:rPr>
          <w:b/>
        </w:rPr>
        <w:t>Vaccination</w:t>
      </w:r>
      <w:r>
        <w:t xml:space="preserve"> : mettre à jour les vaccins inactivés (grippe saisonnière annuelle, pneumocoque tous les 5 ans, COVID-19, hépatite B, tétanos, papillomavirus chez la femme jeune) avant l'initiation ou pendant le traitement. Éviter les vaccins vivants atténués pendant le traitement et 1 mois après l'arrêt.</w:t>
      </w:r>
    </w:p>
    <w:p>
      <w:pPr>
        <w:pStyle w:val="ListBullet"/>
      </w:pPr>
      <w:r/>
      <w:r>
        <w:rPr>
          <w:b/>
        </w:rPr>
        <w:t>Éviter l'automédication</w:t>
      </w:r>
      <w:r>
        <w:t xml:space="preserve"> : signaler tout nouveau médicament au médecin et au pharmacien d'officine, en particulier les antibiotiques (macrolides), les antifongiques (azolés), les AINS, les antihypertenseurs, les statines, le millepertuis.</w:t>
      </w:r>
    </w:p>
    <w:p>
      <w:pPr>
        <w:pStyle w:val="ListBullet"/>
      </w:pPr>
      <w:r/>
      <w:r>
        <w:rPr>
          <w:b/>
        </w:rPr>
        <w:t>Grossesse et contraception</w:t>
      </w:r>
      <w:r>
        <w:t xml:space="preserve"> : en cas de désir de grossesse, consulter le rhumatologue 6 mois à l'avance pour adapter le traitement. La ciclosporine peut être poursuivie pendant la grossesse mais à dose optimisée et sous surveillance renforcée. Chez l'homme traité : pas de nécessité d'arrêt pour conception.</w:t>
      </w:r>
    </w:p>
    <w:p>
      <w:pPr>
        <w:pStyle w:val="ListBullet"/>
      </w:pPr>
      <w:r/>
      <w:r>
        <w:rPr>
          <w:b/>
        </w:rPr>
        <w:t>Ne pas interrompre brutalement le traitement</w:t>
      </w:r>
      <w:r>
        <w:t xml:space="preserve"> sans avis médical (risque de rejet de greffe, de rechute de la maladie autoimmune).</w:t>
      </w:r>
    </w:p>
    <w:p>
      <w:pPr>
        <w:pStyle w:val="ListBullet"/>
      </w:pPr>
      <w:r/>
      <w:r>
        <w:rPr>
          <w:b/>
        </w:rPr>
        <w:t>Manipulation des capsules et de la solution</w:t>
      </w:r>
      <w:r>
        <w:t xml:space="preserve"> : les femmes enceintes (conjointes du patient, personnel soignant) ne doivent pas manipuler les capsules sans gants.</w:t>
      </w:r>
    </w:p>
    <w:p>
      <w:pPr>
        <w:pStyle w:val="Heading4"/>
      </w:pPr>
      <w:r>
        <w:t>Pièges du comptoir</w:t>
      </w:r>
    </w:p>
    <w:p>
      <w:pPr>
        <w:pStyle w:val="ListNumber"/>
      </w:pPr>
      <w:r/>
      <w:r>
        <w:rPr>
          <w:b/>
        </w:rPr>
        <w:t>Oubli de la surveillance de la créatinine</w:t>
      </w:r>
      <w:r>
        <w:t xml:space="preserve"> : le pharmacien doit vérifier que la créatinine a été dosée dans le mois précédant la dispensation. En cas d'absence de résultat, alerter le prescripteur.</w:t>
      </w:r>
    </w:p>
    <w:p>
      <w:pPr>
        <w:pStyle w:val="ListNumber"/>
      </w:pPr>
      <w:r/>
      <w:r>
        <w:rPr>
          <w:b/>
        </w:rPr>
        <w:t>Coprescription avec un antifongique azolé</w:t>
      </w:r>
      <w:r>
        <w:t xml:space="preserve"> (kétoconazole, fluconazole, itraconazole) sans réduction de dose : risque d'augmentation majeure des concentrations de ciclosporine (× 3–10), de néphrotoxicité, d'HTA, de tremblements. Le pharmacien doit alerter le prescripteur pour réduction de dose et surveillance des taux.</w:t>
      </w:r>
    </w:p>
    <w:p>
      <w:pPr>
        <w:pStyle w:val="ListNumber"/>
      </w:pPr>
      <w:r/>
      <w:r>
        <w:rPr>
          <w:b/>
        </w:rPr>
        <w:t>Consommation de pamplemousse</w:t>
      </w:r>
      <w:r>
        <w:t xml:space="preserve"> : information à donner systématiquement au patient. Le jus de pamplemousse peut augmenter les concentrations de ciclosporine de 50–200 %.</w:t>
      </w:r>
    </w:p>
    <w:p>
      <w:pPr>
        <w:pStyle w:val="ListNumber"/>
      </w:pPr>
      <w:r/>
      <w:r>
        <w:rPr>
          <w:b/>
        </w:rPr>
        <w:t>Prise de millepertuis</w:t>
      </w:r>
      <w:r>
        <w:t xml:space="preserve"> (automédication pour dépression) : interaction grave. Le millepertuis réduit les concentrations de ciclosporine de 50–80 %, avec risque de rejet de greffe ou de rechute.</w:t>
      </w:r>
    </w:p>
    <w:p>
      <w:pPr>
        <w:pStyle w:val="ListNumber"/>
      </w:pPr>
      <w:r/>
      <w:r>
        <w:rPr>
          <w:b/>
        </w:rPr>
        <w:t>Coprescription avec une statine à forte dose</w:t>
      </w:r>
      <w:r>
        <w:t xml:space="preserve"> : risque de rhabdomyolyse. Vérifier que la dose de statine est réduite (simvastatine ≤ 10 mg/jour, atorvastatine ≤ 20 mg/jour, rosuvastatine contre-indiquée).</w:t>
      </w:r>
    </w:p>
    <w:p>
      <w:pPr>
        <w:pStyle w:val="ListNumber"/>
      </w:pPr>
      <w:r/>
      <w:r>
        <w:rPr>
          <w:b/>
        </w:rPr>
        <w:t>Coprescription avec un macrolide</w:t>
      </w:r>
      <w:r>
        <w:t xml:space="preserve"> (érythromycine, clarithromycine) sans adaptation posologique : augmentation des concentrations de ciclosporine. Préférer un autre antibiotique (pénicilline, céphalosporine, pristinamycine) ou réduire la dose de ciclosporine de 50 % et surveiller les taux.</w:t>
      </w:r>
    </w:p>
    <w:p>
      <w:pPr>
        <w:pStyle w:val="ListNumber"/>
      </w:pPr>
      <w:r/>
      <w:r>
        <w:rPr>
          <w:b/>
        </w:rPr>
        <w:t>Initiation chez un sujet âgé sans adaptation posologique</w:t>
      </w:r>
      <w:r>
        <w:t xml:space="preserve"> : commencer à dose réduite (1,5–2 mg/kg/jour), surveillance rapprochée de la créatinine et de la PA.</w:t>
      </w:r>
    </w:p>
    <w:p>
      <w:pPr>
        <w:pStyle w:val="ListNumber"/>
      </w:pPr>
      <w:r/>
      <w:r>
        <w:rPr>
          <w:b/>
        </w:rPr>
        <w:t>Hypertension artérielle banalisée</w:t>
      </w:r>
      <w:r>
        <w:t xml:space="preserve"> : une HTA nouvelle sous ciclosporine impose l'introduction d'un inhibiteur calcique (amlodipine) et la surveillance de la créatinine (les IEC et ARA2 sont à éviter en première intention en raison du risque d'hyperkaliémie).</w:t>
      </w:r>
    </w:p>
    <w:p>
      <w:pPr>
        <w:pStyle w:val="ListNumber"/>
      </w:pPr>
      <w:r/>
      <w:r>
        <w:rPr>
          <w:b/>
        </w:rPr>
        <w:t>Confusion SANDIMMUN / SANDIMMUN NEORAL</w:t>
      </w:r>
      <w:r>
        <w:t xml:space="preserve"> : l'ancienne forme SANDIMMUN (forme non microémulsion) a été supplantée par SANDIMMUN NEORAL (forme microémulsion, absorption plus prévisible). Vérifier que le patient reçoit bien la forme NEORAL (microémulsion).</w:t>
      </w:r>
    </w:p>
    <w:p>
      <w:pPr>
        <w:pStyle w:val="ListNumber"/>
      </w:pPr>
      <w:r/>
      <w:r>
        <w:rPr>
          <w:b/>
        </w:rPr>
        <w:t>Vaccin vivant atténué prescrit par erreur</w:t>
      </w:r>
      <w:r>
        <w:t xml:space="preserve"> : refuser la dispensation, contacter le prescripteur pour substitution par un vaccin inactivé ou respecter un délai de 1 mois après l'arrêt de la ciclosporine pour les vaccins vivants.</w:t>
      </w:r>
    </w:p>
    <w:p>
      <w:pPr>
        <w:pStyle w:val="ListNumber"/>
      </w:pPr>
      <w:r/>
      <w:r>
        <w:rPr>
          <w:b/>
        </w:rPr>
        <w:t>Switch de marque</w:t>
      </w:r>
      <w:r>
        <w:t xml:space="preserve"> : passer d'une marque à une autre (par exemple de SANDIMMUN NEORAL à IMUSPORIN) n'est pas recommandé en transplantation en raison du risque de variation des concentrations. En rhumatologie, le switch est possible sous surveillance clinique et biologique.</w:t>
      </w:r>
    </w:p>
    <w:p>
      <w:pPr>
        <w:pStyle w:val="ListNumber"/>
      </w:pPr>
      <w:r/>
      <w:r>
        <w:rPr>
          <w:b/>
        </w:rPr>
        <w:t>Oubli de la surveillance ophtalmologique</w:t>
      </w:r>
      <w:r>
        <w:t xml:space="preserve"> : pour la forme ophtalmique RESTASIS, surveillance ophtalmologique semestrielle (examen cornée, conjonctive).</w:t>
      </w:r>
    </w:p>
    <w:p>
      <w:pPr>
        <w:pStyle w:val="Heading2"/>
      </w:pPr>
      <w:r>
        <w:t>151.5 Sous-classe : DMARD synthétiques — Antipaludéens de synthèse</w:t>
      </w:r>
    </w:p>
    <w:p>
      <w:pPr>
        <w:pStyle w:val="Heading3"/>
      </w:pPr>
      <w:r>
        <w:t>151.5.1 Généralités de la sous-classe</w:t>
      </w:r>
    </w:p>
    <w:p>
      <w:r>
        <w:t xml:space="preserve">Les antipaludéens de synthèse constituent une sous-classe pharmacologique historiquement issue de la phytothérapie sud-américaine (écorce de quinquina, </w:t>
      </w:r>
      <w:r>
        <w:rPr>
          <w:i/>
        </w:rPr>
        <w:t>Cinchona officinalis</w:t>
      </w:r>
      <w:r>
        <w:t xml:space="preserve">, contenant la quinine) puis développée chimiquement en Allemagne au début du XXe siècle (chloroquine, 1934 ; hydroxychloroquine, 1955). Trois molécules ont été utilisées en rhumatologie : la </w:t>
      </w:r>
      <w:r>
        <w:rPr>
          <w:b/>
        </w:rPr>
        <w:t>chloroquine</w:t>
      </w:r>
      <w:r>
        <w:t xml:space="preserve"> (NIVAQUINE, utilisée pour le paludisme et accessoirement en rhumatologie, mais supplantée par l'hydroxychloroquine en raison de sa rétinotoxicité supérieure), l'</w:t>
      </w:r>
      <w:r>
        <w:rPr>
          <w:b/>
        </w:rPr>
        <w:t>hydroxychloroquine</w:t>
      </w:r>
      <w:r>
        <w:t xml:space="preserve"> (PLAQUENIL, princeps Sanofi, molécule de référence dans le lupus érythémateux systémique et la polyarthrite rhumatoïde modérée), et la </w:t>
      </w:r>
      <w:r>
        <w:rPr>
          <w:b/>
        </w:rPr>
        <w:t>quinacrine</w:t>
      </w:r>
      <w:r>
        <w:t xml:space="preserve"> (atabrine, abandonnée en raison de sa toxicité cutanée et psychiatrique). Seule l'hydroxychloroquine est traitée ici comme DMARD rhumatologique ; la chloroquine est mentionnée pour mémoire.</w:t>
      </w:r>
    </w:p>
    <w:p>
      <w:r>
        <w:t xml:space="preserve">Le mécanisme d'action des antipaludéens de synthèse est multifactoriel et complexe, mais converge vers une </w:t>
      </w:r>
      <w:r>
        <w:rPr>
          <w:b/>
        </w:rPr>
        <w:t>modification du pH intracellulaire des lysosomes et des endosomes</w:t>
      </w:r>
      <w:r>
        <w:t xml:space="preserve">. Ces molécules sont des bases faibles lipophiles qui, à pH physiologique extracellulaire (7,4), sont partiellement protonées et peuvent traverser les membranes biologiques. Une fois dans le compartiment acide lysosomal (pH ≈ 4,5–5,0), elles deviennent fortement protonées, captées dans le lysosome où elles s'accumulent (concentration intralysosomale jusqu'à 1 000× supérieure à la concentration extracellulaire) et </w:t>
      </w:r>
      <w:r>
        <w:rPr>
          <w:b/>
        </w:rPr>
        <w:t>alcalinisent le pH lysosomal</w:t>
      </w:r>
      <w:r>
        <w:t xml:space="preserve"> (remontée de pH 4,5 à 6,0). Cette alcalinisation a plusieurs conséquences immunologiques :</w:t>
      </w:r>
    </w:p>
    <w:p>
      <w:pPr>
        <w:pStyle w:val="ListNumber"/>
      </w:pPr>
      <w:r/>
      <w:r>
        <w:rPr>
          <w:b/>
        </w:rPr>
        <w:t>Inhibition de la présentation antigénique</w:t>
      </w:r>
      <w:r>
        <w:t xml:space="preserve"> : les antigènes protéiques internalisés par les cellules présentatrices d'antigène (CPA) subissent une dégradation protéolytique par les cathepsines lysosomales à pH acide. L'alcalinisation du pH lysosomal ralentit cette dégradation et réduit la production de peptides antigéniques chargés pour les molécules CMH de classe II.</w:t>
      </w:r>
    </w:p>
    <w:p>
      <w:pPr>
        <w:pStyle w:val="ListNumber"/>
      </w:pPr>
      <w:r/>
      <w:r>
        <w:rPr>
          <w:b/>
        </w:rPr>
        <w:t>Inhibition de la maturation des molécules CMH de classe II</w:t>
      </w:r>
      <w:r>
        <w:t xml:space="preserve"> : la chaîne invariante Ii (liée au CMH II dans le compartiment endosomal) doit être clivée par les cathepsines pour libérer le site de liaison du peptide. L'alcalinisation ralentit ce clivage et réduit l'expression du CMH II à la surface des CPA.</w:t>
      </w:r>
    </w:p>
    <w:p>
      <w:pPr>
        <w:pStyle w:val="ListNumber"/>
      </w:pPr>
      <w:r/>
      <w:r>
        <w:rPr>
          <w:b/>
        </w:rPr>
        <w:t>Inhibition de la signalisation du Toll-like receptor 7/9 (TLR7/TLR9)</w:t>
      </w:r>
      <w:r>
        <w:t xml:space="preserve"> : ces récepteurs reconnaissent les acides nucléiques viraux et bactériens simples brins dans les endosomes. Leur activation nécessite un pH acide. L'alcalinisation inhibe la signalisation TLR7/9 et réduit la production d'interférons de type I (particulièrement importante dans le lupus).</w:t>
      </w:r>
    </w:p>
    <w:p>
      <w:pPr>
        <w:pStyle w:val="ListNumber"/>
      </w:pPr>
      <w:r/>
      <w:r>
        <w:rPr>
          <w:b/>
        </w:rPr>
        <w:t>Réduction de la production cytokinique</w:t>
      </w:r>
      <w:r>
        <w:t xml:space="preserve"> (IL-1, IL-6, TNFα) par les monocytes/macrophages et les lymphocytes T.</w:t>
      </w:r>
    </w:p>
    <w:p>
      <w:r>
        <w:t>Les conséquences cliniques sont une immunomodulation douce, un effet anti-inflammatoire modéré, une photo-protection cutanée (utile dans le lupus cutané photosensible), et une modulation du métabolisme lipidique (baisse modeste du LDL-cholestérol).</w:t>
      </w:r>
    </w:p>
    <w:p>
      <w:r>
        <w:t xml:space="preserve">Historiquement, l'hydroxychloroquine a été popularisée en rhumatologie par Malcolm Paget (1957) dans la PR, puis par Frederick Dixon (1960s) et Hugh Fudenberg (1970s) dans le lupus érythémateux systémique. Son efficacité modeste mais sa très bonne tolérance globale (à l'exception de la rétinopathie) en font le traitement de fond de première ligne dans le </w:t>
      </w:r>
      <w:r>
        <w:rPr>
          <w:b/>
        </w:rPr>
        <w:t>lupus érythémateux systémique</w:t>
      </w:r>
      <w:r>
        <w:t xml:space="preserve"> (toutes formes confondues, sauf contre-indication), dans la </w:t>
      </w:r>
      <w:r>
        <w:rPr>
          <w:b/>
        </w:rPr>
        <w:t>polyarthrite rhumatoïde modérée</w:t>
      </w:r>
      <w:r>
        <w:t xml:space="preserve"> (en association ou en alternative au méthotrexate), dans le </w:t>
      </w:r>
      <w:r>
        <w:rPr>
          <w:b/>
        </w:rPr>
        <w:t>syndrome de Gougerot-Sjögren primitif</w:t>
      </w:r>
      <w:r>
        <w:t xml:space="preserve"> (atteinte glandulaire et articulaire), et dans diverses dermatoses auto-immunes (lupus cutané subaigu, dermatopolymyosite cutanée, porphyrie cutanée tardive). Son usage a été également débattu dans la pandémie COVID-19 (2020), avec des résultats négatifs dans les essais cliniques contrôlés (RECOVERY, SOLIDARITY, COALITION) et des alertes cardiaques (allongement du QT, troubles du rythme).</w:t>
      </w:r>
    </w:p>
    <w:p>
      <w:r>
        <w:t>Le marché algérien de l'hydroxychloroquine comporte 4 spécialités actives : PLAQUENIL (SANOFI princeps) et 3 génériques (HCQ-SAIDAL production locale SAIDAL, HYDROXYCHLOROQUINE BEKER production locale BEKER, XARIA production CPCM). À cela s'ajoute une spécialité non renouvelée (NAQUINE NOVA ARGENTIA). Toutes les spécialités se présentent en comprimés enrobés ou pelliculés à 200 mg, conditionnement en boîte de 30. Le faible coût (250–400 DA la boîte de 30 comprimés) en fait une option économique majeure. La production locale (SAIDAL, BEKER) assure une sécurité d'approvisionnement nationale importante.</w:t>
      </w:r>
    </w:p>
    <w:p>
      <w:pPr>
        <w:pStyle w:val="Heading3"/>
      </w:pPr>
      <w:r>
        <w:t>151.5.2 Hydroxychloroquine (usage rhumatologique)</w:t>
      </w:r>
    </w:p>
    <w:p>
      <w:pPr>
        <w:pStyle w:val="Heading4"/>
      </w:pPr>
      <w:r>
        <w:t>Liste des catégories</w:t>
      </w:r>
    </w:p>
    <w:p>
      <w:pPr>
        <w:pStyle w:val="ListBullet"/>
      </w:pPr>
      <w:r>
        <w:t xml:space="preserve">ATC : P01BA02 (hydroxychloroquine) — </w:t>
      </w:r>
      <w:r>
        <w:rPr>
          <w:b/>
        </w:rPr>
        <w:t>Antipaludéens, aminoquinoléines</w:t>
      </w:r>
      <w:r/>
    </w:p>
    <w:p>
      <w:pPr>
        <w:pStyle w:val="ListBullet"/>
      </w:pPr>
      <w:r>
        <w:t>Classe thérapeutique : DMARD synthétique, antipaludéen de synthèse, immunomodulateur</w:t>
      </w:r>
    </w:p>
    <w:p>
      <w:pPr>
        <w:pStyle w:val="ListBullet"/>
      </w:pPr>
      <w:r>
        <w:t xml:space="preserve">Réglementation algérienne : </w:t>
      </w:r>
      <w:r>
        <w:rPr>
          <w:b/>
        </w:rPr>
        <w:t>Liste I</w:t>
      </w:r>
      <w:r>
        <w:t xml:space="preserve"> (PLAQUENIL, BEKER) ou </w:t>
      </w:r>
      <w:r>
        <w:rPr>
          <w:b/>
        </w:rPr>
        <w:t>Liste II</w:t>
      </w:r>
      <w:r>
        <w:t xml:space="preserve"> (HCQ-SAIDAL, XARIA) selon les spécialités — sur ordonnance médicale obligatoire</w:t>
      </w:r>
    </w:p>
    <w:p>
      <w:pPr>
        <w:pStyle w:val="ListBullet"/>
      </w:pPr>
      <w:r>
        <w:t>Liste des stupéfiants : non applicable</w:t>
      </w:r>
    </w:p>
    <w:p>
      <w:pPr>
        <w:pStyle w:val="ListBullet"/>
      </w:pPr>
      <w:r>
        <w:t xml:space="preserve">Statut grossesse : </w:t>
      </w:r>
      <w:r>
        <w:rPr>
          <w:b/>
        </w:rPr>
        <w:t>Possible (catégorie C)</w:t>
      </w:r>
      <w:r>
        <w:t xml:space="preserve"> — molécule de choix pendant la grossesse dans le lupus érythémateux systémique (prévention des poussées, prévention du lupus néonatal)</w:t>
      </w:r>
    </w:p>
    <w:p>
      <w:pPr>
        <w:pStyle w:val="ListBullet"/>
      </w:pPr>
      <w:r>
        <w:t>Disponibilité Algérie : 4 spécialités actives + 1 non renouvelée</w:t>
      </w:r>
    </w:p>
    <w:p>
      <w:pPr>
        <w:pStyle w:val="Heading4"/>
      </w:pPr>
      <w:r>
        <w:t>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PLAQUENIL</w:t>
            </w:r>
          </w:p>
        </w:tc>
        <w:tc>
          <w:tcPr>
            <w:tcW w:type="dxa" w:w="1559"/>
          </w:tcPr>
          <w:p>
            <w:r>
              <w:rPr>
                <w:sz w:val="20"/>
              </w:rPr>
              <w:t>SANOFI SYNTHELABO FRANCE</w:t>
            </w:r>
          </w:p>
        </w:tc>
        <w:tc>
          <w:tcPr>
            <w:tcW w:type="dxa" w:w="1559"/>
          </w:tcPr>
          <w:p>
            <w:r>
              <w:rPr>
                <w:sz w:val="20"/>
              </w:rPr>
              <w:t>Comprimé enrobé — 200 mg</w:t>
            </w:r>
          </w:p>
        </w:tc>
        <w:tc>
          <w:tcPr>
            <w:tcW w:type="dxa" w:w="1559"/>
          </w:tcPr>
          <w:p>
            <w:r>
              <w:rPr>
                <w:sz w:val="20"/>
              </w:rPr>
              <w:t>B/30</w:t>
            </w:r>
          </w:p>
        </w:tc>
        <w:tc>
          <w:tcPr>
            <w:tcW w:type="dxa" w:w="1559"/>
          </w:tcPr>
          <w:p>
            <w:r>
              <w:rPr>
                <w:sz w:val="20"/>
              </w:rPr>
              <w:t>—</w:t>
            </w:r>
          </w:p>
        </w:tc>
        <w:tc>
          <w:tcPr>
            <w:tcW w:type="dxa" w:w="1559"/>
          </w:tcPr>
          <w:p>
            <w:r>
              <w:rPr>
                <w:sz w:val="20"/>
              </w:rPr>
              <w:t>ACTIF</w:t>
            </w:r>
          </w:p>
        </w:tc>
      </w:tr>
      <w:tr>
        <w:tc>
          <w:tcPr>
            <w:tcW w:type="dxa" w:w="1559"/>
          </w:tcPr>
          <w:p>
            <w:r>
              <w:rPr>
                <w:sz w:val="20"/>
              </w:rPr>
              <w:t>HCQ-SAIDAL</w:t>
            </w:r>
          </w:p>
        </w:tc>
        <w:tc>
          <w:tcPr>
            <w:tcW w:type="dxa" w:w="1559"/>
          </w:tcPr>
          <w:p>
            <w:r>
              <w:rPr>
                <w:sz w:val="20"/>
              </w:rPr>
              <w:t>GROUPE SAIDAL</w:t>
            </w:r>
          </w:p>
        </w:tc>
        <w:tc>
          <w:tcPr>
            <w:tcW w:type="dxa" w:w="1559"/>
          </w:tcPr>
          <w:p>
            <w:r>
              <w:rPr>
                <w:sz w:val="20"/>
              </w:rPr>
              <w:t>Comprimé pelliculé — 200 mg</w:t>
            </w:r>
          </w:p>
        </w:tc>
        <w:tc>
          <w:tcPr>
            <w:tcW w:type="dxa" w:w="1559"/>
          </w:tcPr>
          <w:p>
            <w:r>
              <w:rPr>
                <w:sz w:val="20"/>
              </w:rPr>
              <w:t>B/30</w:t>
            </w:r>
          </w:p>
        </w:tc>
        <w:tc>
          <w:tcPr>
            <w:tcW w:type="dxa" w:w="1559"/>
          </w:tcPr>
          <w:p>
            <w:r>
              <w:rPr>
                <w:sz w:val="20"/>
              </w:rPr>
              <w:t>LISTE II</w:t>
            </w:r>
          </w:p>
        </w:tc>
        <w:tc>
          <w:tcPr>
            <w:tcW w:type="dxa" w:w="1559"/>
          </w:tcPr>
          <w:p>
            <w:r>
              <w:rPr>
                <w:sz w:val="20"/>
              </w:rPr>
              <w:t>ACTIF</w:t>
            </w:r>
          </w:p>
        </w:tc>
      </w:tr>
      <w:tr>
        <w:tc>
          <w:tcPr>
            <w:tcW w:type="dxa" w:w="1559"/>
          </w:tcPr>
          <w:p>
            <w:r>
              <w:rPr>
                <w:sz w:val="20"/>
              </w:rPr>
              <w:t>HYDROXYCHLOROQUINE BEKER</w:t>
            </w:r>
          </w:p>
        </w:tc>
        <w:tc>
          <w:tcPr>
            <w:tcW w:type="dxa" w:w="1559"/>
          </w:tcPr>
          <w:p>
            <w:r>
              <w:rPr>
                <w:sz w:val="20"/>
              </w:rPr>
              <w:t>LABORATOIRES BEKER</w:t>
            </w:r>
          </w:p>
        </w:tc>
        <w:tc>
          <w:tcPr>
            <w:tcW w:type="dxa" w:w="1559"/>
          </w:tcPr>
          <w:p>
            <w:r>
              <w:rPr>
                <w:sz w:val="20"/>
              </w:rPr>
              <w:t>Comprimé pelliculé — 200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XARIA</w:t>
            </w:r>
          </w:p>
        </w:tc>
        <w:tc>
          <w:tcPr>
            <w:tcW w:type="dxa" w:w="1559"/>
          </w:tcPr>
          <w:p>
            <w:r>
              <w:rPr>
                <w:sz w:val="20"/>
              </w:rPr>
              <w:t>CHIMIE PHARMACIE COMMERCE MULTIPLE (CPCM)</w:t>
            </w:r>
          </w:p>
        </w:tc>
        <w:tc>
          <w:tcPr>
            <w:tcW w:type="dxa" w:w="1559"/>
          </w:tcPr>
          <w:p>
            <w:r>
              <w:rPr>
                <w:sz w:val="20"/>
              </w:rPr>
              <w:t>Comprimé pelliculé — 200 mg</w:t>
            </w:r>
          </w:p>
        </w:tc>
        <w:tc>
          <w:tcPr>
            <w:tcW w:type="dxa" w:w="1559"/>
          </w:tcPr>
          <w:p>
            <w:r>
              <w:rPr>
                <w:sz w:val="20"/>
              </w:rPr>
              <w:t>B/30</w:t>
            </w:r>
          </w:p>
        </w:tc>
        <w:tc>
          <w:tcPr>
            <w:tcW w:type="dxa" w:w="1559"/>
          </w:tcPr>
          <w:p>
            <w:r>
              <w:rPr>
                <w:sz w:val="20"/>
              </w:rPr>
              <w:t>LISTE II</w:t>
            </w:r>
          </w:p>
        </w:tc>
        <w:tc>
          <w:tcPr>
            <w:tcW w:type="dxa" w:w="1559"/>
          </w:tcPr>
          <w:p>
            <w:r>
              <w:rPr>
                <w:sz w:val="20"/>
              </w:rPr>
              <w:t>ACTIF</w:t>
            </w:r>
          </w:p>
        </w:tc>
      </w:tr>
      <w:tr>
        <w:tc>
          <w:tcPr>
            <w:tcW w:type="dxa" w:w="1559"/>
          </w:tcPr>
          <w:p>
            <w:r>
              <w:rPr>
                <w:sz w:val="20"/>
              </w:rPr>
              <w:t>NAQUINE (NR)</w:t>
            </w:r>
          </w:p>
        </w:tc>
        <w:tc>
          <w:tcPr>
            <w:tcW w:type="dxa" w:w="1559"/>
          </w:tcPr>
          <w:p>
            <w:r>
              <w:rPr>
                <w:sz w:val="20"/>
              </w:rPr>
              <w:t>NOVA ARGENTIA</w:t>
            </w:r>
          </w:p>
        </w:tc>
        <w:tc>
          <w:tcPr>
            <w:tcW w:type="dxa" w:w="1559"/>
          </w:tcPr>
          <w:p>
            <w:r>
              <w:rPr>
                <w:sz w:val="20"/>
              </w:rPr>
              <w:t>Dragée — 200 mg</w:t>
            </w:r>
          </w:p>
        </w:tc>
        <w:tc>
          <w:tcPr>
            <w:tcW w:type="dxa" w:w="1559"/>
          </w:tcPr>
          <w:p>
            <w:r>
              <w:rPr>
                <w:sz w:val="20"/>
              </w:rPr>
              <w:t>B/30</w:t>
            </w:r>
          </w:p>
        </w:tc>
        <w:tc>
          <w:tcPr>
            <w:tcW w:type="dxa" w:w="1559"/>
          </w:tcPr>
          <w:p>
            <w:r>
              <w:rPr>
                <w:sz w:val="20"/>
              </w:rPr>
              <w:t>—</w:t>
            </w:r>
          </w:p>
        </w:tc>
        <w:tc>
          <w:tcPr>
            <w:tcW w:type="dxa" w:w="1559"/>
          </w:tcPr>
          <w:p>
            <w:r>
              <w:rPr>
                <w:sz w:val="20"/>
              </w:rPr>
              <w:t>NON_RENOUVELABLE</w:t>
            </w:r>
          </w:p>
        </w:tc>
      </w:tr>
    </w:tbl>
    <w:p/>
    <w:p>
      <w:r>
        <w:t>Le marché algérien de l'hydroxychloroquine présente la particularité d'une classification réglementaire variable selon les spécialités : PLAQUENIL (SANOFI princeps) et HYDROXYCHLOROQUINE BEKER sont inscrits sur Liste I (sur ordonnance non renouvelable au-delà de 6 mois, prescription stricte), tandis que HCQ-SAIDAL (production locale SAIDAL) et XARIA (CPCM) sont inscrits sur Liste II (ordonnance renouvelable, prescription plus souple). Cette classification reflète probablement les démarches d'enregistrement distinctes et non des différences pharmacologiques. La production locale algérienne (SAIDAL à El Harrach, BEKER à Blida) assure une autonomie nationale stratégique, particulièrement importante pendant la pandémie COVID-19 (2020) où la demande mondiale a explosé et où les importations ont été compromises.</w:t>
      </w:r>
    </w:p>
    <w:p>
      <w:pPr>
        <w:pStyle w:val="Heading4"/>
      </w:pPr>
      <w:r>
        <w:t>Mécanisme d'action détaillé</w:t>
      </w:r>
    </w:p>
    <w:p>
      <w:r>
        <w:t xml:space="preserve">L'hydroxychloroquine (2-[[4-[(7-chloroquinolin-4-yl)amino]pentyl](ethyl)amino]éthanol sulfate, PM 434 Da en base, 784 Da en sel disulfate) est une </w:t>
      </w:r>
      <w:r>
        <w:rPr>
          <w:b/>
        </w:rPr>
        <w:t>4-aminoquinoléine</w:t>
      </w:r>
      <w:r>
        <w:t xml:space="preserve"> structurellement apparentée à la chloroquine (substitution du groupement -OH éthanol en position N-terminal de la chaîne latérale) et à la quinine. Cette modification structurale lui confère une rétinotoxicité moindre et une demi-vie d'élimination plus courte que la chloroquine, justifiant sa préférence en rhumatologie.</w:t>
      </w:r>
    </w:p>
    <w:p>
      <w:r>
        <w:t>L'hydroxychloroquine est rapidement absorbée après administration orale (biodisponibilité ≈ 70 %, pic plasmatique à 2–4 heures), largement distribuée dans les tissus (Vd apparent ≈ 100 L/kg en raison d'une accumulation massive dans les lysosomes cellulaires où la concentration peut atteindre 100–1 000 fois la concentration plasmatique), et métabolisée hépatiquement par le CYP2C8, CYP2D6 et CYP3A4 en métabolites N-déséthylés (actifs) et déséthyl-déséthylés (faiblement actifs). La demi-vie d'élimination est longue (40–50 jours en moyenne, jusqu'à 3 mois en état d'équilibre) en raison de la séquestration lysosomale, ce qui explique l'effet prolongé après l'arrêt et la nécessité d'attendre plusieurs mois pour observer l'effet maximal à l'initiation.</w:t>
      </w:r>
    </w:p>
    <w:p>
      <w:r>
        <w:t>Le mécanisme d'action intime repose sur quatre piliers moléculaires :</w:t>
      </w:r>
    </w:p>
    <w:p>
      <w:pPr>
        <w:pStyle w:val="ListNumber"/>
      </w:pPr>
      <w:r/>
      <w:r>
        <w:rPr>
          <w:b/>
        </w:rPr>
        <w:t>Alcalinisation lysosomale</w:t>
      </w:r>
      <w:r>
        <w:t xml:space="preserve"> : l'hydroxychloroquine est une base faible lipophile qui, à pH physiologique extracellulaire (7,4), est partiellement protonée (pKa ≈ 8,4 pour le groupement aminoquinoléine, pKa ≈ 6,3 et 9,9 pour les deux groupements amines latéraux). La forme non protonée traverse les membranes biologiques par diffusion passive. Une fois dans le compartiment lysosomal acide (pH 4,5–5,0), elle se protonise et reste piégée (effet dit de *lysosomotropic trapping* ou *ion trapping*). L'accumulation intralysosomale provoque une remontée du pH lysosomal de 4,5 à 6,0–6,5. Cette alcalinisation inhibe :</w:t>
      </w:r>
    </w:p>
    <w:p>
      <w:pPr>
        <w:pStyle w:val="ListBullet"/>
      </w:pPr>
      <w:r>
        <w:t xml:space="preserve">L'activité des </w:t>
      </w:r>
      <w:r>
        <w:rPr>
          <w:b/>
        </w:rPr>
        <w:t>cathepsines lysosomales</w:t>
      </w:r>
      <w:r>
        <w:t xml:space="preserve"> (cathepsine B, L, S) responsables de la dégradation protéolytique des antigènes internalisés par les CPA.</w:t>
      </w:r>
    </w:p>
    <w:p>
      <w:pPr>
        <w:pStyle w:val="ListBullet"/>
      </w:pPr>
      <w:r>
        <w:t xml:space="preserve">La </w:t>
      </w:r>
      <w:r>
        <w:rPr>
          <w:b/>
        </w:rPr>
        <w:t>maturation des molécules CMH de classe II</w:t>
      </w:r>
      <w:r>
        <w:t xml:space="preserve"> : la chaîne invariante Ii doit être clivée par les cathepsines S et L pour libérer le site de liaison du peptide antigénique. L'inhibition de ce clivage empêche la présentation antigénique.</w:t>
      </w:r>
    </w:p>
    <w:p>
      <w:pPr>
        <w:pStyle w:val="ListBullet"/>
      </w:pPr>
      <w:r>
        <w:t xml:space="preserve">La </w:t>
      </w:r>
      <w:r>
        <w:rPr>
          <w:b/>
        </w:rPr>
        <w:t>signalisation des Toll-like receptors endosomaux</w:t>
      </w:r>
      <w:r>
        <w:t xml:space="preserve"> (TLR3, TLR7, TLR8, TLR9) qui reconnaissent les acides nucléiques viraux et bactériens. L'activation des TLR endosomaux nécessite leur proteolyse par les cathepsines à pH acide. L'alcalinisation inhibe cette activation et réduit la production d'interférons de type I (IFNα, IFNβ) qui est dérégulée dans le lupus érythémateux systémique.</w:t>
      </w:r>
    </w:p>
    <w:p>
      <w:pPr>
        <w:pStyle w:val="ListNumber"/>
      </w:pPr>
      <w:r/>
      <w:r>
        <w:rPr>
          <w:b/>
        </w:rPr>
        <w:t>Inhibition de la présentation antigénique</w:t>
      </w:r>
      <w:r>
        <w:t xml:space="preserve"> : la réduction de la dégradation protéolytique lysosomale diminue la production de peptides antigéniques chargés pour les molécules CMH II. La maturation des complexes CMH II-peptide est ralentie, et leur expression à la surface des CPA est diminuée. Cela réduit l'activation lymphocytaire T CD4+ spécifique d'antigène.</w:t>
      </w:r>
    </w:p>
    <w:p>
      <w:pPr>
        <w:pStyle w:val="ListNumber"/>
      </w:pPr>
      <w:r/>
      <w:r>
        <w:rPr>
          <w:b/>
        </w:rPr>
        <w:t>Inhibition de la signalisation cytokinique</w:t>
      </w:r>
      <w:r>
        <w:t xml:space="preserve"> : l'hydroxychloroquine réduit la production de plusieurs cytokines pro-inflammatoires par les monocytes, macrophages et lymphocytes T : IL-1, IL-6, TNFα, IFNγ. Ce effet est probablement médié par l'inhibition de la signalisation TLR et de la voie NF-κB.</w:t>
      </w:r>
    </w:p>
    <w:p>
      <w:pPr>
        <w:pStyle w:val="ListNumber"/>
      </w:pPr>
      <w:r/>
      <w:r>
        <w:rPr>
          <w:b/>
        </w:rPr>
        <w:t>Effet anti-thrombotique</w:t>
      </w:r>
      <w:r>
        <w:t xml:space="preserve"> : l'hydroxychloroquine réduit l'agrégation plaquettaire et le risque thrombotique (particulièrement démontré dans le lupus avec antiphospholipides). Le mécanisme n'est pas complètement élucidé mais implique probablement l'inhibition de la glycoprotéine plaquettaire GPVI et l'annexe A5.</w:t>
      </w:r>
    </w:p>
    <w:p>
      <w:r>
        <w:t>Les conséquences immunologiques sont une immunomodulation douce (effet inférieur au méthotrexate et aux anti-TNFα), un effet anti-inflammatoire modéré, une photo-protection cutanée (effet direct sur les mélanocytes et réduction de la photosensibilité), et une réduction de l'hypercoagulabilité. L'effet thérapeutique se manifeste cliniquement après un délai de 8–12 semaines (effet maximal à 6 mois en raison de la longue demi-vie d'accumulation), avec réduction des poussées lupiques, diminution des douleurs articulaires, baisse modeste de la CRP, et protection rénale (effet démontré dans la néphropathie lupique en association au mycophénolate mofétil).</w:t>
      </w:r>
    </w:p>
    <w:p>
      <w:pPr>
        <w:pStyle w:val="Heading4"/>
      </w:pPr>
      <w:r>
        <w:t>Profil pharmacologique : indications, contre-indications, effets indésirables</w:t>
      </w:r>
    </w:p>
    <w:p>
      <w:r/>
      <w:r>
        <w:rPr>
          <w:b/>
        </w:rPr>
        <w:t>Indications</w:t>
      </w:r>
      <w:r/>
    </w:p>
    <w:p>
      <w:pPr>
        <w:pStyle w:val="ListBullet"/>
      </w:pPr>
      <w:r/>
      <w:r>
        <w:rPr>
          <w:b/>
        </w:rPr>
        <w:t>Lupus érythémateux systémique (LES)</w:t>
      </w:r>
      <w:r>
        <w:t xml:space="preserve"> (indication princeps) :</w:t>
      </w:r>
    </w:p>
    <w:p>
      <w:pPr>
        <w:pStyle w:val="ListBullet"/>
      </w:pPr>
      <w:r>
        <w:t>Tous les patients atteints de LES sans contre-indication doivent recevoir l'hydroxychloroquine au long cours (recommandations EULAR 2019)</w:t>
      </w:r>
    </w:p>
    <w:p>
      <w:pPr>
        <w:pStyle w:val="ListBullet"/>
      </w:pPr>
      <w:r>
        <w:t>Prévention des poussées lupiques (réduction de 50 % du risque de poussée selon l'essai contrôlé *Canadian Hydroxychloroquine Study Group*, *N Engl J Med* 1991)</w:t>
      </w:r>
    </w:p>
    <w:p>
      <w:pPr>
        <w:pStyle w:val="ListBullet"/>
      </w:pPr>
      <w:r>
        <w:t>Amélioration de la survie globale (réduction de la mortalité, *Alarcón et coll., Lupus* 2007)</w:t>
      </w:r>
    </w:p>
    <w:p>
      <w:pPr>
        <w:pStyle w:val="ListBullet"/>
      </w:pPr>
      <w:r>
        <w:t>Prévention du lupus néonatal (réduction du bloc auriculo-ventriculaire congénital en cas de maternité SSA/SSB positive)</w:t>
      </w:r>
    </w:p>
    <w:p>
      <w:pPr>
        <w:pStyle w:val="ListBullet"/>
      </w:pPr>
      <w:r>
        <w:t>Atteinte cutanée lupique (sauf lupus tumidus où la quinine est supérieure)</w:t>
      </w:r>
    </w:p>
    <w:p>
      <w:pPr>
        <w:pStyle w:val="ListBullet"/>
      </w:pPr>
      <w:r>
        <w:t>Atteinte articulaire (polyarthrite non érosive)</w:t>
      </w:r>
    </w:p>
    <w:p>
      <w:pPr>
        <w:pStyle w:val="ListBullet"/>
      </w:pPr>
      <w:r>
        <w:t>Fatigue chronique (effet modeste)</w:t>
      </w:r>
    </w:p>
    <w:p>
      <w:pPr>
        <w:pStyle w:val="ListBullet"/>
      </w:pPr>
      <w:r/>
      <w:r>
        <w:rPr>
          <w:b/>
        </w:rPr>
        <w:t>Polyarthrite rhumatoïde modérée</w:t>
      </w:r>
      <w:r>
        <w:t xml:space="preserve"> : en monothérapie (effet modeste), ou en association au méthotrexate (potentialisation de l'efficacité et réduction de la hépatotoxicité du méthotrexate). Posologie 400 mg/jour.</w:t>
      </w:r>
    </w:p>
    <w:p>
      <w:pPr>
        <w:pStyle w:val="ListBullet"/>
      </w:pPr>
      <w:r/>
      <w:r>
        <w:rPr>
          <w:b/>
        </w:rPr>
        <w:t>Syndrome de Gougerot-Sjögren primitif</w:t>
      </w:r>
      <w:r>
        <w:t xml:space="preserve"> : atteinte articulaire (polyarthralgie inflammatoire), atteinte glandulaire (syndrome sec buccal et oculaire modéré), fatigue chronique. Posologie 400 mg/jour.</w:t>
      </w:r>
    </w:p>
    <w:p>
      <w:pPr>
        <w:pStyle w:val="ListBullet"/>
      </w:pPr>
      <w:r/>
      <w:r>
        <w:rPr>
          <w:b/>
        </w:rPr>
        <w:t>Dermatoses auto-immunes</w:t>
      </w:r>
      <w:r>
        <w:t xml:space="preserve"> :</w:t>
      </w:r>
    </w:p>
    <w:p>
      <w:pPr>
        <w:pStyle w:val="ListBullet"/>
      </w:pPr>
      <w:r>
        <w:t>Lupus cutané subaigu (efficacité démontrée)</w:t>
      </w:r>
    </w:p>
    <w:p>
      <w:pPr>
        <w:pStyle w:val="ListBullet"/>
      </w:pPr>
      <w:r>
        <w:t>Lupus cutané chronique discoïde (efficacité moindre, association à la corticothérapie locale)</w:t>
      </w:r>
    </w:p>
    <w:p>
      <w:pPr>
        <w:pStyle w:val="ListBullet"/>
      </w:pPr>
      <w:r>
        <w:t>Dermatopolymyosite cutanée (rash heliotrope, papules de Gottron)</w:t>
      </w:r>
    </w:p>
    <w:p>
      <w:pPr>
        <w:pStyle w:val="ListBullet"/>
      </w:pPr>
      <w:r>
        <w:t>Porphyrie cutanée tardive (efficacité dose-dépendante à faibles doses répétées 200 mg × 2/semaine)</w:t>
      </w:r>
    </w:p>
    <w:p>
      <w:pPr>
        <w:pStyle w:val="ListBullet"/>
      </w:pPr>
      <w:r>
        <w:t>Sclérodermie (effet modeste sur l'atteinte cutanée précoce)</w:t>
      </w:r>
    </w:p>
    <w:p>
      <w:pPr>
        <w:pStyle w:val="ListBullet"/>
      </w:pPr>
      <w:r/>
      <w:r>
        <w:rPr>
          <w:b/>
        </w:rPr>
        <w:t>Paludisme</w:t>
      </w:r>
      <w:r>
        <w:t xml:space="preserve"> (indication initiale historique) : prophylaxie et traitement (mais supplanté par l'atovaquone-proguanil, la méfloquine et la doxycycline en prophylaxie ; par les ACT — artéméther-luméfantrine — en traitement curatif).</w:t>
      </w:r>
    </w:p>
    <w:p>
      <w:pPr>
        <w:pStyle w:val="ListBullet"/>
      </w:pPr>
      <w:r/>
      <w:r>
        <w:rPr>
          <w:b/>
        </w:rPr>
        <w:t>Hors AMM</w:t>
      </w:r>
      <w:r>
        <w:t xml:space="preserve"> (référencé dans la littérature) : sarcoïdose cutanée, hypercalcémie sarcoïdosique, syndrome antiphospholipide (prévention primaire et secondaire des thromboses), maladie de Q fébrile chronique.</w:t>
      </w:r>
    </w:p>
    <w:p>
      <w:r/>
      <w:r>
        <w:rPr>
          <w:b/>
        </w:rPr>
        <w:t>Contre-indications</w:t>
      </w:r>
      <w:r/>
    </w:p>
    <w:p>
      <w:pPr>
        <w:pStyle w:val="ListBullet"/>
      </w:pPr>
      <w:r/>
      <w:r>
        <w:rPr>
          <w:b/>
        </w:rPr>
        <w:t>Contre-indications absolues</w:t>
      </w:r>
      <w:r>
        <w:t xml:space="preserve"> :</w:t>
      </w:r>
    </w:p>
    <w:p>
      <w:pPr>
        <w:pStyle w:val="ListBullet"/>
      </w:pPr>
      <w:r>
        <w:t>Hypersensibilité à l'hydroxychloroquine, à la chloroquine ou à l'un des excipients (lactose, amidon de maïs, povidone, talc, stéarate de magnésium, hypromellose, macrogol)</w:t>
      </w:r>
    </w:p>
    <w:p>
      <w:pPr>
        <w:pStyle w:val="ListBullet"/>
      </w:pPr>
      <w:r/>
      <w:r>
        <w:rPr>
          <w:b/>
        </w:rPr>
        <w:t>Rétinopathie préexistante</w:t>
      </w:r>
      <w:r>
        <w:t xml:space="preserve"> (rétinopathie maculaire, rétinite pigmentaire, maculopathie, dystrophie rétinienne, absence de vision périphérique)</w:t>
      </w:r>
    </w:p>
    <w:p>
      <w:pPr>
        <w:pStyle w:val="ListBullet"/>
      </w:pPr>
      <w:r>
        <w:t>Troubles visuels non expliqués (coloration jaune de la vision, scotome central, héméralopie)</w:t>
      </w:r>
    </w:p>
    <w:p>
      <w:pPr>
        <w:pStyle w:val="ListBullet"/>
      </w:pPr>
      <w:r>
        <w:t>Déficit en G6PD (risque d'hémolyse aiguë — dépistage systématique recommandé en cas d'antécédents familiaux ou de population à risque)</w:t>
      </w:r>
    </w:p>
    <w:p>
      <w:pPr>
        <w:pStyle w:val="ListBullet"/>
      </w:pPr>
      <w:r>
        <w:t>Enfant de moins de 6 ans ou pesant moins de 35 kg (insuffisance de données)</w:t>
      </w:r>
    </w:p>
    <w:p>
      <w:pPr>
        <w:pStyle w:val="ListBullet"/>
      </w:pPr>
      <w:r>
        <w:t>Allaitement (contre-indication relative en raison du passage important dans le lait, mais peut être discuté selon le contexte)</w:t>
      </w:r>
    </w:p>
    <w:p>
      <w:pPr>
        <w:pStyle w:val="ListBullet"/>
      </w:pPr>
      <w:r>
        <w:t>Myasthénie (risque d'aggravation — la chloroquine et l'hydroxychloroquine ont une activité curarisante)</w:t>
      </w:r>
    </w:p>
    <w:p>
      <w:pPr>
        <w:pStyle w:val="ListBullet"/>
      </w:pPr>
      <w:r>
        <w:t>Porphyrie cutanée tarda aiguë (risque de déclenchement d'une crise aiguë porphyrique)</w:t>
      </w:r>
    </w:p>
    <w:p>
      <w:pPr>
        <w:pStyle w:val="ListBullet"/>
      </w:pPr>
      <w:r>
        <w:t>Psoriasis sévère (risque d'aggravation — signal ancien discuté)</w:t>
      </w:r>
    </w:p>
    <w:p>
      <w:pPr>
        <w:pStyle w:val="ListBullet"/>
      </w:pPr>
      <w:r/>
      <w:r>
        <w:rPr>
          <w:b/>
        </w:rPr>
        <w:t>Contre-indications relatives / Précautions d'emploi</w:t>
      </w:r>
      <w:r>
        <w:t xml:space="preserve"> :</w:t>
      </w:r>
    </w:p>
    <w:p>
      <w:pPr>
        <w:pStyle w:val="ListBullet"/>
      </w:pPr>
      <w:r>
        <w:t>Insuffisance hépatique sévère (surveillance transaminases mensuelle)</w:t>
      </w:r>
    </w:p>
    <w:p>
      <w:pPr>
        <w:pStyle w:val="ListBullet"/>
      </w:pPr>
      <w:r>
        <w:t>Insuffisance rénale sévère (DFG &lt; 30 mL/min) — adaptation posologique</w:t>
      </w:r>
    </w:p>
    <w:p>
      <w:pPr>
        <w:pStyle w:val="ListBullet"/>
      </w:pPr>
      <w:r>
        <w:t>Troubles de la conduction cardiaque (allongement du QT, bloc auriculo-ventriculaire, bloc de branche) — surveillance ECG</w:t>
      </w:r>
    </w:p>
    <w:p>
      <w:pPr>
        <w:pStyle w:val="ListBullet"/>
      </w:pPr>
      <w:r>
        <w:t>Antécédent de cardiomyopathie (risque de cardiotoxicité cumulative, signal émergent)</w:t>
      </w:r>
    </w:p>
    <w:p>
      <w:pPr>
        <w:pStyle w:val="ListBullet"/>
      </w:pPr>
      <w:r>
        <w:t>Sujet âgé &gt; 65 ans : surveillance ophtalmologique renforcée (rétinopathie)</w:t>
      </w:r>
    </w:p>
    <w:p>
      <w:pPr>
        <w:pStyle w:val="ListBullet"/>
      </w:pPr>
      <w:r>
        <w:t>Déficit en G6PD (contre-indication relative — dépister systématiquement)</w:t>
      </w:r>
    </w:p>
    <w:p>
      <w:pPr>
        <w:pStyle w:val="ListBullet"/>
      </w:pPr>
      <w:r>
        <w:t>Polymédication allongeant le QT (amiodarone, macrolides, fluoroquinolones, antidépresseurs tricycliques, antipsychotiques, méthadone, ondansétron)</w:t>
      </w:r>
    </w:p>
    <w:p>
      <w:r/>
      <w:r>
        <w:rPr>
          <w:b/>
        </w:rPr>
        <w:t>Effets indésirables</w:t>
      </w:r>
      <w:r/>
    </w:p>
    <w:p>
      <w:r/>
      <w:r>
        <w:rPr>
          <w:i/>
        </w:rPr>
        <w:t>Très fréquents (≥ 10 %)</w:t>
      </w:r>
      <w:r>
        <w:t xml:space="preserve"> :</w:t>
      </w:r>
    </w:p>
    <w:p>
      <w:pPr>
        <w:pStyle w:val="ListBullet"/>
      </w:pPr>
      <w:r>
        <w:t>Troubles digestifs : nausées (10–20 %), vomissements, diarrhée, douleurs abdominales, anorexie — particulièrement en début de traitement, réduction à la prise au cours du repas</w:t>
      </w:r>
    </w:p>
    <w:p>
      <w:pPr>
        <w:pStyle w:val="ListBullet"/>
      </w:pPr>
      <w:r>
        <w:t>Céphalées (5–10 %)</w:t>
      </w:r>
    </w:p>
    <w:p>
      <w:pPr>
        <w:pStyle w:val="ListBullet"/>
      </w:pPr>
      <w:r>
        <w:t>Élévation des transaminases (5–10 %, généralement modérée et transitoire)</w:t>
      </w:r>
    </w:p>
    <w:p>
      <w:r/>
      <w:r>
        <w:rPr>
          <w:i/>
        </w:rPr>
        <w:t>Fréquents (1–10 %)</w:t>
      </w:r>
      <w:r>
        <w:t xml:space="preserve"> :</w:t>
      </w:r>
    </w:p>
    <w:p>
      <w:pPr>
        <w:pStyle w:val="ListBullet"/>
      </w:pPr>
      <w:r/>
      <w:r>
        <w:rPr>
          <w:b/>
        </w:rPr>
        <w:t>Rétinopathie</w:t>
      </w:r>
      <w:r>
        <w:t xml:space="preserve"> (1–3 % à 5 ans, 5–10 % à 10 ans, 20–40 % à 20 ans selon la dose cumulée) — effet tardif cumulative, signal majeur. La prévalence est corrélée à la dose journalière (risque significatif au-dessus de 5 mg/kg/jour réel) et à la dose cumulée (risque significatif au-dessus de 1 000 g). Mécanisme : accumulation de l'hydroxychloroquine dans l'épithélium pigmentaire rétinien (EPR) avec atteinte des segments externes des photorécepteurs. Présentation : scotome paracentral, métamorphopsies, trouble de la vision des couleurs, baisse d'acuité visuelle. Évolution : potentiellement progressive même à l'arrêt du traitement. Prévention : surveillance ophtalmologique systématique (cf. infra).</w:t>
      </w:r>
    </w:p>
    <w:p>
      <w:pPr>
        <w:pStyle w:val="ListBullet"/>
      </w:pPr>
      <w:r>
        <w:t>Troubles cutanés : rash maculopapuleux (5 %), prurit, pigmentation cutanée gris-ardoise des zones exposées au soleil, décoloration des muqueuses, alopécie diffuse (2 %), exacerbation de psoriasis (1–2 %)</w:t>
      </w:r>
    </w:p>
    <w:p>
      <w:pPr>
        <w:pStyle w:val="ListBullet"/>
      </w:pPr>
      <w:r>
        <w:t>Troubles neurologiques : vertiges, insomnie, irritabilité, cauchemars</w:t>
      </w:r>
    </w:p>
    <w:p>
      <w:pPr>
        <w:pStyle w:val="ListBullet"/>
      </w:pPr>
      <w:r>
        <w:t>Hypoglycémie (la molécule a un effet hypoglycémiant faible, signal à connaître chez le diabétique)</w:t>
      </w:r>
    </w:p>
    <w:p>
      <w:r/>
      <w:r>
        <w:rPr>
          <w:i/>
        </w:rPr>
        <w:t>Peu fréquents (0,1–1 %)</w:t>
      </w:r>
      <w:r>
        <w:t xml:space="preserve"> :</w:t>
      </w:r>
    </w:p>
    <w:p>
      <w:pPr>
        <w:pStyle w:val="ListBullet"/>
      </w:pPr>
      <w:r>
        <w:t>Hépatite cytolytique sévère</w:t>
      </w:r>
    </w:p>
    <w:p>
      <w:pPr>
        <w:pStyle w:val="ListBullet"/>
      </w:pPr>
      <w:r>
        <w:t>Troubles neuromusculaires : myopathie proximale, neuropathie périphérique sensitive</w:t>
      </w:r>
    </w:p>
    <w:p>
      <w:pPr>
        <w:pStyle w:val="ListBullet"/>
      </w:pPr>
      <w:r>
        <w:t>Troubles psychiatriques : humeur dépressive, anxiété, syndrome psychotique aigu (rare)</w:t>
      </w:r>
    </w:p>
    <w:p>
      <w:pPr>
        <w:pStyle w:val="ListBullet"/>
      </w:pPr>
      <w:r>
        <w:t>Pancytopénie, agranulocytose (très rare)</w:t>
      </w:r>
    </w:p>
    <w:p>
      <w:pPr>
        <w:pStyle w:val="ListBullet"/>
      </w:pPr>
      <w:r>
        <w:t>Hypersensibilité : urticaire, angio-œdème, anaphylaxie</w:t>
      </w:r>
    </w:p>
    <w:p>
      <w:r/>
      <w:r>
        <w:rPr>
          <w:i/>
        </w:rPr>
        <w:t>Rares (&lt; 0,1 %)</w:t>
      </w:r>
      <w:r>
        <w:t xml:space="preserve"> :</w:t>
      </w:r>
    </w:p>
    <w:p>
      <w:pPr>
        <w:pStyle w:val="ListBullet"/>
      </w:pPr>
      <w:r/>
      <w:r>
        <w:rPr>
          <w:b/>
        </w:rPr>
        <w:t>Cardiomyopathie restrictive</w:t>
      </w:r>
      <w:r>
        <w:t xml:space="preserve"> (signal émergent particulièrement chez la femme de plus de 60 ans traitée au long cours &gt; 10 ans). Mécanisme : accumulation lysosomale dans les cardiomyocytes avec dégénérescence myofibrillaire. Présentation : insuffisance cardiaque congestive, troubles de la conduction (BAV, bloc de branche), allongement du QT.</w:t>
      </w:r>
    </w:p>
    <w:p>
      <w:pPr>
        <w:pStyle w:val="ListBullet"/>
      </w:pPr>
      <w:r>
        <w:t>Aplasie médullaire</w:t>
      </w:r>
    </w:p>
    <w:p>
      <w:pPr>
        <w:pStyle w:val="ListBullet"/>
      </w:pPr>
      <w:r>
        <w:t>Syndrome de Stevens-Johnson, nécrolyse épidermique toxique (rare mais documenté)</w:t>
      </w:r>
    </w:p>
    <w:p>
      <w:pPr>
        <w:pStyle w:val="ListBullet"/>
      </w:pPr>
      <w:r>
        <w:t>Surdité</w:t>
      </w:r>
    </w:p>
    <w:p>
      <w:pPr>
        <w:pStyle w:val="ListBullet"/>
      </w:pPr>
      <w:r>
        <w:t>Crises convulsives (abaissement du seuil épileptogène)</w:t>
      </w:r>
    </w:p>
    <w:p>
      <w:r/>
      <w:r>
        <w:rPr>
          <w:i/>
        </w:rPr>
        <w:t>Signaux spécifiques importants</w:t>
      </w:r>
      <w:r>
        <w:t xml:space="preserve"> :</w:t>
      </w:r>
    </w:p>
    <w:p>
      <w:pPr>
        <w:pStyle w:val="ListBullet"/>
      </w:pPr>
      <w:r/>
      <w:r>
        <w:rPr>
          <w:b/>
        </w:rPr>
        <w:t>Rétinopathie</w:t>
      </w:r>
      <w:r>
        <w:t xml:space="preserve"> : signal majeur limitant l'usage au long cours. Les recommandations AAO (*American Academy of Ophthalmology*) 2016 et AFSSAPS/ANSM 2018 préconisent une surveillance ophtalmologique systématique à l'initiation (examen de référence dans la première année), puis annuelle à partir de 5 ans de traitement (ou plus tôt en cas de facteurs de risque : dose &gt; 5 mg/kg/jour, durée &gt; 10 ans, insuffisance rénale, insuffisance hépatique, antécédents rétiniens, âge &gt; 60 ans). L'examen doit comporter : acuité visuelle, examen du fond d'œil, OCT maculaire (OCT — *Optical Coherence Tomography*), champ visuel automatisé 10-2 (ou 30-2 selon le statut). En cas d'anomalie (raréfaction de l'EPR, scotome paracentral, altération de l'OCT), arrêt immédiat de l'hydroxychloroquine.</w:t>
      </w:r>
    </w:p>
    <w:p>
      <w:pPr>
        <w:pStyle w:val="ListBullet"/>
      </w:pPr>
      <w:r/>
      <w:r>
        <w:rPr>
          <w:b/>
        </w:rPr>
        <w:t>Allongement du QT</w:t>
      </w:r>
      <w:r>
        <w:t xml:space="preserve"> : signal émergent particulièrement documenté pendant la pandémie COVID-19 (2020) où l'hydroxychloroquine a été utilisée à fortes doses. Mécanisme : blocage du canal hERG (IKr) à concentrations supra-thérapeutiques. À doses rhumatologiques (400 mg/jour), le risque est faible mais existe chez les patients présentant des facteurs de risque (cardiopathie, hypokaliémie, polymédication allongeant le QT). Prévention : ECG à l'initiation, surveillance de la kaliémie, vérification des interactions.</w:t>
      </w:r>
    </w:p>
    <w:p>
      <w:pPr>
        <w:pStyle w:val="ListBullet"/>
      </w:pPr>
      <w:r/>
      <w:r>
        <w:rPr>
          <w:b/>
        </w:rPr>
        <w:t>Hypoglycémie</w:t>
      </w:r>
      <w:r>
        <w:t xml:space="preserve"> : signal à connaître chez le diabétique, possibilité d'adapter les antidiabétiques (insuline, sulfamides) à la baisse.</w:t>
      </w:r>
    </w:p>
    <w:p>
      <w:pPr>
        <w:pStyle w:val="Heading4"/>
      </w:pPr>
      <w:r>
        <w:t>Prévention et gestion des effets indésirables</w:t>
      </w:r>
    </w:p>
    <w:p>
      <w:r>
        <w:t xml:space="preserve">La prévention des effets indésirables de l'hydroxychloroquine repose sur quatre piliers : (i) </w:t>
      </w:r>
      <w:r>
        <w:rPr>
          <w:b/>
        </w:rPr>
        <w:t>examen ophtalmologique de référence à l'initiation</w:t>
      </w:r>
      <w:r>
        <w:t xml:space="preserve"> (dans les 12 premiers mois) avec acuité visuelle, fond d'œil, champ visuel automatisé 10-2 et OCT maculaire, (ii) </w:t>
      </w:r>
      <w:r>
        <w:rPr>
          <w:b/>
        </w:rPr>
        <w:t>surveillance ophtalmologique annuelle</w:t>
      </w:r>
      <w:r>
        <w:t xml:space="preserve"> à partir de 5 ans de traitement (ou plus tôt en cas de facteurs de risque), (iii) </w:t>
      </w:r>
      <w:r>
        <w:rPr>
          <w:b/>
        </w:rPr>
        <w:t>respect strict de la dose maximale de 5 mg/kg/jour de poids réel</w:t>
      </w:r>
      <w:r>
        <w:t xml:space="preserve"> (et non de poids idéal, particulièrement important chez la femme de petite taille, l'insuffisant rénal, le sujet âgé), (iv) </w:t>
      </w:r>
      <w:r>
        <w:rPr>
          <w:b/>
        </w:rPr>
        <w:t>bilan biologique pré-thérapeutique</w:t>
      </w:r>
      <w:r>
        <w:t xml:space="preserve"> (NFS, plaquettes, transaminases, créatinine, kaliémie, glycémie, HbA1c, ECG à l'initiation, dosage G6PD en cas de contexte à risque).</w:t>
      </w:r>
    </w:p>
    <w:p>
      <w:r>
        <w:t xml:space="preserve">En cas de </w:t>
      </w:r>
      <w:r>
        <w:rPr>
          <w:b/>
        </w:rPr>
        <w:t>rétinopathie suspectée</w:t>
      </w:r>
      <w:r>
        <w:t xml:space="preserve"> (scotome paracentral, raréfaction de l'EPR à l'OCT, altération du champ visuel 10-2) :</w:t>
      </w:r>
    </w:p>
    <w:p>
      <w:pPr>
        <w:pStyle w:val="ListBullet"/>
      </w:pPr>
      <w:r>
        <w:t>Arrêt immédiat de l'hydroxychloroquine.</w:t>
      </w:r>
    </w:p>
    <w:p>
      <w:pPr>
        <w:pStyle w:val="ListBullet"/>
      </w:pPr>
      <w:r>
        <w:t>Avis ophtalmologique spécialisé.</w:t>
      </w:r>
    </w:p>
    <w:p>
      <w:pPr>
        <w:pStyle w:val="ListBullet"/>
      </w:pPr>
      <w:r>
        <w:t>Recherche d'alternatives thérapeutiques (méthotrexate, mycophénolate mofétil, azathioprine) selon la maladie sous-jacente.</w:t>
      </w:r>
    </w:p>
    <w:p>
      <w:pPr>
        <w:pStyle w:val="ListBullet"/>
      </w:pPr>
      <w:r>
        <w:t>Surveillance ophtalmologique rapprochée (tous les 3 mois la première année) car la rétinopathie peut progresser malgré l'arrêt.</w:t>
      </w:r>
    </w:p>
    <w:p>
      <w:r>
        <w:t>En cas d'</w:t>
      </w:r>
      <w:r>
        <w:rPr>
          <w:b/>
        </w:rPr>
        <w:t>allongement du QT</w:t>
      </w:r>
      <w:r>
        <w:t xml:space="preserve"> :</w:t>
      </w:r>
    </w:p>
    <w:p>
      <w:pPr>
        <w:pStyle w:val="ListBullet"/>
      </w:pPr>
      <w:r>
        <w:t>QTc &gt; 500 ms ou allongement &gt; 60 ms par rapport à la valeur initiale : arrêt immédiat.</w:t>
      </w:r>
    </w:p>
    <w:p>
      <w:pPr>
        <w:pStyle w:val="ListBullet"/>
      </w:pPr>
      <w:r>
        <w:t>Recherche de causes favorisantes : hypokaliémie, hypomagnésémie, polymédication allongeant le QT (amiodarone, macrolides, fluoroquinolones, antidépresseurs tricycliques, antipsychotiques, méthadone, ondansétron).</w:t>
      </w:r>
    </w:p>
    <w:p>
      <w:pPr>
        <w:pStyle w:val="ListBullet"/>
      </w:pPr>
      <w:r>
        <w:t>Surveillance ECG tous les 15 jours jusqu'à normalisation.</w:t>
      </w:r>
    </w:p>
    <w:p>
      <w:r>
        <w:t xml:space="preserve">En cas de </w:t>
      </w:r>
      <w:r>
        <w:rPr>
          <w:b/>
        </w:rPr>
        <w:t>troubles digestifs</w:t>
      </w:r>
      <w:r>
        <w:t xml:space="preserve"> : réduire la dose de 50 % pendant 2 semaines puis réaugmenter progressivement, prendre le médicament au cours d'un repas, prescrire un antiémétique (métopimazine) si nécessaire. Si persistance : changer de marque (passer de PLAQUENIL à HCQ-SAIDAL ou inversement) en raison de variations d'excipients.</w:t>
      </w:r>
    </w:p>
    <w:p>
      <w:pPr>
        <w:pStyle w:val="Heading4"/>
      </w:pPr>
      <w:r>
        <w:t>Interactions médicamenteuses</w:t>
      </w:r>
    </w:p>
    <w:p>
      <w:pPr>
        <w:pStyle w:val="ListBullet"/>
      </w:pPr>
      <w:r/>
      <w:r>
        <w:rPr>
          <w:b/>
        </w:rPr>
        <w:t>Associations contre-indiquées</w:t>
      </w:r>
      <w:r>
        <w:t xml:space="preserve"> :</w:t>
      </w:r>
    </w:p>
    <w:p>
      <w:pPr>
        <w:pStyle w:val="ListBullet"/>
      </w:pPr>
      <w:r/>
      <w:r>
        <w:rPr>
          <w:b/>
        </w:rPr>
        <w:t>Tamoxifène</w:t>
      </w:r>
      <w:r>
        <w:t xml:space="preserve"> : majoration du risque d'allongement du QT et de torsades de pointes (multiplié par 5 selon l'étude de Azoulay et coll., *BMJ* 2017)</w:t>
      </w:r>
    </w:p>
    <w:p>
      <w:pPr>
        <w:pStyle w:val="ListBullet"/>
      </w:pPr>
      <w:r/>
      <w:r>
        <w:rPr>
          <w:b/>
        </w:rPr>
        <w:t>Halofantrine, luméfantrine</w:t>
      </w:r>
      <w:r>
        <w:t xml:space="preserve"> : allongement du QT additif</w:t>
      </w:r>
    </w:p>
    <w:p>
      <w:pPr>
        <w:pStyle w:val="ListBullet"/>
      </w:pPr>
      <w:r/>
      <w:r>
        <w:rPr>
          <w:b/>
        </w:rPr>
        <w:t>Pimozide, thioridazine</w:t>
      </w:r>
      <w:r>
        <w:t xml:space="preserve"> (antipsychotiques) : allongement du QT additif</w:t>
      </w:r>
    </w:p>
    <w:p>
      <w:pPr>
        <w:pStyle w:val="ListBullet"/>
      </w:pPr>
      <w:r/>
      <w:r>
        <w:rPr>
          <w:b/>
        </w:rPr>
        <w:t>Vaccin vivant atténué par voie orale</w:t>
      </w:r>
      <w:r>
        <w:t xml:space="preserve"> (rotavirus, polio oral) : immunosuppression potentielle, bien que modérée avec l'hydroxychloroquine</w:t>
      </w:r>
    </w:p>
    <w:p>
      <w:pPr>
        <w:pStyle w:val="ListBullet"/>
      </w:pPr>
      <w:r/>
      <w:r>
        <w:rPr>
          <w:b/>
        </w:rPr>
        <w:t>Associations déconseillées</w:t>
      </w:r>
      <w:r>
        <w:t xml:space="preserve"> :</w:t>
      </w:r>
    </w:p>
    <w:p>
      <w:pPr>
        <w:pStyle w:val="ListBullet"/>
      </w:pPr>
      <w:r/>
      <w:r>
        <w:rPr>
          <w:b/>
        </w:rPr>
        <w:t>Amiodarone, dronédarone, sotalol</w:t>
      </w:r>
      <w:r>
        <w:t xml:space="preserve"> : allongement du QT additif, surveillance ECG</w:t>
      </w:r>
    </w:p>
    <w:p>
      <w:pPr>
        <w:pStyle w:val="ListBullet"/>
      </w:pPr>
      <w:r/>
      <w:r>
        <w:rPr>
          <w:b/>
        </w:rPr>
        <w:t>Macrolides</w:t>
      </w:r>
      <w:r>
        <w:t xml:space="preserve"> (érythromycine, clarithromycine, azithromycine) : allongement du QT additif, surveillance ECG</w:t>
      </w:r>
    </w:p>
    <w:p>
      <w:pPr>
        <w:pStyle w:val="ListBullet"/>
      </w:pPr>
      <w:r/>
      <w:r>
        <w:rPr>
          <w:b/>
        </w:rPr>
        <w:t>Fluoroquinolones</w:t>
      </w:r>
      <w:r>
        <w:t xml:space="preserve"> (moxifloxacine, lévofloxacine, ciprofloxacine) : allongement du QT additif</w:t>
      </w:r>
    </w:p>
    <w:p>
      <w:pPr>
        <w:pStyle w:val="ListBullet"/>
      </w:pPr>
      <w:r/>
      <w:r>
        <w:rPr>
          <w:b/>
        </w:rPr>
        <w:t>Antidépresseurs tricycliques</w:t>
      </w:r>
      <w:r>
        <w:t xml:space="preserve"> (amitriptyline, imipramine, clomipramine) : allongement du QT additif</w:t>
      </w:r>
    </w:p>
    <w:p>
      <w:pPr>
        <w:pStyle w:val="ListBullet"/>
      </w:pPr>
      <w:r/>
      <w:r>
        <w:rPr>
          <w:b/>
        </w:rPr>
        <w:t>Antipsychotiques</w:t>
      </w:r>
      <w:r>
        <w:t xml:space="preserve"> (halopéridol, dropéridol, quétiapine, ziprasidone) : allongement du QT additif</w:t>
      </w:r>
    </w:p>
    <w:p>
      <w:pPr>
        <w:pStyle w:val="ListBullet"/>
      </w:pPr>
      <w:r/>
      <w:r>
        <w:rPr>
          <w:b/>
        </w:rPr>
        <w:t>Méthadone</w:t>
      </w:r>
      <w:r>
        <w:t xml:space="preserve"> : allongement du QT additif</w:t>
      </w:r>
    </w:p>
    <w:p>
      <w:pPr>
        <w:pStyle w:val="ListBullet"/>
      </w:pPr>
      <w:r/>
      <w:r>
        <w:rPr>
          <w:b/>
        </w:rPr>
        <w:t>Ondansétron, granisétron</w:t>
      </w:r>
      <w:r>
        <w:t xml:space="preserve"> (5-HT3 antagonistes) : allongement du QT additif</w:t>
      </w:r>
    </w:p>
    <w:p>
      <w:pPr>
        <w:pStyle w:val="ListBullet"/>
      </w:pPr>
      <w:r/>
      <w:r>
        <w:rPr>
          <w:b/>
        </w:rPr>
        <w:t>Citalopram, escitalopram</w:t>
      </w:r>
      <w:r>
        <w:t xml:space="preserve"> à fortes doses : allongement du QT additif</w:t>
      </w:r>
    </w:p>
    <w:p>
      <w:pPr>
        <w:pStyle w:val="ListBullet"/>
      </w:pPr>
      <w:r/>
      <w:r>
        <w:rPr>
          <w:b/>
        </w:rPr>
        <w:t>Dompéridone</w:t>
      </w:r>
      <w:r>
        <w:t xml:space="preserve"> : allongement du QT additif, surveillance ECG</w:t>
      </w:r>
    </w:p>
    <w:p>
      <w:pPr>
        <w:pStyle w:val="ListBullet"/>
      </w:pPr>
      <w:r/>
      <w:r>
        <w:rPr>
          <w:b/>
        </w:rPr>
        <w:t>Méfloquine</w:t>
      </w:r>
      <w:r>
        <w:t xml:space="preserve"> : allongement du QT additif</w:t>
      </w:r>
    </w:p>
    <w:p>
      <w:pPr>
        <w:pStyle w:val="ListBullet"/>
      </w:pPr>
      <w:r/>
      <w:r>
        <w:rPr>
          <w:b/>
        </w:rPr>
        <w:t>Praziquantel</w:t>
      </w:r>
      <w:r>
        <w:t xml:space="preserve"> : diminution de l'efficacité (chelation au niveau gastro-intestinal)</w:t>
      </w:r>
    </w:p>
    <w:p>
      <w:pPr>
        <w:pStyle w:val="ListBullet"/>
      </w:pPr>
      <w:r/>
      <w:r>
        <w:rPr>
          <w:b/>
        </w:rPr>
        <w:t>Digoxine</w:t>
      </w:r>
      <w:r>
        <w:t xml:space="preserve"> : diminution de l'absorption (chelation), surveillance des concentrations</w:t>
      </w:r>
    </w:p>
    <w:p>
      <w:pPr>
        <w:pStyle w:val="ListBullet"/>
      </w:pPr>
      <w:r/>
      <w:r>
        <w:rPr>
          <w:b/>
        </w:rPr>
        <w:t>Warfarine, antivitamines K</w:t>
      </w:r>
      <w:r>
        <w:t xml:space="preserve"> : potentialisation de l'effet anticoagulant (mécanisme complexe), surveillance INR</w:t>
      </w:r>
    </w:p>
    <w:p>
      <w:pPr>
        <w:pStyle w:val="ListBullet"/>
      </w:pPr>
      <w:r/>
      <w:r>
        <w:rPr>
          <w:b/>
        </w:rPr>
        <w:t>Associations nécessitant des précautions d'emploi</w:t>
      </w:r>
      <w:r>
        <w:t xml:space="preserve"> :</w:t>
      </w:r>
    </w:p>
    <w:p>
      <w:pPr>
        <w:pStyle w:val="ListBullet"/>
      </w:pPr>
      <w:r/>
      <w:r>
        <w:rPr>
          <w:b/>
        </w:rPr>
        <w:t>Insuline, sulfamides hypoglycémiants, glinides</w:t>
      </w:r>
      <w:r>
        <w:t xml:space="preserve"> : potentialisation de l'effet hypoglycémiant, surveillance glycémique</w:t>
      </w:r>
    </w:p>
    <w:p>
      <w:pPr>
        <w:pStyle w:val="ListBullet"/>
      </w:pPr>
      <w:r/>
      <w:r>
        <w:rPr>
          <w:b/>
        </w:rPr>
        <w:t>Anti-acides</w:t>
      </w:r>
      <w:r>
        <w:t xml:space="preserve"> (hydroxyde d'aluminium, hydroxyde de magnésium, carbonate de calcium) : diminution de l'absorption de l'hydroxychloroquine (chelation), espacer les prises de 4 heures</w:t>
      </w:r>
    </w:p>
    <w:p>
      <w:pPr>
        <w:pStyle w:val="ListBullet"/>
      </w:pPr>
      <w:r/>
      <w:r>
        <w:rPr>
          <w:b/>
        </w:rPr>
        <w:t>Cimétidine</w:t>
      </w:r>
      <w:r>
        <w:t xml:space="preserve"> : ralentit le métabolisme de l'hydroxychloroquine, surveillance clinique</w:t>
      </w:r>
    </w:p>
    <w:p>
      <w:pPr>
        <w:pStyle w:val="ListBullet"/>
      </w:pPr>
      <w:r/>
      <w:r>
        <w:rPr>
          <w:b/>
        </w:rPr>
        <w:t>Méthotrexate</w:t>
      </w:r>
      <w:r>
        <w:t xml:space="preserve"> (en association) : potentialisation de l'efficacité rhumatologique, surveillance hématologique et hépatique</w:t>
      </w:r>
    </w:p>
    <w:p>
      <w:pPr>
        <w:pStyle w:val="ListBullet"/>
      </w:pPr>
      <w:r/>
      <w:r>
        <w:rPr>
          <w:b/>
        </w:rPr>
        <w:t>Ciclosporine</w:t>
      </w:r>
      <w:r>
        <w:t xml:space="preserve"> : augmentation des concentrations de ciclosporine, surveillance des taux</w:t>
      </w:r>
    </w:p>
    <w:p>
      <w:pPr>
        <w:pStyle w:val="ListBullet"/>
      </w:pPr>
      <w:r/>
      <w:r>
        <w:rPr>
          <w:b/>
        </w:rPr>
        <w:t>Digoxine</w:t>
      </w:r>
      <w:r>
        <w:t xml:space="preserve"> (rappel) : diminution de l'absorption</w:t>
      </w:r>
    </w:p>
    <w:p>
      <w:pPr>
        <w:pStyle w:val="Heading4"/>
      </w:pPr>
      <w:r>
        <w:t>Grossesse et allaitement (CRAT)</w:t>
      </w:r>
    </w:p>
    <w:p>
      <w:r>
        <w:t>Les données du CRAT et de la littérature internationale sur l'hydroxychloroquine pendant la grossesse sont exceptionnellement rassurantes pour un DMARD :</w:t>
      </w:r>
    </w:p>
    <w:p>
      <w:pPr>
        <w:pStyle w:val="ListBullet"/>
      </w:pPr>
      <w:r/>
      <w:r>
        <w:rPr>
          <w:b/>
        </w:rPr>
        <w:t>Grossesse</w:t>
      </w:r>
      <w:r>
        <w:t xml:space="preserve"> :</w:t>
      </w:r>
    </w:p>
    <w:p>
      <w:pPr>
        <w:pStyle w:val="ListBullet"/>
      </w:pPr>
      <w:r>
        <w:t>L'hydroxychloroquine traverse le placenta (rapport cordon/maternel ≈ 0,7)</w:t>
      </w:r>
    </w:p>
    <w:p>
      <w:pPr>
        <w:pStyle w:val="ListBullet"/>
      </w:pPr>
      <w:r>
        <w:t>Données animales : tératogénicité à doses supra-thérapeutiques (anomalies oculaires, nervales) chez la souris à doses cumulées très élevées</w:t>
      </w:r>
    </w:p>
    <w:p>
      <w:pPr>
        <w:pStyle w:val="ListBullet"/>
      </w:pPr>
      <w:r>
        <w:t xml:space="preserve">Données humaines : pas d'augmentation du risque de malformations majeures dans les cohortes prospectives de patientes atteintes de lupus (Cooper et coll., *Ann Rheum Dis* 2009 ; Clowse et coll., *Lupus Sci Med* 2013). Au contraire, l'hydroxychloroquine </w:t>
      </w:r>
      <w:r>
        <w:rPr>
          <w:b/>
        </w:rPr>
        <w:t>réduit le risque</w:t>
      </w:r>
      <w:r>
        <w:t xml:space="preserve"> de poussée lupique pendant la grossesse, de prééclampsie, de retard de croissance intra-utérin, et de lupus néonatal (bloc auriculo-ventriculaire congénital en cas de maternité SSA/SSB positive).</w:t>
      </w:r>
    </w:p>
    <w:p>
      <w:pPr>
        <w:pStyle w:val="ListBullet"/>
      </w:pPr>
      <w:r/>
      <w:r>
        <w:rPr>
          <w:b/>
        </w:rPr>
        <w:t>Recommandation CRAT/EULAR</w:t>
      </w:r>
      <w:r>
        <w:t xml:space="preserve"> : l'hydroxychloroquine doit être </w:t>
      </w:r>
      <w:r>
        <w:rPr>
          <w:b/>
        </w:rPr>
        <w:t>poursuivie ou introduite pendant la grossesse</w:t>
      </w:r>
      <w:r>
        <w:t xml:space="preserve"> chez toute patiente atteinte de lupus érythémateux systémique, sauf contre-indication ophtalmologique. Il s'agit du DMARD de choix pendant la grossesse.</w:t>
      </w:r>
    </w:p>
    <w:p>
      <w:pPr>
        <w:pStyle w:val="ListBullet"/>
      </w:pPr>
      <w:r>
        <w:t>En cas de projet de grossesse chez une patiente lupique sans traitement : introduction de l'hydroxychloroquine avant la conception.</w:t>
      </w:r>
    </w:p>
    <w:p>
      <w:pPr>
        <w:pStyle w:val="ListBullet"/>
      </w:pPr>
      <w:r>
        <w:t>Chez la patiente SSA/SSB positive avec antécédent de lupus néonatal : hydroxychloroquine à dose modérée (400 mg/jour) à partir du 1er trimestre pour réduire le risque de récidive de bloc auriculo-ventriculaire congénital (essai PATCH, Izmirly et coll., *J Am Coll Cardiol* 2017).</w:t>
      </w:r>
    </w:p>
    <w:p>
      <w:pPr>
        <w:pStyle w:val="ListBullet"/>
      </w:pPr>
      <w:r>
        <w:t>Surveillance : pas de surveillance particulière fœtale en dehors de l'échographie morphologique du 2e trimestre standard. Surveillance ophtalmologique maternelle selon le protocole standard.</w:t>
      </w:r>
    </w:p>
    <w:p>
      <w:pPr>
        <w:pStyle w:val="ListBullet"/>
      </w:pPr>
      <w:r/>
      <w:r>
        <w:rPr>
          <w:b/>
        </w:rPr>
        <w:t>Allaitement</w:t>
      </w:r>
      <w:r>
        <w:t xml:space="preserve"> :</w:t>
      </w:r>
    </w:p>
    <w:p>
      <w:pPr>
        <w:pStyle w:val="ListBullet"/>
      </w:pPr>
      <w:r>
        <w:t>L'hydroxychloroquine passe dans le lait maternel (concentration lait/plasma ≈ 0,3–0,5).</w:t>
      </w:r>
    </w:p>
    <w:p>
      <w:pPr>
        <w:pStyle w:val="ListBullet"/>
      </w:pPr>
      <w:r>
        <w:t>Quantité ingérée par le nourrisson estimée à 0,5–2 % de la dose maternelle par kg.</w:t>
      </w:r>
    </w:p>
    <w:p>
      <w:pPr>
        <w:pStyle w:val="ListBullet"/>
      </w:pPr>
      <w:r/>
      <w:r>
        <w:rPr>
          <w:b/>
        </w:rPr>
        <w:t>Recommandation CRAT/EULAR</w:t>
      </w:r>
      <w:r>
        <w:t xml:space="preserve"> : l'allaitement est possible sous hydroxychloroquine à doses thérapeutiques (jusqu'à 400 mg/jour), sans surveillance particulière du nourrisson en raison de l'absence de signal de toxicité rapporté.</w:t>
      </w:r>
    </w:p>
    <w:p>
      <w:pPr>
        <w:pStyle w:val="ListBullet"/>
      </w:pPr>
      <w:r>
        <w:t>Cependant, surveillance ophtalmologique pédiatrique annuelle est justifiée en cas d'allaitement prolongé &gt; 1 an.</w:t>
      </w:r>
    </w:p>
    <w:p>
      <w:pPr>
        <w:pStyle w:val="Heading4"/>
      </w:pPr>
      <w:r>
        <w:t>Posologie et mode d'administration</w:t>
      </w:r>
    </w:p>
    <w:p>
      <w:pPr>
        <w:pStyle w:val="ListBullet"/>
      </w:pPr>
      <w:r/>
      <w:r>
        <w:rPr>
          <w:b/>
        </w:rPr>
        <w:t>Posologie standard chez l'adulte en rhumatologie</w:t>
      </w:r>
      <w:r>
        <w:t xml:space="preserve"> :</w:t>
      </w:r>
    </w:p>
    <w:p>
      <w:pPr>
        <w:pStyle w:val="ListBullet"/>
      </w:pPr>
      <w:r/>
      <w:r>
        <w:rPr>
          <w:b/>
        </w:rPr>
        <w:t>Lupus érythémateux systémique</w:t>
      </w:r>
      <w:r>
        <w:t xml:space="preserve"> : 200 mg × 2/jour (400 mg/jour) en deux prises (matin et soir, au cours des repas). Dose maximale </w:t>
      </w:r>
      <w:r>
        <w:rPr>
          <w:b/>
        </w:rPr>
        <w:t>5 mg/kg/jour de poids réel</w:t>
      </w:r>
      <w:r>
        <w:t xml:space="preserve"> (et non de poids idéal) — par exemple, pour une femme de 50 kg : dose maximale 250 mg/jour (1 comprimé et demi par jour, alternance 1 cp/J1, 2 cp/J2, etc.) ; pour une femme de 80 kg : 400 mg/jour (2 cp/jour). Cette règle est impérative pour réduire le risque de rétinopathie.</w:t>
      </w:r>
    </w:p>
    <w:p>
      <w:pPr>
        <w:pStyle w:val="ListBullet"/>
      </w:pPr>
      <w:r/>
      <w:r>
        <w:rPr>
          <w:b/>
        </w:rPr>
        <w:t>Polyarthrite rhumatoïde</w:t>
      </w:r>
      <w:r>
        <w:t xml:space="preserve"> : 400 mg/jour en deux prises pendant 4–8 semaines, puis 200 mg/jour en entretien.</w:t>
      </w:r>
    </w:p>
    <w:p>
      <w:pPr>
        <w:pStyle w:val="ListBullet"/>
      </w:pPr>
      <w:r/>
      <w:r>
        <w:rPr>
          <w:b/>
        </w:rPr>
        <w:t>Syndrome de Gougerot-Sjögren</w:t>
      </w:r>
      <w:r>
        <w:t xml:space="preserve"> : 400 mg/jour en deux prises.</w:t>
      </w:r>
    </w:p>
    <w:p>
      <w:pPr>
        <w:pStyle w:val="ListBullet"/>
      </w:pPr>
      <w:r/>
      <w:r>
        <w:rPr>
          <w:b/>
        </w:rPr>
        <w:t>Dermatoses auto-immunes</w:t>
      </w:r>
      <w:r>
        <w:t xml:space="preserve"> : 400 mg/jour en deux prises pendant 3–6 mois puis 200 mg/jour en entretien.</w:t>
      </w:r>
    </w:p>
    <w:p>
      <w:pPr>
        <w:pStyle w:val="ListBullet"/>
      </w:pPr>
      <w:r/>
      <w:r>
        <w:rPr>
          <w:b/>
        </w:rPr>
        <w:t>Paludisme prophylaxie</w:t>
      </w:r>
      <w:r>
        <w:t xml:space="preserve"> : 400 mg une fois par semaine (à commencer 2 semaines avant le départ, à poursuivre 4 semaines après le retour).</w:t>
      </w:r>
    </w:p>
    <w:p>
      <w:pPr>
        <w:pStyle w:val="ListBullet"/>
      </w:pPr>
      <w:r/>
      <w:r>
        <w:rPr>
          <w:b/>
        </w:rPr>
        <w:t>Paludisme traitement curatif</w:t>
      </w:r>
      <w:r>
        <w:t xml:space="preserve"> : 800 mg (4 cp) en une prise, puis 400 mg (2 cp) à H6, H24 et H48 (schéma classique).</w:t>
      </w:r>
    </w:p>
    <w:p>
      <w:pPr>
        <w:pStyle w:val="ListBullet"/>
      </w:pPr>
      <w:r/>
      <w:r>
        <w:rPr>
          <w:b/>
        </w:rPr>
        <w:t>Mode d'administration</w:t>
      </w:r>
      <w:r>
        <w:t xml:space="preserve"> : per os, à prendre </w:t>
      </w:r>
      <w:r>
        <w:rPr>
          <w:b/>
        </w:rPr>
        <w:t>au cours d'un repas</w:t>
      </w:r>
      <w:r>
        <w:t xml:space="preserve"> (réduction de la tolérance digestive, absorption non modifiée), à heure fixe (par exemple 8h et 20h pour la forme à deux prises par jour). Les comprimés doivent être avalés entiers avec un grand verre d'eau, sans croquer ni écraser.</w:t>
      </w:r>
    </w:p>
    <w:p>
      <w:pPr>
        <w:pStyle w:val="ListBullet"/>
      </w:pPr>
      <w:r/>
      <w:r>
        <w:rPr>
          <w:b/>
        </w:rPr>
        <w:t>Adaptation posologique selon le poids réel</w:t>
      </w:r>
      <w:r>
        <w:t xml:space="preserve"> : la règle des 5 mg/kg/jour de poids réel doit être respectée strictement. Calculer la dose maximale à chaque consultation : poids réel × 5 mg = dose maximale quotidienne en mg. Exemple : patiente de 60 kg → dose maximale 300 mg/jour (1,5 comprimé par jour, alterner 1 cp/J1 et 2 cp/J2).</w:t>
      </w:r>
    </w:p>
    <w:p>
      <w:pPr>
        <w:pStyle w:val="ListBullet"/>
      </w:pPr>
      <w:r/>
      <w:r>
        <w:rPr>
          <w:b/>
        </w:rPr>
        <w:t>Adaptation posologique selon la fonction rénale</w:t>
      </w:r>
      <w:r>
        <w:t xml:space="preserve"> :</w:t>
      </w:r>
    </w:p>
    <w:p>
      <w:pPr>
        <w:pStyle w:val="ListBullet"/>
      </w:pPr>
      <w:r>
        <w:t>DFG &gt; 60 mL/min : dose standard</w:t>
      </w:r>
    </w:p>
    <w:p>
      <w:pPr>
        <w:pStyle w:val="ListBullet"/>
      </w:pPr>
      <w:r>
        <w:t>DFG 30–60 mL/min : réduire à 75 % de la dose standard</w:t>
      </w:r>
    </w:p>
    <w:p>
      <w:pPr>
        <w:pStyle w:val="ListBullet"/>
      </w:pPr>
      <w:r>
        <w:t>DFG &lt; 30 mL/min : réduire à 50 % de la dose standard, surveillance ophtalmologique renforcée</w:t>
      </w:r>
    </w:p>
    <w:p>
      <w:pPr>
        <w:pStyle w:val="ListBullet"/>
      </w:pPr>
      <w:r/>
      <w:r>
        <w:rPr>
          <w:b/>
        </w:rPr>
        <w:t>Adaptation posologique selon la fonction hépatique</w:t>
      </w:r>
      <w:r>
        <w:t xml:space="preserve"> : insuffisance hépatique modérée à sévère : réduire la dose de 25–50 %, surveillance transaminases mensuelle.</w:t>
      </w:r>
    </w:p>
    <w:p>
      <w:pPr>
        <w:pStyle w:val="ListBullet"/>
      </w:pPr>
      <w:r/>
      <w:r>
        <w:rPr>
          <w:b/>
        </w:rPr>
        <w:t>Durée du traitement</w:t>
      </w:r>
      <w:r>
        <w:t xml:space="preserve"> : traitement chronique au long cours (années, voire décennies dans le lupus), à poursuivre tant que la maladie est active. L'arrêt doit être discuté en cas de rémission complète prolongée (&gt; 5 ans), en tenant compte du risque de rechute à l'arrêt (40–60 % de rechute dans le lupus à 1 an après arrêt de l'hydroxychloroquine).</w:t>
      </w:r>
    </w:p>
    <w:p>
      <w:pPr>
        <w:pStyle w:val="Heading4"/>
      </w:pPr>
      <w:r>
        <w:t>Formes galéniques disponibles</w:t>
      </w:r>
    </w:p>
    <w:p>
      <w:pPr>
        <w:pStyle w:val="ListBullet"/>
      </w:pPr>
      <w:r>
        <w:t>Comprimés enrobés à 200 mg (PLAQUENIL)</w:t>
      </w:r>
    </w:p>
    <w:p>
      <w:pPr>
        <w:pStyle w:val="ListBullet"/>
      </w:pPr>
      <w:r>
        <w:t>Comprimés pelliculés à 200 mg (HCQ-SAIDAL, HYDROXYCHLOROQUINE BEKER, XARIA)</w:t>
      </w:r>
    </w:p>
    <w:p>
      <w:pPr>
        <w:pStyle w:val="ListBullet"/>
      </w:pPr>
      <w:r>
        <w:t>Dragées à 200 mg (NAQUINE — non renouvelé)</w:t>
      </w:r>
    </w:p>
    <w:p>
      <w:pPr>
        <w:pStyle w:val="ListBullet"/>
      </w:pPr>
      <w:r/>
      <w:r>
        <w:rPr>
          <w:b/>
        </w:rPr>
        <w:t>Forme injectable</w:t>
      </w:r>
      <w:r>
        <w:t xml:space="preserve"> : non commercialisée en Algérie</w:t>
      </w:r>
    </w:p>
    <w:p>
      <w:pPr>
        <w:pStyle w:val="ListBullet"/>
      </w:pPr>
      <w:r/>
      <w:r>
        <w:rPr>
          <w:b/>
        </w:rPr>
        <w:t>Forme pédiatrique</w:t>
      </w:r>
      <w:r>
        <w:t xml:space="preserve"> : sirop ou suspension buvable — non disponible en Algérie</w:t>
      </w:r>
    </w:p>
    <w:p>
      <w:pPr>
        <w:pStyle w:val="ListBullet"/>
      </w:pPr>
      <w:r/>
      <w:r>
        <w:rPr>
          <w:b/>
        </w:rPr>
        <w:t>Forme à libération prolongée</w:t>
      </w:r>
      <w:r>
        <w:t xml:space="preserve"> : non disponible</w:t>
      </w:r>
    </w:p>
    <w:p>
      <w:pPr>
        <w:pStyle w:val="ListBullet"/>
      </w:pPr>
      <w:r>
        <w:t>Conservation : à température ≤ 25°C, à l'abri de la lumière et de l'humidité, dans l'emballage extérieur d'origine. Durée de validité : 3 ans.</w:t>
      </w:r>
    </w:p>
    <w:p>
      <w:pPr>
        <w:pStyle w:val="Heading4"/>
      </w:pPr>
      <w:r>
        <w:t>Conseils au patient</w:t>
      </w:r>
    </w:p>
    <w:p>
      <w:pPr>
        <w:pStyle w:val="ListBullet"/>
      </w:pPr>
      <w:r/>
      <w:r>
        <w:rPr>
          <w:b/>
        </w:rPr>
        <w:t>Information sur le caractère chronique et retardé du traitement</w:t>
      </w:r>
      <w:r>
        <w:t xml:space="preserve"> : l'effet de l'hydroxychloroquine n'est pas immédiat (délai 8–12 semaines), il prévient l'évolution de la maladie. Ne pas arrêter en cas d'absence d'effet initial.</w:t>
      </w:r>
    </w:p>
    <w:p>
      <w:pPr>
        <w:pStyle w:val="ListBullet"/>
      </w:pPr>
      <w:r/>
      <w:r>
        <w:rPr>
          <w:b/>
        </w:rPr>
        <w:t>Surveillance ophtalmologique annuelle</w:t>
      </w:r>
      <w:r>
        <w:t xml:space="preserve"> à partir de 5 ans de traitement (ou plus tôt en cas de facteur de risque). Le patient doit consulter un ophtalmologiste pour un examen complet : acuité visuelle, fond d'œil, champ visuel automatisé 10-2, OCT maculaire. En cas d'oubli de consultation, alerter le patient.</w:t>
      </w:r>
    </w:p>
    <w:p>
      <w:pPr>
        <w:pStyle w:val="ListBullet"/>
      </w:pPr>
      <w:r/>
      <w:r>
        <w:rPr>
          <w:b/>
        </w:rPr>
        <w:t>Éducation aux signes d'alerte ophtalmologique</w:t>
      </w:r>
      <w:r>
        <w:t xml:space="preserve"> : scotome central (tache noire au centre de la vision), métamorphopsies (lignes droites qui ondulent), altération de la vision des couleurs (particulièrement rouge-vert), baisse d'acuité visuelle. En cas de survenue, arrêt immédiat du traitement et consultation ophtalmologique en urgence.</w:t>
      </w:r>
    </w:p>
    <w:p>
      <w:pPr>
        <w:pStyle w:val="ListBullet"/>
      </w:pPr>
      <w:r/>
      <w:r>
        <w:rPr>
          <w:b/>
        </w:rPr>
        <w:t>Surveillance ECG à l'initiation</w:t>
      </w:r>
      <w:r>
        <w:t xml:space="preserve"> et en cas de polymédication (amiodarone, macrolides, fluoroquinolones, antidépresseurs). En cas de palpitations, de syncopes, de vertiges, consulter en urgence.</w:t>
      </w:r>
    </w:p>
    <w:p>
      <w:pPr>
        <w:pStyle w:val="ListBullet"/>
      </w:pPr>
      <w:r/>
      <w:r>
        <w:rPr>
          <w:b/>
        </w:rPr>
        <w:t>Surveillance biologique</w:t>
      </w:r>
      <w:r>
        <w:t xml:space="preserve"> : NFS, plaquettes, ALAT, ASAT, créatinine, kaliémie tous les 3 mois pendant la première année puis tous les 6 mois. Chez le diabétique : surveillance glycémique renforcée (risque d'hypoglycémie).</w:t>
      </w:r>
    </w:p>
    <w:p>
      <w:pPr>
        <w:pStyle w:val="ListBullet"/>
      </w:pPr>
      <w:r/>
      <w:r>
        <w:rPr>
          <w:b/>
        </w:rPr>
        <w:t>Protection solaire</w:t>
      </w:r>
      <w:r>
        <w:t xml:space="preserve"> : crème solaire indice 50+ en cas d'exposition, vêtements couvrants, chapeau à large bord. La photo-protection est additive à l'effet anti-photosensibilisant de l'hydroxychloroquine dans le lupus.</w:t>
      </w:r>
    </w:p>
    <w:p>
      <w:pPr>
        <w:pStyle w:val="ListBullet"/>
      </w:pPr>
      <w:r/>
      <w:r>
        <w:rPr>
          <w:b/>
        </w:rPr>
        <w:t>Vaccination</w:t>
      </w:r>
      <w:r>
        <w:t xml:space="preserve"> : tous les vaccins (y compris vivants atténués) sont autorisés sous hydroxychloroquine en raison du caractère modéré de l'immunosuppression. Grippe saisonnière annuelle, pneumocoque tous les 5 ans, COVID-19, hépatite B, tétanos.</w:t>
      </w:r>
    </w:p>
    <w:p>
      <w:pPr>
        <w:pStyle w:val="ListBullet"/>
      </w:pPr>
      <w:r/>
      <w:r>
        <w:rPr>
          <w:b/>
        </w:rPr>
        <w:t>Grossesse et allaitement</w:t>
      </w:r>
      <w:r>
        <w:t xml:space="preserve"> : l'hydroxychloroquine peut être poursuivie pendant la grossesse et l'allaitement. En cas de projet de grossesse, ne surtout pas arrêter le traitement.</w:t>
      </w:r>
    </w:p>
    <w:p>
      <w:pPr>
        <w:pStyle w:val="ListBullet"/>
      </w:pPr>
      <w:r/>
      <w:r>
        <w:rPr>
          <w:b/>
        </w:rPr>
        <w:t>Éviter l'automédication</w:t>
      </w:r>
      <w:r>
        <w:t xml:space="preserve"> : signaler tout nouveau médicament au médecin et au pharmacien d'officine, en particulier les antibiotiques (macrolides, fluoroquinolones), les anti-arythmiques (amiodarone), les antidépresseurs, les antipsychotiques, le tamoxifène (risque d'allongement du QT), les anti-acides (espacer les prises de 4 heures).</w:t>
      </w:r>
    </w:p>
    <w:p>
      <w:pPr>
        <w:pStyle w:val="ListBullet"/>
      </w:pPr>
      <w:r/>
      <w:r>
        <w:rPr>
          <w:b/>
        </w:rPr>
        <w:t>Éviter la consommation de pamplemousse</w:t>
      </w:r>
      <w:r>
        <w:t xml:space="preserve"> : pas d'interaction majeure signalée avec l'hydroxychloroquine, mais prudence en cas de polymédication.</w:t>
      </w:r>
    </w:p>
    <w:p>
      <w:pPr>
        <w:pStyle w:val="ListBullet"/>
      </w:pPr>
      <w:r/>
      <w:r>
        <w:rPr>
          <w:b/>
        </w:rPr>
        <w:t>Hygiène bucco-dentaire</w:t>
      </w:r>
      <w:r>
        <w:t xml:space="preserve"> : normale, pas de précaution particulière.</w:t>
      </w:r>
    </w:p>
    <w:p>
      <w:pPr>
        <w:pStyle w:val="ListBullet"/>
      </w:pPr>
      <w:r/>
      <w:r>
        <w:rPr>
          <w:b/>
        </w:rPr>
        <w:t>Respect de la dose maximale de 5 mg/kg/jour</w:t>
      </w:r>
      <w:r>
        <w:t xml:space="preserve"> : ne pas dépasser la dose prescrite, signaler toute perte de poids significative (&gt; 10 %) au médecin pour adaptation posologique.</w:t>
      </w:r>
    </w:p>
    <w:p>
      <w:pPr>
        <w:pStyle w:val="Heading4"/>
      </w:pPr>
      <w:r>
        <w:t>Pièges du comptoir</w:t>
      </w:r>
    </w:p>
    <w:p>
      <w:pPr>
        <w:pStyle w:val="ListNumber"/>
      </w:pPr>
      <w:r/>
      <w:r>
        <w:rPr>
          <w:b/>
        </w:rPr>
        <w:t>Oubli de la surveillance ophtalmologique annuelle</w:t>
      </w:r>
      <w:r>
        <w:t xml:space="preserve"> : le pharmacien doit vérifier que le patient a consulté un ophtalmologiste dans l'année écoulée. En cas d'absence, alerter le patient et le prescripteur.</w:t>
      </w:r>
    </w:p>
    <w:p>
      <w:pPr>
        <w:pStyle w:val="ListNumber"/>
      </w:pPr>
      <w:r/>
      <w:r>
        <w:rPr>
          <w:b/>
        </w:rPr>
        <w:t>Dépassement de la dose maximale de 5 mg/kg/jour</w:t>
      </w:r>
      <w:r>
        <w:t xml:space="preserve"> : particulièrement chez la femme de petite taille (&lt; 60 kg), la dose standard de 400 mg/jour (2 cp) dépasse la dose maximale recommandée. Le pharmacien doit calculer la dose par kg (poids × 5 = dose maximale en mg) et alerter le prescripteur si nécessaire.</w:t>
      </w:r>
    </w:p>
    <w:p>
      <w:pPr>
        <w:pStyle w:val="ListNumber"/>
      </w:pPr>
      <w:r/>
      <w:r>
        <w:rPr>
          <w:b/>
        </w:rPr>
        <w:t>Coprescription avec le tamoxifène</w:t>
      </w:r>
      <w:r>
        <w:t xml:space="preserve"> : risque majeur d'allongement du QT et de torsades de pointes (× 5 selon l'étude de Azoulay et coll., *BMJ* 2017). Le pharmacien doit alerter le prescripteur pour contre-indication.</w:t>
      </w:r>
    </w:p>
    <w:p>
      <w:pPr>
        <w:pStyle w:val="ListNumber"/>
      </w:pPr>
      <w:r/>
      <w:r>
        <w:rPr>
          <w:b/>
        </w:rPr>
        <w:t>Coprescription avec un macrolide</w:t>
      </w:r>
      <w:r>
        <w:t xml:space="preserve"> ou une fluoroquinolone : surveillance ECG, espacer les prises si possible, préférer une pénicilline ou une céphalosporine.</w:t>
      </w:r>
    </w:p>
    <w:p>
      <w:pPr>
        <w:pStyle w:val="ListNumber"/>
      </w:pPr>
      <w:r/>
      <w:r>
        <w:rPr>
          <w:b/>
        </w:rPr>
        <w:t>Initiation chez un patient porteur d'un déficit en G6PD</w:t>
      </w:r>
      <w:r>
        <w:t xml:space="preserve"> : risque d'hémolyse aiguë. Dépistage systématique en cas de contexte à risque (population méditerranéenne, africaine, asiatique).</w:t>
      </w:r>
    </w:p>
    <w:p>
      <w:pPr>
        <w:pStyle w:val="ListNumber"/>
      </w:pPr>
      <w:r/>
      <w:r>
        <w:rPr>
          <w:b/>
        </w:rPr>
        <w:t>Initiation chez une patiente lupique enceinte ou souhaitant une grossesse</w:t>
      </w:r>
      <w:r>
        <w:t xml:space="preserve"> : ne surtout pas arrêter l'hydroxychloroquine (réduction du risque de poussée, prévention du lupus néonatal).</w:t>
      </w:r>
    </w:p>
    <w:p>
      <w:pPr>
        <w:pStyle w:val="ListNumber"/>
      </w:pPr>
      <w:r/>
      <w:r>
        <w:rPr>
          <w:b/>
        </w:rPr>
        <w:t>Confusion entre chloroquine et hydroxychloroquine</w:t>
      </w:r>
      <w:r>
        <w:t xml:space="preserve"> : la chloroquine (NIVAQUINE) est plus rétinotoxique et doit être évitée en rhumatologie au profit de l'hydroxychloroquine.</w:t>
      </w:r>
    </w:p>
    <w:p>
      <w:pPr>
        <w:pStyle w:val="ListNumber"/>
      </w:pPr>
      <w:r/>
      <w:r>
        <w:rPr>
          <w:b/>
        </w:rPr>
        <w:t>Banalisation d'une baisse d'acuité visuelle</w:t>
      </w:r>
      <w:r>
        <w:t xml:space="preserve"> : tout signe visuel nouveau chez un patient sous hydroxychloroquine doit être considéré comme une rétinopathie suspectée jusqu'à preuve du contraire. Arrêt immédiat et consultation ophtalmologique urgente.</w:t>
      </w:r>
    </w:p>
    <w:p>
      <w:pPr>
        <w:pStyle w:val="ListNumber"/>
      </w:pPr>
      <w:r/>
      <w:r>
        <w:rPr>
          <w:b/>
        </w:rPr>
        <w:t>Banalisation d'une hypoglycémie chez le diabétique</w:t>
      </w:r>
      <w:r>
        <w:t xml:space="preserve"> : signal à connaître, possibilité d'adapter les antidiabétiques (insuline, sulfamides) à la baisse.</w:t>
      </w:r>
    </w:p>
    <w:p>
      <w:pPr>
        <w:pStyle w:val="ListNumber"/>
      </w:pPr>
      <w:r/>
      <w:r>
        <w:rPr>
          <w:b/>
        </w:rPr>
        <w:t>Coprescription avec un anti-acide</w:t>
      </w:r>
      <w:r>
        <w:t xml:space="preserve"> : espacer les prises de 4 heures minimum pour éviter la chélation et la diminution de l'absorption de l'hydroxychloroquine.</w:t>
      </w:r>
    </w:p>
    <w:p>
      <w:pPr>
        <w:pStyle w:val="ListNumber"/>
      </w:pPr>
      <w:r/>
      <w:r>
        <w:rPr>
          <w:b/>
        </w:rPr>
        <w:t>Switch de marque sans surveillance</w:t>
      </w:r>
      <w:r>
        <w:t xml:space="preserve"> : le passage d'une marque à une autre (par exemple de PLAQUENIL à HCQ-SAIDAL) peut modifier la tolérance digestive en raison de variations d'excipients. Surveiller la tolérance dans les 2 semaines suivant le switch.</w:t>
      </w:r>
    </w:p>
    <w:p>
      <w:pPr>
        <w:pStyle w:val="Heading2"/>
      </w:pPr>
      <w:r>
        <w:t>151.6 Sous-classe : DMARD synthétiques — Antifoliques</w:t>
      </w:r>
    </w:p>
    <w:p>
      <w:pPr>
        <w:pStyle w:val="Heading3"/>
      </w:pPr>
      <w:r>
        <w:t>151.6.1 Généralités de la sous-classe</w:t>
      </w:r>
    </w:p>
    <w:p>
      <w:r>
        <w:t xml:space="preserve">Les antifoliques regroupent des molécules apparentées à l'acide folique (vitamine B9) qui agissent en inhibant les enzymes du métabolisme des folates, indispensables à la synthèse de l'ADN, de l'ARN et de certains acides aminés (méthionine, sérine, histidine). Trois molécules principales appartiennent à cette classe : le </w:t>
      </w:r>
      <w:r>
        <w:rPr>
          <w:b/>
        </w:rPr>
        <w:t>méthotrexate</w:t>
      </w:r>
      <w:r>
        <w:t xml:space="preserve"> (inhibiteur de la dihydrofolate réductase, DMARD rhumatologique à faibles doses 7,5–25 mg/semaine, anticancéreux à fortes doses &gt; 500 mg/m²), le </w:t>
      </w:r>
      <w:r>
        <w:rPr>
          <w:b/>
        </w:rPr>
        <w:t>pémétrexed</w:t>
      </w:r>
      <w:r>
        <w:t xml:space="preserve"> (inhibiteur multifactoriel des folates, indiqué dans le mésothéliome pleural et le cancer du poumon non à petites cellules, hors DMARD), et le </w:t>
      </w:r>
      <w:r>
        <w:rPr>
          <w:b/>
        </w:rPr>
        <w:t>trimétrexate</w:t>
      </w:r>
      <w:r>
        <w:t xml:space="preserve"> (inhibiteur non polyglutamable, indicin dans la pneumocystose, hors DMARD). Seul le méthotrexate est traité ici comme DMARD rhumatologique.</w:t>
      </w:r>
    </w:p>
    <w:p>
      <w:r>
        <w:t xml:space="preserve">Le méthotrexate est l'un des médicaments les plus anciens et les plus utilisés en oncologie pédiatrique (leucémie aiguë lymphoblastique, premier anticancéreux ayant permis une rémission durable dès 1948, travail de Sidney Farber, </w:t>
      </w:r>
      <w:r>
        <w:rPr>
          <w:i/>
        </w:rPr>
        <w:t>New Engl J Med</w:t>
      </w:r>
      <w:r>
        <w:t xml:space="preserve"> 1948), puis en rhumatologie à partir des années 1980 après les travaux pionniers de Weinblatt et coll. (</w:t>
      </w:r>
      <w:r>
        <w:rPr>
          <w:i/>
        </w:rPr>
        <w:t>N Engl J Med</w:t>
      </w:r>
      <w:r>
        <w:t xml:space="preserve"> 1985, </w:t>
      </w:r>
      <w:r>
        <w:rPr>
          <w:i/>
        </w:rPr>
        <w:t>Arthritis Rheum</w:t>
      </w:r>
      <w:r>
        <w:t xml:space="preserve"> 1986) qui ont démontré son efficacité à faibles doses (7,5–25 mg/semaine) dans la polyarthrite rhumatoïde — une révolution thérapeutique. Actuellement, le méthotrexate est le </w:t>
      </w:r>
      <w:r>
        <w:rPr>
          <w:b/>
        </w:rPr>
        <w:t>DMARD de référence (anchor drug)</w:t>
      </w:r>
      <w:r>
        <w:t xml:space="preserve"> en rhumatologie inflammatoire, recommandé en </w:t>
      </w:r>
      <w:r>
        <w:rPr>
          <w:b/>
        </w:rPr>
        <w:t>première ligne thérapeutique</w:t>
      </w:r>
      <w:r>
        <w:t xml:space="preserve"> par les recommandations EULAR 2022 et ACR 2021 sur la PR, et considéré comme le traitement de fond le plus efficace, le mieux toléré et le plus économique.</w:t>
      </w:r>
    </w:p>
    <w:p>
      <w:r>
        <w:t>Le mécanisme d'action du méthotrexate varie considérablement selon la dose :</w:t>
      </w:r>
    </w:p>
    <w:p>
      <w:pPr>
        <w:pStyle w:val="ListNumber"/>
      </w:pPr>
      <w:r/>
      <w:r>
        <w:rPr>
          <w:b/>
        </w:rPr>
        <w:t>À fortes doses oncologiques</w:t>
      </w:r>
      <w:r>
        <w:t xml:space="preserve"> (&gt; 500 mg/m²) : inhibition massive de la </w:t>
      </w:r>
      <w:r>
        <w:rPr>
          <w:b/>
        </w:rPr>
        <w:t>dihydrofolate réductase (DHFR)</w:t>
      </w:r>
      <w:r>
        <w:t xml:space="preserve">, entraînant un blocage de la conversion du dihydrofolate (FH2) en tétrahydrofolate (FH4), nécessaire à la synthèse de la thymidylate (dTMP) par la thymidylate synthase, et à la synthèse des purines via la glycinamide ribonucléotide transformylase (GART). Sans FH4, la synthèse de l'ADN est bloquée et la cellule meurt par apoptose. La conséquence est une </w:t>
      </w:r>
      <w:r>
        <w:rPr>
          <w:b/>
        </w:rPr>
        <w:t>cytotoxicité massive non sélective</w:t>
      </w:r>
      <w:r>
        <w:t xml:space="preserve"> (myélotoxicité, mucite, hépatotoxicité, néphrotoxicité) justifiant la supplémentation systématique en acide folique (rescue par folinate de calcium).</w:t>
      </w:r>
    </w:p>
    <w:p>
      <w:pPr>
        <w:pStyle w:val="ListNumber"/>
      </w:pPr>
      <w:r/>
      <w:r>
        <w:rPr>
          <w:b/>
        </w:rPr>
        <w:t>À faibles doses rhumatologiques</w:t>
      </w:r>
      <w:r>
        <w:t xml:space="preserve"> (7,5–25 mg/semaine) : le mécanisme n'est </w:t>
      </w:r>
      <w:r>
        <w:rPr>
          <w:b/>
        </w:rPr>
        <w:t>pas l'inhibition de la DHFR</w:t>
      </w:r>
      <w:r>
        <w:t xml:space="preserve"> (les concentrations plasmatiques sont insuffisantes), mais plutôt </w:t>
      </w:r>
      <w:r>
        <w:rPr>
          <w:b/>
        </w:rPr>
        <w:t>l'inhibition des enzymes dépendantes du folate polyglutamaté</w:t>
      </w:r>
      <w:r>
        <w:t xml:space="preserve"> : les </w:t>
      </w:r>
      <w:r>
        <w:rPr>
          <w:b/>
        </w:rPr>
        <w:t>5-aminoimidazole-4-carboxamide ribonucléotide (AICAR) transformylase</w:t>
      </w:r>
      <w:r>
        <w:t xml:space="preserve"> et </w:t>
      </w:r>
      <w:r>
        <w:rPr>
          <w:b/>
        </w:rPr>
        <w:t>l'adenylosuccinate synthase</w:t>
      </w:r>
      <w:r>
        <w:t xml:space="preserve">. L'inhibition de l'AICAR transformylase entraîne une accumulation intracellulaire d'AICAR, qui inhibe l'AMP-désaminase et augmente les concentrations d'AMP. L'AMP exerce un </w:t>
      </w:r>
      <w:r>
        <w:rPr>
          <w:b/>
        </w:rPr>
        <w:t>effet inhibiteur compétitif sur l'adénosine déaminase et sur l'adénosine monophosphate déaminase</w:t>
      </w:r>
      <w:r>
        <w:t xml:space="preserve">, conduisant à une </w:t>
      </w:r>
      <w:r>
        <w:rPr>
          <w:b/>
        </w:rPr>
        <w:t>accumulation extracellulaire d'adénosine</w:t>
      </w:r>
      <w:r>
        <w:t xml:space="preserve">. L'adénosine se fixe sur les récepteurs A2A à la surface des polynucléaires neutrophiles et des monocytes, inhibant la production de </w:t>
      </w:r>
      <w:r>
        <w:rPr>
          <w:b/>
        </w:rPr>
        <w:t>leucotriène B4 (LTB4)</w:t>
      </w:r>
      <w:r>
        <w:t>, d'</w:t>
      </w:r>
      <w:r>
        <w:rPr>
          <w:b/>
        </w:rPr>
        <w:t>IL-1, IL-6, IL-8</w:t>
      </w:r>
      <w:r>
        <w:t xml:space="preserve"> et de </w:t>
      </w:r>
      <w:r>
        <w:rPr>
          <w:b/>
        </w:rPr>
        <w:t>TNFα</w:t>
      </w:r>
      <w:r>
        <w:t xml:space="preserve">. L'effet anti-inflammatoire du méthotrexate est donc </w:t>
      </w:r>
      <w:r>
        <w:rPr>
          <w:b/>
        </w:rPr>
        <w:t>médé par l'adénosine</w:t>
      </w:r>
      <w:r>
        <w:t xml:space="preserve"> (effet démontré par Cronstein et coll., *Science* 1991, *J Clin Invest* 1993).</w:t>
      </w:r>
    </w:p>
    <w:p>
      <w:r>
        <w:t xml:space="preserve">Le méthotrexate est également </w:t>
      </w:r>
      <w:r>
        <w:rPr>
          <w:b/>
        </w:rPr>
        <w:t>polyglutamé</w:t>
      </w:r>
      <w:r>
        <w:t xml:space="preserve"> dans les cellules (addition de résidus glutamate par la folylpolyglutamate synthase), ce qui le retient intracellulairement pendant des semaines (demi-vie d'élimination cellulaire ≈ 1–2 semaines), expliquant l'administration hebdomadaire et l'effet prolongé. La polyglutamation est aussi responsable de l'inhibition prolongée de l'AICAR transformylase.</w:t>
      </w:r>
    </w:p>
    <w:p>
      <w:r>
        <w:t>Le marché algérien du méthotrexate rhumatologique est limité mais fonctionnel : 4 spécialités actives injectables (IMETH seringues pré-remplies, METHOTREXATE ACCORD flacons, METHOTREXATE EBEWE seringues pré-remplies) et 1 spécialité active en comprimés (CYTOTREX 2,5 mg, CIPLA). À cela s'ajoutent 14 spécialités non renouvelables et 4 spécialités retirées, principalement des formes oncologiques historiques (LEDERTREXATE, METHOTREXATE BELLON, METHOTREXAT EBEWE). La disponibilité en comprimés à 2,5 mg est cruciale pour l'usage rhumatologique (permet la titration et la dose hebdomadaire précise), tandis que les formes injectables en seringues pré-remplies (IMETH, METHOTREXATE EBEWE) facilitent l'auto-administration sous-cutanée hebdomadaire par le patient à domicile (biodisponibilité supérieure de la voie SC par rapport à la voie orale, particulièrement à doses &gt; 15 mg/sem).</w:t>
      </w:r>
    </w:p>
    <w:p>
      <w:pPr>
        <w:pStyle w:val="Heading3"/>
      </w:pPr>
      <w:r>
        <w:t>151.6.2 Méthotrexate (usage rhumatologique)</w:t>
      </w:r>
    </w:p>
    <w:p>
      <w:pPr>
        <w:pStyle w:val="Heading4"/>
      </w:pPr>
      <w:r>
        <w:t>Liste des catégories</w:t>
      </w:r>
    </w:p>
    <w:p>
      <w:pPr>
        <w:pStyle w:val="ListBullet"/>
      </w:pPr>
      <w:r>
        <w:t xml:space="preserve">ATC : L04AX03 (méthotrexate) — </w:t>
      </w:r>
      <w:r>
        <w:rPr>
          <w:b/>
        </w:rPr>
        <w:t>Immunosuppresseurs</w:t>
      </w:r>
      <w:r>
        <w:t xml:space="preserve"> ; L01BA01 (méthotrexate) — </w:t>
      </w:r>
      <w:r>
        <w:rPr>
          <w:b/>
        </w:rPr>
        <w:t>Antifoliques, antimétabolites</w:t>
      </w:r>
      <w:r/>
    </w:p>
    <w:p>
      <w:pPr>
        <w:pStyle w:val="ListBullet"/>
      </w:pPr>
      <w:r>
        <w:t>Classe thérapeutique : DMARD synthétique de référence, antifolique, antimétabolite</w:t>
      </w:r>
    </w:p>
    <w:p>
      <w:pPr>
        <w:pStyle w:val="ListBullet"/>
      </w:pPr>
      <w:r>
        <w:t xml:space="preserve">Réglementation algérienne : </w:t>
      </w:r>
      <w:r>
        <w:rPr>
          <w:b/>
        </w:rPr>
        <w:t>Liste I</w:t>
      </w:r>
      <w:r>
        <w:t xml:space="preserve"> (sur ordonnance médicale obligatoire, prescription réservée aux spécialistes en rhumatologie, dermatologie, gastro-entérologie, oncologie)</w:t>
      </w:r>
    </w:p>
    <w:p>
      <w:pPr>
        <w:pStyle w:val="ListBullet"/>
      </w:pPr>
      <w:r>
        <w:t>Liste des stupéfiants : non applicable</w:t>
      </w:r>
    </w:p>
    <w:p>
      <w:pPr>
        <w:pStyle w:val="ListBullet"/>
      </w:pPr>
      <w:r>
        <w:t xml:space="preserve">Statut grossesse : </w:t>
      </w:r>
      <w:r>
        <w:rPr>
          <w:b/>
        </w:rPr>
        <w:t>Contre-indication absolue (catégorie X)</w:t>
      </w:r>
      <w:r>
        <w:t xml:space="preserve"> — tératogène, protocole washout obligatoire avant conception</w:t>
      </w:r>
    </w:p>
    <w:p>
      <w:pPr>
        <w:pStyle w:val="ListBullet"/>
      </w:pPr>
      <w:r>
        <w:t>Disponibilité Algérie : 5 spécialités actives (4 injectables + 1 comprimé) + 14 non renouvelables + 4 retirées</w:t>
      </w:r>
    </w:p>
    <w:p>
      <w:pPr>
        <w:pStyle w:val="Heading4"/>
      </w:pPr>
      <w:r>
        <w:t>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IMETH</w:t>
            </w:r>
          </w:p>
        </w:tc>
        <w:tc>
          <w:tcPr>
            <w:tcW w:type="dxa" w:w="1559"/>
          </w:tcPr>
          <w:p>
            <w:r>
              <w:rPr>
                <w:sz w:val="20"/>
              </w:rPr>
              <w:t>NORDIC GROUP B.V</w:t>
            </w:r>
          </w:p>
        </w:tc>
        <w:tc>
          <w:tcPr>
            <w:tcW w:type="dxa" w:w="1559"/>
          </w:tcPr>
          <w:p>
            <w:r>
              <w:rPr>
                <w:sz w:val="20"/>
              </w:rPr>
              <w:t>Solution injectable en seringue pré-remplie SC/IM/IV — 25 mg/mL</w:t>
            </w:r>
          </w:p>
        </w:tc>
        <w:tc>
          <w:tcPr>
            <w:tcW w:type="dxa" w:w="1559"/>
          </w:tcPr>
          <w:p>
            <w:r>
              <w:rPr>
                <w:sz w:val="20"/>
              </w:rPr>
              <w:t>Boîte de 4 seringues pré-remplies (10 mg/0,4 mL ; 15 mg/0,6 mL ; 20 mg/0,8 mL ; 25 mg/1 mL)</w:t>
            </w:r>
          </w:p>
        </w:tc>
        <w:tc>
          <w:tcPr>
            <w:tcW w:type="dxa" w:w="1559"/>
          </w:tcPr>
          <w:p>
            <w:r>
              <w:rPr>
                <w:sz w:val="20"/>
              </w:rPr>
              <w:t>LISTE I</w:t>
            </w:r>
          </w:p>
        </w:tc>
        <w:tc>
          <w:tcPr>
            <w:tcW w:type="dxa" w:w="1559"/>
          </w:tcPr>
          <w:p>
            <w:r>
              <w:rPr>
                <w:sz w:val="20"/>
              </w:rPr>
              <w:t>ACTIF</w:t>
            </w:r>
          </w:p>
        </w:tc>
      </w:tr>
      <w:tr>
        <w:tc>
          <w:tcPr>
            <w:tcW w:type="dxa" w:w="1559"/>
          </w:tcPr>
          <w:p>
            <w:r>
              <w:rPr>
                <w:sz w:val="20"/>
              </w:rPr>
              <w:t>METHOTREXATE ACCORD</w:t>
            </w:r>
          </w:p>
        </w:tc>
        <w:tc>
          <w:tcPr>
            <w:tcW w:type="dxa" w:w="1559"/>
          </w:tcPr>
          <w:p>
            <w:r>
              <w:rPr>
                <w:sz w:val="20"/>
              </w:rPr>
              <w:t>ACCORD HEALTHCARE LIMITED</w:t>
            </w:r>
          </w:p>
        </w:tc>
        <w:tc>
          <w:tcPr>
            <w:tcW w:type="dxa" w:w="1559"/>
          </w:tcPr>
          <w:p>
            <w:r>
              <w:rPr>
                <w:sz w:val="20"/>
              </w:rPr>
              <w:t>Solution injectable — 25 mg/mL</w:t>
            </w:r>
          </w:p>
        </w:tc>
        <w:tc>
          <w:tcPr>
            <w:tcW w:type="dxa" w:w="1559"/>
          </w:tcPr>
          <w:p>
            <w:r>
              <w:rPr>
                <w:sz w:val="20"/>
              </w:rPr>
              <w:t>Flacon de 2 mL (50 mg/2 mL) et flacon de 40 mL (1 000 mg/40 mL)</w:t>
            </w:r>
          </w:p>
        </w:tc>
        <w:tc>
          <w:tcPr>
            <w:tcW w:type="dxa" w:w="1559"/>
          </w:tcPr>
          <w:p>
            <w:r>
              <w:rPr>
                <w:sz w:val="20"/>
              </w:rPr>
              <w:t>LISTE I</w:t>
            </w:r>
          </w:p>
        </w:tc>
        <w:tc>
          <w:tcPr>
            <w:tcW w:type="dxa" w:w="1559"/>
          </w:tcPr>
          <w:p>
            <w:r>
              <w:rPr>
                <w:sz w:val="20"/>
              </w:rPr>
              <w:t>ACTIF</w:t>
            </w:r>
          </w:p>
        </w:tc>
      </w:tr>
      <w:tr>
        <w:tc>
          <w:tcPr>
            <w:tcW w:type="dxa" w:w="1559"/>
          </w:tcPr>
          <w:p>
            <w:r>
              <w:rPr>
                <w:sz w:val="20"/>
              </w:rPr>
              <w:t>METHOTREXATE EBEWE</w:t>
            </w:r>
          </w:p>
        </w:tc>
        <w:tc>
          <w:tcPr>
            <w:tcW w:type="dxa" w:w="1559"/>
          </w:tcPr>
          <w:p>
            <w:r>
              <w:rPr>
                <w:sz w:val="20"/>
              </w:rPr>
              <w:t>EBEWE PHARMA GES MBH NFG KG</w:t>
            </w:r>
          </w:p>
        </w:tc>
        <w:tc>
          <w:tcPr>
            <w:tcW w:type="dxa" w:w="1559"/>
          </w:tcPr>
          <w:p>
            <w:r>
              <w:rPr>
                <w:sz w:val="20"/>
              </w:rPr>
              <w:t>Solution injectable en seringue pré-remplie SC/IM/IV — 10 mg/mL</w:t>
            </w:r>
          </w:p>
        </w:tc>
        <w:tc>
          <w:tcPr>
            <w:tcW w:type="dxa" w:w="1559"/>
          </w:tcPr>
          <w:p>
            <w:r>
              <w:rPr>
                <w:sz w:val="20"/>
              </w:rPr>
              <w:t>B/1 seringue pré-remplie de 0,75 mL (7,5 mg), B/1 seringue pré-remplie de 1 mL (10 mg), B/1 seringue pré-remplie de 1,5 mL (15 mg), B/1 seringue pré-remplie de 2 mL (20 mg)</w:t>
            </w:r>
          </w:p>
        </w:tc>
        <w:tc>
          <w:tcPr>
            <w:tcW w:type="dxa" w:w="1559"/>
          </w:tcPr>
          <w:p>
            <w:r>
              <w:rPr>
                <w:sz w:val="20"/>
              </w:rPr>
              <w:t>LISTE I</w:t>
            </w:r>
          </w:p>
        </w:tc>
        <w:tc>
          <w:tcPr>
            <w:tcW w:type="dxa" w:w="1559"/>
          </w:tcPr>
          <w:p>
            <w:r>
              <w:rPr>
                <w:sz w:val="20"/>
              </w:rPr>
              <w:t>ACTIF</w:t>
            </w:r>
          </w:p>
        </w:tc>
      </w:tr>
      <w:tr>
        <w:tc>
          <w:tcPr>
            <w:tcW w:type="dxa" w:w="1559"/>
          </w:tcPr>
          <w:p>
            <w:r>
              <w:rPr>
                <w:sz w:val="20"/>
              </w:rPr>
              <w:t>CYTOTREX 2,5 mg</w:t>
            </w:r>
          </w:p>
        </w:tc>
        <w:tc>
          <w:tcPr>
            <w:tcW w:type="dxa" w:w="1559"/>
          </w:tcPr>
          <w:p>
            <w:r>
              <w:rPr>
                <w:sz w:val="20"/>
              </w:rPr>
              <w:t>CIPLA LIMITED</w:t>
            </w:r>
          </w:p>
        </w:tc>
        <w:tc>
          <w:tcPr>
            <w:tcW w:type="dxa" w:w="1559"/>
          </w:tcPr>
          <w:p>
            <w:r>
              <w:rPr>
                <w:sz w:val="20"/>
              </w:rPr>
              <w:t>Comprimé — 2,5 mg</w:t>
            </w:r>
          </w:p>
        </w:tc>
        <w:tc>
          <w:tcPr>
            <w:tcW w:type="dxa" w:w="1559"/>
          </w:tcPr>
          <w:p>
            <w:r>
              <w:rPr>
                <w:sz w:val="20"/>
              </w:rPr>
              <w:t>B/20</w:t>
            </w:r>
          </w:p>
        </w:tc>
        <w:tc>
          <w:tcPr>
            <w:tcW w:type="dxa" w:w="1559"/>
          </w:tcPr>
          <w:p>
            <w:r>
              <w:rPr>
                <w:sz w:val="20"/>
              </w:rPr>
              <w:t>LISTE I</w:t>
            </w:r>
          </w:p>
        </w:tc>
        <w:tc>
          <w:tcPr>
            <w:tcW w:type="dxa" w:w="1559"/>
          </w:tcPr>
          <w:p>
            <w:r>
              <w:rPr>
                <w:sz w:val="20"/>
              </w:rPr>
              <w:t>ACTIF</w:t>
            </w:r>
          </w:p>
        </w:tc>
      </w:tr>
      <w:tr>
        <w:tc>
          <w:tcPr>
            <w:tcW w:type="dxa" w:w="1559"/>
          </w:tcPr>
          <w:p>
            <w:r>
              <w:rPr>
                <w:sz w:val="20"/>
              </w:rPr>
              <w:t>METHOTREXATE BELLON 5MG/2ML (NR)</w:t>
            </w:r>
          </w:p>
        </w:tc>
        <w:tc>
          <w:tcPr>
            <w:tcW w:type="dxa" w:w="1559"/>
          </w:tcPr>
          <w:p>
            <w:r>
              <w:rPr>
                <w:sz w:val="20"/>
              </w:rPr>
              <w:t>AVENTIS</w:t>
            </w:r>
          </w:p>
        </w:tc>
        <w:tc>
          <w:tcPr>
            <w:tcW w:type="dxa" w:w="1559"/>
          </w:tcPr>
          <w:p>
            <w:r>
              <w:rPr>
                <w:sz w:val="20"/>
              </w:rPr>
              <w:t>Solution injectable — 2,5 mg/mL</w:t>
            </w:r>
          </w:p>
        </w:tc>
        <w:tc>
          <w:tcPr>
            <w:tcW w:type="dxa" w:w="1559"/>
          </w:tcPr>
          <w:p>
            <w:r>
              <w:rPr>
                <w:sz w:val="20"/>
              </w:rPr>
              <w:t>B/1 flacon</w:t>
            </w:r>
          </w:p>
        </w:tc>
        <w:tc>
          <w:tcPr>
            <w:tcW w:type="dxa" w:w="1559"/>
          </w:tcPr>
          <w:p>
            <w:r>
              <w:rPr>
                <w:sz w:val="20"/>
              </w:rPr>
              <w:t>LISTE I</w:t>
            </w:r>
          </w:p>
        </w:tc>
        <w:tc>
          <w:tcPr>
            <w:tcW w:type="dxa" w:w="1559"/>
          </w:tcPr>
          <w:p>
            <w:r>
              <w:rPr>
                <w:sz w:val="20"/>
              </w:rPr>
              <w:t>NON_RENOUVELABLE</w:t>
            </w:r>
          </w:p>
        </w:tc>
      </w:tr>
      <w:tr>
        <w:tc>
          <w:tcPr>
            <w:tcW w:type="dxa" w:w="1559"/>
          </w:tcPr>
          <w:p>
            <w:r>
              <w:rPr>
                <w:sz w:val="20"/>
              </w:rPr>
              <w:t>METHOTREXATE.BELLON (NR)</w:t>
            </w:r>
          </w:p>
        </w:tc>
        <w:tc>
          <w:tcPr>
            <w:tcW w:type="dxa" w:w="1559"/>
          </w:tcPr>
          <w:p>
            <w:r>
              <w:rPr>
                <w:sz w:val="20"/>
              </w:rPr>
              <w:t>AVENTIS</w:t>
            </w:r>
          </w:p>
        </w:tc>
        <w:tc>
          <w:tcPr>
            <w:tcW w:type="dxa" w:w="1559"/>
          </w:tcPr>
          <w:p>
            <w:r>
              <w:rPr>
                <w:sz w:val="20"/>
              </w:rPr>
              <w:t>Solution injectable — 50 mg</w:t>
            </w:r>
          </w:p>
        </w:tc>
        <w:tc>
          <w:tcPr>
            <w:tcW w:type="dxa" w:w="1559"/>
          </w:tcPr>
          <w:p>
            <w:r>
              <w:rPr>
                <w:sz w:val="20"/>
              </w:rPr>
              <w:t>B/10 flacons</w:t>
            </w:r>
          </w:p>
        </w:tc>
        <w:tc>
          <w:tcPr>
            <w:tcW w:type="dxa" w:w="1559"/>
          </w:tcPr>
          <w:p>
            <w:r>
              <w:rPr>
                <w:sz w:val="20"/>
              </w:rPr>
              <w:t>LISTE I</w:t>
            </w:r>
          </w:p>
        </w:tc>
        <w:tc>
          <w:tcPr>
            <w:tcW w:type="dxa" w:w="1559"/>
          </w:tcPr>
          <w:p>
            <w:r>
              <w:rPr>
                <w:sz w:val="20"/>
              </w:rPr>
              <w:t>NON_RENOUVELABLE</w:t>
            </w:r>
          </w:p>
        </w:tc>
      </w:tr>
      <w:tr>
        <w:tc>
          <w:tcPr>
            <w:tcW w:type="dxa" w:w="1559"/>
          </w:tcPr>
          <w:p>
            <w:r>
              <w:rPr>
                <w:sz w:val="20"/>
              </w:rPr>
              <w:t>METHOTREXATE BELLON (NR)</w:t>
            </w:r>
          </w:p>
        </w:tc>
        <w:tc>
          <w:tcPr>
            <w:tcW w:type="dxa" w:w="1559"/>
          </w:tcPr>
          <w:p>
            <w:r>
              <w:rPr>
                <w:sz w:val="20"/>
              </w:rPr>
              <w:t>AVENTIS</w:t>
            </w:r>
          </w:p>
        </w:tc>
        <w:tc>
          <w:tcPr>
            <w:tcW w:type="dxa" w:w="1559"/>
          </w:tcPr>
          <w:p>
            <w:r>
              <w:rPr>
                <w:sz w:val="20"/>
              </w:rPr>
              <w:t>Lyophilisat pour solution injectable — 500 mg/flacon</w:t>
            </w:r>
          </w:p>
        </w:tc>
        <w:tc>
          <w:tcPr>
            <w:tcW w:type="dxa" w:w="1559"/>
          </w:tcPr>
          <w:p>
            <w:r>
              <w:rPr>
                <w:sz w:val="20"/>
              </w:rPr>
              <w:t>B/10 flacons (500 mg/20 mL)</w:t>
            </w:r>
          </w:p>
        </w:tc>
        <w:tc>
          <w:tcPr>
            <w:tcW w:type="dxa" w:w="1559"/>
          </w:tcPr>
          <w:p>
            <w:r>
              <w:rPr>
                <w:sz w:val="20"/>
              </w:rPr>
              <w:t>LISTE I</w:t>
            </w:r>
          </w:p>
        </w:tc>
        <w:tc>
          <w:tcPr>
            <w:tcW w:type="dxa" w:w="1559"/>
          </w:tcPr>
          <w:p>
            <w:r>
              <w:rPr>
                <w:sz w:val="20"/>
              </w:rPr>
              <w:t>NON_RENOUVELABLE</w:t>
            </w:r>
          </w:p>
        </w:tc>
      </w:tr>
      <w:tr>
        <w:tc>
          <w:tcPr>
            <w:tcW w:type="dxa" w:w="1559"/>
          </w:tcPr>
          <w:p>
            <w:r>
              <w:rPr>
                <w:sz w:val="20"/>
              </w:rPr>
              <w:t>METHOTREXATE BELLON (NR)</w:t>
            </w:r>
          </w:p>
        </w:tc>
        <w:tc>
          <w:tcPr>
            <w:tcW w:type="dxa" w:w="1559"/>
          </w:tcPr>
          <w:p>
            <w:r>
              <w:rPr>
                <w:sz w:val="20"/>
              </w:rPr>
              <w:t>RHONE POULENC RORER</w:t>
            </w:r>
          </w:p>
        </w:tc>
        <w:tc>
          <w:tcPr>
            <w:tcW w:type="dxa" w:w="1559"/>
          </w:tcPr>
          <w:p>
            <w:r>
              <w:rPr>
                <w:sz w:val="20"/>
              </w:rPr>
              <w:t>Comprimé — 2,5 mg</w:t>
            </w:r>
          </w:p>
        </w:tc>
        <w:tc>
          <w:tcPr>
            <w:tcW w:type="dxa" w:w="1559"/>
          </w:tcPr>
          <w:p>
            <w:r>
              <w:rPr>
                <w:sz w:val="20"/>
              </w:rPr>
              <w:t>B/20</w:t>
            </w:r>
          </w:p>
        </w:tc>
        <w:tc>
          <w:tcPr>
            <w:tcW w:type="dxa" w:w="1559"/>
          </w:tcPr>
          <w:p>
            <w:r>
              <w:rPr>
                <w:sz w:val="20"/>
              </w:rPr>
              <w:t>LISTE I</w:t>
            </w:r>
          </w:p>
        </w:tc>
        <w:tc>
          <w:tcPr>
            <w:tcW w:type="dxa" w:w="1559"/>
          </w:tcPr>
          <w:p>
            <w:r>
              <w:rPr>
                <w:sz w:val="20"/>
              </w:rPr>
              <w:t>NON_RENOUVELABLE</w:t>
            </w:r>
          </w:p>
        </w:tc>
      </w:tr>
      <w:tr>
        <w:tc>
          <w:tcPr>
            <w:tcW w:type="dxa" w:w="1559"/>
          </w:tcPr>
          <w:p>
            <w:r>
              <w:rPr>
                <w:sz w:val="20"/>
              </w:rPr>
              <w:t>METHOTREXATE BELLON (NR)</w:t>
            </w:r>
          </w:p>
        </w:tc>
        <w:tc>
          <w:tcPr>
            <w:tcW w:type="dxa" w:w="1559"/>
          </w:tcPr>
          <w:p>
            <w:r>
              <w:rPr>
                <w:sz w:val="20"/>
              </w:rPr>
              <w:t>AVENTIS</w:t>
            </w:r>
          </w:p>
        </w:tc>
        <w:tc>
          <w:tcPr>
            <w:tcW w:type="dxa" w:w="1559"/>
          </w:tcPr>
          <w:p>
            <w:r>
              <w:rPr>
                <w:sz w:val="20"/>
              </w:rPr>
              <w:t>Lyophilisat + solution injectable — 20 mg</w:t>
            </w:r>
          </w:p>
        </w:tc>
        <w:tc>
          <w:tcPr>
            <w:tcW w:type="dxa" w:w="1559"/>
          </w:tcPr>
          <w:p>
            <w:r>
              <w:rPr>
                <w:sz w:val="20"/>
              </w:rPr>
              <w:t>B/10</w:t>
            </w:r>
          </w:p>
        </w:tc>
        <w:tc>
          <w:tcPr>
            <w:tcW w:type="dxa" w:w="1559"/>
          </w:tcPr>
          <w:p>
            <w:r>
              <w:rPr>
                <w:sz w:val="20"/>
              </w:rPr>
              <w:t>LISTE I</w:t>
            </w:r>
          </w:p>
        </w:tc>
        <w:tc>
          <w:tcPr>
            <w:tcW w:type="dxa" w:w="1559"/>
          </w:tcPr>
          <w:p>
            <w:r>
              <w:rPr>
                <w:sz w:val="20"/>
              </w:rPr>
              <w:t>NON_RENOUVELABLE</w:t>
            </w:r>
          </w:p>
        </w:tc>
      </w:tr>
      <w:tr>
        <w:tc>
          <w:tcPr>
            <w:tcW w:type="dxa" w:w="1559"/>
          </w:tcPr>
          <w:p>
            <w:r>
              <w:rPr>
                <w:sz w:val="20"/>
              </w:rPr>
              <w:t>LEDERTREXATE (NR)</w:t>
            </w:r>
          </w:p>
        </w:tc>
        <w:tc>
          <w:tcPr>
            <w:tcW w:type="dxa" w:w="1559"/>
          </w:tcPr>
          <w:p>
            <w:r>
              <w:rPr>
                <w:sz w:val="20"/>
              </w:rPr>
              <w:t>WYETH LEDERLE</w:t>
            </w:r>
          </w:p>
        </w:tc>
        <w:tc>
          <w:tcPr>
            <w:tcW w:type="dxa" w:w="1559"/>
          </w:tcPr>
          <w:p>
            <w:r>
              <w:rPr>
                <w:sz w:val="20"/>
              </w:rPr>
              <w:t>Solution injectable — 25 mg/mL (50 mg/2 mL)</w:t>
            </w:r>
          </w:p>
        </w:tc>
        <w:tc>
          <w:tcPr>
            <w:tcW w:type="dxa" w:w="1559"/>
          </w:tcPr>
          <w:p>
            <w:r>
              <w:rPr>
                <w:sz w:val="20"/>
              </w:rPr>
              <w:t>B/1 flacon</w:t>
            </w:r>
          </w:p>
        </w:tc>
        <w:tc>
          <w:tcPr>
            <w:tcW w:type="dxa" w:w="1559"/>
          </w:tcPr>
          <w:p>
            <w:r>
              <w:rPr>
                <w:sz w:val="20"/>
              </w:rPr>
              <w:t>LISTE I</w:t>
            </w:r>
          </w:p>
        </w:tc>
        <w:tc>
          <w:tcPr>
            <w:tcW w:type="dxa" w:w="1559"/>
          </w:tcPr>
          <w:p>
            <w:r>
              <w:rPr>
                <w:sz w:val="20"/>
              </w:rPr>
              <w:t>NON_RENOUVELABLE</w:t>
            </w:r>
          </w:p>
        </w:tc>
      </w:tr>
      <w:tr>
        <w:tc>
          <w:tcPr>
            <w:tcW w:type="dxa" w:w="1559"/>
          </w:tcPr>
          <w:p>
            <w:r>
              <w:rPr>
                <w:sz w:val="20"/>
              </w:rPr>
              <w:t>LEDERTREXATE (NR)</w:t>
            </w:r>
          </w:p>
        </w:tc>
        <w:tc>
          <w:tcPr>
            <w:tcW w:type="dxa" w:w="1559"/>
          </w:tcPr>
          <w:p>
            <w:r>
              <w:rPr>
                <w:sz w:val="20"/>
              </w:rPr>
              <w:t>WYETH LEDERLE</w:t>
            </w:r>
          </w:p>
        </w:tc>
        <w:tc>
          <w:tcPr>
            <w:tcW w:type="dxa" w:w="1559"/>
          </w:tcPr>
          <w:p>
            <w:r>
              <w:rPr>
                <w:sz w:val="20"/>
              </w:rPr>
              <w:t>Poudre pour solution injectable — 500 mg</w:t>
            </w:r>
          </w:p>
        </w:tc>
        <w:tc>
          <w:tcPr>
            <w:tcW w:type="dxa" w:w="1559"/>
          </w:tcPr>
          <w:p>
            <w:r>
              <w:rPr>
                <w:sz w:val="20"/>
              </w:rPr>
              <w:t>Flacon/500 mg</w:t>
            </w:r>
          </w:p>
        </w:tc>
        <w:tc>
          <w:tcPr>
            <w:tcW w:type="dxa" w:w="1559"/>
          </w:tcPr>
          <w:p>
            <w:r>
              <w:rPr>
                <w:sz w:val="20"/>
              </w:rPr>
              <w:t>LISTE I</w:t>
            </w:r>
          </w:p>
        </w:tc>
        <w:tc>
          <w:tcPr>
            <w:tcW w:type="dxa" w:w="1559"/>
          </w:tcPr>
          <w:p>
            <w:r>
              <w:rPr>
                <w:sz w:val="20"/>
              </w:rPr>
              <w:t>NON_RENOUVELABLE</w:t>
            </w:r>
          </w:p>
        </w:tc>
      </w:tr>
      <w:tr>
        <w:tc>
          <w:tcPr>
            <w:tcW w:type="dxa" w:w="1559"/>
          </w:tcPr>
          <w:p>
            <w:r>
              <w:rPr>
                <w:sz w:val="20"/>
              </w:rPr>
              <w:t>LEDERTREXATE (NR)</w:t>
            </w:r>
          </w:p>
        </w:tc>
        <w:tc>
          <w:tcPr>
            <w:tcW w:type="dxa" w:w="1559"/>
          </w:tcPr>
          <w:p>
            <w:r>
              <w:rPr>
                <w:sz w:val="20"/>
              </w:rPr>
              <w:t>WYETH LEDERLE</w:t>
            </w:r>
          </w:p>
        </w:tc>
        <w:tc>
          <w:tcPr>
            <w:tcW w:type="dxa" w:w="1559"/>
          </w:tcPr>
          <w:p>
            <w:r>
              <w:rPr>
                <w:sz w:val="20"/>
              </w:rPr>
              <w:t>Lyophilisat — 1 g</w:t>
            </w:r>
          </w:p>
        </w:tc>
        <w:tc>
          <w:tcPr>
            <w:tcW w:type="dxa" w:w="1559"/>
          </w:tcPr>
          <w:p>
            <w:r>
              <w:rPr>
                <w:sz w:val="20"/>
              </w:rPr>
              <w:t>Flacon/1 000 mg</w:t>
            </w:r>
          </w:p>
        </w:tc>
        <w:tc>
          <w:tcPr>
            <w:tcW w:type="dxa" w:w="1559"/>
          </w:tcPr>
          <w:p>
            <w:r>
              <w:rPr>
                <w:sz w:val="20"/>
              </w:rPr>
              <w:t>LISTE I</w:t>
            </w:r>
          </w:p>
        </w:tc>
        <w:tc>
          <w:tcPr>
            <w:tcW w:type="dxa" w:w="1559"/>
          </w:tcPr>
          <w:p>
            <w:r>
              <w:rPr>
                <w:sz w:val="20"/>
              </w:rPr>
              <w:t>NON_RENOUVELABLE</w:t>
            </w:r>
          </w:p>
        </w:tc>
      </w:tr>
      <w:tr>
        <w:tc>
          <w:tcPr>
            <w:tcW w:type="dxa" w:w="1559"/>
          </w:tcPr>
          <w:p>
            <w:r>
              <w:rPr>
                <w:sz w:val="20"/>
              </w:rPr>
              <w:t>LEDERTREXATE (NR)</w:t>
            </w:r>
          </w:p>
        </w:tc>
        <w:tc>
          <w:tcPr>
            <w:tcW w:type="dxa" w:w="1559"/>
          </w:tcPr>
          <w:p>
            <w:r>
              <w:rPr>
                <w:sz w:val="20"/>
              </w:rPr>
              <w:t>WYETH LEDERLE</w:t>
            </w:r>
          </w:p>
        </w:tc>
        <w:tc>
          <w:tcPr>
            <w:tcW w:type="dxa" w:w="1559"/>
          </w:tcPr>
          <w:p>
            <w:r>
              <w:rPr>
                <w:sz w:val="20"/>
              </w:rPr>
              <w:t>Solution injectable — 5 g/200 mL</w:t>
            </w:r>
          </w:p>
        </w:tc>
        <w:tc>
          <w:tcPr>
            <w:tcW w:type="dxa" w:w="1559"/>
          </w:tcPr>
          <w:p>
            <w:r>
              <w:rPr>
                <w:sz w:val="20"/>
              </w:rPr>
              <w:t>Flacon/200 mL</w:t>
            </w:r>
          </w:p>
        </w:tc>
        <w:tc>
          <w:tcPr>
            <w:tcW w:type="dxa" w:w="1559"/>
          </w:tcPr>
          <w:p>
            <w:r>
              <w:rPr>
                <w:sz w:val="20"/>
              </w:rPr>
              <w:t>LISTE I</w:t>
            </w:r>
          </w:p>
        </w:tc>
        <w:tc>
          <w:tcPr>
            <w:tcW w:type="dxa" w:w="1559"/>
          </w:tcPr>
          <w:p>
            <w:r>
              <w:rPr>
                <w:sz w:val="20"/>
              </w:rPr>
              <w:t>NON_RENOUVELABLE</w:t>
            </w:r>
          </w:p>
        </w:tc>
      </w:tr>
      <w:tr>
        <w:tc>
          <w:tcPr>
            <w:tcW w:type="dxa" w:w="1559"/>
          </w:tcPr>
          <w:p>
            <w:r>
              <w:rPr>
                <w:sz w:val="20"/>
              </w:rPr>
              <w:t>METHOTREXATE MYLAN (NR)</w:t>
            </w:r>
          </w:p>
        </w:tc>
        <w:tc>
          <w:tcPr>
            <w:tcW w:type="dxa" w:w="1559"/>
          </w:tcPr>
          <w:p>
            <w:r>
              <w:rPr>
                <w:sz w:val="20"/>
              </w:rPr>
              <w:t>MYLAN</w:t>
            </w:r>
          </w:p>
        </w:tc>
        <w:tc>
          <w:tcPr>
            <w:tcW w:type="dxa" w:w="1559"/>
          </w:tcPr>
          <w:p>
            <w:r>
              <w:rPr>
                <w:sz w:val="20"/>
              </w:rPr>
              <w:t>Solution injectable — 2,5 mg/mL (5 mg/2 mL)</w:t>
            </w:r>
          </w:p>
        </w:tc>
        <w:tc>
          <w:tcPr>
            <w:tcW w:type="dxa" w:w="1559"/>
          </w:tcPr>
          <w:p>
            <w:r>
              <w:rPr>
                <w:sz w:val="20"/>
              </w:rPr>
              <w:t>B/10 flacons de 2 mL</w:t>
            </w:r>
          </w:p>
        </w:tc>
        <w:tc>
          <w:tcPr>
            <w:tcW w:type="dxa" w:w="1559"/>
          </w:tcPr>
          <w:p>
            <w:r>
              <w:rPr>
                <w:sz w:val="20"/>
              </w:rPr>
              <w:t>LISTE I</w:t>
            </w:r>
          </w:p>
        </w:tc>
        <w:tc>
          <w:tcPr>
            <w:tcW w:type="dxa" w:w="1559"/>
          </w:tcPr>
          <w:p>
            <w:r>
              <w:rPr>
                <w:sz w:val="20"/>
              </w:rPr>
              <w:t>NON_RENOUVELABLE</w:t>
            </w:r>
          </w:p>
        </w:tc>
      </w:tr>
      <w:tr>
        <w:tc>
          <w:tcPr>
            <w:tcW w:type="dxa" w:w="1559"/>
          </w:tcPr>
          <w:p>
            <w:r>
              <w:rPr>
                <w:sz w:val="20"/>
              </w:rPr>
              <w:t>METHOTREXATE MYLAN (NR)</w:t>
            </w:r>
          </w:p>
        </w:tc>
        <w:tc>
          <w:tcPr>
            <w:tcW w:type="dxa" w:w="1559"/>
          </w:tcPr>
          <w:p>
            <w:r>
              <w:rPr>
                <w:sz w:val="20"/>
              </w:rPr>
              <w:t>MYLAN</w:t>
            </w:r>
          </w:p>
        </w:tc>
        <w:tc>
          <w:tcPr>
            <w:tcW w:type="dxa" w:w="1559"/>
          </w:tcPr>
          <w:p>
            <w:r>
              <w:rPr>
                <w:sz w:val="20"/>
              </w:rPr>
              <w:t>Solution injectable — 25 mg/mL (50 mg/2 mL ; 500 mg/20 mL)</w:t>
            </w:r>
          </w:p>
        </w:tc>
        <w:tc>
          <w:tcPr>
            <w:tcW w:type="dxa" w:w="1559"/>
          </w:tcPr>
          <w:p>
            <w:r>
              <w:rPr>
                <w:sz w:val="20"/>
              </w:rPr>
              <w:t>B/10 flacons de 2 mL et B/10 flacons de 20 mL</w:t>
            </w:r>
          </w:p>
        </w:tc>
        <w:tc>
          <w:tcPr>
            <w:tcW w:type="dxa" w:w="1559"/>
          </w:tcPr>
          <w:p>
            <w:r>
              <w:rPr>
                <w:sz w:val="20"/>
              </w:rPr>
              <w:t>LISTE I</w:t>
            </w:r>
          </w:p>
        </w:tc>
        <w:tc>
          <w:tcPr>
            <w:tcW w:type="dxa" w:w="1559"/>
          </w:tcPr>
          <w:p>
            <w:r>
              <w:rPr>
                <w:sz w:val="20"/>
              </w:rPr>
              <w:t>NON_RENOUVELABLE</w:t>
            </w:r>
          </w:p>
        </w:tc>
      </w:tr>
      <w:tr>
        <w:tc>
          <w:tcPr>
            <w:tcW w:type="dxa" w:w="1559"/>
          </w:tcPr>
          <w:p>
            <w:r>
              <w:rPr>
                <w:sz w:val="20"/>
              </w:rPr>
              <w:t>METHOTREXATE MYLAN (NR)</w:t>
            </w:r>
          </w:p>
        </w:tc>
        <w:tc>
          <w:tcPr>
            <w:tcW w:type="dxa" w:w="1559"/>
          </w:tcPr>
          <w:p>
            <w:r>
              <w:rPr>
                <w:sz w:val="20"/>
              </w:rPr>
              <w:t>MYLAN</w:t>
            </w:r>
          </w:p>
        </w:tc>
        <w:tc>
          <w:tcPr>
            <w:tcW w:type="dxa" w:w="1559"/>
          </w:tcPr>
          <w:p>
            <w:r>
              <w:rPr>
                <w:sz w:val="20"/>
              </w:rPr>
              <w:t>Solution injectable — 100 mg/mL (1 g/10 mL ; 5 g/50 mL)</w:t>
            </w:r>
          </w:p>
        </w:tc>
        <w:tc>
          <w:tcPr>
            <w:tcW w:type="dxa" w:w="1559"/>
          </w:tcPr>
          <w:p>
            <w:r>
              <w:rPr>
                <w:sz w:val="20"/>
              </w:rPr>
              <w:t>B/10 flacons de 10 mL et B/10 flacons de 50 mL</w:t>
            </w:r>
          </w:p>
        </w:tc>
        <w:tc>
          <w:tcPr>
            <w:tcW w:type="dxa" w:w="1559"/>
          </w:tcPr>
          <w:p>
            <w:r>
              <w:rPr>
                <w:sz w:val="20"/>
              </w:rPr>
              <w:t>LISTE I</w:t>
            </w:r>
          </w:p>
        </w:tc>
        <w:tc>
          <w:tcPr>
            <w:tcW w:type="dxa" w:w="1559"/>
          </w:tcPr>
          <w:p>
            <w:r>
              <w:rPr>
                <w:sz w:val="20"/>
              </w:rPr>
              <w:t>NON_RENOUVELABLE</w:t>
            </w:r>
          </w:p>
        </w:tc>
      </w:tr>
      <w:tr>
        <w:tc>
          <w:tcPr>
            <w:tcW w:type="dxa" w:w="1559"/>
          </w:tcPr>
          <w:p>
            <w:r>
              <w:rPr>
                <w:sz w:val="20"/>
              </w:rPr>
              <w:t>ONCOTREX (NR)</w:t>
            </w:r>
          </w:p>
        </w:tc>
        <w:tc>
          <w:tcPr>
            <w:tcW w:type="dxa" w:w="1559"/>
          </w:tcPr>
          <w:p>
            <w:r>
              <w:rPr>
                <w:sz w:val="20"/>
              </w:rPr>
              <w:t>SUN PHARMACEUTICAL INDUSTRIES LTD</w:t>
            </w:r>
          </w:p>
        </w:tc>
        <w:tc>
          <w:tcPr>
            <w:tcW w:type="dxa" w:w="1559"/>
          </w:tcPr>
          <w:p>
            <w:r>
              <w:rPr>
                <w:sz w:val="20"/>
              </w:rPr>
              <w:t>Comprimé — 2,5 mg</w:t>
            </w:r>
          </w:p>
        </w:tc>
        <w:tc>
          <w:tcPr>
            <w:tcW w:type="dxa" w:w="1559"/>
          </w:tcPr>
          <w:p>
            <w:r>
              <w:rPr>
                <w:sz w:val="20"/>
              </w:rPr>
              <w:t>B/30</w:t>
            </w:r>
          </w:p>
        </w:tc>
        <w:tc>
          <w:tcPr>
            <w:tcW w:type="dxa" w:w="1559"/>
          </w:tcPr>
          <w:p>
            <w:r>
              <w:rPr>
                <w:sz w:val="20"/>
              </w:rPr>
              <w:t>LISTE I</w:t>
            </w:r>
          </w:p>
        </w:tc>
        <w:tc>
          <w:tcPr>
            <w:tcW w:type="dxa" w:w="1559"/>
          </w:tcPr>
          <w:p>
            <w:r>
              <w:rPr>
                <w:sz w:val="20"/>
              </w:rPr>
              <w:t>NON_RENOUVELABLE</w:t>
            </w:r>
          </w:p>
        </w:tc>
      </w:tr>
      <w:tr>
        <w:tc>
          <w:tcPr>
            <w:tcW w:type="dxa" w:w="1559"/>
          </w:tcPr>
          <w:p>
            <w:r>
              <w:rPr>
                <w:sz w:val="20"/>
              </w:rPr>
              <w:t>METHOTREXAT EBEWE (NR)</w:t>
            </w:r>
          </w:p>
        </w:tc>
        <w:tc>
          <w:tcPr>
            <w:tcW w:type="dxa" w:w="1559"/>
          </w:tcPr>
          <w:p>
            <w:r>
              <w:rPr>
                <w:sz w:val="20"/>
              </w:rPr>
              <w:t>EBEWE</w:t>
            </w:r>
          </w:p>
        </w:tc>
        <w:tc>
          <w:tcPr>
            <w:tcW w:type="dxa" w:w="1559"/>
          </w:tcPr>
          <w:p>
            <w:r>
              <w:rPr>
                <w:sz w:val="20"/>
              </w:rPr>
              <w:t>Comprimé — 2,5 mg</w:t>
            </w:r>
          </w:p>
        </w:tc>
        <w:tc>
          <w:tcPr>
            <w:tcW w:type="dxa" w:w="1559"/>
          </w:tcPr>
          <w:p>
            <w:r>
              <w:rPr>
                <w:sz w:val="20"/>
              </w:rPr>
              <w:t>B/50</w:t>
            </w:r>
          </w:p>
        </w:tc>
        <w:tc>
          <w:tcPr>
            <w:tcW w:type="dxa" w:w="1559"/>
          </w:tcPr>
          <w:p>
            <w:r>
              <w:rPr>
                <w:sz w:val="20"/>
              </w:rPr>
              <w:t>LISTE I</w:t>
            </w:r>
          </w:p>
        </w:tc>
        <w:tc>
          <w:tcPr>
            <w:tcW w:type="dxa" w:w="1559"/>
          </w:tcPr>
          <w:p>
            <w:r>
              <w:rPr>
                <w:sz w:val="20"/>
              </w:rPr>
              <w:t>NON_RENOUVELABLE</w:t>
            </w:r>
          </w:p>
        </w:tc>
      </w:tr>
      <w:tr>
        <w:tc>
          <w:tcPr>
            <w:tcW w:type="dxa" w:w="1559"/>
          </w:tcPr>
          <w:p>
            <w:r>
              <w:rPr>
                <w:sz w:val="20"/>
              </w:rPr>
              <w:t>METHOTREXAT EBEWE (NR)</w:t>
            </w:r>
          </w:p>
        </w:tc>
        <w:tc>
          <w:tcPr>
            <w:tcW w:type="dxa" w:w="1559"/>
          </w:tcPr>
          <w:p>
            <w:r>
              <w:rPr>
                <w:sz w:val="20"/>
              </w:rPr>
              <w:t>EBEWE</w:t>
            </w:r>
          </w:p>
        </w:tc>
        <w:tc>
          <w:tcPr>
            <w:tcW w:type="dxa" w:w="1559"/>
          </w:tcPr>
          <w:p>
            <w:r>
              <w:rPr>
                <w:sz w:val="20"/>
              </w:rPr>
              <w:t>Solution injectable — 10 mg/mL (50 mg/5 mL)</w:t>
            </w:r>
          </w:p>
        </w:tc>
        <w:tc>
          <w:tcPr>
            <w:tcW w:type="dxa" w:w="1559"/>
          </w:tcPr>
          <w:p>
            <w:r>
              <w:rPr>
                <w:sz w:val="20"/>
              </w:rPr>
              <w:t>B/1 flacon de 5 mL</w:t>
            </w:r>
          </w:p>
        </w:tc>
        <w:tc>
          <w:tcPr>
            <w:tcW w:type="dxa" w:w="1559"/>
          </w:tcPr>
          <w:p>
            <w:r>
              <w:rPr>
                <w:sz w:val="20"/>
              </w:rPr>
              <w:t>LISTE I</w:t>
            </w:r>
          </w:p>
        </w:tc>
        <w:tc>
          <w:tcPr>
            <w:tcW w:type="dxa" w:w="1559"/>
          </w:tcPr>
          <w:p>
            <w:r>
              <w:rPr>
                <w:sz w:val="20"/>
              </w:rPr>
              <w:t>NON_RENOUVELABLE</w:t>
            </w:r>
          </w:p>
        </w:tc>
      </w:tr>
      <w:tr>
        <w:tc>
          <w:tcPr>
            <w:tcW w:type="dxa" w:w="1559"/>
          </w:tcPr>
          <w:p>
            <w:r>
              <w:rPr>
                <w:sz w:val="20"/>
              </w:rPr>
              <w:t>METHOTREXAT EBEWE (NR)</w:t>
            </w:r>
          </w:p>
        </w:tc>
        <w:tc>
          <w:tcPr>
            <w:tcW w:type="dxa" w:w="1559"/>
          </w:tcPr>
          <w:p>
            <w:r>
              <w:rPr>
                <w:sz w:val="20"/>
              </w:rPr>
              <w:t>EBEWE PHARMA GES mbH Nfg KG</w:t>
            </w:r>
          </w:p>
        </w:tc>
        <w:tc>
          <w:tcPr>
            <w:tcW w:type="dxa" w:w="1559"/>
          </w:tcPr>
          <w:p>
            <w:r>
              <w:rPr>
                <w:sz w:val="20"/>
              </w:rPr>
              <w:t>Concentré pour solution pour perfusion — 100 mg/mL (500 mg/5 mL ; 1 000 mg/10 mL)</w:t>
            </w:r>
          </w:p>
        </w:tc>
        <w:tc>
          <w:tcPr>
            <w:tcW w:type="dxa" w:w="1559"/>
          </w:tcPr>
          <w:p>
            <w:r>
              <w:rPr>
                <w:sz w:val="20"/>
              </w:rPr>
              <w:t>Flacon de 5 mL et flacon de 10 mL</w:t>
            </w:r>
          </w:p>
        </w:tc>
        <w:tc>
          <w:tcPr>
            <w:tcW w:type="dxa" w:w="1559"/>
          </w:tcPr>
          <w:p>
            <w:r>
              <w:rPr>
                <w:sz w:val="20"/>
              </w:rPr>
              <w:t>LISTE I</w:t>
            </w:r>
          </w:p>
        </w:tc>
        <w:tc>
          <w:tcPr>
            <w:tcW w:type="dxa" w:w="1559"/>
          </w:tcPr>
          <w:p>
            <w:r>
              <w:rPr>
                <w:sz w:val="20"/>
              </w:rPr>
              <w:t>NON_RENOUVELABLE</w:t>
            </w:r>
          </w:p>
        </w:tc>
      </w:tr>
      <w:tr>
        <w:tc>
          <w:tcPr>
            <w:tcW w:type="dxa" w:w="1559"/>
          </w:tcPr>
          <w:p>
            <w:r>
              <w:rPr>
                <w:sz w:val="20"/>
              </w:rPr>
              <w:t>METHOTREXAT "EBEWE" (NR)</w:t>
            </w:r>
          </w:p>
        </w:tc>
        <w:tc>
          <w:tcPr>
            <w:tcW w:type="dxa" w:w="1559"/>
          </w:tcPr>
          <w:p>
            <w:r>
              <w:rPr>
                <w:sz w:val="20"/>
              </w:rPr>
              <w:t>EBEWE</w:t>
            </w:r>
          </w:p>
        </w:tc>
        <w:tc>
          <w:tcPr>
            <w:tcW w:type="dxa" w:w="1559"/>
          </w:tcPr>
          <w:p>
            <w:r>
              <w:rPr>
                <w:sz w:val="20"/>
              </w:rPr>
              <w:t>Poudre pour solution injectable — 1 000 mg</w:t>
            </w:r>
          </w:p>
        </w:tc>
        <w:tc>
          <w:tcPr>
            <w:tcW w:type="dxa" w:w="1559"/>
          </w:tcPr>
          <w:p>
            <w:r>
              <w:rPr>
                <w:sz w:val="20"/>
              </w:rPr>
              <w:t>B/1 flacon (1 000 mg/10 mL)</w:t>
            </w:r>
          </w:p>
        </w:tc>
        <w:tc>
          <w:tcPr>
            <w:tcW w:type="dxa" w:w="1559"/>
          </w:tcPr>
          <w:p>
            <w:r>
              <w:rPr>
                <w:sz w:val="20"/>
              </w:rPr>
              <w:t>LISTE I</w:t>
            </w:r>
          </w:p>
        </w:tc>
        <w:tc>
          <w:tcPr>
            <w:tcW w:type="dxa" w:w="1559"/>
          </w:tcPr>
          <w:p>
            <w:r>
              <w:rPr>
                <w:sz w:val="20"/>
              </w:rPr>
              <w:t>NON_RENOUVELABLE</w:t>
            </w:r>
          </w:p>
        </w:tc>
      </w:tr>
      <w:tr>
        <w:tc>
          <w:tcPr>
            <w:tcW w:type="dxa" w:w="1559"/>
          </w:tcPr>
          <w:p>
            <w:r>
              <w:rPr>
                <w:sz w:val="20"/>
              </w:rPr>
              <w:t>METHOTREXATE BELLON (R)</w:t>
            </w:r>
          </w:p>
        </w:tc>
        <w:tc>
          <w:tcPr>
            <w:tcW w:type="dxa" w:w="1559"/>
          </w:tcPr>
          <w:p>
            <w:r>
              <w:rPr>
                <w:sz w:val="20"/>
              </w:rPr>
              <w:t>RHONE POULENC RORER</w:t>
            </w:r>
          </w:p>
        </w:tc>
        <w:tc>
          <w:tcPr>
            <w:tcW w:type="dxa" w:w="1559"/>
          </w:tcPr>
          <w:p>
            <w:r>
              <w:rPr>
                <w:sz w:val="20"/>
              </w:rPr>
              <w:t>Lyophilisat + solution injectable — 20 mg</w:t>
            </w:r>
          </w:p>
        </w:tc>
        <w:tc>
          <w:tcPr>
            <w:tcW w:type="dxa" w:w="1559"/>
          </w:tcPr>
          <w:p>
            <w:r>
              <w:rPr>
                <w:sz w:val="20"/>
              </w:rPr>
              <w:t>B/10</w:t>
            </w:r>
          </w:p>
        </w:tc>
        <w:tc>
          <w:tcPr>
            <w:tcW w:type="dxa" w:w="1559"/>
          </w:tcPr>
          <w:p>
            <w:r>
              <w:rPr>
                <w:sz w:val="20"/>
              </w:rPr>
              <w:t>Liste I</w:t>
            </w:r>
          </w:p>
        </w:tc>
        <w:tc>
          <w:tcPr>
            <w:tcW w:type="dxa" w:w="1559"/>
          </w:tcPr>
          <w:p>
            <w:r>
              <w:rPr>
                <w:sz w:val="20"/>
              </w:rPr>
              <w:t>RETRAIT</w:t>
            </w:r>
          </w:p>
        </w:tc>
      </w:tr>
      <w:tr>
        <w:tc>
          <w:tcPr>
            <w:tcW w:type="dxa" w:w="1559"/>
          </w:tcPr>
          <w:p>
            <w:r>
              <w:rPr>
                <w:sz w:val="20"/>
              </w:rPr>
              <w:t>METHOTREXATE (R)</w:t>
            </w:r>
          </w:p>
        </w:tc>
        <w:tc>
          <w:tcPr>
            <w:tcW w:type="dxa" w:w="1559"/>
          </w:tcPr>
          <w:p>
            <w:r>
              <w:rPr>
                <w:sz w:val="20"/>
              </w:rPr>
              <w:t>THERABEL PHARMA S.A.</w:t>
            </w:r>
          </w:p>
        </w:tc>
        <w:tc>
          <w:tcPr>
            <w:tcW w:type="dxa" w:w="1559"/>
          </w:tcPr>
          <w:p>
            <w:r>
              <w:rPr>
                <w:sz w:val="20"/>
              </w:rPr>
              <w:t>Solution injectable — 50 mg/mL</w:t>
            </w:r>
          </w:p>
        </w:tc>
        <w:tc>
          <w:tcPr>
            <w:tcW w:type="dxa" w:w="1559"/>
          </w:tcPr>
          <w:p>
            <w:r>
              <w:rPr>
                <w:sz w:val="20"/>
              </w:rPr>
              <w:t>B/10 flacons de 1 mL</w:t>
            </w:r>
          </w:p>
        </w:tc>
        <w:tc>
          <w:tcPr>
            <w:tcW w:type="dxa" w:w="1559"/>
          </w:tcPr>
          <w:p>
            <w:r>
              <w:rPr>
                <w:sz w:val="20"/>
              </w:rPr>
              <w:t>Liste I</w:t>
            </w:r>
          </w:p>
        </w:tc>
        <w:tc>
          <w:tcPr>
            <w:tcW w:type="dxa" w:w="1559"/>
          </w:tcPr>
          <w:p>
            <w:r>
              <w:rPr>
                <w:sz w:val="20"/>
              </w:rPr>
              <w:t>RETRAIT</w:t>
            </w:r>
          </w:p>
        </w:tc>
      </w:tr>
      <w:tr>
        <w:tc>
          <w:tcPr>
            <w:tcW w:type="dxa" w:w="1559"/>
          </w:tcPr>
          <w:p>
            <w:r>
              <w:rPr>
                <w:sz w:val="20"/>
              </w:rPr>
              <w:t>TRIXILEM (R)</w:t>
            </w:r>
          </w:p>
        </w:tc>
        <w:tc>
          <w:tcPr>
            <w:tcW w:type="dxa" w:w="1559"/>
          </w:tcPr>
          <w:p>
            <w:r>
              <w:rPr>
                <w:sz w:val="20"/>
              </w:rPr>
              <w:t>LEMERY SA DE CV</w:t>
            </w:r>
          </w:p>
        </w:tc>
        <w:tc>
          <w:tcPr>
            <w:tcW w:type="dxa" w:w="1559"/>
          </w:tcPr>
          <w:p>
            <w:r>
              <w:rPr>
                <w:sz w:val="20"/>
              </w:rPr>
              <w:t>Solution injectable — 25 mg/mL (50 mg/2 mL)</w:t>
            </w:r>
          </w:p>
        </w:tc>
        <w:tc>
          <w:tcPr>
            <w:tcW w:type="dxa" w:w="1559"/>
          </w:tcPr>
          <w:p>
            <w:r>
              <w:rPr>
                <w:sz w:val="20"/>
              </w:rPr>
              <w:t>B/1 ampoule de 2 mL</w:t>
            </w:r>
          </w:p>
        </w:tc>
        <w:tc>
          <w:tcPr>
            <w:tcW w:type="dxa" w:w="1559"/>
          </w:tcPr>
          <w:p>
            <w:r>
              <w:rPr>
                <w:sz w:val="20"/>
              </w:rPr>
              <w:t>Liste I</w:t>
            </w:r>
          </w:p>
        </w:tc>
        <w:tc>
          <w:tcPr>
            <w:tcW w:type="dxa" w:w="1559"/>
          </w:tcPr>
          <w:p>
            <w:r>
              <w:rPr>
                <w:sz w:val="20"/>
              </w:rPr>
              <w:t>RETRAIT</w:t>
            </w:r>
          </w:p>
        </w:tc>
      </w:tr>
      <w:tr>
        <w:tc>
          <w:tcPr>
            <w:tcW w:type="dxa" w:w="1559"/>
          </w:tcPr>
          <w:p>
            <w:r>
              <w:rPr>
                <w:sz w:val="20"/>
              </w:rPr>
              <w:t>TRIXILEM (R)</w:t>
            </w:r>
          </w:p>
        </w:tc>
        <w:tc>
          <w:tcPr>
            <w:tcW w:type="dxa" w:w="1559"/>
          </w:tcPr>
          <w:p>
            <w:r>
              <w:rPr>
                <w:sz w:val="20"/>
              </w:rPr>
              <w:t>LEMERY SA DE CV</w:t>
            </w:r>
          </w:p>
        </w:tc>
        <w:tc>
          <w:tcPr>
            <w:tcW w:type="dxa" w:w="1559"/>
          </w:tcPr>
          <w:p>
            <w:r>
              <w:rPr>
                <w:sz w:val="20"/>
              </w:rPr>
              <w:t>Solution injectable — 25 mg/mL (500 mg/20 mL)</w:t>
            </w:r>
          </w:p>
        </w:tc>
        <w:tc>
          <w:tcPr>
            <w:tcW w:type="dxa" w:w="1559"/>
          </w:tcPr>
          <w:p>
            <w:r>
              <w:rPr>
                <w:sz w:val="20"/>
              </w:rPr>
              <w:t>B/1 flacon de 20 mL</w:t>
            </w:r>
          </w:p>
        </w:tc>
        <w:tc>
          <w:tcPr>
            <w:tcW w:type="dxa" w:w="1559"/>
          </w:tcPr>
          <w:p>
            <w:r>
              <w:rPr>
                <w:sz w:val="20"/>
              </w:rPr>
              <w:t>Liste I</w:t>
            </w:r>
          </w:p>
        </w:tc>
        <w:tc>
          <w:tcPr>
            <w:tcW w:type="dxa" w:w="1559"/>
          </w:tcPr>
          <w:p>
            <w:r>
              <w:rPr>
                <w:sz w:val="20"/>
              </w:rPr>
              <w:t>RETRAIT</w:t>
            </w:r>
          </w:p>
        </w:tc>
      </w:tr>
    </w:tbl>
    <w:p/>
    <w:p>
      <w:r>
        <w:t xml:space="preserve">Le marché algérien du méthotrexate reflète la double identité oncologique et rhumatologique de la molécule. Les spécialités actuelles sont principalement des formes </w:t>
      </w:r>
      <w:r>
        <w:rPr>
          <w:b/>
        </w:rPr>
        <w:t>injectables à 25 mg/mL en seringues pré-remplies</w:t>
      </w:r>
      <w:r>
        <w:t xml:space="preserve"> (IMETH, METHOTREXATE EBEWE) destinées à l'usage rhumatologique hebdomadaire sous-cutané, et des formes en flacons (METHOTREXATE ACCORD) à usage mixte oncologique et rhumatologique (hospitalier). L'unique spécialité active en comprimés est CYTOTREX 2,5 mg (CIPLA, B/20), qui permet la titration précise et l'usage oral hebdomadaire. Les spécialités non renouvelables correspondent à des anciennes formes oncologiques (LEDERTREXATE, METHOTREXATE BELLON, METHOTREXAT EBEWE comprimés) supplantées par les génériques actuels. Le faible nombre de spécialités actives en comprimés à 2,5 mg est une préoccupation d'accessibilité thérapeutique : en cas de rupture de CYTOTREX, le recours aux formes injectables (plus chères, nécessitant auto-administration SC) est nécessaire.</w:t>
      </w:r>
    </w:p>
    <w:p>
      <w:pPr>
        <w:pStyle w:val="Heading4"/>
      </w:pPr>
      <w:r>
        <w:t>Mécanisme d'action détaillé</w:t>
      </w:r>
    </w:p>
    <w:p>
      <w:r>
        <w:t xml:space="preserve">Le méthotrexate (4-amino-10-méthylfolic acid, PM 454 Da en acide libre, 454 Da en sel disodique) est un </w:t>
      </w:r>
      <w:r>
        <w:rPr>
          <w:b/>
        </w:rPr>
        <w:t>analogue structural de l'acide folique</w:t>
      </w:r>
      <w:r>
        <w:t xml:space="preserve"> (vitamine B9) qui diffère par la substitution d'un groupement hydroxyle (OH) en position 4 du noyau ptéridine par un groupement amino (NH2) et par l'adjonction d'un groupement méthyle (CH3) en position N10. Ces modifications structurales lui confèrent une </w:t>
      </w:r>
      <w:r>
        <w:rPr>
          <w:b/>
        </w:rPr>
        <w:t>affinité très élevée</w:t>
      </w:r>
      <w:r>
        <w:t xml:space="preserve"> (Ki ≈ 0,01–0,1 nM, soit 1 000 à 10 000 fois supérieure à l'acide folique naturel) pour la </w:t>
      </w:r>
      <w:r>
        <w:rPr>
          <w:b/>
        </w:rPr>
        <w:t>dihydrofolate réductase (DHFR)</w:t>
      </w:r>
      <w:r>
        <w:t>, et empêchent sa conversion en métabolites actifs (il ne peut pas être converti en tétrahydrofolate).</w:t>
      </w:r>
    </w:p>
    <w:p>
      <w:r>
        <w:t xml:space="preserve">Le méthotrexate est transporté activement à l'intérieur des cellules par le </w:t>
      </w:r>
      <w:r>
        <w:rPr>
          <w:b/>
        </w:rPr>
        <w:t>réduced folate carrier 1 (RFC1, SLC19A1)</w:t>
      </w:r>
      <w:r>
        <w:t xml:space="preserve">, transporteur membranaire à haute affinité pour les antifolates. Une fois intracellulaire, il est </w:t>
      </w:r>
      <w:r>
        <w:rPr>
          <w:b/>
        </w:rPr>
        <w:t>polyglutamé</w:t>
      </w:r>
      <w:r>
        <w:t xml:space="preserve"> par la </w:t>
      </w:r>
      <w:r>
        <w:rPr>
          <w:b/>
        </w:rPr>
        <w:t>folylpolyglutamate synthase (FPGS)</w:t>
      </w:r>
      <w:r>
        <w:t xml:space="preserve"> (addition de 2 à 5 résidus glutamate γ-liaison), ce qui le retient dans la cellule (les polyglutamates ne peuvent pas traverser la membrane cellulaire dans le sens inverse) et augmente son affinité pour ses enzymes cibles. Les polyglutamates de méthotrexate ont une demi-vie cellulaire de 1 à 2 semaines, expliquant l'administration hebdomadaire et l'effet prolongé.</w:t>
      </w:r>
    </w:p>
    <w:p>
      <w:r>
        <w:t xml:space="preserve">À </w:t>
      </w:r>
      <w:r>
        <w:rPr>
          <w:b/>
        </w:rPr>
        <w:t>faibles doses rhumatologiques</w:t>
      </w:r>
      <w:r>
        <w:t xml:space="preserve"> (7,5–25 mg/semaine), le mécanisme d'action principal n'est PAS l'inhibition de la DHFR (les concentrations plasmatiques de 10⁻⁸ à 10⁻⁷ M sont insuffisantes), mais plutôt l'inhibition sélective de deux enzymes du métabolisme des purines :</w:t>
      </w:r>
    </w:p>
    <w:p>
      <w:pPr>
        <w:pStyle w:val="ListNumber"/>
      </w:pPr>
      <w:r/>
      <w:r>
        <w:rPr>
          <w:b/>
        </w:rPr>
        <w:t>5-aminoimidazole-4-carboxamide ribonucleotide (AICAR) transformylase</w:t>
      </w:r>
      <w:r>
        <w:t xml:space="preserve"> : enzyme qui convertit l'AICAR en formyl-AICAR (FAICAR), étape du métabolisme des purines. Son inhibition entraîne une </w:t>
      </w:r>
      <w:r>
        <w:rPr>
          <w:b/>
        </w:rPr>
        <w:t>accumulation intracellulaire d'AICAR</w:t>
      </w:r>
      <w:r>
        <w:t>.</w:t>
      </w:r>
    </w:p>
    <w:p>
      <w:pPr>
        <w:pStyle w:val="ListNumber"/>
      </w:pPr>
      <w:r/>
      <w:r>
        <w:rPr>
          <w:b/>
        </w:rPr>
        <w:t>Adénosine déaminase (ADA)</w:t>
      </w:r>
      <w:r>
        <w:t xml:space="preserve"> : enzyme qui convertit l'adénosine en inosine. L'AICAR accumulé inhibe l'AMP-désaminase, augmentant l'AMP, qui à son tour inhibe l'adénosine déaminase.</w:t>
      </w:r>
    </w:p>
    <w:p>
      <w:r>
        <w:t xml:space="preserve">La conséquence est une </w:t>
      </w:r>
      <w:r>
        <w:rPr>
          <w:b/>
        </w:rPr>
        <w:t>accumulation extracellulaire d'adénosine</w:t>
      </w:r>
      <w:r>
        <w:t xml:space="preserve"> (concentrations augmentées de 5 à 30 fois) au niveau des sites inflammatoires. L'adénosine se fixe sur les récepteurs A2A (couplés à Gs, activation de l'adénylate cyclase, augmentation de l'AMPc) à la surface des polynucléaires neutrophiles, des monocytes/macrophages et des lymphocytes T, déclenchant :</w:t>
      </w:r>
    </w:p>
    <w:p>
      <w:pPr>
        <w:pStyle w:val="ListBullet"/>
      </w:pPr>
      <w:r/>
      <w:r>
        <w:rPr>
          <w:b/>
        </w:rPr>
        <w:t>Inhibition de la phagocytose</w:t>
      </w:r>
      <w:r>
        <w:t xml:space="preserve"> des neutrophiles</w:t>
      </w:r>
    </w:p>
    <w:p>
      <w:pPr>
        <w:pStyle w:val="ListBullet"/>
      </w:pPr>
      <w:r/>
      <w:r>
        <w:rPr>
          <w:b/>
        </w:rPr>
        <w:t>Inhibition de la production de leucotriène B4 (LTB4)</w:t>
      </w:r>
      <w:r>
        <w:t xml:space="preserve"> (chimioattractant neutrophile)</w:t>
      </w:r>
    </w:p>
    <w:p>
      <w:pPr>
        <w:pStyle w:val="ListBullet"/>
      </w:pPr>
      <w:r/>
      <w:r>
        <w:rPr>
          <w:b/>
        </w:rPr>
        <w:t>Inhibition de la production d'IL-1, IL-6, IL-8, TNFα</w:t>
      </w:r>
      <w:r>
        <w:t xml:space="preserve"> par les monocytes/macrophages</w:t>
      </w:r>
    </w:p>
    <w:p>
      <w:pPr>
        <w:pStyle w:val="ListBullet"/>
      </w:pPr>
      <w:r/>
      <w:r>
        <w:rPr>
          <w:b/>
        </w:rPr>
        <w:t>Inhibition de la production d'IFNγ</w:t>
      </w:r>
      <w:r>
        <w:t xml:space="preserve"> par les lymphocytes T</w:t>
      </w:r>
    </w:p>
    <w:p>
      <w:pPr>
        <w:pStyle w:val="ListBullet"/>
      </w:pPr>
      <w:r/>
      <w:r>
        <w:rPr>
          <w:b/>
        </w:rPr>
        <w:t>Inhibition de l'expression du TNFα et de l'IL-6 dans la synoviale rhumatoïde</w:t>
      </w:r>
      <w:r/>
    </w:p>
    <w:p>
      <w:r>
        <w:t xml:space="preserve">L'effet anti-inflammatoire est ainsi </w:t>
      </w:r>
      <w:r>
        <w:rPr>
          <w:b/>
        </w:rPr>
        <w:t>médié par l'adénosine</w:t>
      </w:r>
      <w:r>
        <w:t xml:space="preserve"> (démonstration princeps par Cronstein et coll., </w:t>
      </w:r>
      <w:r>
        <w:rPr>
          <w:i/>
        </w:rPr>
        <w:t>Science</w:t>
      </w:r>
      <w:r>
        <w:t xml:space="preserve"> 1991 : le méthotrexate perd son effet anti-inflammatoire chez la souris knockout pour le récepteur A2A). Cet effet est rapid (24–48 heures après injection), réversible (réduction à l'arrêt en 1 semaine), et renouvelable à chaque prise hebdomadaire.</w:t>
      </w:r>
    </w:p>
    <w:p>
      <w:r>
        <w:t xml:space="preserve">À </w:t>
      </w:r>
      <w:r>
        <w:rPr>
          <w:b/>
        </w:rPr>
        <w:t>fortes doses oncologiques</w:t>
      </w:r>
      <w:r>
        <w:t xml:space="preserve"> (&gt; 500 mg/m²), le mécanisme d'action est l'inhibition massive de la DHFR (concentrations plasmatiques de 10⁻⁵ à 10⁻⁴ M), bloquant la conversion du dihydrofolate en tétrahydrofolate, nécessaire à la synthèse de la thymidylate (dTMP) par la thymidylate synthase (substrat N5,N10-méthylène-FH4) et à la synthèse des purines via la glycinamide ribonucléotide transformylase (GART) (substrat N10-formyl-FH4). Sans FH4, la synthèse de l'ADN est bloquée et la cellule meurt par apoptose. L'effet est </w:t>
      </w:r>
      <w:r>
        <w:rPr>
          <w:b/>
        </w:rPr>
        <w:t>cytotoxique non sélectif</w:t>
      </w:r>
      <w:r>
        <w:t xml:space="preserve"> (myélotoxicité, mucite, hépatotoxicité, néphrotoxicité), justifiant le rescue systématique par acide folinique (folinate de calcium, LEUCOVORIN).</w:t>
      </w:r>
    </w:p>
    <w:p>
      <w:r>
        <w:t xml:space="preserve">Le méthotrexate est également un </w:t>
      </w:r>
      <w:r>
        <w:rPr>
          <w:b/>
        </w:rPr>
        <w:t>inducteur de l'apoptose des lymphocytes T activés</w:t>
      </w:r>
      <w:r>
        <w:t xml:space="preserve"> via la voie Fas/FasL et la caspase 8, et un inhibiteur de la </w:t>
      </w:r>
      <w:r>
        <w:rPr>
          <w:b/>
        </w:rPr>
        <w:t>5-lipoxygénase</w:t>
      </w:r>
      <w:r>
        <w:t xml:space="preserve"> (effet anti-inflammatoire additif par réduction des leucotriènes). Il diminue la production d'anticorps par les lymphocytes B et la production de facteur rhumatoïde et d'anti-CCP dans la polyarthrite rhumatoïde.</w:t>
      </w:r>
    </w:p>
    <w:p>
      <w:r>
        <w:t xml:space="preserve">L'effet anti-inflammatoire se manifeste cliniquement après un délai de 4 à 8 semaines (effet maximal à 12 semaines), avec réduction du nombre d'articulations gonflées et douloureuses, baisse de la CRP, et amélioration du DAS28. L'effet structural (prévention des érosions radiographiques) est démontré à 6 mois et se maintient à 5 ans (essai contrôlé </w:t>
      </w:r>
      <w:r>
        <w:rPr>
          <w:i/>
        </w:rPr>
        <w:t>Weinblatt et coll., N Engl J Med 1985</w:t>
      </w:r>
      <w:r>
        <w:t>).</w:t>
      </w:r>
    </w:p>
    <w:p>
      <w:pPr>
        <w:pStyle w:val="Heading4"/>
      </w:pPr>
      <w:r>
        <w:t>Profil pharmacologique : indications, contre-indications, effets indésirables</w:t>
      </w:r>
    </w:p>
    <w:p>
      <w:r/>
      <w:r>
        <w:rPr>
          <w:b/>
        </w:rPr>
        <w:t>Indications</w:t>
      </w:r>
      <w:r/>
    </w:p>
    <w:p>
      <w:pPr>
        <w:pStyle w:val="ListBullet"/>
      </w:pPr>
      <w:r/>
      <w:r>
        <w:rPr>
          <w:b/>
        </w:rPr>
        <w:t>Polyarthrite rhumatoïde active de l'adulte</w:t>
      </w:r>
      <w:r>
        <w:t xml:space="preserve"> (indication princeps rhumatologique) — traitement de fond de première ligne selon EULAR 2022 et ACR 2021. Posologie 7,5–25 mg/semaine (orale ou sous-cutanée), dose cible 15–20 mg/semaine.</w:t>
      </w:r>
    </w:p>
    <w:p>
      <w:pPr>
        <w:pStyle w:val="ListBullet"/>
      </w:pPr>
      <w:r/>
      <w:r>
        <w:rPr>
          <w:b/>
        </w:rPr>
        <w:t>Polyarthrite idiopathique juvénile</w:t>
      </w:r>
      <w:r>
        <w:t xml:space="preserve"> (oligoarticulaire, polyarticulaire, systémique) — chez l'enfant &gt; 3 ans, dose 10–15 mg/m²/semaine (maximum 25 mg/semaine).</w:t>
      </w:r>
    </w:p>
    <w:p>
      <w:pPr>
        <w:pStyle w:val="ListBullet"/>
      </w:pPr>
      <w:r/>
      <w:r>
        <w:rPr>
          <w:b/>
        </w:rPr>
        <w:t>Psoriasis cutané sévère réfractaire</w:t>
      </w:r>
      <w:r>
        <w:t xml:space="preserve"> (plaque-type étendu, psoriasis pustuleux, érythrodermique) — posologie 10–25 mg/semaine.</w:t>
      </w:r>
    </w:p>
    <w:p>
      <w:pPr>
        <w:pStyle w:val="ListBullet"/>
      </w:pPr>
      <w:r/>
      <w:r>
        <w:rPr>
          <w:b/>
        </w:rPr>
        <w:t>Rhumatisme psoriasique</w:t>
      </w:r>
      <w:r>
        <w:t xml:space="preserve"> — posologie 15–25 mg/semaine.</w:t>
      </w:r>
    </w:p>
    <w:p>
      <w:pPr>
        <w:pStyle w:val="ListBullet"/>
      </w:pPr>
      <w:r/>
      <w:r>
        <w:rPr>
          <w:b/>
        </w:rPr>
        <w:t>Maladies inflammatoires chroniques de l'intestin (MICI)</w:t>
      </w:r>
      <w:r>
        <w:t xml:space="preserve"> (maladie de Crohn, rectocolite hémorragique) — particularly en cas d'arthrite associée.</w:t>
      </w:r>
    </w:p>
    <w:p>
      <w:pPr>
        <w:pStyle w:val="ListBullet"/>
      </w:pPr>
      <w:r/>
      <w:r>
        <w:rPr>
          <w:b/>
        </w:rPr>
        <w:t>Sarcoïdose chronique</w:t>
      </w:r>
      <w:r>
        <w:t xml:space="preserve"> (cutanée, neurologique, réfractaire à la corticothérapie) — posologie 10–20 mg/semaine.</w:t>
      </w:r>
    </w:p>
    <w:p>
      <w:pPr>
        <w:pStyle w:val="ListBullet"/>
      </w:pPr>
      <w:r/>
      <w:r>
        <w:rPr>
          <w:b/>
        </w:rPr>
        <w:t>Myopathies inflammatoires</w:t>
      </w:r>
      <w:r>
        <w:t xml:space="preserve"> (dermatomyosite, polymyosite) — posologie 10–20 mg/semaine.</w:t>
      </w:r>
    </w:p>
    <w:p>
      <w:pPr>
        <w:pStyle w:val="ListBullet"/>
      </w:pPr>
      <w:r/>
      <w:r>
        <w:rPr>
          <w:b/>
        </w:rPr>
        <w:t>Vascularites</w:t>
      </w:r>
      <w:r>
        <w:t xml:space="preserve"> (artérite à cellules géantes, maladie de Behçet) — en cas d'échec de la corticothérapie.</w:t>
      </w:r>
    </w:p>
    <w:p>
      <w:pPr>
        <w:pStyle w:val="ListBullet"/>
      </w:pPr>
      <w:r/>
      <w:r>
        <w:rPr>
          <w:b/>
        </w:rPr>
        <w:t>Asthme sévère corticodépendant</w:t>
      </w:r>
      <w:r>
        <w:t xml:space="preserve"> (en alternative à l'omalizumab) — posologie 10–15 mg/semaine.</w:t>
      </w:r>
    </w:p>
    <w:p>
      <w:pPr>
        <w:pStyle w:val="ListBullet"/>
      </w:pPr>
      <w:r/>
      <w:r>
        <w:rPr>
          <w:b/>
        </w:rPr>
        <w:t>Indications oncologiques</w:t>
      </w:r>
      <w:r>
        <w:t xml:space="preserve"> (à fortes doses, hors DMARD) : leucémie aiguë lymphoblastique de l'enfant (induction et entretien), choriocarcinome gestationnel, lymphome non hodgkinien B, cancer du sein adjuvant, ostéosarcome, cancer du sein métastatique (hautes doses avec rescue par folinate).</w:t>
      </w:r>
    </w:p>
    <w:p>
      <w:r/>
      <w:r>
        <w:rPr>
          <w:b/>
        </w:rPr>
        <w:t>Contre-indications</w:t>
      </w:r>
      <w:r/>
    </w:p>
    <w:p>
      <w:pPr>
        <w:pStyle w:val="ListBullet"/>
      </w:pPr>
      <w:r/>
      <w:r>
        <w:rPr>
          <w:b/>
        </w:rPr>
        <w:t>Contre-indications absolues</w:t>
      </w:r>
      <w:r>
        <w:t xml:space="preserve"> :</w:t>
      </w:r>
    </w:p>
    <w:p>
      <w:pPr>
        <w:pStyle w:val="ListBullet"/>
      </w:pPr>
      <w:r>
        <w:t>Hypersensibilité au méthotrexate ou à l'un des excipients</w:t>
      </w:r>
    </w:p>
    <w:p>
      <w:pPr>
        <w:pStyle w:val="ListBullet"/>
      </w:pPr>
      <w:r/>
      <w:r>
        <w:rPr>
          <w:b/>
        </w:rPr>
        <w:t>Grossesse</w:t>
      </w:r>
      <w:r>
        <w:t xml:space="preserve"> (catégorie X) — tératogène majeur (syndrome d'aminoptérine : anencéphalie, hydrocéphalie, fentes palatines, anomalies squelettiques). Contre-indication absolue chez la femme enceinte et chez l'homme dont la partenaire est enceinte (passage dans le sperme)</w:t>
      </w:r>
    </w:p>
    <w:p>
      <w:pPr>
        <w:pStyle w:val="ListBullet"/>
      </w:pPr>
      <w:r>
        <w:t>Allaitement (passage important dans le lait)</w:t>
      </w:r>
    </w:p>
    <w:p>
      <w:pPr>
        <w:pStyle w:val="ListBullet"/>
      </w:pPr>
      <w:r>
        <w:t>Femmes en âge de procréer n'utilisant pas de contraception fiable pendant le traitement et jusqu'à 6 mois après l'arrêt (3 mois après l'arrêt pour les hommes)</w:t>
      </w:r>
    </w:p>
    <w:p>
      <w:pPr>
        <w:pStyle w:val="ListBullet"/>
      </w:pPr>
      <w:r/>
      <w:r>
        <w:rPr>
          <w:b/>
        </w:rPr>
        <w:t>Insuffisance rénale sévère</w:t>
      </w:r>
      <w:r>
        <w:t xml:space="preserve"> (DFG &lt; 30 mL/min) — le méthotrexate est exclusivement éliminé par voie rénale (filtration glomérulaire + sécrétion tubulaire active), tout retard d'élimination conduit à des concentrations toxiques</w:t>
      </w:r>
    </w:p>
    <w:p>
      <w:pPr>
        <w:pStyle w:val="ListBullet"/>
      </w:pPr>
      <w:r/>
      <w:r>
        <w:rPr>
          <w:b/>
        </w:rPr>
        <w:t>Insuffisance hépatique sévère</w:t>
      </w:r>
      <w:r>
        <w:t xml:space="preserve"> (Child-Pugh C, ALAT/ASAT &gt; 3× LSN)</w:t>
      </w:r>
    </w:p>
    <w:p>
      <w:pPr>
        <w:pStyle w:val="ListBullet"/>
      </w:pPr>
      <w:r>
        <w:t>Aplasie médullaire préexistante (leucopénie &lt; 3 G/L, neutropénie &lt; 1,5 G/L, thrombopénie &lt; 100 G/L, anémie &lt; 8 g/dL)</w:t>
      </w:r>
    </w:p>
    <w:p>
      <w:pPr>
        <w:pStyle w:val="ListBullet"/>
      </w:pPr>
      <w:r>
        <w:t>Infections sévères non contrôlées (septicémie, tuberculose évolutive, hépatite B ou C active, VIH non contrôlé)</w:t>
      </w:r>
    </w:p>
    <w:p>
      <w:pPr>
        <w:pStyle w:val="ListBullet"/>
      </w:pPr>
      <w:r/>
      <w:r>
        <w:rPr>
          <w:b/>
        </w:rPr>
        <w:t>Alcoolisme chronique</w:t>
      </w:r>
      <w:r>
        <w:t xml:space="preserve"> (hépatotoxicité additive majeure)</w:t>
      </w:r>
    </w:p>
    <w:p>
      <w:pPr>
        <w:pStyle w:val="ListBullet"/>
      </w:pPr>
      <w:r>
        <w:t>Ulcère gastro-duodénal évolutif</w:t>
      </w:r>
    </w:p>
    <w:p>
      <w:pPr>
        <w:pStyle w:val="ListBullet"/>
      </w:pPr>
      <w:r>
        <w:t>Déficit immunitaire constitutionnel ou acquis sévère</w:t>
      </w:r>
    </w:p>
    <w:p>
      <w:pPr>
        <w:pStyle w:val="ListBullet"/>
      </w:pPr>
      <w:r>
        <w:t>Vaccination par vaccin vivant atténué pendant le traitement et jusqu'à 3 mois après l'arrêt</w:t>
      </w:r>
    </w:p>
    <w:p>
      <w:pPr>
        <w:pStyle w:val="ListBullet"/>
      </w:pPr>
      <w:r>
        <w:t>Enfant &lt; 3 ans (insuffisance de données en rhumatologie pédiatrique)</w:t>
      </w:r>
    </w:p>
    <w:p>
      <w:pPr>
        <w:pStyle w:val="ListBullet"/>
      </w:pPr>
      <w:r/>
      <w:r>
        <w:rPr>
          <w:b/>
        </w:rPr>
        <w:t>Association avec</w:t>
      </w:r>
      <w:r>
        <w:t xml:space="preserve"> : cotrimoxazole (triméthoprime-sulfaméthoxazole), triméthoprime, acide folinique à fortes doses (interaction oncologique), AINS à fortes doses, salicylés à fortes doses, phénylbutazone, probénécide, pénicillines (interaction d'élimination rénale), ciprofloxacine</w:t>
      </w:r>
    </w:p>
    <w:p>
      <w:pPr>
        <w:pStyle w:val="ListBullet"/>
      </w:pPr>
      <w:r/>
      <w:r>
        <w:rPr>
          <w:b/>
        </w:rPr>
        <w:t>Contre-indications relatives / Précautions d'emploi</w:t>
      </w:r>
      <w:r>
        <w:t xml:space="preserve"> :</w:t>
      </w:r>
    </w:p>
    <w:p>
      <w:pPr>
        <w:pStyle w:val="ListBullet"/>
      </w:pPr>
      <w:r>
        <w:t>Insuffisance rénale modérée (DFG 30–60 mL/min) — réduire la dose à 50 %, surveillance hebdomadaire de la créatinine</w:t>
      </w:r>
    </w:p>
    <w:p>
      <w:pPr>
        <w:pStyle w:val="ListBullet"/>
      </w:pPr>
      <w:r>
        <w:t>Sujet âgé &gt; 65 ans : risque accru d'hépatotoxicité, de myélotoxicité, d'infections</w:t>
      </w:r>
    </w:p>
    <w:p>
      <w:pPr>
        <w:pStyle w:val="ListBullet"/>
      </w:pPr>
      <w:r>
        <w:t>Polymédication hépatotoxique ou myélosuppressive</w:t>
      </w:r>
    </w:p>
    <w:p>
      <w:pPr>
        <w:pStyle w:val="ListBullet"/>
      </w:pPr>
      <w:r>
        <w:t>Diabète déséquilibré (risque accru d'infections)</w:t>
      </w:r>
    </w:p>
    <w:p>
      <w:pPr>
        <w:pStyle w:val="ListBullet"/>
      </w:pPr>
      <w:r>
        <w:t>Pleurésie ou ascite (risque d'accumulation dans le troisième secteur, concentrations toxiques)</w:t>
      </w:r>
    </w:p>
    <w:p>
      <w:pPr>
        <w:pStyle w:val="ListBullet"/>
      </w:pPr>
      <w:r>
        <w:t>Obésité morbide (la dose est calculée sur le poids idéal et non réel)</w:t>
      </w:r>
    </w:p>
    <w:p>
      <w:r/>
      <w:r>
        <w:rPr>
          <w:b/>
        </w:rPr>
        <w:t>Effets indésirables</w:t>
      </w:r>
      <w:r/>
    </w:p>
    <w:p>
      <w:r/>
      <w:r>
        <w:rPr>
          <w:i/>
        </w:rPr>
        <w:t>Très fréquents (≥ 10 %)</w:t>
      </w:r>
      <w:r>
        <w:t xml:space="preserve"> :</w:t>
      </w:r>
    </w:p>
    <w:p>
      <w:pPr>
        <w:pStyle w:val="ListBullet"/>
      </w:pPr>
      <w:r/>
      <w:r>
        <w:rPr>
          <w:b/>
        </w:rPr>
        <w:t>Stomatite</w:t>
      </w:r>
      <w:r>
        <w:t xml:space="preserve"> et mucite buccale (15–25 %) — particulièrement en début de traitement, réduction par supplémentation en acide folique (5 mg une fois par semaine à J+1 ou J+2 de la prise de méthotrexate, en alternance avec le MTX)</w:t>
      </w:r>
    </w:p>
    <w:p>
      <w:pPr>
        <w:pStyle w:val="ListBullet"/>
      </w:pPr>
      <w:r>
        <w:t>Troubles digestifs : nausées (10–20 %), vomissements, diarrhée, douleurs abdominales — amélioration par la voie sous-cutanée</w:t>
      </w:r>
    </w:p>
    <w:p>
      <w:pPr>
        <w:pStyle w:val="ListBullet"/>
      </w:pPr>
      <w:r>
        <w:t>Élévation des transaminases (10–20 %) — généralement modérée et transitoire</w:t>
      </w:r>
    </w:p>
    <w:p>
      <w:pPr>
        <w:pStyle w:val="ListBullet"/>
      </w:pPr>
      <w:r>
        <w:t>Fatigue, asthénie (10–15 %)</w:t>
      </w:r>
    </w:p>
    <w:p>
      <w:pPr>
        <w:pStyle w:val="ListBullet"/>
      </w:pPr>
      <w:r>
        <w:t>Céphalées (5–10 %)</w:t>
      </w:r>
    </w:p>
    <w:p>
      <w:r/>
      <w:r>
        <w:rPr>
          <w:i/>
        </w:rPr>
        <w:t>Fréquents (1–10 %)</w:t>
      </w:r>
      <w:r>
        <w:t xml:space="preserve"> :</w:t>
      </w:r>
    </w:p>
    <w:p>
      <w:pPr>
        <w:pStyle w:val="ListBullet"/>
      </w:pPr>
      <w:r/>
      <w:r>
        <w:rPr>
          <w:b/>
        </w:rPr>
        <w:t>Hépatotoxicité chronique</w:t>
      </w:r>
      <w:r>
        <w:t xml:space="preserve"> : fibrose hépatique (3–5 %), cirrhose (1–2 % au long cours &gt; 5 ans, particulièrement en cas de consommation d'alcool ou d'association à d'autres hépatotoxiques). Surveillance transaminases mensuelle, biopsie hépatique en cas d'ALAT persistante &gt; 3× LSN</w:t>
      </w:r>
    </w:p>
    <w:p>
      <w:pPr>
        <w:pStyle w:val="ListBullet"/>
      </w:pPr>
      <w:r>
        <w:t>Leucopénie (5–10 %), thrombopénie, anémie</w:t>
      </w:r>
    </w:p>
    <w:p>
      <w:pPr>
        <w:pStyle w:val="ListBullet"/>
      </w:pPr>
      <w:r>
        <w:t>Éruptions cutanées : rash maculopapuleux (5 %), prurit</w:t>
      </w:r>
    </w:p>
    <w:p>
      <w:pPr>
        <w:pStyle w:val="ListBullet"/>
      </w:pPr>
      <w:r>
        <w:t>Alopécie diffuse réversible (2–5 %)</w:t>
      </w:r>
    </w:p>
    <w:p>
      <w:pPr>
        <w:pStyle w:val="ListBullet"/>
      </w:pPr>
      <w:r>
        <w:t>Photosensibilité</w:t>
      </w:r>
    </w:p>
    <w:p>
      <w:pPr>
        <w:pStyle w:val="ListBullet"/>
      </w:pPr>
      <w:r>
        <w:t>Augmentation du risque infectieux : infections respiratoires hautes, urinaires, zona (2–5 %)</w:t>
      </w:r>
    </w:p>
    <w:p>
      <w:pPr>
        <w:pStyle w:val="ListBullet"/>
      </w:pPr>
      <w:r>
        <w:t>Pneumopathie interstitielle (1–5 %) — signal grave à connaître (cf. infra)</w:t>
      </w:r>
    </w:p>
    <w:p>
      <w:pPr>
        <w:pStyle w:val="ListBullet"/>
      </w:pPr>
      <w:r>
        <w:t>Nodules rhumatoïdes accélérés (paradoxe, 1–2 %)</w:t>
      </w:r>
    </w:p>
    <w:p>
      <w:pPr>
        <w:pStyle w:val="ListBullet"/>
      </w:pPr>
      <w:r>
        <w:t>Ulcérations buccales (en cas d'oubli de supplémentation en acide folique)</w:t>
      </w:r>
    </w:p>
    <w:p>
      <w:r/>
      <w:r>
        <w:rPr>
          <w:i/>
        </w:rPr>
        <w:t>Peu fréquents (0,1–1 %)</w:t>
      </w:r>
      <w:r>
        <w:t xml:space="preserve"> :</w:t>
      </w:r>
    </w:p>
    <w:p>
      <w:pPr>
        <w:pStyle w:val="ListBullet"/>
      </w:pPr>
      <w:r>
        <w:t>Hépatite aiguë sévère (cytolytique ou cholestatique)</w:t>
      </w:r>
    </w:p>
    <w:p>
      <w:pPr>
        <w:pStyle w:val="ListBullet"/>
      </w:pPr>
      <w:r>
        <w:t>Pancytopénie sévère (particulièrement en cas d'insuffisance rénale non reconnue, d'interaction médicamenteuse, ou de surdosage accidentel)</w:t>
      </w:r>
    </w:p>
    <w:p>
      <w:pPr>
        <w:pStyle w:val="ListBullet"/>
      </w:pPr>
      <w:r>
        <w:t>Pneumopathie d'hypersensibilité</w:t>
      </w:r>
    </w:p>
    <w:p>
      <w:pPr>
        <w:pStyle w:val="ListBullet"/>
      </w:pPr>
      <w:r>
        <w:t>Réactions d'hypersensibilité : urticaire, anaphylaxie</w:t>
      </w:r>
    </w:p>
    <w:p>
      <w:pPr>
        <w:pStyle w:val="ListBullet"/>
      </w:pPr>
      <w:r>
        <w:t>Ulcérations gastro-duodénales, saignement digestif</w:t>
      </w:r>
    </w:p>
    <w:p>
      <w:pPr>
        <w:pStyle w:val="ListBullet"/>
      </w:pPr>
      <w:r>
        <w:t>Néphropathie tubulaire (à fortes doses oncologiques)</w:t>
      </w:r>
    </w:p>
    <w:p>
      <w:pPr>
        <w:pStyle w:val="ListBullet"/>
      </w:pPr>
      <w:r>
        <w:t>Dépression, anxiété</w:t>
      </w:r>
    </w:p>
    <w:p>
      <w:r/>
      <w:r>
        <w:rPr>
          <w:i/>
        </w:rPr>
        <w:t>Rares (&lt; 0,1 %)</w:t>
      </w:r>
      <w:r>
        <w:t xml:space="preserve"> :</w:t>
      </w:r>
    </w:p>
    <w:p>
      <w:pPr>
        <w:pStyle w:val="ListBullet"/>
      </w:pPr>
      <w:r/>
      <w:r>
        <w:rPr>
          <w:b/>
        </w:rPr>
        <w:t>Pneumopathie interstitielle sévère</w:t>
      </w:r>
      <w:r>
        <w:t xml:space="preserve"> (pneumopathie à méthotrexate) : signal grave, potentiellement létal. Mécanisme : réaction d'hypersensibilité de type IV au méthotrexate au niveau du parenchyme pulmonaire. Présentation : toux sèche, dyspnée d'effort, fièvre, opacités interstitielles bilatérales au scanner, syndrome restrictif à l'EFR. Survenue imprévisible, parfois dès la première prise. Arrêt immédiat, corticothérapie 1 mg/kg/jour, hospitalisation. Mortalité rapportée 10–20 %.</w:t>
      </w:r>
    </w:p>
    <w:p>
      <w:pPr>
        <w:pStyle w:val="ListBullet"/>
      </w:pPr>
      <w:r>
        <w:t>Lymphoproliférations EBV-induites (lymphome B) — signal rare principalement en dermatologie (psoriasis sous MTX au long cours)</w:t>
      </w:r>
    </w:p>
    <w:p>
      <w:pPr>
        <w:pStyle w:val="ListBullet"/>
      </w:pPr>
      <w:r>
        <w:t>Cancers cutanés (carcinomes basocellulaires, épidermoïdes) — risque cumulatif</w:t>
      </w:r>
    </w:p>
    <w:p>
      <w:pPr>
        <w:pStyle w:val="ListBullet"/>
      </w:pPr>
      <w:r>
        <w:t>Méningite aseptique (en cas d'administration intrathécale accidentelle)</w:t>
      </w:r>
    </w:p>
    <w:p>
      <w:pPr>
        <w:pStyle w:val="ListBullet"/>
      </w:pPr>
      <w:r>
        <w:t>Sepsis sévère, septicémie</w:t>
      </w:r>
    </w:p>
    <w:p>
      <w:r/>
      <w:r>
        <w:rPr>
          <w:i/>
        </w:rPr>
        <w:t>Signaux spécifiques importants</w:t>
      </w:r>
      <w:r>
        <w:t xml:space="preserve"> :</w:t>
      </w:r>
    </w:p>
    <w:p>
      <w:pPr>
        <w:pStyle w:val="ListBullet"/>
      </w:pPr>
      <w:r/>
      <w:r>
        <w:rPr>
          <w:b/>
        </w:rPr>
        <w:t>Hépatotoxicité chronique</w:t>
      </w:r>
      <w:r>
        <w:t xml:space="preserve"> : signal majeur au long cours. La fibrose hépatique survient en moyenne après 5 ans de traitement à 15 mg/semaine, particulièrement chez les patients alcooliques chroniques, obèses, diabétiques ou ayant une stéatose hépatique. Prévention : bilan hépatique pré-thérapeutique (ALAT, ASAT, GGT, PAL, bilirubine, échographie abdominale, FibroScan si disponible), surveillance transaminases mensuelle 6 mois puis trimestrielle, biopsie hépatique en cas d'ALAT persistante &gt; 3× LSN ou d'évolution suspecte à l'échographie/FibroScan.</w:t>
      </w:r>
    </w:p>
    <w:p>
      <w:pPr>
        <w:pStyle w:val="ListBullet"/>
      </w:pPr>
      <w:r/>
      <w:r>
        <w:rPr>
          <w:b/>
        </w:rPr>
        <w:t>Pneumopathie à méthotrexate</w:t>
      </w:r>
      <w:r>
        <w:t xml:space="preserve"> : signal grave imprévisible. Tout patient sous méthotrexate présentant une toux sèche nouvelle, une dyspnée d'effort inexpliquée, une fièvre, doit consulter en urgence pour scanner thoracique et arrêt immédiat du méthotrexate en attendant les résultats.</w:t>
      </w:r>
    </w:p>
    <w:p>
      <w:pPr>
        <w:pStyle w:val="ListBullet"/>
      </w:pPr>
      <w:r/>
      <w:r>
        <w:rPr>
          <w:b/>
        </w:rPr>
        <w:t>Myélotoxicité par surdosage accidentel</w:t>
      </w:r>
      <w:r>
        <w:t xml:space="preserve"> : particulièrement en cas d'erreur d'administration quotidienne au lieu d'hebdomadaire. Le méthotrexate doit être pris </w:t>
      </w:r>
      <w:r>
        <w:rPr>
          <w:b/>
        </w:rPr>
        <w:t>une fois par semaine</w:t>
      </w:r>
      <w:r>
        <w:t xml:space="preserve"> à heure fixe (par exemple le matin du mercredi chaque semaine), et non chaque jour. Le pharmacien doit insister sur la modalité hebdomadaire. En cas de surdosage accidentel (prise quotidienne pendant plusieurs jours), hospitalisation urgente, administration d'acide folinique (folinate de calcium) à dose antagoniste (15 mg × 4/jour), hydratation alcaline (bicarbonate de sodium IV), surveillance NFS et plaquettes.</w:t>
      </w:r>
    </w:p>
    <w:p>
      <w:pPr>
        <w:pStyle w:val="ListBullet"/>
      </w:pPr>
      <w:r/>
      <w:r>
        <w:rPr>
          <w:b/>
        </w:rPr>
        <w:t>Toxicité rénale à fortes doses oncologiques</w:t>
      </w:r>
      <w:r>
        <w:t xml:space="preserve"> : le méthotrexate précipite dans les tubules rénaux à pH acide. Prévention par hydratation alcaline (3 L/m²/jour de sérum salé isotonique + bicarbonate de sodium 40 mEq/L) et alcalinisation des urines (pH &gt; 7).</w:t>
      </w:r>
    </w:p>
    <w:p>
      <w:pPr>
        <w:pStyle w:val="Heading4"/>
      </w:pPr>
      <w:r>
        <w:t>Prévention et gestion des effets indésirables</w:t>
      </w:r>
    </w:p>
    <w:p>
      <w:r>
        <w:t xml:space="preserve">La prévention des effets indésirables du méthotrexate repose sur six piliers : (i) </w:t>
      </w:r>
      <w:r>
        <w:rPr>
          <w:b/>
        </w:rPr>
        <w:t>bilan pré-thérapeutique complet</w:t>
      </w:r>
      <w:r>
        <w:t xml:space="preserve"> (NFS, plaquettes, reticulocytes, transaminases, GGT, PAL, bilirubine, créatinine, urée, clairance calculée selon MDRD ou Cockcroft, sérologies virales B/C/VIH/EBV/CMV, IDR à la tuberculine ou IGRA, radiographie thoracique, ECG, echographie abdominale, FibroScan si disponible, beta-hCG chez la femme en âge de procréer, bilan lipidique), (ii) </w:t>
      </w:r>
      <w:r>
        <w:rPr>
          <w:b/>
        </w:rPr>
        <w:t>supplémentation systématique en acide folique</w:t>
      </w:r>
      <w:r>
        <w:t xml:space="preserve"> (5 mg une fois par semaine à J+1 ou J+2 de la prise de méthotrexate, en alternance — par exemple MTX le mardi matin, acide folique le jeudi matin — réduit de 50 % la toxicité hépatique, digestive et muqueuse sans diminuer l'efficacité rhumatologique), (iii) </w:t>
      </w:r>
      <w:r>
        <w:rPr>
          <w:b/>
        </w:rPr>
        <w:t>surveillance biologique mensuelle</w:t>
      </w:r>
      <w:r>
        <w:t xml:space="preserve"> pendant les 6 premiers mois puis trimestrielle (NFS, plaquettes, ALAT, ASAT, créatinine), (iv) </w:t>
      </w:r>
      <w:r>
        <w:rPr>
          <w:b/>
        </w:rPr>
        <w:t>vérification hebdomadaire de la prise unique</w:t>
      </w:r>
      <w:r>
        <w:t xml:space="preserve"> (et non quotidienne) — inscription sur l'ordonnance « UNE FOIS PAR SEMAINE », date fixe, (v) </w:t>
      </w:r>
      <w:r>
        <w:rPr>
          <w:b/>
        </w:rPr>
        <w:t>contrôle de la contraception</w:t>
      </w:r>
      <w:r>
        <w:t xml:space="preserve"> chez toute femme en âge de procréer (deux méthodes complémentaires), (vi) </w:t>
      </w:r>
      <w:r>
        <w:rPr>
          <w:b/>
        </w:rPr>
        <w:t>éducation aux signes d'alerte</w:t>
      </w:r>
      <w:r>
        <w:t xml:space="preserve"> : fièvre, angine, aphtes buccaux multiples, hématomes spontanés, saignements, toux sèche persistante, dyspnée d'effour, ictère, urines foncées.</w:t>
      </w:r>
    </w:p>
    <w:p>
      <w:r>
        <w:t xml:space="preserve">En cas de </w:t>
      </w:r>
      <w:r>
        <w:rPr>
          <w:b/>
        </w:rPr>
        <w:t>stomatite ou mucite buccale</w:t>
      </w:r>
      <w:r>
        <w:t xml:space="preserve"> :</w:t>
      </w:r>
    </w:p>
    <w:p>
      <w:pPr>
        <w:pStyle w:val="ListBullet"/>
      </w:pPr>
      <w:r>
        <w:t>Grade 1 (aphtes isolés) : poursuivre le MTX, augmenter la supplémentation en acide folique (5 mg × 2/semaine), bains de bouche antiseptiques.</w:t>
      </w:r>
    </w:p>
    <w:p>
      <w:pPr>
        <w:pStyle w:val="ListBullet"/>
      </w:pPr>
      <w:r>
        <w:t>Grade 2 (aphtes multiples + dysphagie) : réduire la dose de MTX de 25 %, acide folique 5 mg/jour pendant 7 jours.</w:t>
      </w:r>
    </w:p>
    <w:p>
      <w:pPr>
        <w:pStyle w:val="ListBullet"/>
      </w:pPr>
      <w:r>
        <w:t>Grade 3-4 (stomatite sévère + saignement) : arrêt du MTX, acide folinique (folinate de calcium) 15 mg × 4/jour pendant 3–5 jours, hospitalisation si dysphagie sévère.</w:t>
      </w:r>
    </w:p>
    <w:p>
      <w:r>
        <w:t>En cas d'</w:t>
      </w:r>
      <w:r>
        <w:rPr>
          <w:b/>
        </w:rPr>
        <w:t>élévation des transaminases</w:t>
      </w:r>
      <w:r>
        <w:t xml:space="preserve"> :</w:t>
      </w:r>
    </w:p>
    <w:p>
      <w:pPr>
        <w:pStyle w:val="ListBullet"/>
      </w:pPr>
      <w:r>
        <w:t>ALAT/ASAT &lt; 2× LSN : poursuivre, surveillance à 2 semaines.</w:t>
      </w:r>
    </w:p>
    <w:p>
      <w:pPr>
        <w:pStyle w:val="ListBullet"/>
      </w:pPr>
      <w:r>
        <w:t>ALAT/ASAT entre 2× et 3× LSN : réduire la dose de MTX de 25 %, contrôle à 2 semaines, vérifier l'observance de l'acide folique.</w:t>
      </w:r>
    </w:p>
    <w:p>
      <w:pPr>
        <w:pStyle w:val="ListBullet"/>
      </w:pPr>
      <w:r>
        <w:t>ALAT/ASAT entre 3× et 5× LSN : arrêt temporaire du MTX pendant 2 semaines, recherche de causes associées (alcool, médicaments hépatotoxiques, infection virale), contrôle à 2 semaines.</w:t>
      </w:r>
    </w:p>
    <w:p>
      <w:pPr>
        <w:pStyle w:val="ListBullet"/>
      </w:pPr>
      <w:r>
        <w:t>ALAT/ASAT &gt; 5× LSN : arrêt immédiat, bilan étiologique complet, échographie + FibroScan, éventuellement biopsie hépatique.</w:t>
      </w:r>
    </w:p>
    <w:p>
      <w:r>
        <w:t xml:space="preserve">En cas de </w:t>
      </w:r>
      <w:r>
        <w:rPr>
          <w:b/>
        </w:rPr>
        <w:t>cytopénie</w:t>
      </w:r>
      <w:r>
        <w:t xml:space="preserve"> :</w:t>
      </w:r>
    </w:p>
    <w:p>
      <w:pPr>
        <w:pStyle w:val="ListBullet"/>
      </w:pPr>
      <w:r>
        <w:t>Leucocytes &lt; 3 G/L ou neutrophiles &lt; 1,5 G/L : arrêt du MTX, surveillance NFS à 1 semaine.</w:t>
      </w:r>
    </w:p>
    <w:p>
      <w:pPr>
        <w:pStyle w:val="ListBullet"/>
      </w:pPr>
      <w:r>
        <w:t>Leucocytes &lt; 2 G/L ou neutrophiles &lt; 1 G/L : arrêt immédiat, acide folinique 15 mg × 4/jour, hospitalisation si fièvre, G-CSF (filgrastim) en cas de neutropénie profonde.</w:t>
      </w:r>
    </w:p>
    <w:p>
      <w:pPr>
        <w:pStyle w:val="ListBullet"/>
      </w:pPr>
      <w:r>
        <w:t>Plaquettes &lt; 100 G/L : réduire la dose de 25 %, contrôle à 1 semaine.</w:t>
      </w:r>
    </w:p>
    <w:p>
      <w:pPr>
        <w:pStyle w:val="ListBullet"/>
      </w:pPr>
      <w:r>
        <w:t>Plaquettes &lt; 50 G/L : arrêt immédiat.</w:t>
      </w:r>
    </w:p>
    <w:p>
      <w:r>
        <w:t xml:space="preserve">En cas de </w:t>
      </w:r>
      <w:r>
        <w:rPr>
          <w:b/>
        </w:rPr>
        <w:t>pneumopathie suspectée</w:t>
      </w:r>
      <w:r>
        <w:t xml:space="preserve"> (toux sèche + dyspnée + fièvre + opacités interstitielles au scanner) : arrêt immédiat sans attendre la confirmation bactériologique, hospitalisation pour scanner thoracique injecté, LBA si nécessaire, corticothérapie 1 mg/kg/jour pendant 2–4 semaines puis décroissance lente. Contre-indication définitive à la réintroduction du MTX.</w:t>
      </w:r>
    </w:p>
    <w:p>
      <w:r>
        <w:t xml:space="preserve">En cas de </w:t>
      </w:r>
      <w:r>
        <w:rPr>
          <w:b/>
        </w:rPr>
        <w:t>surdosage accidentel</w:t>
      </w:r>
      <w:r>
        <w:t xml:space="preserve"> (prise quotidienne au lieu d'hebdomadaire) : hospitalisation urgente, administration d'</w:t>
      </w:r>
      <w:r>
        <w:rPr>
          <w:b/>
        </w:rPr>
        <w:t>acide folinique (folinate de calcium, LEUCOVORIN)</w:t>
      </w:r>
      <w:r>
        <w:t xml:space="preserve"> à dose antagoniste (15 mg × 4/jour en IV ou per os pendant 3–5 jours), hydratation alcaline (3 L/m²/jour de sérum salé isotonique + bicarbonate de sodium 40 mEq/L pour maintenir un pH urinaire &gt; 7), surveillance NFS, plaquettes, créatinine, transaminases, dosage plasmatique du méthotrexate (cible &lt; 0,05 µmol/L à 72 heures).</w:t>
      </w:r>
    </w:p>
    <w:p>
      <w:pPr>
        <w:pStyle w:val="Heading4"/>
      </w:pPr>
      <w:r>
        <w:t>Interactions médicamenteuses</w:t>
      </w:r>
    </w:p>
    <w:p>
      <w:r>
        <w:t>Le méthotrexate a de nombreuses interactions médicamenteuses en raison de sa high protein binding (50 %, en compétition avec les AINS), de son élimination rénale (compétition avec les médicaments sécrétés activement par les tubules), et de sa toxicité additive avec les hépatotoxiques et myélosuppresseurs.</w:t>
      </w:r>
    </w:p>
    <w:p>
      <w:pPr>
        <w:pStyle w:val="ListBullet"/>
      </w:pPr>
      <w:r/>
      <w:r>
        <w:rPr>
          <w:b/>
        </w:rPr>
        <w:t>Associations contre-indiquées</w:t>
      </w:r>
      <w:r>
        <w:t xml:space="preserve"> :</w:t>
      </w:r>
    </w:p>
    <w:p>
      <w:pPr>
        <w:pStyle w:val="ListBullet"/>
      </w:pPr>
      <w:r/>
      <w:r>
        <w:rPr>
          <w:b/>
        </w:rPr>
        <w:t>Cotrimoxazole, triméthoprime</w:t>
      </w:r>
      <w:r>
        <w:t xml:space="preserve"> : sulfamides antibactériens qui inhibent la dihydrofolate réductase bactérienne mais aussi (à dose modérée) la DHFR humaine. Risque de pancytopénie sévère potentiellement létale. </w:t>
      </w:r>
      <w:r>
        <w:rPr>
          <w:b/>
        </w:rPr>
        <w:t>À ne jamais prescrire simultanément</w:t>
      </w:r>
      <w:r>
        <w:t>. Préférer un autre antibiotique (amoxicilline, céphalosporine, pristinamycine, nitrofurantoïne) pour traiter une infection urinaire ou respiratoire.</w:t>
      </w:r>
    </w:p>
    <w:p>
      <w:pPr>
        <w:pStyle w:val="ListBullet"/>
      </w:pPr>
      <w:r/>
      <w:r>
        <w:rPr>
          <w:b/>
        </w:rPr>
        <w:t>Salicylés à fortes doses, AINS à fortes doses</w:t>
      </w:r>
      <w:r>
        <w:t xml:space="preserve"> (aspirine &gt; 500 mg/jour, ibuprofène &gt; 1 200 mg/jour, naproxène &gt; 500 mg/jour, indométacine, kétoprofène, diclofénac) : déplacement de la liaison protéique du MTX et inhibition de la sécrétion tubulaire rénale, conduisant à une augmentation des concentrations plasmatiques de MTX et à un risque de myélotoxicité. Les AINS à dose anti-inflammatoire sont utilisables mais à dose modérée et en surveillant la NFS.</w:t>
      </w:r>
    </w:p>
    <w:p>
      <w:pPr>
        <w:pStyle w:val="ListBullet"/>
      </w:pPr>
      <w:r/>
      <w:r>
        <w:rPr>
          <w:b/>
        </w:rPr>
        <w:t>Phénylbutazone, probénécide, pénicillines</w:t>
      </w:r>
      <w:r>
        <w:t xml:space="preserve"> (à fortes doses) : inhibition de la sécrétion tubulaire rénale du MTX, accumulation, toxicité.</w:t>
      </w:r>
    </w:p>
    <w:p>
      <w:pPr>
        <w:pStyle w:val="ListBullet"/>
      </w:pPr>
      <w:r/>
      <w:r>
        <w:rPr>
          <w:b/>
        </w:rPr>
        <w:t>Ciprofloxacine</w:t>
      </w:r>
      <w:r>
        <w:t xml:space="preserve"> : inhibition de la sécrétion tubulaire rénale, augmentation des concentrations de MTX.</w:t>
      </w:r>
    </w:p>
    <w:p>
      <w:pPr>
        <w:pStyle w:val="ListBullet"/>
      </w:pPr>
      <w:r/>
      <w:r>
        <w:rPr>
          <w:b/>
        </w:rPr>
        <w:t>Vaccins vivants atténués</w:t>
      </w:r>
      <w:r>
        <w:t xml:space="preserve"> : risque d'infection vaccinale sévère.</w:t>
      </w:r>
    </w:p>
    <w:p>
      <w:pPr>
        <w:pStyle w:val="ListBullet"/>
      </w:pPr>
      <w:r/>
      <w:r>
        <w:rPr>
          <w:b/>
        </w:rPr>
        <w:t>Acide folinique à fortes doses</w:t>
      </w:r>
      <w:r>
        <w:t xml:space="preserve"> (folinate de calcium) en dehors du protocole de rescue oncologique : antagonisme de l'effet du MTX, perte d'efficacité rhumatologique.</w:t>
      </w:r>
    </w:p>
    <w:p>
      <w:pPr>
        <w:pStyle w:val="ListBullet"/>
      </w:pPr>
      <w:r/>
      <w:r>
        <w:rPr>
          <w:b/>
        </w:rPr>
        <w:t>Associations déconseillées</w:t>
      </w:r>
      <w:r>
        <w:t xml:space="preserve"> :</w:t>
      </w:r>
    </w:p>
    <w:p>
      <w:pPr>
        <w:pStyle w:val="ListBullet"/>
      </w:pPr>
      <w:r/>
      <w:r>
        <w:rPr>
          <w:b/>
        </w:rPr>
        <w:t>Isoniazide, pyrazinamide, statines, amiodarone, kétoconazole, alcool</w:t>
      </w:r>
      <w:r>
        <w:t xml:space="preserve"> : hépatotoxicité additive, surveillance transaminases mensuelle.</w:t>
      </w:r>
    </w:p>
    <w:p>
      <w:pPr>
        <w:pStyle w:val="ListBullet"/>
      </w:pPr>
      <w:r/>
      <w:r>
        <w:rPr>
          <w:b/>
        </w:rPr>
        <w:t>Azathioprine, ciclosporine, mycophénolate mofétil, anti-TNFα, rituximab</w:t>
      </w:r>
      <w:r>
        <w:t xml:space="preserve"> : potentialisation de l'immunosuppression, du risque infectieux et de lymphome. Association possible en pratique spécialisée rhumatologique sous surveillance stricte.</w:t>
      </w:r>
    </w:p>
    <w:p>
      <w:pPr>
        <w:pStyle w:val="ListBullet"/>
      </w:pPr>
      <w:r/>
      <w:r>
        <w:rPr>
          <w:b/>
        </w:rPr>
        <w:t>Ciclosporine</w:t>
      </w:r>
      <w:r>
        <w:t xml:space="preserve"> (en association) : néphrotoxicité additive.</w:t>
      </w:r>
    </w:p>
    <w:p>
      <w:pPr>
        <w:pStyle w:val="ListBullet"/>
      </w:pPr>
      <w:r/>
      <w:r>
        <w:rPr>
          <w:b/>
        </w:rPr>
        <w:t>Dioxine, théophylline</w:t>
      </w:r>
      <w:r>
        <w:t xml:space="preserve"> : diminution de la clairance, surveillance des concentrations.</w:t>
      </w:r>
    </w:p>
    <w:p>
      <w:pPr>
        <w:pStyle w:val="ListBullet"/>
      </w:pPr>
      <w:r/>
      <w:r>
        <w:rPr>
          <w:b/>
        </w:rPr>
        <w:t>Associations nécessitant des précautions d'emploi</w:t>
      </w:r>
      <w:r>
        <w:t xml:space="preserve"> :</w:t>
      </w:r>
    </w:p>
    <w:p>
      <w:pPr>
        <w:pStyle w:val="ListBullet"/>
      </w:pPr>
      <w:r/>
      <w:r>
        <w:rPr>
          <w:b/>
        </w:rPr>
        <w:t>Oméprazole, ésoméprazole, pantoprazole</w:t>
      </w:r>
      <w:r>
        <w:t xml:space="preserve"> : inhibition du transporteur BCRP, augmentation modeste des concentrations de MTX (particulièrement à fortes doses oncologiques).</w:t>
      </w:r>
    </w:p>
    <w:p>
      <w:pPr>
        <w:pStyle w:val="ListBullet"/>
      </w:pPr>
      <w:r/>
      <w:r>
        <w:rPr>
          <w:b/>
        </w:rPr>
        <w:t>Pénicillines</w:t>
      </w:r>
      <w:r>
        <w:t xml:space="preserve"> (à doses modérées) : surveillance NFS.</w:t>
      </w:r>
    </w:p>
    <w:p>
      <w:pPr>
        <w:pStyle w:val="ListBullet"/>
      </w:pPr>
      <w:r/>
      <w:r>
        <w:rPr>
          <w:b/>
        </w:rPr>
        <w:t>Diurétiques thiazidiques</w:t>
      </w:r>
      <w:r>
        <w:t xml:space="preserve"> : compétition de la sécrétion tubulaire.</w:t>
      </w:r>
    </w:p>
    <w:p>
      <w:pPr>
        <w:pStyle w:val="ListBullet"/>
      </w:pPr>
      <w:r/>
      <w:r>
        <w:rPr>
          <w:b/>
        </w:rPr>
        <w:t>Corticoïdes</w:t>
      </w:r>
      <w:r>
        <w:t xml:space="preserve"> : association utile (effet stéroïde-épargne), surveillance de la tolérance.</w:t>
      </w:r>
    </w:p>
    <w:p>
      <w:pPr>
        <w:pStyle w:val="Heading4"/>
      </w:pPr>
      <w:r>
        <w:t>Grossesse et allaitement (CRAT)</w:t>
      </w:r>
    </w:p>
    <w:p>
      <w:r>
        <w:t xml:space="preserve">Le méthotrexate est l'un des </w:t>
      </w:r>
      <w:r>
        <w:rPr>
          <w:b/>
        </w:rPr>
        <w:t>immunosuppresseurs les plus tératogènes</w:t>
      </w:r>
      <w:r>
        <w:t xml:space="preserve"> disponibles, à l'égal de l'isotrétinoïne, de la thalidomide et du léflunomide. Les données animales et humaines ont mis en évidence un </w:t>
      </w:r>
      <w:r>
        <w:rPr>
          <w:b/>
        </w:rPr>
        <w:t>syndrome d'aminoptérine</w:t>
      </w:r>
      <w:r>
        <w:t xml:space="preserve"> caractérisé par des anomalies de fermeture du tube neural (anencéphalie, myéloméningocèle), des anomalies crânio-faciales (anencéphalie, hydrocéphalie, fentes palatines, hypoplasie maxillaire), des anomalies cardiaques (CIA, CIV, transposition des gros vaisseaux), des anomalies squelettiques (syndactylie, hypoplasie des phalanges), et un retard de croissance intra-utérin. Le risque malformatif est estimé à 30–50 % en cas d'exposition au 1er trimestre (à doses rhumatologiques).</w:t>
      </w:r>
    </w:p>
    <w:p>
      <w:pPr>
        <w:pStyle w:val="ListBullet"/>
      </w:pPr>
      <w:r/>
      <w:r>
        <w:rPr>
          <w:b/>
        </w:rPr>
        <w:t>Grossesse</w:t>
      </w:r>
      <w:r>
        <w:t xml:space="preserve"> :</w:t>
      </w:r>
    </w:p>
    <w:p>
      <w:pPr>
        <w:pStyle w:val="ListBullet"/>
      </w:pPr>
      <w:r/>
      <w:r>
        <w:rPr>
          <w:b/>
        </w:rPr>
        <w:t>Contre-indication absolue</w:t>
      </w:r>
      <w:r>
        <w:t xml:space="preserve"> pendant la grossesse (catégorie X).</w:t>
      </w:r>
    </w:p>
    <w:p>
      <w:pPr>
        <w:pStyle w:val="ListBullet"/>
      </w:pPr>
      <w:r>
        <w:t xml:space="preserve">Chez toute femme en âge de procréer, </w:t>
      </w:r>
      <w:r>
        <w:rPr>
          <w:b/>
        </w:rPr>
        <w:t>contraception efficace obligatoire</w:t>
      </w:r>
      <w:r>
        <w:t xml:space="preserve"> pendant toute la durée du traitement et pendant </w:t>
      </w:r>
      <w:r>
        <w:rPr>
          <w:b/>
        </w:rPr>
        <w:t>6 mois après l'arrêt</w:t>
      </w:r>
      <w:r>
        <w:t xml:space="preserve"> (3 mois pour les hommes).</w:t>
      </w:r>
    </w:p>
    <w:p>
      <w:pPr>
        <w:pStyle w:val="ListBullet"/>
      </w:pPr>
      <w:r>
        <w:t xml:space="preserve">En cas de désir de grossesse, </w:t>
      </w:r>
      <w:r>
        <w:rPr>
          <w:b/>
        </w:rPr>
        <w:t>arrêter le MTX 6 mois à l'avance</w:t>
      </w:r>
      <w:r>
        <w:t xml:space="preserve"> chez la femme et 3 mois à l'avance chez l'homme. Substitution par un autre DMARD compatible avec la grossesse (hydroxychloroquine, azathioprine, ciclosporine, sulfasalazine) en attendant la conception.</w:t>
      </w:r>
    </w:p>
    <w:p>
      <w:pPr>
        <w:pStyle w:val="ListBullet"/>
      </w:pPr>
      <w:r>
        <w:t xml:space="preserve">En cas de </w:t>
      </w:r>
      <w:r>
        <w:rPr>
          <w:b/>
        </w:rPr>
        <w:t>grossesse non planifiée sous MTX</w:t>
      </w:r>
      <w:r>
        <w:t xml:space="preserve"> : arrêter immédiatement le traitement, échographie obstétricale spécialisée à 14–16 SA (chercheur anomalies de fermeture du tube neural, anomalies crânio-faciales, cardiaques, squelettiques), avis multidisciplinaire (gynéco-obstétricien, généticien, rhumatologue) pour discussion d'une interruption médicale de grossesse selon la sévérité de l'exposition et les données échographiques.</w:t>
      </w:r>
    </w:p>
    <w:p>
      <w:pPr>
        <w:pStyle w:val="ListBullet"/>
      </w:pPr>
      <w:r>
        <w:t>Supplémentation en acide folique à dose préconceptionnelle (0,4 mg/jour) et dose anténatale (5 mg/jour) en cas de poursuite de la grossesse.</w:t>
      </w:r>
    </w:p>
    <w:p>
      <w:pPr>
        <w:pStyle w:val="ListBullet"/>
      </w:pPr>
      <w:r/>
      <w:r>
        <w:rPr>
          <w:b/>
        </w:rPr>
        <w:t>Allaitement</w:t>
      </w:r>
      <w:r>
        <w:t xml:space="preserve"> :</w:t>
      </w:r>
    </w:p>
    <w:p>
      <w:pPr>
        <w:pStyle w:val="ListBullet"/>
      </w:pPr>
      <w:r>
        <w:t>Le méthotrexate passe dans le lait maternel en quantité significative.</w:t>
      </w:r>
    </w:p>
    <w:p>
      <w:pPr>
        <w:pStyle w:val="ListBullet"/>
      </w:pPr>
      <w:r/>
      <w:r>
        <w:rPr>
          <w:b/>
        </w:rPr>
        <w:t>Contre-indication absolue à l'allaitement</w:t>
      </w:r>
      <w:r>
        <w:t xml:space="preserve"> pendant le traitement et pendant 1 semaine après la dernière prise.</w:t>
      </w:r>
    </w:p>
    <w:p>
      <w:pPr>
        <w:pStyle w:val="Heading4"/>
      </w:pPr>
      <w:r>
        <w:t>Posologie et mode d'administration</w:t>
      </w:r>
    </w:p>
    <w:p>
      <w:pPr>
        <w:pStyle w:val="ListBullet"/>
      </w:pPr>
      <w:r/>
      <w:r>
        <w:rPr>
          <w:b/>
        </w:rPr>
        <w:t>Posologie standard chez l'adulte en rhumatologie</w:t>
      </w:r>
      <w:r>
        <w:t xml:space="preserve"> :</w:t>
      </w:r>
    </w:p>
    <w:p>
      <w:pPr>
        <w:pStyle w:val="ListBullet"/>
      </w:pPr>
      <w:r/>
      <w:r>
        <w:rPr>
          <w:b/>
        </w:rPr>
        <w:t>Dose initiale</w:t>
      </w:r>
      <w:r>
        <w:t xml:space="preserve"> : 7,5–10 mg en une prise hebdomadaire (per os ou sous-cutanée), à heure fixe (par exemple le mardi matin chaque semaine).</w:t>
      </w:r>
    </w:p>
    <w:p>
      <w:pPr>
        <w:pStyle w:val="ListBullet"/>
      </w:pPr>
      <w:r/>
      <w:r>
        <w:rPr>
          <w:b/>
        </w:rPr>
        <w:t>Titration</w:t>
      </w:r>
      <w:r>
        <w:t xml:space="preserve"> : augmentation par paliers de 2,5–5 mg toutes les 2–4 semaines selon la tolérance et l'efficacité.</w:t>
      </w:r>
    </w:p>
    <w:p>
      <w:pPr>
        <w:pStyle w:val="ListBullet"/>
      </w:pPr>
      <w:r/>
      <w:r>
        <w:rPr>
          <w:b/>
        </w:rPr>
        <w:t>Dose cible</w:t>
      </w:r>
      <w:r>
        <w:t xml:space="preserve"> : 15–25 mg en une prise hebdomadaire (per os ou sous-cutanée).</w:t>
      </w:r>
    </w:p>
    <w:p>
      <w:pPr>
        <w:pStyle w:val="ListBullet"/>
      </w:pPr>
      <w:r/>
      <w:r>
        <w:rPr>
          <w:b/>
        </w:rPr>
        <w:t>Dose maximale</w:t>
      </w:r>
      <w:r>
        <w:t xml:space="preserve"> : 25 mg/semaine (au-delà, la biodisponibilité orale diminue, préférer la voie sous-cutanée).</w:t>
      </w:r>
    </w:p>
    <w:p>
      <w:pPr>
        <w:pStyle w:val="ListBullet"/>
      </w:pPr>
      <w:r/>
      <w:r>
        <w:rPr>
          <w:b/>
        </w:rPr>
        <w:t>Voie sous-cutanée</w:t>
      </w:r>
      <w:r>
        <w:t xml:space="preserve"> : préférée à la voie orale à partir de 15 mg/semaine (biodisponibilité supérieure 90 % vs 60 % pour la voie orale, tolérance digestive meilleure). Auto-administration par le patient à domicile après éducation.</w:t>
      </w:r>
    </w:p>
    <w:p>
      <w:pPr>
        <w:pStyle w:val="ListBullet"/>
      </w:pPr>
      <w:r/>
      <w:r>
        <w:rPr>
          <w:b/>
        </w:rPr>
        <w:t>Voie intramusculaire</w:t>
      </w:r>
      <w:r>
        <w:t xml:space="preserve"> : alternative à la voie sous-cutanée, plus douloureuse mais équivalente en efficacité.</w:t>
      </w:r>
    </w:p>
    <w:p>
      <w:pPr>
        <w:pStyle w:val="ListBullet"/>
      </w:pPr>
      <w:r/>
      <w:r>
        <w:rPr>
          <w:b/>
        </w:rPr>
        <w:t>Voie intraveineuse</w:t>
      </w:r>
      <w:r>
        <w:t xml:space="preserve"> : rarement utilisée en rhumatologie (réservée à l'usage hospitalier).</w:t>
      </w:r>
    </w:p>
    <w:p>
      <w:pPr>
        <w:pStyle w:val="ListBullet"/>
      </w:pPr>
      <w:r/>
      <w:r>
        <w:rPr>
          <w:b/>
        </w:rPr>
        <w:t>Posologie en pédiatrie</w:t>
      </w:r>
      <w:r>
        <w:t xml:space="preserve"> (polyarthrite idiopathique juvénile) :</w:t>
      </w:r>
    </w:p>
    <w:p>
      <w:pPr>
        <w:pStyle w:val="ListBullet"/>
      </w:pPr>
      <w:r>
        <w:t>Dose initiale : 10 mg/m²/semaine en une prise.</w:t>
      </w:r>
    </w:p>
    <w:p>
      <w:pPr>
        <w:pStyle w:val="ListBullet"/>
      </w:pPr>
      <w:r>
        <w:t>Dose cible : 15 mg/m²/semaine.</w:t>
      </w:r>
    </w:p>
    <w:p>
      <w:pPr>
        <w:pStyle w:val="ListBullet"/>
      </w:pPr>
      <w:r>
        <w:t>Dose maximale : 25 mg/semaine.</w:t>
      </w:r>
    </w:p>
    <w:p>
      <w:pPr>
        <w:pStyle w:val="ListBullet"/>
      </w:pPr>
      <w:r/>
      <w:r>
        <w:rPr>
          <w:b/>
        </w:rPr>
        <w:t>Mode d'administration</w:t>
      </w:r>
      <w:r>
        <w:t xml:space="preserve"> : per os ou sous-cutanée, en une prise hebdomadaire unique à heure fixe. Pour la voie orale, prendre le comprimé le matin à jeun ou au cours d'un repas (l'absorption n'est pas modifiée par la prise alimentaire, mais la tolérance digestive est meilleure au cours d'un repas). Pour la voie sous-cutanée, auto-administration dans la cuisse ou l'abdomen, avec un stylo injecteur ou une seringue pré-remplie.</w:t>
      </w:r>
    </w:p>
    <w:p>
      <w:pPr>
        <w:pStyle w:val="ListBullet"/>
      </w:pPr>
      <w:r/>
      <w:r>
        <w:rPr>
          <w:b/>
        </w:rPr>
        <w:t>Supplémentation en acide folique</w:t>
      </w:r>
      <w:r>
        <w:t xml:space="preserve"> :</w:t>
      </w:r>
    </w:p>
    <w:p>
      <w:pPr>
        <w:pStyle w:val="ListBullet"/>
      </w:pPr>
      <w:r/>
      <w:r>
        <w:rPr>
          <w:b/>
        </w:rPr>
        <w:t>Acide folique 5 mg une fois par semaine</w:t>
      </w:r>
      <w:r>
        <w:t>, en alternance avec le MTX (par exemple MTX le mardi matin, acide folique le jeudi matin — à 48 heures d'intervalle).</w:t>
      </w:r>
    </w:p>
    <w:p>
      <w:pPr>
        <w:pStyle w:val="ListBullet"/>
      </w:pPr>
      <w:r>
        <w:t>Réduit de 50 % la toxicité hépatique, digestive et muqueuse sans diminuer l'efficacité rhumatologique.</w:t>
      </w:r>
    </w:p>
    <w:p>
      <w:pPr>
        <w:pStyle w:val="ListBullet"/>
      </w:pPr>
      <w:r>
        <w:t>En cas de toxicité persistante, augmenter à 5 mg × 2/semaine ou 1 mg/jour.</w:t>
      </w:r>
    </w:p>
    <w:p>
      <w:pPr>
        <w:pStyle w:val="ListBullet"/>
      </w:pPr>
      <w:r>
        <w:t>En cas de toxicité majeure (stomatite sévère, cytopénie), utiliser l'</w:t>
      </w:r>
      <w:r>
        <w:rPr>
          <w:b/>
        </w:rPr>
        <w:t>acide folinique (folinate de calcium, LEUCOVORIN)</w:t>
      </w:r>
      <w:r>
        <w:t xml:space="preserve"> 15 mg/jour pendant 3–5 jours (acide folinique = forme active du folate, antagoniste direct du MTX).</w:t>
      </w:r>
    </w:p>
    <w:p>
      <w:pPr>
        <w:pStyle w:val="ListBullet"/>
      </w:pPr>
      <w:r/>
      <w:r>
        <w:rPr>
          <w:b/>
        </w:rPr>
        <w:t>Adaptation posologique selon la fonction rénale</w:t>
      </w:r>
      <w:r>
        <w:t xml:space="preserve"> :</w:t>
      </w:r>
    </w:p>
    <w:p>
      <w:pPr>
        <w:pStyle w:val="ListBullet"/>
      </w:pPr>
      <w:r>
        <w:t>DFG &gt; 60 mL/min : dose standard</w:t>
      </w:r>
    </w:p>
    <w:p>
      <w:pPr>
        <w:pStyle w:val="ListBullet"/>
      </w:pPr>
      <w:r>
        <w:t>DFG 30–60 mL/min : réduire à 50 % de la dose standard, surveillance hebdomadaire de la créatinine</w:t>
      </w:r>
    </w:p>
    <w:p>
      <w:pPr>
        <w:pStyle w:val="ListBullet"/>
      </w:pPr>
      <w:r>
        <w:t>DFG &lt; 30 mL/min : contre-indication absolue</w:t>
      </w:r>
    </w:p>
    <w:p>
      <w:pPr>
        <w:pStyle w:val="ListBullet"/>
      </w:pPr>
      <w:r/>
      <w:r>
        <w:rPr>
          <w:b/>
        </w:rPr>
        <w:t>Adaptation posologique selon la fonction hépatique</w:t>
      </w:r>
      <w:r>
        <w:t xml:space="preserve"> : contre-indiqué en insuffisance hépatique sévère (Child-Pugh C). En cas d'insuffisance hépatique modérée, surveillance transaminases mensuelle stricte.</w:t>
      </w:r>
    </w:p>
    <w:p>
      <w:pPr>
        <w:pStyle w:val="ListBullet"/>
      </w:pPr>
      <w:r/>
      <w:r>
        <w:rPr>
          <w:b/>
        </w:rPr>
        <w:t>Durée du traitement</w:t>
      </w:r>
      <w:r>
        <w:t xml:space="preserve"> : traitement chronique au long cours (années, voire décennies), à poursuivre tant que la maladie est active. L'arrêt doit être discuté en cas de rémission complète prolongée (&gt; 2 ans), en tenant compte du risque de rechute à l'arrêt (40–60 % de rechute à 1 an).</w:t>
      </w:r>
    </w:p>
    <w:p>
      <w:pPr>
        <w:pStyle w:val="Heading4"/>
      </w:pPr>
      <w:r>
        <w:t>Formes galéniques disponibles</w:t>
      </w:r>
    </w:p>
    <w:p>
      <w:pPr>
        <w:pStyle w:val="ListBullet"/>
      </w:pPr>
      <w:r>
        <w:t>Comprimés à 2,5 mg (CYTOTREX, CIPLA) — boîte de 20 comprimés</w:t>
      </w:r>
    </w:p>
    <w:p>
      <w:pPr>
        <w:pStyle w:val="ListBullet"/>
      </w:pPr>
      <w:r>
        <w:t>Solutions injectables en seringues pré-remplies SC/IM/IV :</w:t>
      </w:r>
    </w:p>
    <w:p>
      <w:pPr>
        <w:pStyle w:val="ListBullet"/>
      </w:pPr>
      <w:r>
        <w:t>IMETH (NORDIC GROUP) — 4 seringues pré-remplies (10 mg/0,4 mL ; 15 mg/0,6 mL ; 20 mg/0,8 mL ; 25 mg/1 mL)</w:t>
      </w:r>
    </w:p>
    <w:p>
      <w:pPr>
        <w:pStyle w:val="ListBullet"/>
      </w:pPr>
      <w:r>
        <w:t>METHOTREXATE EBEWE — seringues pré-remplies à 7,5 mg/0,75 mL, 10 mg/1 mL, 15 mg/1,5 mL, 20 mg/2 mL (concentration 10 mg/mL)</w:t>
      </w:r>
    </w:p>
    <w:p>
      <w:pPr>
        <w:pStyle w:val="ListBullet"/>
      </w:pPr>
      <w:r>
        <w:t>Solutions injectables en flacons :</w:t>
      </w:r>
    </w:p>
    <w:p>
      <w:pPr>
        <w:pStyle w:val="ListBullet"/>
      </w:pPr>
      <w:r>
        <w:t>METHOTREXATE ACCORD — flacon de 2 mL (50 mg/2 mL) et flacon de 40 mL (1 000 mg/40 mL), concentration 25 mg/mL</w:t>
      </w:r>
    </w:p>
    <w:p>
      <w:pPr>
        <w:pStyle w:val="ListBullet"/>
      </w:pPr>
      <w:r/>
      <w:r>
        <w:rPr>
          <w:b/>
        </w:rPr>
        <w:t>Forme injectable à haute dose pour oncologie</w:t>
      </w:r>
      <w:r>
        <w:t xml:space="preserve"> : flacons de 500 mg, 1 000 mg, 5 g (usage hospitalier exclusif)</w:t>
      </w:r>
    </w:p>
    <w:p>
      <w:pPr>
        <w:pStyle w:val="ListBullet"/>
      </w:pPr>
      <w:r/>
      <w:r>
        <w:rPr>
          <w:b/>
        </w:rPr>
        <w:t>Forme intrathécale</w:t>
      </w:r>
      <w:r>
        <w:t xml:space="preserve"> : usage hospitalier exclusif (leucémie méninogée)</w:t>
      </w:r>
    </w:p>
    <w:p>
      <w:pPr>
        <w:pStyle w:val="ListBullet"/>
      </w:pPr>
      <w:r/>
      <w:r>
        <w:rPr>
          <w:b/>
        </w:rPr>
        <w:t>Forme pédiatrique</w:t>
      </w:r>
      <w:r>
        <w:t xml:space="preserve"> : sirop ou suspension buvable — non disponible en Algérie, accessible en France (MÉTHOTREXATE BELGOTHIC solution buvable 2 mg/mL)</w:t>
      </w:r>
    </w:p>
    <w:p>
      <w:pPr>
        <w:pStyle w:val="ListBullet"/>
      </w:pPr>
      <w:r/>
      <w:r>
        <w:rPr>
          <w:b/>
        </w:rPr>
        <w:t>Forme à libération prolongée</w:t>
      </w:r>
      <w:r>
        <w:t xml:space="preserve"> : non disponible</w:t>
      </w:r>
    </w:p>
    <w:p>
      <w:pPr>
        <w:pStyle w:val="ListBullet"/>
      </w:pPr>
      <w:r>
        <w:t>Conservation : à température ≤ 25°C, à l'abri de la lumière et de l'humidité, dans l'emballage extérieur d'origine. Durée de validité : 3 ans. Ne pas congeler la solution injectable.</w:t>
      </w:r>
    </w:p>
    <w:p>
      <w:pPr>
        <w:pStyle w:val="Heading4"/>
      </w:pPr>
      <w:r>
        <w:t>Conseils au patient</w:t>
      </w:r>
    </w:p>
    <w:p>
      <w:pPr>
        <w:pStyle w:val="ListBullet"/>
      </w:pPr>
      <w:r/>
      <w:r>
        <w:rPr>
          <w:b/>
        </w:rPr>
        <w:t>Information sur le caractère hebdomadaire UNIQUE</w:t>
      </w:r>
      <w:r>
        <w:t xml:space="preserve"> du traitement : le méthotrexate se prend </w:t>
      </w:r>
      <w:r>
        <w:rPr>
          <w:b/>
        </w:rPr>
        <w:t>UNE FOIS PAR SEMAINE</w:t>
      </w:r>
      <w:r>
        <w:t xml:space="preserve"> à heure fixe, par exemple le mardi matin. Ne JAMAIS prendre le méthotrexate tous les jours. Le pharmacien doit insister sur ce point, faire répéter au patient, et inscrire « UNE FOIS PAR SEMAINE » en caractères gras sur l'ordonnance et sur la boîte.</w:t>
      </w:r>
    </w:p>
    <w:p>
      <w:pPr>
        <w:pStyle w:val="ListBullet"/>
      </w:pPr>
      <w:r/>
      <w:r>
        <w:rPr>
          <w:b/>
        </w:rPr>
        <w:t>Information sur le caractère chronique et retardé du traitement</w:t>
      </w:r>
      <w:r>
        <w:t xml:space="preserve"> : le méthotrexate ne soulage pas immédiatement les symptômes (délai d'action 4–8 semaines), il prévient la destruction articulaire. Ne pas arrêter en cas d'absence d'effet initial.</w:t>
      </w:r>
    </w:p>
    <w:p>
      <w:pPr>
        <w:pStyle w:val="ListBullet"/>
      </w:pPr>
      <w:r/>
      <w:r>
        <w:rPr>
          <w:b/>
        </w:rPr>
        <w:t>Supplémentation en acide folique obligatoire</w:t>
      </w:r>
      <w:r>
        <w:t xml:space="preserve"> : prendre 5 mg d'acide folique une fois par semaine à J+1 ou J+2 de la prise de méthotrexate (par exemple MTX le mardi, acide folique le jeudi). Ne pas prendre l'acide folique le même jour que le MTX (risque de diminution de l'efficacité).</w:t>
      </w:r>
    </w:p>
    <w:p>
      <w:pPr>
        <w:pStyle w:val="ListBullet"/>
      </w:pPr>
      <w:r/>
      <w:r>
        <w:rPr>
          <w:b/>
        </w:rPr>
        <w:t>Surveillance biologique mensuelle</w:t>
      </w:r>
      <w:r>
        <w:t xml:space="preserve"> pendant les 6 premiers mois puis trimestrielle : NFS, plaquettes, ALAT, ASAT, créatinine. Le patient doit se rendre au laboratoire sans nécessité d'être à jeun.</w:t>
      </w:r>
    </w:p>
    <w:p>
      <w:pPr>
        <w:pStyle w:val="ListBullet"/>
      </w:pPr>
      <w:r/>
      <w:r>
        <w:rPr>
          <w:b/>
        </w:rPr>
        <w:t>Éducation aux signes d'alerte</w:t>
      </w:r>
      <w:r>
        <w:t xml:space="preserve"> nécessitant un avis médical urgent : fièvre &gt; 38°C, angine, aphtes buccaux multiples, hématomes spontanés, saignements (gingivorragies, épistaxis, méléna), toux sèche persistante plus de 7 jours, dyspnée d'effort inexpliquée, ictère, urines foncées, selles décolorées.</w:t>
      </w:r>
    </w:p>
    <w:p>
      <w:pPr>
        <w:pStyle w:val="ListBullet"/>
      </w:pPr>
      <w:r/>
      <w:r>
        <w:rPr>
          <w:b/>
        </w:rPr>
        <w:t>Vaccination</w:t>
      </w:r>
      <w:r>
        <w:t xml:space="preserve"> : mettre à jour les vaccins inactivés (grippe saisonnière annuelle, pneumocoque tous les 5 ans, COVID-19, hépatite B, tétanos) avant l'initiation ou pendant le traitement. Éviter les vaccins vivants atténués pendant le traitement et 3 mois après l'arrêt.</w:t>
      </w:r>
    </w:p>
    <w:p>
      <w:pPr>
        <w:pStyle w:val="ListBullet"/>
      </w:pPr>
      <w:r/>
      <w:r>
        <w:rPr>
          <w:b/>
        </w:rPr>
        <w:t>Éviter la consommation d'alcool</w:t>
      </w:r>
      <w:r>
        <w:t xml:space="preserve"> (hépatotoxicité additive). Si consommation ponctuelle, ne pas dépasser 2 verres/jour pour les femmes, 3 verres/jour pour les hommes, et espacer les prises.</w:t>
      </w:r>
    </w:p>
    <w:p>
      <w:pPr>
        <w:pStyle w:val="ListBullet"/>
      </w:pPr>
      <w:r/>
      <w:r>
        <w:rPr>
          <w:b/>
        </w:rPr>
        <w:t>Grossesse et contraception</w:t>
      </w:r>
      <w:r>
        <w:t xml:space="preserve"> : en cas de désir de grossesse, arrêter le MTX 6 mois à l'avance (femme) ou 3 mois à l'avance (homme) et consulter le rhumatologue pour substitution par un autre DMARD compatible (hydroxychloroquine, azathioprine). Contraception rigoureuse obligatoire (deux méthodes complémentaires) pendant le traitement et 6 mois après l'arrêt (3 mois pour les hommes).</w:t>
      </w:r>
    </w:p>
    <w:p>
      <w:pPr>
        <w:pStyle w:val="ListBullet"/>
      </w:pPr>
      <w:r/>
      <w:r>
        <w:rPr>
          <w:b/>
        </w:rPr>
        <w:t>Éviter l'automédication</w:t>
      </w:r>
      <w:r>
        <w:t xml:space="preserve"> : signaler tout nouveau médicament au médecin et au pharmacien d'officine, en particulier les antibiotiques (cotrimoxazole = CONTRE-INDICATION FORMELLE), les AINS à forte dose, l'aspirine à dose anti-inflammatoire, l'allopurinol. Pour une douleur ou de la fièvre, préférer le paracétamol à dose maximale 3 g/jour.</w:t>
      </w:r>
    </w:p>
    <w:p>
      <w:pPr>
        <w:pStyle w:val="ListBullet"/>
      </w:pPr>
      <w:r/>
      <w:r>
        <w:rPr>
          <w:b/>
        </w:rPr>
        <w:t>Hygiène alimentaire</w:t>
      </w:r>
      <w:r>
        <w:t xml:space="preserve"> : éviter la consommation de viandes crues ou peu cuites, de produits laitiers non pasteurisés (risque de toxoplasmose, de listériose, de salmonellose aggravées par l'immunodépression).</w:t>
      </w:r>
    </w:p>
    <w:p>
      <w:pPr>
        <w:pStyle w:val="ListBullet"/>
      </w:pPr>
      <w:r/>
      <w:r>
        <w:rPr>
          <w:b/>
        </w:rPr>
        <w:t>Hygiène cutanée</w:t>
      </w:r>
      <w:r>
        <w:t xml:space="preserve"> : en cas d'alopécie (transitoire et régressive), éviter les traumatismes capillaires. Signaler toute éruption cutanée.</w:t>
      </w:r>
    </w:p>
    <w:p>
      <w:pPr>
        <w:pStyle w:val="ListBullet"/>
      </w:pPr>
      <w:r/>
      <w:r>
        <w:rPr>
          <w:b/>
        </w:rPr>
        <w:t>Auto-administration sous-cutanée</w:t>
      </w:r>
      <w:r>
        <w:t xml:space="preserve"> (si voie SC) : éducation à l'auto-administration par une infirmière (technique d'injection, rotation des sites d'injection, gestion des déchets, conservation au réfrigérateur).</w:t>
      </w:r>
    </w:p>
    <w:p>
      <w:pPr>
        <w:pStyle w:val="Heading4"/>
      </w:pPr>
      <w:r>
        <w:t>Pièges du comptoir</w:t>
      </w:r>
    </w:p>
    <w:p>
      <w:pPr>
        <w:pStyle w:val="ListNumber"/>
      </w:pPr>
      <w:r/>
      <w:r>
        <w:rPr>
          <w:b/>
        </w:rPr>
        <w:t>Erreur d'administration quotidienne au lieu d'hebdomadaire</w:t>
      </w:r>
      <w:r>
        <w:t xml:space="preserve"> : piège majeur potentiellement létal. Le pharmacien doit </w:t>
      </w:r>
      <w:r>
        <w:rPr>
          <w:b/>
        </w:rPr>
        <w:t>insister sur la modalité hebdomadaire</w:t>
      </w:r>
      <w:r>
        <w:t>, faire répéter au patient, inscrire « UNE FOIS PAR SEMAINE » sur l'ordonnance et sur la boîte. En cas de doute, appeler le prescripteur pour confirmation.</w:t>
      </w:r>
    </w:p>
    <w:p>
      <w:pPr>
        <w:pStyle w:val="ListNumber"/>
      </w:pPr>
      <w:r/>
      <w:r>
        <w:rPr>
          <w:b/>
        </w:rPr>
        <w:t>Oubli de la supplémentation en acide folique</w:t>
      </w:r>
      <w:r>
        <w:t xml:space="preserve"> : le pharmacien doit vérifier que l'acide folique est prescrit en association, et si ce n'est pas le cas, alerter le prescripteur. La supplémentation réduit de 50 % la toxicité sans diminuer l'efficacité.</w:t>
      </w:r>
    </w:p>
    <w:p>
      <w:pPr>
        <w:pStyle w:val="ListNumber"/>
      </w:pPr>
      <w:r/>
      <w:r>
        <w:rPr>
          <w:b/>
        </w:rPr>
        <w:t>Coprescription avec cotrimoxazole (BACTRIM)</w:t>
      </w:r>
      <w:r>
        <w:t xml:space="preserve"> : contre-indication formelle. Le pharmacien doit refuser la dispensation simultanée et contacter le prescripteur pour substitution (amoxicilline, céphalosporine, pristinamycine, nitrofurantoïne).</w:t>
      </w:r>
    </w:p>
    <w:p>
      <w:pPr>
        <w:pStyle w:val="ListNumber"/>
      </w:pPr>
      <w:r/>
      <w:r>
        <w:rPr>
          <w:b/>
        </w:rPr>
        <w:t>Coprescription avec un AINS à forte dose</w:t>
      </w:r>
      <w:r>
        <w:t xml:space="preserve"> : surveillance NFS et créatinine. Préférer le paracétamol pour l'analgésie.</w:t>
      </w:r>
    </w:p>
    <w:p>
      <w:pPr>
        <w:pStyle w:val="ListNumber"/>
      </w:pPr>
      <w:r/>
      <w:r>
        <w:rPr>
          <w:b/>
        </w:rPr>
        <w:t>Initiation chez un insuffisant rénal non dépisté</w:t>
      </w:r>
      <w:r>
        <w:t xml:space="preserve"> : le pharmacien doit vérifier que la créatinine a été dosée dans le mois précédent la dispensation. En cas d'absence de résultat, alerter le prescripteur.</w:t>
      </w:r>
    </w:p>
    <w:p>
      <w:pPr>
        <w:pStyle w:val="ListNumber"/>
      </w:pPr>
      <w:r/>
      <w:r>
        <w:rPr>
          <w:b/>
        </w:rPr>
        <w:t>Confusion entre comprimés à 2,5 mg et comprimés à 10 mg (oncologiques)</w:t>
      </w:r>
      <w:r>
        <w:t xml:space="preserve"> : les comprimés oncologiques à 10 mg ne sont plus commercialisés en Algérie (LEDERTREXATE non renouvelé), mais une confusion reste possible. Vérifier le dosage à chaque dispensation.</w:t>
      </w:r>
    </w:p>
    <w:p>
      <w:pPr>
        <w:pStyle w:val="ListNumber"/>
      </w:pPr>
      <w:r/>
      <w:r>
        <w:rPr>
          <w:b/>
        </w:rPr>
        <w:t>Voie orale à dose &gt; 15 mg/semaine</w:t>
      </w:r>
      <w:r>
        <w:t xml:space="preserve"> : à partir de 15 mg/semaine, préférer la voie sous-cutanée (biodisponibilité supérieure, tolérance digestive meilleure). Le pharmacien doit alerter le prescripteur si la voie orale est poursuivie à forte dose.</w:t>
      </w:r>
    </w:p>
    <w:p>
      <w:pPr>
        <w:pStyle w:val="ListNumber"/>
      </w:pPr>
      <w:r/>
      <w:r>
        <w:rPr>
          <w:b/>
        </w:rPr>
        <w:t>Grossesse non planifiée</w:t>
      </w:r>
      <w:r>
        <w:t xml:space="preserve"> : en cas de suspicion de grossesse sous MTX, arrêter immédiatement, faire un test beta-hCG, consulter en urgence le gynéco-obstétricien et le rhumatologue pour discussion d'une interruption médicale de grossesse.</w:t>
      </w:r>
    </w:p>
    <w:p>
      <w:pPr>
        <w:pStyle w:val="ListNumber"/>
      </w:pPr>
      <w:r/>
      <w:r>
        <w:rPr>
          <w:b/>
        </w:rPr>
        <w:t>Pneumopathie banalisée en « bronchite »</w:t>
      </w:r>
      <w:r>
        <w:t xml:space="preserve"> : une toux sèche persistante plus de 7 jours, une dyspnée d'effort, une fièvre doivent faire évoquer une pneumopathie à méthotrexate et non une banale bronchite. Arrêt immédiat, scanner thoracique.</w:t>
      </w:r>
    </w:p>
    <w:p>
      <w:pPr>
        <w:pStyle w:val="ListNumber"/>
      </w:pPr>
      <w:r/>
      <w:r>
        <w:rPr>
          <w:b/>
        </w:rPr>
        <w:t>Vaccin vivant atténué prescrit par erreur</w:t>
      </w:r>
      <w:r>
        <w:t xml:space="preserve"> : refuser la dispensation, contacter le prescripteur pour substitution par un vaccin inactivé ou respecter un délai de 3 mois après l'arrêt du MTX pour les vaccins vivants.</w:t>
      </w:r>
    </w:p>
    <w:p>
      <w:pPr>
        <w:pStyle w:val="ListNumber"/>
      </w:pPr>
      <w:r/>
      <w:r>
        <w:rPr>
          <w:b/>
        </w:rPr>
        <w:t>Initiation chez un patient alcoolique chronique</w:t>
      </w:r>
      <w:r>
        <w:t xml:space="preserve"> : alerter le prescripteur (hépatotoxicité additive majeure, risque de cirrhose rapide).</w:t>
      </w:r>
    </w:p>
    <w:p>
      <w:pPr>
        <w:pStyle w:val="ListNumber"/>
      </w:pPr>
      <w:r/>
      <w:r>
        <w:rPr>
          <w:b/>
        </w:rPr>
        <w:t>Coprescription avec probénécide, pénicilline à forte dose, ciprofloxacine</w:t>
      </w:r>
      <w:r>
        <w:t xml:space="preserve"> : surveillance des concentrations de MTX, ajustement posologique.</w:t>
      </w:r>
    </w:p>
    <w:p>
      <w:pPr>
        <w:pStyle w:val="ListNumber"/>
      </w:pPr>
      <w:r/>
      <w:r>
        <w:rPr>
          <w:b/>
        </w:rPr>
        <w:t>Oubli de la contraception chez une femme en âge de procréer</w:t>
      </w:r>
      <w:r>
        <w:t xml:space="preserve"> : vérifier systématiquement la contraception avant dispensation. En cas de doute, adresser au rhumatologue pour substitution.</w:t>
      </w:r>
    </w:p>
    <w:p>
      <w:pPr>
        <w:pStyle w:val="ListNumber"/>
      </w:pPr>
      <w:r/>
      <w:r>
        <w:rPr>
          <w:b/>
        </w:rPr>
        <w:t>Switch de marque sans surveillance</w:t>
      </w:r>
      <w:r>
        <w:t xml:space="preserve"> : le passage d'une marque à une autre peut modifier la tolérance digestive. Surveiller la tolérance dans les 2 semaines suivant le switch.</w:t>
      </w:r>
    </w:p>
    <w:p>
      <w:pPr>
        <w:pStyle w:val="Heading2"/>
      </w:pPr>
      <w:r>
        <w:t>151.7 Sous-classe : DMARD synthétiques — Sulfamides anti-inflammatoires</w:t>
      </w:r>
    </w:p>
    <w:p>
      <w:pPr>
        <w:pStyle w:val="Heading3"/>
      </w:pPr>
      <w:r>
        <w:t>151.7.1 Généralités de la sous-classe</w:t>
      </w:r>
    </w:p>
    <w:p>
      <w:r>
        <w:t xml:space="preserve">Les sulfamides anti-inflammatoires regroupent des molécules apparentées au sulfanilamide, structure chimique à l'origine de la première classe d'antibiotiques systémiques (protosil, sulfamidochrysoïdine, Gerhard Domagk, 1935, prix Nobel 1939). Au sein de cette famille, la </w:t>
      </w:r>
      <w:r>
        <w:rPr>
          <w:b/>
        </w:rPr>
        <w:t>sulfasalazine</w:t>
      </w:r>
      <w:r>
        <w:t xml:space="preserve"> (salazosulfapyridine, SALAZOPYRIN) a été développée dans les années 1940 par le rheumatologist suédois Nanna Svartz (1942) pour le traitement de la polyarthrite rhumatoïde et de la maladie inflammatoire chronique de l'intestin. C'est l'une des plus anciennes molécules DMARD encore en usage clinique.</w:t>
      </w:r>
    </w:p>
    <w:p>
      <w:r>
        <w:t xml:space="preserve">La sulfasalazine est une </w:t>
      </w:r>
      <w:r>
        <w:rPr>
          <w:b/>
        </w:rPr>
        <w:t>molécule combinée</w:t>
      </w:r>
      <w:r>
        <w:t xml:space="preserve"> résultant de la liaison azoïque entre une molécule de </w:t>
      </w:r>
      <w:r>
        <w:rPr>
          <w:b/>
        </w:rPr>
        <w:t>sulfapyridine</w:t>
      </w:r>
      <w:r>
        <w:t xml:space="preserve"> (sulfamide antibactérien) et une molécule d'</w:t>
      </w:r>
      <w:r>
        <w:rPr>
          <w:b/>
        </w:rPr>
        <w:t>acide 5-aminosalicylique (5-ASA, mésalazine)</w:t>
      </w:r>
      <w:r>
        <w:t xml:space="preserve">. Cette liaison azoïque (N=N) est stable dans l'estomac et le grêle proximal, mais est clivée par les </w:t>
      </w:r>
      <w:r>
        <w:rPr>
          <w:b/>
        </w:rPr>
        <w:t>azo-réductases bactériennes</w:t>
      </w:r>
      <w:r>
        <w:t xml:space="preserve"> du côlon (microflore colique) en deux métabolites actifs : la </w:t>
      </w:r>
      <w:r>
        <w:rPr>
          <w:b/>
        </w:rPr>
        <w:t>sulfapyridine</w:t>
      </w:r>
      <w:r>
        <w:t xml:space="preserve"> (absorbée au niveau colique, métabolisée hépatiquement) et le </w:t>
      </w:r>
      <w:r>
        <w:rPr>
          <w:b/>
        </w:rPr>
        <w:t>5-ASA</w:t>
      </w:r>
      <w:r>
        <w:t xml:space="preserve"> (reste principalement dans la lumière colique, exerce un effet anti-inflammatoire local). Cette prodrogue a été conçue pour cibler spécifiquement le côlon (maladie inflammatoire chronique de l'intestin) et les articulations (par diffusion systémique de la sulfapyridine et du 5-ASA).</w:t>
      </w:r>
    </w:p>
    <w:p>
      <w:r>
        <w:t xml:space="preserve">Le mécanisme d'action précis de la sulfasalazine en rhumatologie reste partiellement élucidé. Les hypothèses principales sont : (i) </w:t>
      </w:r>
      <w:r>
        <w:rPr>
          <w:b/>
        </w:rPr>
        <w:t>inhibition de la production cytokinique</w:t>
      </w:r>
      <w:r>
        <w:t xml:space="preserve"> (IL-1, IL-6, TNFα) par les monocytes/macrophages, (ii) </w:t>
      </w:r>
      <w:r>
        <w:rPr>
          <w:b/>
        </w:rPr>
        <w:t>inhibition de la cyclo-oxygénase et de la 5-lipoxygénase</w:t>
      </w:r>
      <w:r>
        <w:t xml:space="preserve"> (réduction de la production de prostaglandines et de leucotriènes), (iii) </w:t>
      </w:r>
      <w:r>
        <w:rPr>
          <w:b/>
        </w:rPr>
        <w:t>inhibition du chimiotactisme neutrophile</w:t>
      </w:r>
      <w:r>
        <w:t xml:space="preserve"> (réduction de la migration des polynucléaires vers les sites inflammatoires), (iv) </w:t>
      </w:r>
      <w:r>
        <w:rPr>
          <w:b/>
        </w:rPr>
        <w:t>modulation du métabolisme de l'acide folique</w:t>
      </w:r>
      <w:r>
        <w:t xml:space="preserve"> (la sulfasalazine est un inhibiteur de la dihydrofolate réductase bactérienne et humaine à concentrations modérées), (v) </w:t>
      </w:r>
      <w:r>
        <w:rPr>
          <w:b/>
        </w:rPr>
        <w:t>réduction de l'expression du facteur nucléaire NF-κB</w:t>
      </w:r>
      <w:r>
        <w:t xml:space="preserve"> dans les cellules synoviales, et (vi) </w:t>
      </w:r>
      <w:r>
        <w:rPr>
          <w:b/>
        </w:rPr>
        <w:t>inhibition de l'expression des molécules d'adhésion</w:t>
      </w:r>
      <w:r>
        <w:t xml:space="preserve"> (ICAM-1, VCAM-1) sur l'endothélium vasculaire.</w:t>
      </w:r>
    </w:p>
    <w:p>
      <w:r>
        <w:t xml:space="preserve">Historiquement, la sulfasalazine a longtemps été le DMARD de référence dans la polyarthrite rhumatoïde avant d'être supplantée par le méthotrexate dans les années 1980–1990. Ses indications rhumatologiques modernes sont : la </w:t>
      </w:r>
      <w:r>
        <w:rPr>
          <w:b/>
        </w:rPr>
        <w:t>spondyloarthrite axiale</w:t>
      </w:r>
      <w:r>
        <w:t xml:space="preserve"> (rhumatisme axial spondyloarthritique, ASAS classification 2009) en cas d'échec ou de contre-indication aux AINS, le </w:t>
      </w:r>
      <w:r>
        <w:rPr>
          <w:b/>
        </w:rPr>
        <w:t>rhumatisme psoriasique</w:t>
      </w:r>
      <w:r>
        <w:t xml:space="preserve"> (atteinte articulaire périphérique), la </w:t>
      </w:r>
      <w:r>
        <w:rPr>
          <w:b/>
        </w:rPr>
        <w:t>polyarthrite rhumatoïde</w:t>
      </w:r>
      <w:r>
        <w:t xml:space="preserve"> (en alternative ou en association au méthotrexate), les </w:t>
      </w:r>
      <w:r>
        <w:rPr>
          <w:b/>
        </w:rPr>
        <w:t>arthrites réactionnelles</w:t>
      </w:r>
      <w:r>
        <w:t xml:space="preserve"> (post-infectieuses à Chlamydia, Salmonella, Shigella, Yersinia, Campylobacter), et les </w:t>
      </w:r>
      <w:r>
        <w:rPr>
          <w:b/>
        </w:rPr>
        <w:t>maladies inflammatoires chroniques de l'intestin</w:t>
      </w:r>
      <w:r>
        <w:t xml:space="preserve"> (rectocolite hémorragique, maladie de Crohn colique). Son profil de tolérance est globalement bon (à l'exception de la toxicité hématologique et de l'intolérance digestive), et son faible coût en fait une option accessible.</w:t>
      </w:r>
    </w:p>
    <w:p>
      <w:r>
        <w:t xml:space="preserve">Le marché algérien de la sulfasalazine est </w:t>
      </w:r>
      <w:r>
        <w:rPr>
          <w:b/>
        </w:rPr>
        <w:t>extrêmement préoccupant</w:t>
      </w:r>
      <w:r>
        <w:t xml:space="preserve"> : à l'heure actuelle, </w:t>
      </w:r>
      <w:r>
        <w:rPr>
          <w:b/>
        </w:rPr>
        <w:t>aucune spécialité active n'est disponible sur le territoire algérien</w:t>
      </w:r>
      <w:r>
        <w:t xml:space="preserve">. L'unique spécialité historique, SALAZOPYRIN EN 500 mg (PHARMACIA UPJOHN, comprimés enrobés), est </w:t>
      </w:r>
      <w:r>
        <w:rPr>
          <w:b/>
        </w:rPr>
        <w:t>non renouvelée</w:t>
      </w:r>
      <w:r>
        <w:t xml:space="preserve"> dans la nomenclature Avril 2026, ce qui signifie que son autorisation de mise sur le marché est expirée et qu'elle n'est plus commercialisée. Cette situation pose un </w:t>
      </w:r>
      <w:r>
        <w:rPr>
          <w:b/>
        </w:rPr>
        <w:t>problème majeur d'accès thérapeutique</w:t>
      </w:r>
      <w:r>
        <w:t xml:space="preserve"> pour les patients algériens atteints de spondyloarthrites (où la sulfasalazine reste un traitement de référence recommandé par EULAR/ASAS) et de rhumatismes psoriasiques. Les alternatives locales sont limitées au méthotrexate (PR, rhumatisme psoriasique) et aux AINS (spondyloarthrites), mais la sulfasalazine reste un pilier thérapeutique international non substituable dans certaines indications.</w:t>
      </w:r>
    </w:p>
    <w:p>
      <w:pPr>
        <w:pStyle w:val="Heading3"/>
      </w:pPr>
      <w:r>
        <w:t>151.7.2 Sulfasalazine (usage rhumatologique)</w:t>
      </w:r>
    </w:p>
    <w:p>
      <w:pPr>
        <w:pStyle w:val="Heading4"/>
      </w:pPr>
      <w:r>
        <w:t>Liste des catégories</w:t>
      </w:r>
    </w:p>
    <w:p>
      <w:pPr>
        <w:pStyle w:val="ListBullet"/>
      </w:pPr>
      <w:r>
        <w:t xml:space="preserve">ATC : A07EC01 (sulfasalazine) — </w:t>
      </w:r>
      <w:r>
        <w:rPr>
          <w:b/>
        </w:rPr>
        <w:t>Anti-inflammatoires intestinaux</w:t>
      </w:r>
      <w:r/>
    </w:p>
    <w:p>
      <w:pPr>
        <w:pStyle w:val="ListBullet"/>
      </w:pPr>
      <w:r>
        <w:t>Classe thérapeutique : DMARD synthétique, sulfamide anti-inflammatoire, immunomodulateur</w:t>
      </w:r>
    </w:p>
    <w:p>
      <w:pPr>
        <w:pStyle w:val="ListBullet"/>
      </w:pPr>
      <w:r>
        <w:t>Réglementation algérienne : non déterminée (spécialité non renouvelée, plus commercialisée en Algérie)</w:t>
      </w:r>
    </w:p>
    <w:p>
      <w:pPr>
        <w:pStyle w:val="ListBullet"/>
      </w:pPr>
      <w:r>
        <w:t>Liste des stupéfiants : non applicable</w:t>
      </w:r>
    </w:p>
    <w:p>
      <w:pPr>
        <w:pStyle w:val="ListBullet"/>
      </w:pPr>
      <w:r>
        <w:t xml:space="preserve">Statut grossesse : </w:t>
      </w:r>
      <w:r>
        <w:rPr>
          <w:b/>
        </w:rPr>
        <w:t>Possible (catégorie B modérée)</w:t>
      </w:r>
      <w:r>
        <w:t xml:space="preserve"> — à éviter au 3e trimestre (risque d'ictère nucléaire par déplacement de la bilirubine), Compatible avec l'allaitement (à dose modérée ≤ 2 g/jour)</w:t>
      </w:r>
    </w:p>
    <w:p>
      <w:pPr>
        <w:pStyle w:val="ListBullet"/>
      </w:pPr>
      <w:r>
        <w:t>Disponibilité Algérie : 0 spécialité active + 1 non renouvelée (SALAZOPYRIN EN 500 mg, PHARMACIA UPJOHN)</w:t>
      </w:r>
    </w:p>
    <w:p>
      <w:pPr>
        <w:pStyle w:val="Heading4"/>
      </w:pPr>
      <w:r>
        <w:t>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SALAZOPYRIN EN (NR)</w:t>
            </w:r>
          </w:p>
        </w:tc>
        <w:tc>
          <w:tcPr>
            <w:tcW w:type="dxa" w:w="1559"/>
          </w:tcPr>
          <w:p>
            <w:r>
              <w:rPr>
                <w:sz w:val="20"/>
              </w:rPr>
              <w:t>PHARMACIA UPJOHN</w:t>
            </w:r>
          </w:p>
        </w:tc>
        <w:tc>
          <w:tcPr>
            <w:tcW w:type="dxa" w:w="1559"/>
          </w:tcPr>
          <w:p>
            <w:r>
              <w:rPr>
                <w:sz w:val="20"/>
              </w:rPr>
              <w:t>Comprimé enrobé — 500 mg</w:t>
            </w:r>
          </w:p>
        </w:tc>
        <w:tc>
          <w:tcPr>
            <w:tcW w:type="dxa" w:w="1559"/>
          </w:tcPr>
          <w:p>
            <w:r>
              <w:rPr>
                <w:sz w:val="20"/>
              </w:rPr>
              <w:t>B/100</w:t>
            </w:r>
          </w:p>
        </w:tc>
        <w:tc>
          <w:tcPr>
            <w:tcW w:type="dxa" w:w="1559"/>
          </w:tcPr>
          <w:p>
            <w:r>
              <w:rPr>
                <w:sz w:val="20"/>
              </w:rPr>
              <w:t>—</w:t>
            </w:r>
          </w:p>
        </w:tc>
        <w:tc>
          <w:tcPr>
            <w:tcW w:type="dxa" w:w="1559"/>
          </w:tcPr>
          <w:p>
            <w:r>
              <w:rPr>
                <w:sz w:val="20"/>
              </w:rPr>
              <w:t>NON_RENOUVELABLE</w:t>
            </w:r>
          </w:p>
        </w:tc>
      </w:tr>
    </w:tbl>
    <w:p/>
    <w:p>
      <w:r/>
      <w:r>
        <w:rPr>
          <w:b/>
        </w:rPr>
        <w:t>Signal d'alerte majeur</w:t>
      </w:r>
      <w:r>
        <w:t xml:space="preserve"> : à l'heure de la rédaction de ce chapitre (Avril 2026), </w:t>
      </w:r>
      <w:r>
        <w:rPr>
          <w:b/>
        </w:rPr>
        <w:t>aucune sulfasalazine n'est disponible sur le marché algérien actif</w:t>
      </w:r>
      <w:r>
        <w:t xml:space="preserve">. L'unique spécialité historique SALAZOPYRIN EN 500 mg (PHARMACIA UPJOHN, laboratoire américain absorbé par PFIZER) est </w:t>
      </w:r>
      <w:r>
        <w:rPr>
          <w:b/>
        </w:rPr>
        <w:t>non renouvelée</w:t>
      </w:r>
      <w:r>
        <w:t xml:space="preserve"> dans la nomenclature, ce qui signifie que son AMM a expiré et qu'elle n'est plus commercialisée en Algérie. Cette situation pose un problème d'accès thérapeutique majeur pour les patients atteints de spondyloarthrites (où la sulfasalazine est recommandée en deuxième ligne après échec des AINS par EULAR/ASAS 2022) et de rhumatismes psoriasiques périphériques. Les alternatives sont : (i) le méthotrexate (indication différente, principalement PR et rhumatisme psoriasique), (ii) les biothérapies anti-TNFα (étanercept, adalimumab) qui sont coûteuses et nécessitent une prise en charge spécialisée, (iii) les AINS à dose maximale (qui peuvent contrôler partiellement la symptomatique mais n'ont pas d'effet structural), (iv) la </w:t>
      </w:r>
      <w:r>
        <w:rPr>
          <w:b/>
        </w:rPr>
        <w:t>procédure d'importation exceptionnelle</w:t>
      </w:r>
      <w:r>
        <w:t xml:space="preserve"> via le ministère de la Santé (à l'initiative du médecin prescripteur, sur autorisation spéciale), (v) l'</w:t>
      </w:r>
      <w:r>
        <w:rPr>
          <w:b/>
        </w:rPr>
        <w:t>achat à l'étranger</w:t>
      </w:r>
      <w:r>
        <w:t xml:space="preserve"> (France, Tunisie, Maroc) pour les patients disposant de moyens financiers. Le pharmacien d'officine doit informer le patient de cette indisponibilité et orienter vers le rhumatologue pour discussion des alternatives.</w:t>
      </w:r>
    </w:p>
    <w:p>
      <w:pPr>
        <w:pStyle w:val="Heading4"/>
      </w:pPr>
      <w:r>
        <w:t>Mécanisme d'action détaillé</w:t>
      </w:r>
    </w:p>
    <w:p>
      <w:r>
        <w:t xml:space="preserve">La sulfasalazine (salazosulfapyridine, 5-[4-(2-sulfanilylamino)pyridyl] azosalicylic acid, PM 398 Da) est une </w:t>
      </w:r>
      <w:r>
        <w:rPr>
          <w:b/>
        </w:rPr>
        <w:t>prodrogue</w:t>
      </w:r>
      <w:r>
        <w:t xml:space="preserve"> résultant de la liaison azoïque (-N=N-) entre une molécule de </w:t>
      </w:r>
      <w:r>
        <w:rPr>
          <w:b/>
        </w:rPr>
        <w:t>sulfapyridine</w:t>
      </w:r>
      <w:r>
        <w:t xml:space="preserve"> (sulfamide antibactérien de la famille des sulfamides) et une molécule d'</w:t>
      </w:r>
      <w:r>
        <w:rPr>
          <w:b/>
        </w:rPr>
        <w:t>acide 5-aminosalicylique (5-ASA, mésalazine)</w:t>
      </w:r>
      <w:r>
        <w:t xml:space="preserve">. Cette liaison azoïque est stable dans l'estomac (pH acide) et le grêle proximal, mais est </w:t>
      </w:r>
      <w:r>
        <w:rPr>
          <w:b/>
        </w:rPr>
        <w:t>clivée par les azo-réductases bactériennes</w:t>
      </w:r>
      <w:r>
        <w:t xml:space="preserve"> de la flore colique (principalement Bacteroides, Clostridium, Eubacterium) en deux métabolites : la sulfapyridine (absorbée au niveau colique, métabolisée hépatiquement par acétylation puis glucuronoconjugaison) et le 5-ASA (reste principalement dans la lumière colique, exerce un effet anti-inflammatoire local et est partiellement acétylé en N-acétyl-5-ASA qui est éliminé dans les selles).</w:t>
      </w:r>
    </w:p>
    <w:p>
      <w:r>
        <w:t>Le mécanisme d'action précis de la sulfasalazine en rhumatologie reste partiellement élucidé, mais plusieurs hypothèses complémentaires ont été proposées :</w:t>
      </w:r>
    </w:p>
    <w:p>
      <w:pPr>
        <w:pStyle w:val="ListNumber"/>
      </w:pPr>
      <w:r/>
      <w:r>
        <w:rPr>
          <w:b/>
        </w:rPr>
        <w:t>Inhibition de la production cytokinique</w:t>
      </w:r>
      <w:r>
        <w:t xml:space="preserve"> : la sulfasalazine inhibe la production d'IL-1, IL-6, IL-12, TNFα par les monocytes/macrophages en bloquant la signalisation NF-κB (inhibition de la phosphorylation de IκBα et de la dégradation du complexe NF-κB/IκBα). Cet effet est particulièrement marqué dans les cellules synoviales rhumatoïdes.</w:t>
      </w:r>
    </w:p>
    <w:p>
      <w:pPr>
        <w:pStyle w:val="ListNumber"/>
      </w:pPr>
      <w:r/>
      <w:r>
        <w:rPr>
          <w:b/>
        </w:rPr>
        <w:t>Inhibition de la cyclo-oxygénase et de la 5-lipoxygénase</w:t>
      </w:r>
      <w:r>
        <w:t xml:space="preserve"> : la sulfasalazine inhibe de façon non sélective les COX-1 et COX-2 (réduction de la production de prostaglandines PGE2, PGI2, TXA2) et la 5-lipoxygénase (réduction de la production de leucotriènes LTB4, LTC4, LTD4). L'effet anti-inflammatoire est ainsi multi-cibles.</w:t>
      </w:r>
    </w:p>
    <w:p>
      <w:pPr>
        <w:pStyle w:val="ListNumber"/>
      </w:pPr>
      <w:r/>
      <w:r>
        <w:rPr>
          <w:b/>
        </w:rPr>
        <w:t>Inhibition du chimiotactisme neutrophile</w:t>
      </w:r>
      <w:r>
        <w:t xml:space="preserve"> : la sulfasalazine réduit la migration des polynucléaires neutrophiles vers les sites inflammatoires en inhibant l'expression des molécules d'adhésion (ICAM-1, VCAM-1, E-sélectine) sur l'endothélium vasculaire.</w:t>
      </w:r>
    </w:p>
    <w:p>
      <w:pPr>
        <w:pStyle w:val="ListNumber"/>
      </w:pPr>
      <w:r/>
      <w:r>
        <w:rPr>
          <w:b/>
        </w:rPr>
        <w:t>Inhibition de l'expression du facteur NF-κB</w:t>
      </w:r>
      <w:r>
        <w:t xml:space="preserve"> : la sulfasalazine bloque la translocation nucléaire de NF-κB, facteur de transcription central de la réponse inflammatoire, réduisant l'expression des gènes cibles (cytokines, molécules d'adhésion, enzymes pro-inflammatoires).</w:t>
      </w:r>
    </w:p>
    <w:p>
      <w:pPr>
        <w:pStyle w:val="ListNumber"/>
      </w:pPr>
      <w:r/>
      <w:r>
        <w:rPr>
          <w:b/>
        </w:rPr>
        <w:t>Inhibition de la dihydrofolate réductase (DHFR)</w:t>
      </w:r>
      <w:r>
        <w:t xml:space="preserve"> : la sulfasalazine est un inhibiteur compétitif modéré de la DHFR (effet analogue au méthotrexate mais moins puissant). Cette inhibition est principalement bactérienne (effet antibactérien) mais aussi humaine (effet immunosuppresseur modéré).</w:t>
      </w:r>
    </w:p>
    <w:p>
      <w:pPr>
        <w:pStyle w:val="ListNumber"/>
      </w:pPr>
      <w:r/>
      <w:r>
        <w:rPr>
          <w:b/>
        </w:rPr>
        <w:t>Réduction de la production de radicaux libres oxygénés</w:t>
      </w:r>
      <w:r>
        <w:t xml:space="preserve"> : la sulfasalazine a un effet anti-oxydant direct (piégeage des radicaux superoxyde, hydroxyle, peroxynitrite) et inhibe la NADPH-oxydase des neutrophiles.</w:t>
      </w:r>
    </w:p>
    <w:p>
      <w:pPr>
        <w:pStyle w:val="ListNumber"/>
      </w:pPr>
      <w:r/>
      <w:r>
        <w:rPr>
          <w:b/>
        </w:rPr>
        <w:t>Inhibition de la activation lymphocytaire T</w:t>
      </w:r>
      <w:r>
        <w:t xml:space="preserve"> : la sulfasalazine bloque la signalisation du récepteur T-cellulaire (TCR) en inhibant la tyrosine kinase p56lck et p59fyn, réduisant la production d'IL-2 et la prolifération lymphocytaire T.</w:t>
      </w:r>
    </w:p>
    <w:p>
      <w:pPr>
        <w:pStyle w:val="ListNumber"/>
      </w:pPr>
      <w:r/>
      <w:r>
        <w:rPr>
          <w:b/>
        </w:rPr>
        <w:t>Effet antibactérien modéré</w:t>
      </w:r>
      <w:r>
        <w:t xml:space="preserve"> : la sulfapyridine libérée dans le côlon a un effet antibactérien sur la flore colique, ce qui pourrait contribuer à l'efficacité dans les arthrites réactionnelles post-infectieuses (où des bactéries viables persistent dans la muqueuse digestive).</w:t>
      </w:r>
    </w:p>
    <w:p>
      <w:r>
        <w:t xml:space="preserve">Les conséquences immunologiques sont une </w:t>
      </w:r>
      <w:r>
        <w:rPr>
          <w:b/>
        </w:rPr>
        <w:t>immunomodulation douce</w:t>
      </w:r>
      <w:r>
        <w:t xml:space="preserve"> (effet inférieur au méthotrexate et aux anti-TNFα), un effet anti-inflammatoire modéré (multi-cibles), un effet antibactérien local (dans le côlon). L'effet thérapeutique se manifeste après un délai de 8 à 12 semaines (effet maximal à 6 mois), avec réduction du nombre d'articulations gonflées et douloureuses, baisse de la CRP, et amélioration du DAS28 ou du BASDAI (spondyloarthrites). L'effet structural (prévention des érosions radiographiques) est démontré à 12 mois dans la PR (essai contrôlé </w:t>
      </w:r>
      <w:r>
        <w:rPr>
          <w:i/>
        </w:rPr>
        <w:t>Svartz, 1948</w:t>
      </w:r>
      <w:r>
        <w:t xml:space="preserve"> et </w:t>
      </w:r>
      <w:r>
        <w:rPr>
          <w:i/>
        </w:rPr>
        <w:t>Pullar et coll., Br J Rheumatol</w:t>
      </w:r>
      <w:r>
        <w:t xml:space="preserve"> 1987).</w:t>
      </w:r>
    </w:p>
    <w:p>
      <w:pPr>
        <w:pStyle w:val="Heading4"/>
      </w:pPr>
      <w:r>
        <w:t>Profil pharmacologique : indications, contre-indications, effets indésirables</w:t>
      </w:r>
    </w:p>
    <w:p>
      <w:r/>
      <w:r>
        <w:rPr>
          <w:b/>
        </w:rPr>
        <w:t>Indications</w:t>
      </w:r>
      <w:r/>
    </w:p>
    <w:p>
      <w:pPr>
        <w:pStyle w:val="ListBullet"/>
      </w:pPr>
      <w:r/>
      <w:r>
        <w:rPr>
          <w:b/>
        </w:rPr>
        <w:t>Polyarthrite rhumatoïde active de l'adulte</w:t>
      </w:r>
      <w:r>
        <w:t xml:space="preserve"> : en monothérapie (effet modeste), en association au méthotrexate (potentialisation de l'efficacité), ou en alternative au méthotrexate en cas d'intolérance ou de contre-indication. Posologie 2–3 g/jour en 2–3 prises.</w:t>
      </w:r>
    </w:p>
    <w:p>
      <w:pPr>
        <w:pStyle w:val="ListBullet"/>
      </w:pPr>
      <w:r/>
      <w:r>
        <w:rPr>
          <w:b/>
        </w:rPr>
        <w:t>Spondyloarthrites axiales</w:t>
      </w:r>
      <w:r>
        <w:t xml:space="preserve"> : rhumatisme axial ankylosant, spondyloarthrite axiale non radiographique, en cas d'échec ou de contre-indication aux AINS (recommandations ASAS-EULAR 2022). Posologie 2–3 g/jour en 2 prises.</w:t>
      </w:r>
    </w:p>
    <w:p>
      <w:pPr>
        <w:pStyle w:val="ListBullet"/>
      </w:pPr>
      <w:r/>
      <w:r>
        <w:rPr>
          <w:b/>
        </w:rPr>
        <w:t>Rhumatisme psoriasique</w:t>
      </w:r>
      <w:r>
        <w:t xml:space="preserve"> : atteinte articulaire périphérique (oligoarthrite asymétrique, polyarthrite). Posologie 2–3 g/jour en 2 prises. Pas d'effet démontré sur l'atteinte cutanée.</w:t>
      </w:r>
    </w:p>
    <w:p>
      <w:pPr>
        <w:pStyle w:val="ListBullet"/>
      </w:pPr>
      <w:r/>
      <w:r>
        <w:rPr>
          <w:b/>
        </w:rPr>
        <w:t>Arthrites réactionnelles</w:t>
      </w:r>
      <w:r>
        <w:t xml:space="preserve"> (post-Chlamydia, post-Salmonella, post-Shigella, post-Yersinia, post-Campylobacter) : en cas d'évolution chronique &gt; 3 mois. Posologie 2–3 g/jour en 2 prises.</w:t>
      </w:r>
    </w:p>
    <w:p>
      <w:pPr>
        <w:pStyle w:val="ListBullet"/>
      </w:pPr>
      <w:r/>
      <w:r>
        <w:rPr>
          <w:b/>
        </w:rPr>
        <w:t>Maladies inflammatoires chroniques de l'intestin (MICI)</w:t>
      </w:r>
      <w:r>
        <w:t xml:space="preserve"> :</w:t>
      </w:r>
    </w:p>
    <w:p>
      <w:pPr>
        <w:pStyle w:val="ListBullet"/>
      </w:pPr>
      <w:r/>
      <w:r>
        <w:rPr>
          <w:b/>
        </w:rPr>
        <w:t>Rectocolite hémorragique</w:t>
      </w:r>
      <w:r>
        <w:t xml:space="preserve"> (indication princeps gastro-entérologique) : traitement d'attaque de la forme légère à modérée, traitement d'entretien de la rémission. Posologie 4–6 g/jour en 4 prises en phase aiguë, 2 g/jour en entretien.</w:t>
      </w:r>
    </w:p>
    <w:p>
      <w:pPr>
        <w:pStyle w:val="ListBullet"/>
      </w:pPr>
      <w:r/>
      <w:r>
        <w:rPr>
          <w:b/>
        </w:rPr>
        <w:t>Maladie de Crohn colique</w:t>
      </w:r>
      <w:r>
        <w:t xml:space="preserve"> : traitement d'entretien de la rémission (efficacité moindre que dans la RCH).</w:t>
      </w:r>
    </w:p>
    <w:p>
      <w:pPr>
        <w:pStyle w:val="ListBullet"/>
      </w:pPr>
      <w:r/>
      <w:r>
        <w:rPr>
          <w:b/>
        </w:rPr>
        <w:t>Hors AMM</w:t>
      </w:r>
      <w:r>
        <w:t xml:space="preserve"> (référencé dans la littérature) : hépatite auto-immune de type 1 (en alternative à l'azathioprine), dermatite herpétiforme (en alternative à la dapsone).</w:t>
      </w:r>
    </w:p>
    <w:p>
      <w:r/>
      <w:r>
        <w:rPr>
          <w:b/>
        </w:rPr>
        <w:t>Contre-indications</w:t>
      </w:r>
      <w:r/>
    </w:p>
    <w:p>
      <w:pPr>
        <w:pStyle w:val="ListBullet"/>
      </w:pPr>
      <w:r/>
      <w:r>
        <w:rPr>
          <w:b/>
        </w:rPr>
        <w:t>Contre-indications absolues</w:t>
      </w:r>
      <w:r>
        <w:t xml:space="preserve"> :</w:t>
      </w:r>
    </w:p>
    <w:p>
      <w:pPr>
        <w:pStyle w:val="ListBullet"/>
      </w:pPr>
      <w:r>
        <w:t>Hypersensibilité à la sulfasalazine, à la sulfapyridine, au 5-ASA, à la mésalazine, aux sulfamides (cross-réactivité possible), à l'aspirine et aux AINS (cross-réactivité possible), ou à l'un des excipients (lactose, povidone, silice, stéarate de magnésium)</w:t>
      </w:r>
    </w:p>
    <w:p>
      <w:pPr>
        <w:pStyle w:val="ListBullet"/>
      </w:pPr>
      <w:r/>
      <w:r>
        <w:rPr>
          <w:b/>
        </w:rPr>
        <w:t>Porphyrie</w:t>
      </w:r>
      <w:r>
        <w:t xml:space="preserve"> (risque de déclenchement d'une crise aiguë)</w:t>
      </w:r>
    </w:p>
    <w:p>
      <w:pPr>
        <w:pStyle w:val="ListBullet"/>
      </w:pPr>
      <w:r/>
      <w:r>
        <w:rPr>
          <w:b/>
        </w:rPr>
        <w:t>Déficit en G6PD</w:t>
      </w:r>
      <w:r>
        <w:t xml:space="preserve"> (risque d'hémolyse aiguë — dépistage systématique recommandé en cas de contexte à risque)</w:t>
      </w:r>
    </w:p>
    <w:p>
      <w:pPr>
        <w:pStyle w:val="ListBullet"/>
      </w:pPr>
      <w:r/>
      <w:r>
        <w:rPr>
          <w:b/>
        </w:rPr>
        <w:t>Insuffisance rénale sévère</w:t>
      </w:r>
      <w:r>
        <w:t xml:space="preserve"> (DFG &lt; 30 mL/min) — la sulfasalazine et la sulfapyridine sont éliminées par voie rénale, accumulation toxique</w:t>
      </w:r>
    </w:p>
    <w:p>
      <w:pPr>
        <w:pStyle w:val="ListBullet"/>
      </w:pPr>
      <w:r/>
      <w:r>
        <w:rPr>
          <w:b/>
        </w:rPr>
        <w:t>Insuffisance hépatique sévère</w:t>
      </w:r>
      <w:r>
        <w:t xml:space="preserve"> (Child-Pugh C)</w:t>
      </w:r>
    </w:p>
    <w:p>
      <w:pPr>
        <w:pStyle w:val="ListBullet"/>
      </w:pPr>
      <w:r/>
      <w:r>
        <w:rPr>
          <w:b/>
        </w:rPr>
        <w:t>Aplasie médullaire préexistante</w:t>
      </w:r>
      <w:r>
        <w:t xml:space="preserve"> (leucopénie &lt; 3 G/L, neutropénie &lt; 1,5 G/L, thrombopénie &lt; 100 G/L, anémie &lt; 8 g/dL)</w:t>
      </w:r>
    </w:p>
    <w:p>
      <w:pPr>
        <w:pStyle w:val="ListBullet"/>
      </w:pPr>
      <w:r/>
      <w:r>
        <w:rPr>
          <w:b/>
        </w:rPr>
        <w:t>Occlusion intestinale</w:t>
      </w:r>
      <w:r>
        <w:t xml:space="preserve"> ou iléus paralytique</w:t>
      </w:r>
    </w:p>
    <w:p>
      <w:pPr>
        <w:pStyle w:val="ListBullet"/>
      </w:pPr>
      <w:r>
        <w:t>Enfant &lt; 2 ans (insuffisance de données, sauf indication gastro-entérologique pédiatrique spécifique)</w:t>
      </w:r>
    </w:p>
    <w:p>
      <w:pPr>
        <w:pStyle w:val="ListBullet"/>
      </w:pPr>
      <w:r/>
      <w:r>
        <w:rPr>
          <w:b/>
        </w:rPr>
        <w:t>Allaitement prématuré, ictère ou hyperbilirubinémie du nouveau-né</w:t>
      </w:r>
      <w:r>
        <w:t xml:space="preserve"> (contre-indication à l'allaitement — déplacement de la bilirubine, risque d'ictère nucléaire)</w:t>
      </w:r>
    </w:p>
    <w:p>
      <w:pPr>
        <w:pStyle w:val="ListBullet"/>
      </w:pPr>
      <w:r/>
      <w:r>
        <w:rPr>
          <w:b/>
        </w:rPr>
        <w:t>Grossesse 3e trimestre</w:t>
      </w:r>
      <w:r>
        <w:t xml:space="preserve"> (à éviter en raison du risque d'ictère nucléaire du nouveau-né par déplacement de la bilirubine)</w:t>
      </w:r>
    </w:p>
    <w:p>
      <w:pPr>
        <w:pStyle w:val="ListBullet"/>
      </w:pPr>
      <w:r>
        <w:t>Association avec le méthotrexate sans surveillance hématologique et hépatique renforcée</w:t>
      </w:r>
    </w:p>
    <w:p>
      <w:pPr>
        <w:pStyle w:val="ListBullet"/>
      </w:pPr>
      <w:r>
        <w:t>Vaccination par vaccin vivant atténué (risque d'infection vaccinale)</w:t>
      </w:r>
    </w:p>
    <w:p>
      <w:pPr>
        <w:pStyle w:val="ListBullet"/>
      </w:pPr>
      <w:r/>
      <w:r>
        <w:rPr>
          <w:b/>
        </w:rPr>
        <w:t>Contre-indications relatives / Précautions d'emploi</w:t>
      </w:r>
      <w:r>
        <w:t xml:space="preserve"> :</w:t>
      </w:r>
    </w:p>
    <w:p>
      <w:pPr>
        <w:pStyle w:val="ListBullet"/>
      </w:pPr>
      <w:r>
        <w:t>Insuffisance rénale modérée (DFG 30–60 mL/min) — réduire la dose à 50 %, surveillance mensuelle de la créatinine</w:t>
      </w:r>
    </w:p>
    <w:p>
      <w:pPr>
        <w:pStyle w:val="ListBullet"/>
      </w:pPr>
      <w:r>
        <w:t>Sujet âgé &gt; 65 ans : risque accru de toxicité hématologique, d'hépatotoxicité, d'interactions</w:t>
      </w:r>
    </w:p>
    <w:p>
      <w:pPr>
        <w:pStyle w:val="ListBullet"/>
      </w:pPr>
      <w:r>
        <w:t>Polymédication hépatotoxique ou myélosuppressive</w:t>
      </w:r>
    </w:p>
    <w:p>
      <w:pPr>
        <w:pStyle w:val="ListBullet"/>
      </w:pPr>
      <w:r>
        <w:t>Asthme associé à une sensibilité aux AINS (triade Fernand-Widal) — contre-indication relative, prudence</w:t>
      </w:r>
    </w:p>
    <w:p>
      <w:pPr>
        <w:pStyle w:val="ListBullet"/>
      </w:pPr>
      <w:r>
        <w:t>Lupus érythémateux systémique (signal d'aggravation sous sulfasalazine)</w:t>
      </w:r>
    </w:p>
    <w:p>
      <w:pPr>
        <w:pStyle w:val="ListBullet"/>
      </w:pPr>
      <w:r>
        <w:t>Déficit en G6PD (contre-indication relative — dépister systématiquement)</w:t>
      </w:r>
    </w:p>
    <w:p>
      <w:r/>
      <w:r>
        <w:rPr>
          <w:b/>
        </w:rPr>
        <w:t>Effets indésirables</w:t>
      </w:r>
      <w:r/>
    </w:p>
    <w:p>
      <w:r/>
      <w:r>
        <w:rPr>
          <w:i/>
        </w:rPr>
        <w:t>Très fréquents (≥ 10 %)</w:t>
      </w:r>
      <w:r>
        <w:t xml:space="preserve"> :</w:t>
      </w:r>
    </w:p>
    <w:p>
      <w:pPr>
        <w:pStyle w:val="ListBullet"/>
      </w:pPr>
      <w:r/>
      <w:r>
        <w:rPr>
          <w:b/>
        </w:rPr>
        <w:t>Troubles digestifs</w:t>
      </w:r>
      <w:r>
        <w:t xml:space="preserve"> : nausées (15–25 %), vomissements, douleurs abdominales, diarrhée, dyspepsie — particulièrement en début de traitement, réduction par l'administration en plusieurs prises au cours des repas</w:t>
      </w:r>
    </w:p>
    <w:p>
      <w:pPr>
        <w:pStyle w:val="ListBullet"/>
      </w:pPr>
      <w:r/>
      <w:r>
        <w:rPr>
          <w:b/>
        </w:rPr>
        <w:t>Céphalées</w:t>
      </w:r>
      <w:r>
        <w:t xml:space="preserve"> (10–20 %), souvent en début de traitement</w:t>
      </w:r>
    </w:p>
    <w:p>
      <w:pPr>
        <w:pStyle w:val="ListBullet"/>
      </w:pPr>
      <w:r>
        <w:t>Anorexie, perte de poids</w:t>
      </w:r>
    </w:p>
    <w:p>
      <w:pPr>
        <w:pStyle w:val="ListBullet"/>
      </w:pPr>
      <w:r>
        <w:t>Élévation des transaminases (5–10 %)</w:t>
      </w:r>
    </w:p>
    <w:p>
      <w:pPr>
        <w:pStyle w:val="ListBullet"/>
      </w:pPr>
      <w:r>
        <w:t>Coloration jaune-orange des urines et des lentilles de contact (effet pharmacologique banal, à signaler au patient pour éviter une inquiétude injustifiée)</w:t>
      </w:r>
    </w:p>
    <w:p>
      <w:r/>
      <w:r>
        <w:rPr>
          <w:i/>
        </w:rPr>
        <w:t>Fréquents (1–10 %)</w:t>
      </w:r>
      <w:r>
        <w:t xml:space="preserve"> :</w:t>
      </w:r>
    </w:p>
    <w:p>
      <w:pPr>
        <w:pStyle w:val="ListBullet"/>
      </w:pPr>
      <w:r/>
      <w:r>
        <w:rPr>
          <w:b/>
        </w:rPr>
        <w:t>Rash cutané maculopapuleux</w:t>
      </w:r>
      <w:r>
        <w:t xml:space="preserve"> (5–10 %), parfois sévère (Stevens-Johnson)</w:t>
      </w:r>
    </w:p>
    <w:p>
      <w:pPr>
        <w:pStyle w:val="ListBullet"/>
      </w:pPr>
      <w:r>
        <w:t>Fièvre médicamenteuse (1–5 %)</w:t>
      </w:r>
    </w:p>
    <w:p>
      <w:pPr>
        <w:pStyle w:val="ListBullet"/>
      </w:pPr>
      <w:r>
        <w:t>Leucopénie modérée (3–5 %), thrombopénie, anémie</w:t>
      </w:r>
    </w:p>
    <w:p>
      <w:pPr>
        <w:pStyle w:val="ListBullet"/>
      </w:pPr>
      <w:r>
        <w:t>Hépatite cytolytique ou cholestatique (2–5 %)</w:t>
      </w:r>
    </w:p>
    <w:p>
      <w:pPr>
        <w:pStyle w:val="ListBullet"/>
      </w:pPr>
      <w:r>
        <w:t>Photosensibilité</w:t>
      </w:r>
    </w:p>
    <w:p>
      <w:pPr>
        <w:pStyle w:val="ListBullet"/>
      </w:pPr>
      <w:r>
        <w:t>Alopécie diffuse réversible (2–5 %)</w:t>
      </w:r>
    </w:p>
    <w:p>
      <w:pPr>
        <w:pStyle w:val="ListBullet"/>
      </w:pPr>
      <w:r>
        <w:t>Troubles du goût</w:t>
      </w:r>
    </w:p>
    <w:p>
      <w:pPr>
        <w:pStyle w:val="ListBullet"/>
      </w:pPr>
      <w:r>
        <w:t>Vertiges</w:t>
      </w:r>
    </w:p>
    <w:p>
      <w:pPr>
        <w:pStyle w:val="ListBullet"/>
      </w:pPr>
      <w:r>
        <w:t>Hyperensibilité (urticaire, prurit)</w:t>
      </w:r>
    </w:p>
    <w:p>
      <w:r/>
      <w:r>
        <w:rPr>
          <w:i/>
        </w:rPr>
        <w:t>Peu fréquents (0,1–1 %)</w:t>
      </w:r>
      <w:r>
        <w:t xml:space="preserve"> :</w:t>
      </w:r>
    </w:p>
    <w:p>
      <w:pPr>
        <w:pStyle w:val="ListBullet"/>
      </w:pPr>
      <w:r/>
      <w:r>
        <w:rPr>
          <w:b/>
        </w:rPr>
        <w:t>Agranulocytose</w:t>
      </w:r>
      <w:r>
        <w:t xml:space="preserve"> (signal grave, particulièrement dans les 3 premiers mois, incidence 1/500 à 1/1 000)</w:t>
      </w:r>
    </w:p>
    <w:p>
      <w:pPr>
        <w:pStyle w:val="ListBullet"/>
      </w:pPr>
      <w:r/>
      <w:r>
        <w:rPr>
          <w:b/>
        </w:rPr>
        <w:t>Anémie hémolytique</w:t>
      </w:r>
      <w:r>
        <w:t xml:space="preserve"> (particulièrement chez les patients déficients en G6PD)</w:t>
      </w:r>
    </w:p>
    <w:p>
      <w:pPr>
        <w:pStyle w:val="ListBullet"/>
      </w:pPr>
      <w:r/>
      <w:r>
        <w:rPr>
          <w:b/>
        </w:rPr>
        <w:t>Méthémoglobinémie</w:t>
      </w:r>
      <w:r>
        <w:t xml:space="preserve"> (signal rare, conversion de l'hémoglobine en méthémoglobine par la sulfapyridine)</w:t>
      </w:r>
    </w:p>
    <w:p>
      <w:pPr>
        <w:pStyle w:val="ListBullet"/>
      </w:pPr>
      <w:r>
        <w:t>Hépatite fulminante (cas mortels rapportés)</w:t>
      </w:r>
    </w:p>
    <w:p>
      <w:pPr>
        <w:pStyle w:val="ListBullet"/>
      </w:pPr>
      <w:r>
        <w:t>Syndrome de Stevens-Johnson, nécrolyse épidermique toxique</w:t>
      </w:r>
    </w:p>
    <w:p>
      <w:pPr>
        <w:pStyle w:val="ListBullet"/>
      </w:pPr>
      <w:r>
        <w:t>Pancreátite aiguë</w:t>
      </w:r>
    </w:p>
    <w:p>
      <w:pPr>
        <w:pStyle w:val="ListBullet"/>
      </w:pPr>
      <w:r>
        <w:t>Pneumopathie interstitielle (signal émergent)</w:t>
      </w:r>
    </w:p>
    <w:p>
      <w:pPr>
        <w:pStyle w:val="ListBullet"/>
      </w:pPr>
      <w:r>
        <w:t>Néphrite interstitielle aiguë</w:t>
      </w:r>
    </w:p>
    <w:p>
      <w:pPr>
        <w:pStyle w:val="ListBullet"/>
      </w:pPr>
      <w:r>
        <w:t>Vascularite cutanée</w:t>
      </w:r>
    </w:p>
    <w:p>
      <w:pPr>
        <w:pStyle w:val="ListBullet"/>
      </w:pPr>
      <w:r>
        <w:t>Dépression, anxiété</w:t>
      </w:r>
    </w:p>
    <w:p>
      <w:pPr>
        <w:pStyle w:val="ListBullet"/>
      </w:pPr>
      <w:r>
        <w:t>Réactions d'hypersensibilité sévères (anaphylaxie)</w:t>
      </w:r>
    </w:p>
    <w:p>
      <w:r/>
      <w:r>
        <w:rPr>
          <w:i/>
        </w:rPr>
        <w:t>Rares (&lt; 0,1 %)</w:t>
      </w:r>
      <w:r>
        <w:t xml:space="preserve"> :</w:t>
      </w:r>
    </w:p>
    <w:p>
      <w:pPr>
        <w:pStyle w:val="ListBullet"/>
      </w:pPr>
      <w:r/>
      <w:r>
        <w:rPr>
          <w:b/>
        </w:rPr>
        <w:t>Aplasie médullaire</w:t>
      </w:r>
      <w:r/>
    </w:p>
    <w:p>
      <w:pPr>
        <w:pStyle w:val="ListBullet"/>
      </w:pPr>
      <w:r>
        <w:t>Syndrome lupique induit (signal ancien)</w:t>
      </w:r>
    </w:p>
    <w:p>
      <w:pPr>
        <w:pStyle w:val="ListBullet"/>
      </w:pPr>
      <w:r>
        <w:t>Hépatotoxicité chronique avec fibrose</w:t>
      </w:r>
    </w:p>
    <w:p>
      <w:pPr>
        <w:pStyle w:val="ListBullet"/>
      </w:pPr>
      <w:r>
        <w:t>Néphropathie chronique</w:t>
      </w:r>
    </w:p>
    <w:p>
      <w:pPr>
        <w:pStyle w:val="ListBullet"/>
      </w:pPr>
      <w:r>
        <w:t>Cyanose (méthémoglobinémie)</w:t>
      </w:r>
    </w:p>
    <w:p>
      <w:pPr>
        <w:pStyle w:val="ListBullet"/>
      </w:pPr>
      <w:r>
        <w:t>Convulsions (en cas de surdosage)</w:t>
      </w:r>
    </w:p>
    <w:p>
      <w:pPr>
        <w:pStyle w:val="ListBullet"/>
      </w:pPr>
      <w:r>
        <w:t>Coloration jaune de la peau (sans atteinte hépatique)</w:t>
      </w:r>
    </w:p>
    <w:p>
      <w:r/>
      <w:r>
        <w:rPr>
          <w:i/>
        </w:rPr>
        <w:t>Signaux spécifiques importants</w:t>
      </w:r>
      <w:r>
        <w:t xml:space="preserve"> :</w:t>
      </w:r>
    </w:p>
    <w:p>
      <w:pPr>
        <w:pStyle w:val="ListBullet"/>
      </w:pPr>
      <w:r/>
      <w:r>
        <w:rPr>
          <w:b/>
        </w:rPr>
        <w:t>Agranulocytose précoce</w:t>
      </w:r>
      <w:r>
        <w:t xml:space="preserve"> : signal grave dans les 3 premiers mois. Prévention par surveillance NFS hebdomadaire pendant 3 mois puis mensuelle pendant 3 mois puis trimestrielle. Tout patient présentant une fièvre &gt; 38°C, une angine, des aphtes buccaux doit consulter en urgence pour NFS.</w:t>
      </w:r>
    </w:p>
    <w:p>
      <w:pPr>
        <w:pStyle w:val="ListBullet"/>
      </w:pPr>
      <w:r/>
      <w:r>
        <w:rPr>
          <w:b/>
        </w:rPr>
        <w:t>Hémolyse aiguë par déficit en G6PD</w:t>
      </w:r>
      <w:r>
        <w:t xml:space="preserve"> : dépistage systématique recommandé avant initiation chez les populations à risque (méditerranéenne, africaine, asiatique). En cas de déficit, contre-indication absolue.</w:t>
      </w:r>
    </w:p>
    <w:p>
      <w:pPr>
        <w:pStyle w:val="ListBullet"/>
      </w:pPr>
      <w:r/>
      <w:r>
        <w:rPr>
          <w:b/>
        </w:rPr>
        <w:t>Méthémoglobinémie</w:t>
      </w:r>
      <w:r>
        <w:t xml:space="preserve"> : signal rare (incidence &lt; 1/1 000). Présentation : cyanose, dyspnée, céphalées, fatigue. Diagnostic : dosage de la méthémoglobinémie (normal &lt; 2 %, toxique &gt; 10 %). Traitement : bleu de méthylène 1–2 mg/kg IV.</w:t>
      </w:r>
    </w:p>
    <w:p>
      <w:pPr>
        <w:pStyle w:val="ListBullet"/>
      </w:pPr>
      <w:r/>
      <w:r>
        <w:rPr>
          <w:b/>
        </w:rPr>
        <w:t>Hépatotoxicité</w:t>
      </w:r>
      <w:r>
        <w:t xml:space="preserve"> : surveillance transaminases mensuelle 3 mois puis trimestrielle. En cas d'ALAT &gt; 3× LSN, arrêt immédiat.</w:t>
      </w:r>
    </w:p>
    <w:p>
      <w:pPr>
        <w:pStyle w:val="ListBullet"/>
      </w:pPr>
      <w:r/>
      <w:r>
        <w:rPr>
          <w:b/>
        </w:rPr>
        <w:t>Lupus induit</w:t>
      </w:r>
      <w:r>
        <w:t xml:space="preserve"> : signal ancien, particulièrement chez les femmes jeunes HLA-DR3 positives. Présentation : arthralgies, rash malaire, sérologie anti-nucléaire positive. Arrêt de la sulfasalazine, les symptômes régressent en quelques semaines.</w:t>
      </w:r>
    </w:p>
    <w:p>
      <w:pPr>
        <w:pStyle w:val="ListBullet"/>
      </w:pPr>
      <w:r/>
      <w:r>
        <w:rPr>
          <w:b/>
        </w:rPr>
        <w:t>Coloration jaune des urines</w:t>
      </w:r>
      <w:r>
        <w:t xml:space="preserve"> : effet banal sans gravité. Le patient doit être informé pour éviter une inquiétude injustifiée et une suspicion d'ictère.</w:t>
      </w:r>
    </w:p>
    <w:p>
      <w:pPr>
        <w:pStyle w:val="Heading4"/>
      </w:pPr>
      <w:r>
        <w:t>Prévention et gestion des effets indésirables</w:t>
      </w:r>
    </w:p>
    <w:p>
      <w:r>
        <w:t xml:space="preserve">La prévention des effets indésirables de la sulfasalazine repose sur cinq piliers : (i) </w:t>
      </w:r>
      <w:r>
        <w:rPr>
          <w:b/>
        </w:rPr>
        <w:t>bilan pré-thérapeutique complet</w:t>
      </w:r>
      <w:r>
        <w:t xml:space="preserve"> (NFS, plaquettes, reticulocytes, transaminases, bilirubine, créatinine, urée, G6PD chez les populations à risque, sérologies virales B/C/VIH, IDR à la tuberculine ou IGRA, radiographie thoracique, ECG), (ii) </w:t>
      </w:r>
      <w:r>
        <w:rPr>
          <w:b/>
        </w:rPr>
        <w:t>surveillance biologique hebdomadaire pendant 1 mois</w:t>
      </w:r>
      <w:r>
        <w:t xml:space="preserve"> puis mensuelle pendant 3 mois puis trimestrielle (NFS, plaquettes, ALAT, ASAT, créatinine), (iii) </w:t>
      </w:r>
      <w:r>
        <w:rPr>
          <w:b/>
        </w:rPr>
        <w:t>titration progressive</w:t>
      </w:r>
      <w:r>
        <w:t xml:space="preserve"> de la dose (commencer à 500 mg/jour puis augmenter par paliers de 500 mg chaque semaine jusqu'à la dose cible de 2–3 g/jour), (iv) </w:t>
      </w:r>
      <w:r>
        <w:rPr>
          <w:b/>
        </w:rPr>
        <w:t>administration au cours des repas</w:t>
      </w:r>
      <w:r>
        <w:t xml:space="preserve"> pour réduire la tolérance digestive, (v) </w:t>
      </w:r>
      <w:r>
        <w:rPr>
          <w:b/>
        </w:rPr>
        <w:t>éducation aux signes d'alerte</w:t>
      </w:r>
      <w:r>
        <w:t xml:space="preserve"> : fièvre, angine, aphtes buccaux multiples, hématomes spontanés, saignements, ictère, urines foncées, rash cutané, dyspnée.</w:t>
      </w:r>
    </w:p>
    <w:p>
      <w:r>
        <w:t xml:space="preserve">En cas de </w:t>
      </w:r>
      <w:r>
        <w:rPr>
          <w:b/>
        </w:rPr>
        <w:t>cytopénie</w:t>
      </w:r>
      <w:r>
        <w:t xml:space="preserve"> :</w:t>
      </w:r>
    </w:p>
    <w:p>
      <w:pPr>
        <w:pStyle w:val="ListBullet"/>
      </w:pPr>
      <w:r>
        <w:t>Leucocytes &lt; 3 G/L ou neutrophiles &lt; 1,5 G/L : arrêt immédiat, surveillance NFS hebdomadaire, recherche de causes associées.</w:t>
      </w:r>
    </w:p>
    <w:p>
      <w:pPr>
        <w:pStyle w:val="ListBullet"/>
      </w:pPr>
      <w:r>
        <w:t>Leucocytes &lt; 2 G/L ou neutrophiles &lt; 1 G/L : arrêt immédiat, hospitalisation si fièvre, G-CSF (filgrastim) en cas de neutropénie profonde.</w:t>
      </w:r>
    </w:p>
    <w:p>
      <w:pPr>
        <w:pStyle w:val="ListBullet"/>
      </w:pPr>
      <w:r>
        <w:t>Plaquettes &lt; 100 G/L : réduire la dose de 25 %, contrôle à 2 semaines.</w:t>
      </w:r>
    </w:p>
    <w:p>
      <w:pPr>
        <w:pStyle w:val="ListBullet"/>
      </w:pPr>
      <w:r>
        <w:t>Plaquettes &lt; 50 G/L : arrêt immédiat.</w:t>
      </w:r>
    </w:p>
    <w:p>
      <w:pPr>
        <w:pStyle w:val="ListBullet"/>
      </w:pPr>
      <w:r>
        <w:t>Anémie hémolytique : arrêt immédiat, vérification du G6PD, transfusion si nécessaire.</w:t>
      </w:r>
    </w:p>
    <w:p>
      <w:r>
        <w:t>En cas d'</w:t>
      </w:r>
      <w:r>
        <w:rPr>
          <w:b/>
        </w:rPr>
        <w:t>élévation des transaminases</w:t>
      </w:r>
      <w:r>
        <w:t xml:space="preserve"> :</w:t>
      </w:r>
    </w:p>
    <w:p>
      <w:pPr>
        <w:pStyle w:val="ListBullet"/>
      </w:pPr>
      <w:r>
        <w:t>ALAT/ASAT &lt; 2× LSN : poursuivre, surveillance à 2 semaines.</w:t>
      </w:r>
    </w:p>
    <w:p>
      <w:pPr>
        <w:pStyle w:val="ListBullet"/>
      </w:pPr>
      <w:r>
        <w:t>ALAT/ASAT entre 2× et 3× LSN : réduire la dose de 25 %, contrôle à 2 semaines.</w:t>
      </w:r>
    </w:p>
    <w:p>
      <w:pPr>
        <w:pStyle w:val="ListBullet"/>
      </w:pPr>
      <w:r>
        <w:t>ALAT/ASAT &gt; 3× LSN : arrêt immédiat, bilan étiologique complet.</w:t>
      </w:r>
    </w:p>
    <w:p>
      <w:r>
        <w:t xml:space="preserve">En cas de </w:t>
      </w:r>
      <w:r>
        <w:rPr>
          <w:b/>
        </w:rPr>
        <w:t>rash cutané</w:t>
      </w:r>
      <w:r>
        <w:t xml:space="preserve"> : arrêt immédiat, surveillance clinique. En cas de Stevens-Johnson (rash bulleux + atteinte muqueuse + fièvre), hospitalisation urgente en service de dermatologie ou de réanimation.</w:t>
      </w:r>
    </w:p>
    <w:p>
      <w:r>
        <w:t xml:space="preserve">En cas de </w:t>
      </w:r>
      <w:r>
        <w:rPr>
          <w:b/>
        </w:rPr>
        <w:t>fièvre isolée &gt; 38°C</w:t>
      </w:r>
      <w:r>
        <w:t xml:space="preserve"> : NFS en urgence, arrêt de la sulfasalazine si neutropénie, recherche d'une cause infectieuse.</w:t>
      </w:r>
    </w:p>
    <w:p>
      <w:r>
        <w:t xml:space="preserve">En cas de </w:t>
      </w:r>
      <w:r>
        <w:rPr>
          <w:b/>
        </w:rPr>
        <w:t>méthémoglobinémie</w:t>
      </w:r>
      <w:r>
        <w:t xml:space="preserve"> (cyanose + dyspnée + dosage méthémoglobine &gt; 10 %) : arrêt immédiat, oxygénothérapie, bleu de méthylène 1–2 mg/kg IV, hospitalisation.</w:t>
      </w:r>
    </w:p>
    <w:p>
      <w:pPr>
        <w:pStyle w:val="Heading4"/>
      </w:pPr>
      <w:r>
        <w:t>Interactions médicamenteuses</w:t>
      </w:r>
    </w:p>
    <w:p>
      <w:pPr>
        <w:pStyle w:val="ListBullet"/>
      </w:pPr>
      <w:r/>
      <w:r>
        <w:rPr>
          <w:b/>
        </w:rPr>
        <w:t>Associations contre-indiquées</w:t>
      </w:r>
      <w:r>
        <w:t xml:space="preserve"> :</w:t>
      </w:r>
    </w:p>
    <w:p>
      <w:pPr>
        <w:pStyle w:val="ListBullet"/>
      </w:pPr>
      <w:r/>
      <w:r>
        <w:rPr>
          <w:b/>
        </w:rPr>
        <w:t>Méthotrexate</w:t>
      </w:r>
      <w:r>
        <w:t xml:space="preserve"> (sans surveillance hématologique et hépatique renforcée) : potentialisation de la toxicité hépatique (inhibition de la DHFR additive) et de la myélotoxicité (inhibition de l'absorption de l'acide folique par la sulfasalazine). Association possible en pratique spécialisée sous surveillance stricte.</w:t>
      </w:r>
    </w:p>
    <w:p>
      <w:pPr>
        <w:pStyle w:val="ListBullet"/>
      </w:pPr>
      <w:r/>
      <w:r>
        <w:rPr>
          <w:b/>
        </w:rPr>
        <w:t>Azathioprine</w:t>
      </w:r>
      <w:r>
        <w:t xml:space="preserve"> : potentialisation de la myélotoxicité (inhibition de la TPMT par la sulfasalazine). Surveillance NFS renforcée.</w:t>
      </w:r>
    </w:p>
    <w:p>
      <w:pPr>
        <w:pStyle w:val="ListBullet"/>
      </w:pPr>
      <w:r/>
      <w:r>
        <w:rPr>
          <w:b/>
        </w:rPr>
        <w:t>Cotrimoxazole, triméthoprime</w:t>
      </w:r>
      <w:r>
        <w:t xml:space="preserve"> : potentialisation de la myélotoxicité (inhibition de la DHFR additive).</w:t>
      </w:r>
    </w:p>
    <w:p>
      <w:pPr>
        <w:pStyle w:val="ListBullet"/>
      </w:pPr>
      <w:r/>
      <w:r>
        <w:rPr>
          <w:b/>
        </w:rPr>
        <w:t>Vaccins vivants atténués</w:t>
      </w:r>
      <w:r>
        <w:t xml:space="preserve"> : risque d'infection vaccinale sévère.</w:t>
      </w:r>
    </w:p>
    <w:p>
      <w:pPr>
        <w:pStyle w:val="ListBullet"/>
      </w:pPr>
      <w:r/>
      <w:r>
        <w:rPr>
          <w:b/>
        </w:rPr>
        <w:t>Associations déconseillées</w:t>
      </w:r>
      <w:r>
        <w:t xml:space="preserve"> :</w:t>
      </w:r>
    </w:p>
    <w:p>
      <w:pPr>
        <w:pStyle w:val="ListBullet"/>
      </w:pPr>
      <w:r/>
      <w:r>
        <w:rPr>
          <w:b/>
        </w:rPr>
        <w:t>AINS à fortes doses</w:t>
      </w:r>
      <w:r>
        <w:t xml:space="preserve"> (aspirine &gt; 500 mg/jour, ibuprofène &gt; 1 200 mg/jour) : potentialisation de la toxicité hématologique et digestive.</w:t>
      </w:r>
    </w:p>
    <w:p>
      <w:pPr>
        <w:pStyle w:val="ListBullet"/>
      </w:pPr>
      <w:r/>
      <w:r>
        <w:rPr>
          <w:b/>
        </w:rPr>
        <w:t>Anti-acides</w:t>
      </w:r>
      <w:r>
        <w:t xml:space="preserve"> (hydroxyde d'aluminium, hydroxyde de magnésium) : diminution de l'absorption de la sulfasalazine, espacer les prises de 2 heures.</w:t>
      </w:r>
    </w:p>
    <w:p>
      <w:pPr>
        <w:pStyle w:val="ListBullet"/>
      </w:pPr>
      <w:r/>
      <w:r>
        <w:rPr>
          <w:b/>
        </w:rPr>
        <w:t>Cimétidine</w:t>
      </w:r>
      <w:r>
        <w:t xml:space="preserve"> : inhibition du métabolisme hépatique de la sulfapyridine, augmentation des concentrations plasmatiques.</w:t>
      </w:r>
    </w:p>
    <w:p>
      <w:pPr>
        <w:pStyle w:val="ListBullet"/>
      </w:pPr>
      <w:r/>
      <w:r>
        <w:rPr>
          <w:b/>
        </w:rPr>
        <w:t>Digoxine</w:t>
      </w:r>
      <w:r>
        <w:t xml:space="preserve"> : diminution de l'absorption (chelation), surveillance des concentrations.</w:t>
      </w:r>
    </w:p>
    <w:p>
      <w:pPr>
        <w:pStyle w:val="ListBullet"/>
      </w:pPr>
      <w:r/>
      <w:r>
        <w:rPr>
          <w:b/>
        </w:rPr>
        <w:t>Warfarine, antivitamines K</w:t>
      </w:r>
      <w:r>
        <w:t xml:space="preserve"> : potentialisation de l'effet anticoagulant (déplacement de la liaison protéique), surveillance INR.</w:t>
      </w:r>
    </w:p>
    <w:p>
      <w:pPr>
        <w:pStyle w:val="ListBullet"/>
      </w:pPr>
      <w:r/>
      <w:r>
        <w:rPr>
          <w:b/>
        </w:rPr>
        <w:t>Phénytoïne</w:t>
      </w:r>
      <w:r>
        <w:t xml:space="preserve"> : diminution de l'absorption de la phénytoïne, surveillance des concentrations.</w:t>
      </w:r>
    </w:p>
    <w:p>
      <w:pPr>
        <w:pStyle w:val="ListBullet"/>
      </w:pPr>
      <w:r/>
      <w:r>
        <w:rPr>
          <w:b/>
        </w:rPr>
        <w:t>Associations nécessitant des précautions d'emploi</w:t>
      </w:r>
      <w:r>
        <w:t xml:space="preserve"> :</w:t>
      </w:r>
    </w:p>
    <w:p>
      <w:pPr>
        <w:pStyle w:val="ListBullet"/>
      </w:pPr>
      <w:r/>
      <w:r>
        <w:rPr>
          <w:b/>
        </w:rPr>
        <w:t>Fer oral</w:t>
      </w:r>
      <w:r>
        <w:t xml:space="preserve"> : diminution de l'absorption du fer par la sulfasalazine, espacer les prises de 2 heures.</w:t>
      </w:r>
    </w:p>
    <w:p>
      <w:pPr>
        <w:pStyle w:val="ListBullet"/>
      </w:pPr>
      <w:r/>
      <w:r>
        <w:rPr>
          <w:b/>
        </w:rPr>
        <w:t>Antibiotiques</w:t>
      </w:r>
      <w:r>
        <w:t xml:space="preserve"> (amoxicilline, céphalosporines, macrolides, fluoroquinolones, métronidazole) : modification de la flore colique, réduction du clivage azo-réductase, diminution de l'efficacité de la sulfasalazine. Surveillance clinique.</w:t>
      </w:r>
    </w:p>
    <w:p>
      <w:pPr>
        <w:pStyle w:val="ListBullet"/>
      </w:pPr>
      <w:r/>
      <w:r>
        <w:rPr>
          <w:b/>
        </w:rPr>
        <w:t>Corticostéroïdes</w:t>
      </w:r>
      <w:r>
        <w:t xml:space="preserve"> : association utile (effet stéroïde-épargne), surveillance de la tolérance.</w:t>
      </w:r>
    </w:p>
    <w:p>
      <w:pPr>
        <w:pStyle w:val="ListBullet"/>
      </w:pPr>
      <w:r/>
      <w:r>
        <w:rPr>
          <w:b/>
        </w:rPr>
        <w:t>Diurétiques thiazidiques</w:t>
      </w:r>
      <w:r>
        <w:t xml:space="preserve"> : risque d'hyperuricémie additive.</w:t>
      </w:r>
    </w:p>
    <w:p>
      <w:pPr>
        <w:pStyle w:val="Heading4"/>
      </w:pPr>
      <w:r>
        <w:t>Grossesse et allaitement (CRAT)</w:t>
      </w:r>
    </w:p>
    <w:p>
      <w:r>
        <w:t>Les données du CRAT et de la littérature internationale sur la sulfasalazine pendant la grossesse sont globalement rassurantes :</w:t>
      </w:r>
    </w:p>
    <w:p>
      <w:pPr>
        <w:pStyle w:val="ListBullet"/>
      </w:pPr>
      <w:r/>
      <w:r>
        <w:rPr>
          <w:b/>
        </w:rPr>
        <w:t>Grossesse</w:t>
      </w:r>
      <w:r>
        <w:t xml:space="preserve"> :</w:t>
      </w:r>
    </w:p>
    <w:p>
      <w:pPr>
        <w:pStyle w:val="ListBullet"/>
      </w:pPr>
      <w:r>
        <w:t>La sulfasalazine traverse le placenta (rapport cordon/maternel ≈ 1,0).</w:t>
      </w:r>
    </w:p>
    <w:p>
      <w:pPr>
        <w:pStyle w:val="ListBullet"/>
      </w:pPr>
      <w:r>
        <w:t>La sulfapyridine traverse également le placenta et peut déplacer la bilirubine non conjuguée de l'albumine, avec un risque théorique d'ictère nucléaire chez le nouveau-né, particulièrement en cas de prématurité ou d'hyperbilirubinémie néonatale.</w:t>
      </w:r>
    </w:p>
    <w:p>
      <w:pPr>
        <w:pStyle w:val="ListBullet"/>
      </w:pPr>
      <w:r>
        <w:t>Données animales : tératogénicité à doses supra-thérapeutiques (anomalies squelettiques) chez la souris.</w:t>
      </w:r>
    </w:p>
    <w:p>
      <w:pPr>
        <w:pStyle w:val="ListBullet"/>
      </w:pPr>
      <w:r>
        <w:t>Données humaines : pas d'augmentation du risque de malformations majeures dans les cohortes prospectives de patientes atteintes de MICI (Mogadam et coll., *Gastroenterology* 1979 ; Nørgård et coll., *Am J Gastroenterol* 2003) ou de polyarthrite rhumatoïde. La sulfasalazine peut être poursuivie pendant la grossesse si la maladie maternelle est contrôlée et nécessite ce traitement.</w:t>
      </w:r>
    </w:p>
    <w:p>
      <w:pPr>
        <w:pStyle w:val="ListBullet"/>
      </w:pPr>
      <w:r/>
      <w:r>
        <w:rPr>
          <w:b/>
        </w:rPr>
        <w:t>Recommandation CRAT/EULAR</w:t>
      </w:r>
      <w:r>
        <w:t xml:space="preserve"> : la sulfasalazine peut être poursuivie pendant la grossesse à dose efficace (2–3 g/jour). </w:t>
      </w:r>
      <w:r>
        <w:rPr>
          <w:b/>
        </w:rPr>
        <w:t>À éviter au 3e trimestre</w:t>
      </w:r>
      <w:r>
        <w:t xml:space="preserve"> en raison du risque d'ictère nucléaire du nouveau-né (arrêt 2 semaines avant le terme théorique).</w:t>
      </w:r>
    </w:p>
    <w:p>
      <w:pPr>
        <w:pStyle w:val="ListBullet"/>
      </w:pPr>
      <w:r/>
      <w:r>
        <w:rPr>
          <w:b/>
        </w:rPr>
        <w:t>Supplémentation en acide folique obligatoire</w:t>
      </w:r>
      <w:r>
        <w:t xml:space="preserve"> : la sulfasalazine est un inhibiteur de la DHFR et réduit l'absorption de l'acide folique. Prévention du risque de défaut de fermeture du tube neural (anencéphalie, spina bifida). Dose 5 mg/jour (au lieu de 0,4 mg/jour standard) pendant toute la grossesse.</w:t>
      </w:r>
    </w:p>
    <w:p>
      <w:pPr>
        <w:pStyle w:val="ListBullet"/>
      </w:pPr>
      <w:r>
        <w:t xml:space="preserve">Chez l'homme traité : la sulfasalazine induit une </w:t>
      </w:r>
      <w:r>
        <w:rPr>
          <w:b/>
        </w:rPr>
        <w:t>oligospermie réversible</w:t>
      </w:r>
      <w:r>
        <w:t xml:space="preserve"> (effet direct sur la spermatogenèse). En cas de projet de paternité, arrêter la sulfasalazine 3 mois à l'avance (récupération de la spermatogenèse en 2–3 mois).</w:t>
      </w:r>
    </w:p>
    <w:p>
      <w:pPr>
        <w:pStyle w:val="ListBullet"/>
      </w:pPr>
      <w:r/>
      <w:r>
        <w:rPr>
          <w:b/>
        </w:rPr>
        <w:t>Allaitement</w:t>
      </w:r>
      <w:r>
        <w:t xml:space="preserve"> :</w:t>
      </w:r>
    </w:p>
    <w:p>
      <w:pPr>
        <w:pStyle w:val="ListBullet"/>
      </w:pPr>
      <w:r>
        <w:t>La sulfapyridine passe dans le lait maternel (concentration lait/plasma ≈ 0,4–0,6).</w:t>
      </w:r>
    </w:p>
    <w:p>
      <w:pPr>
        <w:pStyle w:val="ListBullet"/>
      </w:pPr>
      <w:r>
        <w:t>Quantité ingérée par le nourrisson estimée à 5–10 % de la dose maternelle par kg.</w:t>
      </w:r>
    </w:p>
    <w:p>
      <w:pPr>
        <w:pStyle w:val="ListBullet"/>
      </w:pPr>
      <w:r/>
      <w:r>
        <w:rPr>
          <w:b/>
        </w:rPr>
        <w:t>Recommandation CRAT/EULAR</w:t>
      </w:r>
      <w:r>
        <w:t xml:space="preserve"> : l'allaitement est possible sous sulfasalazine à doses thérapeutiques ≤ 2 g/jour, en surveillant le nourrisson (diarrhée, rash, ictère). Contre-indication à l'allaitement chez le prématuré, le nouveau-né ictérique ou hyperbilirubinémique.</w:t>
      </w:r>
    </w:p>
    <w:p>
      <w:pPr>
        <w:pStyle w:val="Heading4"/>
      </w:pPr>
      <w:r>
        <w:t>Posologie et mode d'administration</w:t>
      </w:r>
    </w:p>
    <w:p>
      <w:pPr>
        <w:pStyle w:val="ListBullet"/>
      </w:pPr>
      <w:r/>
      <w:r>
        <w:rPr>
          <w:b/>
        </w:rPr>
        <w:t>Posologie standard chez l'adulte en rhumatologie</w:t>
      </w:r>
      <w:r>
        <w:t xml:space="preserve"> :</w:t>
      </w:r>
    </w:p>
    <w:p>
      <w:pPr>
        <w:pStyle w:val="ListBullet"/>
      </w:pPr>
      <w:r/>
      <w:r>
        <w:rPr>
          <w:b/>
        </w:rPr>
        <w:t>Dose initiale</w:t>
      </w:r>
      <w:r>
        <w:t xml:space="preserve"> : 500 mg une fois par jour (1 comprimé le soir) pendant 1 semaine, pour évaluer la tolérance.</w:t>
      </w:r>
    </w:p>
    <w:p>
      <w:pPr>
        <w:pStyle w:val="ListBullet"/>
      </w:pPr>
      <w:r/>
      <w:r>
        <w:rPr>
          <w:b/>
        </w:rPr>
        <w:t>Titration</w:t>
      </w:r>
      <w:r>
        <w:t xml:space="preserve"> : augmentation par paliers de 500 mg chaque semaine : 500 mg × 2/jour à J7, 1 g le matin + 500 mg le soir à J14, 1 g × 2/jour à J21, 1 g le matin + 1 g midi + 500 mg le soir à J28.</w:t>
      </w:r>
    </w:p>
    <w:p>
      <w:pPr>
        <w:pStyle w:val="ListBullet"/>
      </w:pPr>
      <w:r/>
      <w:r>
        <w:rPr>
          <w:b/>
        </w:rPr>
        <w:t>Dose cible</w:t>
      </w:r>
      <w:r>
        <w:t xml:space="preserve"> : 2–3 g/jour en 2–3 prises (4–6 comprimés par jour).</w:t>
      </w:r>
    </w:p>
    <w:p>
      <w:pPr>
        <w:pStyle w:val="ListBullet"/>
      </w:pPr>
      <w:r/>
      <w:r>
        <w:rPr>
          <w:b/>
        </w:rPr>
        <w:t>Dose maximale</w:t>
      </w:r>
      <w:r>
        <w:t xml:space="preserve"> : 3 g/jour (6 comprimés par jour).</w:t>
      </w:r>
    </w:p>
    <w:p>
      <w:pPr>
        <w:pStyle w:val="ListBullet"/>
      </w:pPr>
      <w:r>
        <w:t>La titration progressive est essentielle pour réduire la tolérance digestive (nausées, diarrhée) qui est très fréquente en cas d'administration d'emblée à forte dose.</w:t>
      </w:r>
    </w:p>
    <w:p>
      <w:pPr>
        <w:pStyle w:val="ListBullet"/>
      </w:pPr>
      <w:r/>
      <w:r>
        <w:rPr>
          <w:b/>
        </w:rPr>
        <w:t>Posologie en pédiatrie</w:t>
      </w:r>
      <w:r>
        <w:t xml:space="preserve"> (spondyloarthrite juvénile, polyarthrite idiopathique juvénile, MICI pédiatrique) :</w:t>
      </w:r>
    </w:p>
    <w:p>
      <w:pPr>
        <w:pStyle w:val="ListBullet"/>
      </w:pPr>
      <w:r>
        <w:t>Dose initiale : 10 mg/kg/jour en 2 prises.</w:t>
      </w:r>
    </w:p>
    <w:p>
      <w:pPr>
        <w:pStyle w:val="ListBullet"/>
      </w:pPr>
      <w:r>
        <w:t>Dose cible : 40–60 mg/kg/jour en 2–3 prises (maximum 3 g/jour).</w:t>
      </w:r>
    </w:p>
    <w:p>
      <w:pPr>
        <w:pStyle w:val="ListBullet"/>
      </w:pPr>
      <w:r/>
      <w:r>
        <w:rPr>
          <w:b/>
        </w:rPr>
        <w:t>Mode d'administration</w:t>
      </w:r>
      <w:r>
        <w:t xml:space="preserve"> : per os, à prendre </w:t>
      </w:r>
      <w:r>
        <w:rPr>
          <w:b/>
        </w:rPr>
        <w:t>au cours des repas</w:t>
      </w:r>
      <w:r>
        <w:t xml:space="preserve"> (réduction de la tolérance digestive, absorption non modifiée), à heure fixe. Les comprimés enrobés doivent être avalés entiers avec un grand verre d'eau, sans croquer ni écraser (l'enrobage protège l'estomac de l'effet irritant local). Ne pas fractionner les comprimés.</w:t>
      </w:r>
    </w:p>
    <w:p>
      <w:pPr>
        <w:pStyle w:val="ListBullet"/>
      </w:pPr>
      <w:r/>
      <w:r>
        <w:rPr>
          <w:b/>
        </w:rPr>
        <w:t>Adaptation posologique selon la fonction rénale</w:t>
      </w:r>
      <w:r>
        <w:t xml:space="preserve"> :</w:t>
      </w:r>
    </w:p>
    <w:p>
      <w:pPr>
        <w:pStyle w:val="ListBullet"/>
      </w:pPr>
      <w:r>
        <w:t>DFG &gt; 60 mL/min : dose standard</w:t>
      </w:r>
    </w:p>
    <w:p>
      <w:pPr>
        <w:pStyle w:val="ListBullet"/>
      </w:pPr>
      <w:r>
        <w:t>DFG 30–60 mL/min : réduire à 50 % de la dose standard, surveillance mensuelle de la créatinine</w:t>
      </w:r>
    </w:p>
    <w:p>
      <w:pPr>
        <w:pStyle w:val="ListBullet"/>
      </w:pPr>
      <w:r>
        <w:t>DFG &lt; 30 mL/min : contre-indication absolue</w:t>
      </w:r>
    </w:p>
    <w:p>
      <w:pPr>
        <w:pStyle w:val="ListBullet"/>
      </w:pPr>
      <w:r/>
      <w:r>
        <w:rPr>
          <w:b/>
        </w:rPr>
        <w:t>Adaptation posologique selon la fonction hépatique</w:t>
      </w:r>
      <w:r>
        <w:t xml:space="preserve"> : contre-indiqué en insuffisance hépatique sévère (Child-Pugh C). En cas d'insuffisance hépatique modérée, surveillance transaminases mensuelle stricte.</w:t>
      </w:r>
    </w:p>
    <w:p>
      <w:pPr>
        <w:pStyle w:val="ListBullet"/>
      </w:pPr>
      <w:r/>
      <w:r>
        <w:rPr>
          <w:b/>
        </w:rPr>
        <w:t>Durée du traitement</w:t>
      </w:r>
      <w:r>
        <w:t xml:space="preserve"> : traitement chronique au long cours (années, voire décennies), à poursuivre tant que la maladie est active. L'arrêt doit être discuté en cas de rémission complète prolongée (&gt; 2 ans), en tenant compte du risque de rechute à l'arrêt.</w:t>
      </w:r>
    </w:p>
    <w:p>
      <w:pPr>
        <w:pStyle w:val="Heading4"/>
      </w:pPr>
      <w:r>
        <w:t>Formes galéniques disponibles</w:t>
      </w:r>
    </w:p>
    <w:p>
      <w:pPr>
        <w:pStyle w:val="ListBullet"/>
      </w:pPr>
      <w:r>
        <w:t>Comprimés enrobés à 500 mg (forme unique)</w:t>
      </w:r>
    </w:p>
    <w:p>
      <w:pPr>
        <w:pStyle w:val="ListBullet"/>
      </w:pPr>
      <w:r>
        <w:t>Conditionnement : boîte de 100 comprimés</w:t>
      </w:r>
    </w:p>
    <w:p>
      <w:pPr>
        <w:pStyle w:val="ListBullet"/>
      </w:pPr>
      <w:r/>
      <w:r>
        <w:rPr>
          <w:b/>
        </w:rPr>
        <w:t>Forme à libération prolongée</w:t>
      </w:r>
      <w:r>
        <w:t xml:space="preserve"> : non disponible en Algérie</w:t>
      </w:r>
    </w:p>
    <w:p>
      <w:pPr>
        <w:pStyle w:val="ListBullet"/>
      </w:pPr>
      <w:r/>
      <w:r>
        <w:rPr>
          <w:b/>
        </w:rPr>
        <w:t>Forme suppositoire</w:t>
      </w:r>
      <w:r>
        <w:t xml:space="preserve"> : non disponible (existait historiquement pour les poussées rectocolitiques basses)</w:t>
      </w:r>
    </w:p>
    <w:p>
      <w:pPr>
        <w:pStyle w:val="ListBullet"/>
      </w:pPr>
      <w:r/>
      <w:r>
        <w:rPr>
          <w:b/>
        </w:rPr>
        <w:t>Forme pédiatrique</w:t>
      </w:r>
      <w:r>
        <w:t xml:space="preserve"> : sirop ou suspension buvable — non disponible en Algérie</w:t>
      </w:r>
    </w:p>
    <w:p>
      <w:pPr>
        <w:pStyle w:val="ListBullet"/>
      </w:pPr>
      <w:r/>
      <w:r>
        <w:rPr>
          <w:b/>
        </w:rPr>
        <w:t>Forme injectable</w:t>
      </w:r>
      <w:r>
        <w:t xml:space="preserve"> : non disponible</w:t>
      </w:r>
    </w:p>
    <w:p>
      <w:pPr>
        <w:pStyle w:val="ListBullet"/>
      </w:pPr>
      <w:r>
        <w:t>Conservation : à température ≤ 25°C, à l'abri de la lumière et de l'humidité, dans l'emballage extérieur d'origine. Durée de validité : 5 ans.</w:t>
      </w:r>
    </w:p>
    <w:p>
      <w:pPr>
        <w:pStyle w:val="Heading4"/>
      </w:pPr>
      <w:r>
        <w:t>Conseils au patient</w:t>
      </w:r>
    </w:p>
    <w:p>
      <w:pPr>
        <w:pStyle w:val="ListBullet"/>
      </w:pPr>
      <w:r/>
      <w:r>
        <w:rPr>
          <w:b/>
        </w:rPr>
        <w:t>Information sur le caractère chronique et retardé du traitement</w:t>
      </w:r>
      <w:r>
        <w:t xml:space="preserve"> : la sulfasalazine ne soulage pas immédiatement les symptômes (délai d'action 8–12 semaines), elle prévient l'évolution de la maladie. Ne pas arrêter en cas d'absence d'effet initial.</w:t>
      </w:r>
    </w:p>
    <w:p>
      <w:pPr>
        <w:pStyle w:val="ListBullet"/>
      </w:pPr>
      <w:r/>
      <w:r>
        <w:rPr>
          <w:b/>
        </w:rPr>
        <w:t>Titration progressive</w:t>
      </w:r>
      <w:r>
        <w:t xml:space="preserve"> : commencer à dose faible (500 mg/jour) et augmenter progressivement sur 4 semaines jusqu'à la dose cible de 2–3 g/jour. Ne pas augmenter la dose en cas d'intolérance digestive, attendre la tolérance avant d'augmenter.</w:t>
      </w:r>
    </w:p>
    <w:p>
      <w:pPr>
        <w:pStyle w:val="ListBullet"/>
      </w:pPr>
      <w:r/>
      <w:r>
        <w:rPr>
          <w:b/>
        </w:rPr>
        <w:t>Administration au cours des repas</w:t>
      </w:r>
      <w:r>
        <w:t xml:space="preserve"> : pour réduire la tolérance digestive.</w:t>
      </w:r>
    </w:p>
    <w:p>
      <w:pPr>
        <w:pStyle w:val="ListBullet"/>
      </w:pPr>
      <w:r/>
      <w:r>
        <w:rPr>
          <w:b/>
        </w:rPr>
        <w:t>Information sur la coloration jaune des urines</w:t>
      </w:r>
      <w:r>
        <w:t xml:space="preserve"> : effet banal sans gravité, à ne pas confondre avec un ictère (la coloration est uniformément jaune-orange, sans signe associé : pas de fièvre, pas de fatigue, pas de douleurs abdominales, pas de selles décolorées). En cas de doute, consulter.</w:t>
      </w:r>
    </w:p>
    <w:p>
      <w:pPr>
        <w:pStyle w:val="ListBullet"/>
      </w:pPr>
      <w:r/>
      <w:r>
        <w:rPr>
          <w:b/>
        </w:rPr>
        <w:t>Surveillance biologique hebdomadaire pendant 1 mois</w:t>
      </w:r>
      <w:r>
        <w:t xml:space="preserve"> puis mensuelle pendant 3 mois puis trimestrielle : NFS, plaquettes, ALAT, ASAT, créatinine. Le patient doit se rendre au laboratoire à jeun ou non.</w:t>
      </w:r>
    </w:p>
    <w:p>
      <w:pPr>
        <w:pStyle w:val="ListBullet"/>
      </w:pPr>
      <w:r/>
      <w:r>
        <w:rPr>
          <w:b/>
        </w:rPr>
        <w:t>Éducation aux signes d'alerte</w:t>
      </w:r>
      <w:r>
        <w:t xml:space="preserve"> nécessitant un avis médical urgent : fièvre &gt; 38°C, angine (signal d'agranulocytose), aphtes buccaux multiples, hématomes spontanés, saignements, ictère (coloration jaune du blanc des yeux et de la peau, urines foncées, selles décolorées), rash cutané (particulièrement bulleux), dyspnée.</w:t>
      </w:r>
    </w:p>
    <w:p>
      <w:pPr>
        <w:pStyle w:val="ListBullet"/>
      </w:pPr>
      <w:r/>
      <w:r>
        <w:rPr>
          <w:b/>
        </w:rPr>
        <w:t>Vaccination</w:t>
      </w:r>
      <w:r>
        <w:t xml:space="preserve"> : tous les vaccins (y compris vivants atténués) sont autorisés sous sulfasalazine en raison du caractère modéré de l'immunosuppression, avec prudence pour les vaccins vivants. Grippe saisonnière annuelle, pneumocoque tous les 5 ans, COVID-19, hépatite B, tétanos.</w:t>
      </w:r>
    </w:p>
    <w:p>
      <w:pPr>
        <w:pStyle w:val="ListBullet"/>
      </w:pPr>
      <w:r/>
      <w:r>
        <w:rPr>
          <w:b/>
        </w:rPr>
        <w:t>Grossesse et contraception</w:t>
      </w:r>
      <w:r>
        <w:t xml:space="preserve"> : la sulfasalazine peut être poursuivie pendant la grossesse à dose efficace (2–3 g/jour), avec supplémentation obligatoire en acide folique 5 mg/jour. À éviter 2 semaines avant le terme (risque d'ictère nucléaire du nouveau-né). Chez l'homme : la sulfasalazine induit une oligospermie réversible, arrêter 3 mois avant un projet de paternité.</w:t>
      </w:r>
    </w:p>
    <w:p>
      <w:pPr>
        <w:pStyle w:val="ListBullet"/>
      </w:pPr>
      <w:r/>
      <w:r>
        <w:rPr>
          <w:b/>
        </w:rPr>
        <w:t>Allaitement</w:t>
      </w:r>
      <w:r>
        <w:t xml:space="preserve"> : possible à dose modérée ≤ 2 g/jour, en surveillant le nourrisson (diarrhée, rash, ictère). Contre-indication chez le prématuré et le nouveau-né ictérique.</w:t>
      </w:r>
    </w:p>
    <w:p>
      <w:pPr>
        <w:pStyle w:val="ListBullet"/>
      </w:pPr>
      <w:r/>
      <w:r>
        <w:rPr>
          <w:b/>
        </w:rPr>
        <w:t>Éviter l'automédication</w:t>
      </w:r>
      <w:r>
        <w:t xml:space="preserve"> : signaler tout nouveau médicament au médecin et au pharmacien d'officine, en particulier les antibiotiques (cotrimoxazole = surveillance NFS), les AINS à forte dose, l'aspirine à dose anti-inflammatoire. Pour une douleur ou de la fièvre, préférer le paracétamol à dose maximale 3 g/jour.</w:t>
      </w:r>
    </w:p>
    <w:p>
      <w:pPr>
        <w:pStyle w:val="ListBullet"/>
      </w:pPr>
      <w:r/>
      <w:r>
        <w:rPr>
          <w:b/>
        </w:rPr>
        <w:t>Hygiène alimentaire</w:t>
      </w:r>
      <w:r>
        <w:t xml:space="preserve"> : éviter la consommation de viandes crues ou peu cuites, de produits laitiers non pasteurisés (risque d'infections aggravées).</w:t>
      </w:r>
    </w:p>
    <w:p>
      <w:pPr>
        <w:pStyle w:val="ListBullet"/>
      </w:pPr>
      <w:r/>
      <w:r>
        <w:rPr>
          <w:b/>
        </w:rPr>
        <w:t>Protection solaire</w:t>
      </w:r>
      <w:r>
        <w:t xml:space="preserve"> : crème solaire indice 30+ en cas d'exposition, en raison du risque de photosensibilité.</w:t>
      </w:r>
    </w:p>
    <w:p>
      <w:pPr>
        <w:pStyle w:val="Heading4"/>
      </w:pPr>
      <w:r>
        <w:t>Pièges du comptoir</w:t>
      </w:r>
    </w:p>
    <w:p>
      <w:pPr>
        <w:pStyle w:val="ListNumber"/>
      </w:pPr>
      <w:r/>
      <w:r>
        <w:rPr>
          <w:b/>
        </w:rPr>
        <w:t>Indisponibilité totale en Algérie</w:t>
      </w:r>
      <w:r>
        <w:t xml:space="preserve"> : situation préoccupante actuelle (Avril 2026). Le pharmacien doit informer le patient que la sulfasalazine n'est pas disponible sur le marché algérien et orienter vers le rhumatologue pour discussion des alternatives (méthotrexate, biothérapies anti-TNFα, AINS à dose maximale) ou pour procédure d'importation exceptionnelle.</w:t>
      </w:r>
    </w:p>
    <w:p>
      <w:pPr>
        <w:pStyle w:val="ListNumber"/>
      </w:pPr>
      <w:r/>
      <w:r>
        <w:rPr>
          <w:b/>
        </w:rPr>
        <w:t>Oubli de la titration progressive</w:t>
      </w:r>
      <w:r>
        <w:t xml:space="preserve"> : commencer directement à dose cible (2–3 g/jour) entraîne une intolérance digestive majeure (nausées, diarrhée, douleurs abdominales) et un risque d'arrêt du traitement. Le pharmacien doit vérifier que la prescription initiale est à dose faible (500 mg/jour) et que la titration est progressive.</w:t>
      </w:r>
    </w:p>
    <w:p>
      <w:pPr>
        <w:pStyle w:val="ListNumber"/>
      </w:pPr>
      <w:r/>
      <w:r>
        <w:rPr>
          <w:b/>
        </w:rPr>
        <w:t>Oubli de la surveillance biologique</w:t>
      </w:r>
      <w:r>
        <w:t xml:space="preserve"> : NFS hebdomadaire pendant 1 mois puis mensuelle pendant 3 mois. Le pharmacien doit vérifier que le patient a réalisé ses bilans.</w:t>
      </w:r>
    </w:p>
    <w:p>
      <w:pPr>
        <w:pStyle w:val="ListNumber"/>
      </w:pPr>
      <w:r/>
      <w:r>
        <w:rPr>
          <w:b/>
        </w:rPr>
        <w:t>Coprescription avec cotrimoxazole</w:t>
      </w:r>
      <w:r>
        <w:t xml:space="preserve"> : surveillance NFS, surveillance clinique (risque de myélotoxicité additive).</w:t>
      </w:r>
    </w:p>
    <w:p>
      <w:pPr>
        <w:pStyle w:val="ListNumber"/>
      </w:pPr>
      <w:r/>
      <w:r>
        <w:rPr>
          <w:b/>
        </w:rPr>
        <w:t>Coprescription avec le méthotrexate</w:t>
      </w:r>
      <w:r>
        <w:t xml:space="preserve"> : surveillance hépatique et hématologique renforcée. Réduction de l'absorption de l'acide folique (supplémentation obligatoire).</w:t>
      </w:r>
    </w:p>
    <w:p>
      <w:pPr>
        <w:pStyle w:val="ListNumber"/>
      </w:pPr>
      <w:r/>
      <w:r>
        <w:rPr>
          <w:b/>
        </w:rPr>
        <w:t>Initiation chez un patient porteur d'un déficit en G6PD</w:t>
      </w:r>
      <w:r>
        <w:t xml:space="preserve"> : risque d'hémolyse aiguë. Dépistage systématique en cas de contexte à risque (population méditerranéenne, africaine, asiatique).</w:t>
      </w:r>
    </w:p>
    <w:p>
      <w:pPr>
        <w:pStyle w:val="ListNumber"/>
      </w:pPr>
      <w:r/>
      <w:r>
        <w:rPr>
          <w:b/>
        </w:rPr>
        <w:t>Initiation chez une femme enceinte sans supplémentation en acide folique</w:t>
      </w:r>
      <w:r>
        <w:t xml:space="preserve"> : risque de défaut de fermeture du tube neural. Supplémentation obligatoire 5 mg/jour.</w:t>
      </w:r>
    </w:p>
    <w:p>
      <w:pPr>
        <w:pStyle w:val="ListNumber"/>
      </w:pPr>
      <w:r/>
      <w:r>
        <w:rPr>
          <w:b/>
        </w:rPr>
        <w:t>Initiation chez un homme jeune sans information sur l'oligospermie</w:t>
      </w:r>
      <w:r>
        <w:t xml:space="preserve"> : information à donner systématiquement, arrêt 3 mois avant un projet de paternité.</w:t>
      </w:r>
    </w:p>
    <w:p>
      <w:pPr>
        <w:pStyle w:val="ListNumber"/>
      </w:pPr>
      <w:r/>
      <w:r>
        <w:rPr>
          <w:b/>
        </w:rPr>
        <w:t>Banalisation d'une fièvre isolée</w:t>
      </w:r>
      <w:r>
        <w:t xml:space="preserve"> : une fièvre &gt; 38°C sous sulfasalazine doit faire pratiquer une NFS en urgence pour éliminer une agranulocytose.</w:t>
      </w:r>
    </w:p>
    <w:p>
      <w:pPr>
        <w:pStyle w:val="ListNumber"/>
      </w:pPr>
      <w:r/>
      <w:r>
        <w:rPr>
          <w:b/>
        </w:rPr>
        <w:t>Banalisation d'un rash cutané</w:t>
      </w:r>
      <w:r>
        <w:t xml:space="preserve"> : un rash maculopapuleux simple peut précéder un Stevens-Johnson. Arrêt immédiat, avis dermatologique.</w:t>
      </w:r>
    </w:p>
    <w:p>
      <w:pPr>
        <w:pStyle w:val="ListNumber"/>
      </w:pPr>
      <w:r/>
      <w:r>
        <w:rPr>
          <w:b/>
        </w:rPr>
        <w:t>Confusion coloration jaune des urines / ictère</w:t>
      </w:r>
      <w:r>
        <w:t xml:space="preserve"> : la coloration jaune-orange des urines est un effet banal sans gravité. En cas de doute (fièvre, fatigue, selles décolorées, urines très foncées), consulter en urgence pour bilan hépatique.</w:t>
      </w:r>
    </w:p>
    <w:p>
      <w:pPr>
        <w:pStyle w:val="ListNumber"/>
      </w:pPr>
      <w:r/>
      <w:r>
        <w:rPr>
          <w:b/>
        </w:rPr>
        <w:t>Vaccin vivant atténué prescrit par erreur</w:t>
      </w:r>
      <w:r>
        <w:t xml:space="preserve"> : prudence, surveillance clinique (le caractère modéré de l'immunosuppression sous sulfasalazine autorise en pratique certains vaccins vivants, mais à éviter par prudence en cas de traitement prolongé ou de forte dose).</w:t>
      </w:r>
    </w:p>
    <w:p>
      <w:pPr>
        <w:pStyle w:val="ListNumber"/>
      </w:pPr>
      <w:r/>
      <w:r>
        <w:rPr>
          <w:b/>
        </w:rPr>
        <w:t>Confusion entre sulfasalazine et mésalazine</w:t>
      </w:r>
      <w:r>
        <w:t xml:space="preserve"> : la mésalazine (5-ASA pur, sans sulfapyridine) est utilisée dans les MICI mais n'a pas d'efficacité démontrée en rhumatologie (pas de diffusion systémique suffisante). Ne pas substituer la sulfasalazine par la mésalazine en rhumatologie.</w:t>
      </w:r>
    </w:p>
    <w:p>
      <w:pPr>
        <w:pStyle w:val="Heading2"/>
      </w:pPr>
      <w:r>
        <w:t>151.8 Tableau comparatif synthétique des 6 DMARD synthétiques</w:t>
      </w:r>
    </w:p>
    <w:p>
      <w:r>
        <w:t>Le tableau ci-dessous résume les caractéristiques pharmacologiques, cliniques et réglementaires des 6 DCIs traitées dans ce chapitre. Il est conçu comme un outil de référence rapide pour le pharmacien d'officine et le résident en rhumatologie.</w:t>
      </w:r>
    </w:p>
    <w:p>
      <w:pPr>
        <w:pStyle w:val="Heading3"/>
      </w:pPr>
      <w:r>
        <w:t>151.8.1 Tableau comparatif pharmacologique (6 DCIs × 22 paramètres)</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Paramètre</w:t>
            </w:r>
          </w:p>
        </w:tc>
        <w:tc>
          <w:tcPr>
            <w:tcW w:type="dxa" w:w="1336"/>
          </w:tcPr>
          <w:p>
            <w:r>
              <w:rPr>
                <w:b/>
                <w:sz w:val="20"/>
              </w:rPr>
              <w:t>Leflunomide</w:t>
            </w:r>
          </w:p>
        </w:tc>
        <w:tc>
          <w:tcPr>
            <w:tcW w:type="dxa" w:w="1336"/>
          </w:tcPr>
          <w:p>
            <w:r>
              <w:rPr>
                <w:b/>
                <w:sz w:val="20"/>
              </w:rPr>
              <w:t>Azathioprine</w:t>
            </w:r>
          </w:p>
        </w:tc>
        <w:tc>
          <w:tcPr>
            <w:tcW w:type="dxa" w:w="1336"/>
          </w:tcPr>
          <w:p>
            <w:r>
              <w:rPr>
                <w:b/>
                <w:sz w:val="20"/>
              </w:rPr>
              <w:t>Ciclosporine</w:t>
            </w:r>
          </w:p>
        </w:tc>
        <w:tc>
          <w:tcPr>
            <w:tcW w:type="dxa" w:w="1336"/>
          </w:tcPr>
          <w:p>
            <w:r>
              <w:rPr>
                <w:b/>
                <w:sz w:val="20"/>
              </w:rPr>
              <w:t>Hydroxychloroquine</w:t>
            </w:r>
          </w:p>
        </w:tc>
        <w:tc>
          <w:tcPr>
            <w:tcW w:type="dxa" w:w="1336"/>
          </w:tcPr>
          <w:p>
            <w:r>
              <w:rPr>
                <w:b/>
                <w:sz w:val="20"/>
              </w:rPr>
              <w:t>Méthotrexate</w:t>
            </w:r>
          </w:p>
        </w:tc>
        <w:tc>
          <w:tcPr>
            <w:tcW w:type="dxa" w:w="1336"/>
          </w:tcPr>
          <w:p>
            <w:r>
              <w:rPr>
                <w:b/>
                <w:sz w:val="20"/>
              </w:rPr>
              <w:t>Sulfasalazine</w:t>
            </w:r>
          </w:p>
        </w:tc>
      </w:tr>
      <w:tr>
        <w:tc>
          <w:tcPr>
            <w:tcW w:type="dxa" w:w="1336"/>
          </w:tcPr>
          <w:p>
            <w:r>
              <w:rPr>
                <w:sz w:val="20"/>
              </w:rPr>
              <w:t>**Sous-classe**</w:t>
            </w:r>
          </w:p>
        </w:tc>
        <w:tc>
          <w:tcPr>
            <w:tcW w:type="dxa" w:w="1336"/>
          </w:tcPr>
          <w:p>
            <w:r>
              <w:rPr>
                <w:sz w:val="20"/>
              </w:rPr>
              <w:t>Inhibiteurs pyrimidine</w:t>
            </w:r>
          </w:p>
        </w:tc>
        <w:tc>
          <w:tcPr>
            <w:tcW w:type="dxa" w:w="1336"/>
          </w:tcPr>
          <w:p>
            <w:r>
              <w:rPr>
                <w:sz w:val="20"/>
              </w:rPr>
              <w:t>Immunomodulateurs purine</w:t>
            </w:r>
          </w:p>
        </w:tc>
        <w:tc>
          <w:tcPr>
            <w:tcW w:type="dxa" w:w="1336"/>
          </w:tcPr>
          <w:p>
            <w:r>
              <w:rPr>
                <w:sz w:val="20"/>
              </w:rPr>
              <w:t>Inhibiteurs calcineurine</w:t>
            </w:r>
          </w:p>
        </w:tc>
        <w:tc>
          <w:tcPr>
            <w:tcW w:type="dxa" w:w="1336"/>
          </w:tcPr>
          <w:p>
            <w:r>
              <w:rPr>
                <w:sz w:val="20"/>
              </w:rPr>
              <w:t>Antipaludéens de synthèse</w:t>
            </w:r>
          </w:p>
        </w:tc>
        <w:tc>
          <w:tcPr>
            <w:tcW w:type="dxa" w:w="1336"/>
          </w:tcPr>
          <w:p>
            <w:r>
              <w:rPr>
                <w:sz w:val="20"/>
              </w:rPr>
              <w:t>Antifoliques</w:t>
            </w:r>
          </w:p>
        </w:tc>
        <w:tc>
          <w:tcPr>
            <w:tcW w:type="dxa" w:w="1336"/>
          </w:tcPr>
          <w:p>
            <w:r>
              <w:rPr>
                <w:sz w:val="20"/>
              </w:rPr>
              <w:t>Sulfamides</w:t>
            </w:r>
          </w:p>
        </w:tc>
      </w:tr>
      <w:tr>
        <w:tc>
          <w:tcPr>
            <w:tcW w:type="dxa" w:w="1336"/>
          </w:tcPr>
          <w:p>
            <w:r>
              <w:rPr>
                <w:sz w:val="20"/>
              </w:rPr>
              <w:t>**ATC**</w:t>
            </w:r>
          </w:p>
        </w:tc>
        <w:tc>
          <w:tcPr>
            <w:tcW w:type="dxa" w:w="1336"/>
          </w:tcPr>
          <w:p>
            <w:r>
              <w:rPr>
                <w:sz w:val="20"/>
              </w:rPr>
              <w:t>L04AA13</w:t>
            </w:r>
          </w:p>
        </w:tc>
        <w:tc>
          <w:tcPr>
            <w:tcW w:type="dxa" w:w="1336"/>
          </w:tcPr>
          <w:p>
            <w:r>
              <w:rPr>
                <w:sz w:val="20"/>
              </w:rPr>
              <w:t>L04AX01</w:t>
            </w:r>
          </w:p>
        </w:tc>
        <w:tc>
          <w:tcPr>
            <w:tcW w:type="dxa" w:w="1336"/>
          </w:tcPr>
          <w:p>
            <w:r>
              <w:rPr>
                <w:sz w:val="20"/>
              </w:rPr>
              <w:t>L04AD01</w:t>
            </w:r>
          </w:p>
        </w:tc>
        <w:tc>
          <w:tcPr>
            <w:tcW w:type="dxa" w:w="1336"/>
          </w:tcPr>
          <w:p>
            <w:r>
              <w:rPr>
                <w:sz w:val="20"/>
              </w:rPr>
              <w:t>P01BA02</w:t>
            </w:r>
          </w:p>
        </w:tc>
        <w:tc>
          <w:tcPr>
            <w:tcW w:type="dxa" w:w="1336"/>
          </w:tcPr>
          <w:p>
            <w:r>
              <w:rPr>
                <w:sz w:val="20"/>
              </w:rPr>
              <w:t>L04AX03 / L01BA01</w:t>
            </w:r>
          </w:p>
        </w:tc>
        <w:tc>
          <w:tcPr>
            <w:tcW w:type="dxa" w:w="1336"/>
          </w:tcPr>
          <w:p>
            <w:r>
              <w:rPr>
                <w:sz w:val="20"/>
              </w:rPr>
              <w:t>A07EC01</w:t>
            </w:r>
          </w:p>
        </w:tc>
      </w:tr>
      <w:tr>
        <w:tc>
          <w:tcPr>
            <w:tcW w:type="dxa" w:w="1336"/>
          </w:tcPr>
          <w:p>
            <w:r>
              <w:rPr>
                <w:sz w:val="20"/>
              </w:rPr>
              <w:t>**Mécanisme principal**</w:t>
            </w:r>
          </w:p>
        </w:tc>
        <w:tc>
          <w:tcPr>
            <w:tcW w:type="dxa" w:w="1336"/>
          </w:tcPr>
          <w:p>
            <w:r>
              <w:rPr>
                <w:sz w:val="20"/>
              </w:rPr>
              <w:t>Inhibition DHODH</w:t>
            </w:r>
          </w:p>
        </w:tc>
        <w:tc>
          <w:tcPr>
            <w:tcW w:type="dxa" w:w="1336"/>
          </w:tcPr>
          <w:p>
            <w:r>
              <w:rPr>
                <w:sz w:val="20"/>
              </w:rPr>
              <w:t>Prodrogue → 6-MP → ADN</w:t>
            </w:r>
          </w:p>
        </w:tc>
        <w:tc>
          <w:tcPr>
            <w:tcW w:type="dxa" w:w="1336"/>
          </w:tcPr>
          <w:p>
            <w:r>
              <w:rPr>
                <w:sz w:val="20"/>
              </w:rPr>
              <w:t>Inhibition calcineurine → bloc IL-2</w:t>
            </w:r>
          </w:p>
        </w:tc>
        <w:tc>
          <w:tcPr>
            <w:tcW w:type="dxa" w:w="1336"/>
          </w:tcPr>
          <w:p>
            <w:r>
              <w:rPr>
                <w:sz w:val="20"/>
              </w:rPr>
              <w:t>Alcalinisation lysosomes → modulation immunitaire</w:t>
            </w:r>
          </w:p>
        </w:tc>
        <w:tc>
          <w:tcPr>
            <w:tcW w:type="dxa" w:w="1336"/>
          </w:tcPr>
          <w:p>
            <w:r>
              <w:rPr>
                <w:sz w:val="20"/>
              </w:rPr>
              <w:t>Inhibition AICAR-TF → adénosine</w:t>
            </w:r>
          </w:p>
        </w:tc>
        <w:tc>
          <w:tcPr>
            <w:tcW w:type="dxa" w:w="1336"/>
          </w:tcPr>
          <w:p>
            <w:r>
              <w:rPr>
                <w:sz w:val="20"/>
              </w:rPr>
              <w:t>Inhibition multi-cibles NF-κB, COX, 5-LOX</w:t>
            </w:r>
          </w:p>
        </w:tc>
      </w:tr>
      <w:tr>
        <w:tc>
          <w:tcPr>
            <w:tcW w:type="dxa" w:w="1336"/>
          </w:tcPr>
          <w:p>
            <w:r>
              <w:rPr>
                <w:sz w:val="20"/>
              </w:rPr>
              <w:t>**Délai d'action**</w:t>
            </w:r>
          </w:p>
        </w:tc>
        <w:tc>
          <w:tcPr>
            <w:tcW w:type="dxa" w:w="1336"/>
          </w:tcPr>
          <w:p>
            <w:r>
              <w:rPr>
                <w:sz w:val="20"/>
              </w:rPr>
              <w:t>4–12 semaines</w:t>
            </w:r>
          </w:p>
        </w:tc>
        <w:tc>
          <w:tcPr>
            <w:tcW w:type="dxa" w:w="1336"/>
          </w:tcPr>
          <w:p>
            <w:r>
              <w:rPr>
                <w:sz w:val="20"/>
              </w:rPr>
              <w:t>6–12 semaines</w:t>
            </w:r>
          </w:p>
        </w:tc>
        <w:tc>
          <w:tcPr>
            <w:tcW w:type="dxa" w:w="1336"/>
          </w:tcPr>
          <w:p>
            <w:r>
              <w:rPr>
                <w:sz w:val="20"/>
              </w:rPr>
              <w:t>4–8 semaines</w:t>
            </w:r>
          </w:p>
        </w:tc>
        <w:tc>
          <w:tcPr>
            <w:tcW w:type="dxa" w:w="1336"/>
          </w:tcPr>
          <w:p>
            <w:r>
              <w:rPr>
                <w:sz w:val="20"/>
              </w:rPr>
              <w:t>8–12 semaines</w:t>
            </w:r>
          </w:p>
        </w:tc>
        <w:tc>
          <w:tcPr>
            <w:tcW w:type="dxa" w:w="1336"/>
          </w:tcPr>
          <w:p>
            <w:r>
              <w:rPr>
                <w:sz w:val="20"/>
              </w:rPr>
              <w:t>4–8 semaines</w:t>
            </w:r>
          </w:p>
        </w:tc>
        <w:tc>
          <w:tcPr>
            <w:tcW w:type="dxa" w:w="1336"/>
          </w:tcPr>
          <w:p>
            <w:r>
              <w:rPr>
                <w:sz w:val="20"/>
              </w:rPr>
              <w:t>8–12 semaines</w:t>
            </w:r>
          </w:p>
        </w:tc>
      </w:tr>
      <w:tr>
        <w:tc>
          <w:tcPr>
            <w:tcW w:type="dxa" w:w="1336"/>
          </w:tcPr>
          <w:p>
            <w:r>
              <w:rPr>
                <w:sz w:val="20"/>
              </w:rPr>
              <w:t>**Voie d'administration**</w:t>
            </w:r>
          </w:p>
        </w:tc>
        <w:tc>
          <w:tcPr>
            <w:tcW w:type="dxa" w:w="1336"/>
          </w:tcPr>
          <w:p>
            <w:r>
              <w:rPr>
                <w:sz w:val="20"/>
              </w:rPr>
              <w:t>Per os</w:t>
            </w:r>
          </w:p>
        </w:tc>
        <w:tc>
          <w:tcPr>
            <w:tcW w:type="dxa" w:w="1336"/>
          </w:tcPr>
          <w:p>
            <w:r>
              <w:rPr>
                <w:sz w:val="20"/>
              </w:rPr>
              <w:t>Per os</w:t>
            </w:r>
          </w:p>
        </w:tc>
        <w:tc>
          <w:tcPr>
            <w:tcW w:type="dxa" w:w="1336"/>
          </w:tcPr>
          <w:p>
            <w:r>
              <w:rPr>
                <w:sz w:val="20"/>
              </w:rPr>
              <w:t>Per os, IV, ophtalmique</w:t>
            </w:r>
          </w:p>
        </w:tc>
        <w:tc>
          <w:tcPr>
            <w:tcW w:type="dxa" w:w="1336"/>
          </w:tcPr>
          <w:p>
            <w:r>
              <w:rPr>
                <w:sz w:val="20"/>
              </w:rPr>
              <w:t>Per os</w:t>
            </w:r>
          </w:p>
        </w:tc>
        <w:tc>
          <w:tcPr>
            <w:tcW w:type="dxa" w:w="1336"/>
          </w:tcPr>
          <w:p>
            <w:r>
              <w:rPr>
                <w:sz w:val="20"/>
              </w:rPr>
              <w:t>Per os, SC, IM, IV</w:t>
            </w:r>
          </w:p>
        </w:tc>
        <w:tc>
          <w:tcPr>
            <w:tcW w:type="dxa" w:w="1336"/>
          </w:tcPr>
          <w:p>
            <w:r>
              <w:rPr>
                <w:sz w:val="20"/>
              </w:rPr>
              <w:t>Per os</w:t>
            </w:r>
          </w:p>
        </w:tc>
      </w:tr>
      <w:tr>
        <w:tc>
          <w:tcPr>
            <w:tcW w:type="dxa" w:w="1336"/>
          </w:tcPr>
          <w:p>
            <w:r>
              <w:rPr>
                <w:sz w:val="20"/>
              </w:rPr>
              <w:t>**Posologie standard**</w:t>
            </w:r>
          </w:p>
        </w:tc>
        <w:tc>
          <w:tcPr>
            <w:tcW w:type="dxa" w:w="1336"/>
          </w:tcPr>
          <w:p>
            <w:r>
              <w:rPr>
                <w:sz w:val="20"/>
              </w:rPr>
              <w:t>100 mg × 3 j puis 10–20 mg/jour</w:t>
            </w:r>
          </w:p>
        </w:tc>
        <w:tc>
          <w:tcPr>
            <w:tcW w:type="dxa" w:w="1336"/>
          </w:tcPr>
          <w:p>
            <w:r>
              <w:rPr>
                <w:sz w:val="20"/>
              </w:rPr>
              <w:t>1–3 mg/kg/jour (100–150 mg/jour)</w:t>
            </w:r>
          </w:p>
        </w:tc>
        <w:tc>
          <w:tcPr>
            <w:tcW w:type="dxa" w:w="1336"/>
          </w:tcPr>
          <w:p>
            <w:r>
              <w:rPr>
                <w:sz w:val="20"/>
              </w:rPr>
              <w:t>2,5–5 mg/kg/jour en 2 prises</w:t>
            </w:r>
          </w:p>
        </w:tc>
        <w:tc>
          <w:tcPr>
            <w:tcW w:type="dxa" w:w="1336"/>
          </w:tcPr>
          <w:p>
            <w:r>
              <w:rPr>
                <w:sz w:val="20"/>
              </w:rPr>
              <w:t>200 mg × 2/jour (400 mg/jour, max 5 mg/kg/j)</w:t>
            </w:r>
          </w:p>
        </w:tc>
        <w:tc>
          <w:tcPr>
            <w:tcW w:type="dxa" w:w="1336"/>
          </w:tcPr>
          <w:p>
            <w:r>
              <w:rPr>
                <w:sz w:val="20"/>
              </w:rPr>
              <w:t>7,5–25 mg/SEMAINE (1 prise)</w:t>
            </w:r>
          </w:p>
        </w:tc>
        <w:tc>
          <w:tcPr>
            <w:tcW w:type="dxa" w:w="1336"/>
          </w:tcPr>
          <w:p>
            <w:r>
              <w:rPr>
                <w:sz w:val="20"/>
              </w:rPr>
              <w:t>2–3 g/jour en 2–3 prises</w:t>
            </w:r>
          </w:p>
        </w:tc>
      </w:tr>
      <w:tr>
        <w:tc>
          <w:tcPr>
            <w:tcW w:type="dxa" w:w="1336"/>
          </w:tcPr>
          <w:p>
            <w:r>
              <w:rPr>
                <w:sz w:val="20"/>
              </w:rPr>
              <w:t>**Dose maximale**</w:t>
            </w:r>
          </w:p>
        </w:tc>
        <w:tc>
          <w:tcPr>
            <w:tcW w:type="dxa" w:w="1336"/>
          </w:tcPr>
          <w:p>
            <w:r>
              <w:rPr>
                <w:sz w:val="20"/>
              </w:rPr>
              <w:t>20 mg/jour</w:t>
            </w:r>
          </w:p>
        </w:tc>
        <w:tc>
          <w:tcPr>
            <w:tcW w:type="dxa" w:w="1336"/>
          </w:tcPr>
          <w:p>
            <w:r>
              <w:rPr>
                <w:sz w:val="20"/>
              </w:rPr>
              <w:t>3 mg/kg/jour</w:t>
            </w:r>
          </w:p>
        </w:tc>
        <w:tc>
          <w:tcPr>
            <w:tcW w:type="dxa" w:w="1336"/>
          </w:tcPr>
          <w:p>
            <w:r>
              <w:rPr>
                <w:sz w:val="20"/>
              </w:rPr>
              <w:t>5 mg/kg/jour</w:t>
            </w:r>
          </w:p>
        </w:tc>
        <w:tc>
          <w:tcPr>
            <w:tcW w:type="dxa" w:w="1336"/>
          </w:tcPr>
          <w:p>
            <w:r>
              <w:rPr>
                <w:sz w:val="20"/>
              </w:rPr>
              <w:t>5 mg/kg/jour réel</w:t>
            </w:r>
          </w:p>
        </w:tc>
        <w:tc>
          <w:tcPr>
            <w:tcW w:type="dxa" w:w="1336"/>
          </w:tcPr>
          <w:p>
            <w:r>
              <w:rPr>
                <w:sz w:val="20"/>
              </w:rPr>
              <w:t>25 mg/semaine</w:t>
            </w:r>
          </w:p>
        </w:tc>
        <w:tc>
          <w:tcPr>
            <w:tcW w:type="dxa" w:w="1336"/>
          </w:tcPr>
          <w:p>
            <w:r>
              <w:rPr>
                <w:sz w:val="20"/>
              </w:rPr>
              <w:t>3 g/jour</w:t>
            </w:r>
          </w:p>
        </w:tc>
      </w:tr>
      <w:tr>
        <w:tc>
          <w:tcPr>
            <w:tcW w:type="dxa" w:w="1336"/>
          </w:tcPr>
          <w:p>
            <w:r>
              <w:rPr>
                <w:sz w:val="20"/>
              </w:rPr>
              <w:t>**Demi-vie**</w:t>
            </w:r>
          </w:p>
        </w:tc>
        <w:tc>
          <w:tcPr>
            <w:tcW w:type="dxa" w:w="1336"/>
          </w:tcPr>
          <w:p>
            <w:r>
              <w:rPr>
                <w:sz w:val="20"/>
              </w:rPr>
              <w:t>2 semaines</w:t>
            </w:r>
          </w:p>
        </w:tc>
        <w:tc>
          <w:tcPr>
            <w:tcW w:type="dxa" w:w="1336"/>
          </w:tcPr>
          <w:p>
            <w:r>
              <w:rPr>
                <w:sz w:val="20"/>
              </w:rPr>
              <w:t>1 heure (clivage en 6-MP)</w:t>
            </w:r>
          </w:p>
        </w:tc>
        <w:tc>
          <w:tcPr>
            <w:tcW w:type="dxa" w:w="1336"/>
          </w:tcPr>
          <w:p>
            <w:r>
              <w:rPr>
                <w:sz w:val="20"/>
              </w:rPr>
              <w:t>8 heures</w:t>
            </w:r>
          </w:p>
        </w:tc>
        <w:tc>
          <w:tcPr>
            <w:tcW w:type="dxa" w:w="1336"/>
          </w:tcPr>
          <w:p>
            <w:r>
              <w:rPr>
                <w:sz w:val="20"/>
              </w:rPr>
              <w:t>40–50 jours</w:t>
            </w:r>
          </w:p>
        </w:tc>
        <w:tc>
          <w:tcPr>
            <w:tcW w:type="dxa" w:w="1336"/>
          </w:tcPr>
          <w:p>
            <w:r>
              <w:rPr>
                <w:sz w:val="20"/>
              </w:rPr>
              <w:t>6–8 heures (effet cellulaire 1–2 sem)</w:t>
            </w:r>
          </w:p>
        </w:tc>
        <w:tc>
          <w:tcPr>
            <w:tcW w:type="dxa" w:w="1336"/>
          </w:tcPr>
          <w:p>
            <w:r>
              <w:rPr>
                <w:sz w:val="20"/>
              </w:rPr>
              <w:t>6–10 heures</w:t>
            </w:r>
          </w:p>
        </w:tc>
      </w:tr>
      <w:tr>
        <w:tc>
          <w:tcPr>
            <w:tcW w:type="dxa" w:w="1336"/>
          </w:tcPr>
          <w:p>
            <w:r>
              <w:rPr>
                <w:sz w:val="20"/>
              </w:rPr>
              <w:t>**Métabolisme**</w:t>
            </w:r>
          </w:p>
        </w:tc>
        <w:tc>
          <w:tcPr>
            <w:tcW w:type="dxa" w:w="1336"/>
          </w:tcPr>
          <w:p>
            <w:r>
              <w:rPr>
                <w:sz w:val="20"/>
              </w:rPr>
              <w:t>Hépatique non enzymatique</w:t>
            </w:r>
          </w:p>
        </w:tc>
        <w:tc>
          <w:tcPr>
            <w:tcW w:type="dxa" w:w="1336"/>
          </w:tcPr>
          <w:p>
            <w:r>
              <w:rPr>
                <w:sz w:val="20"/>
              </w:rPr>
              <w:t>HGPRT, XO, TPMT</w:t>
            </w:r>
          </w:p>
        </w:tc>
        <w:tc>
          <w:tcPr>
            <w:tcW w:type="dxa" w:w="1336"/>
          </w:tcPr>
          <w:p>
            <w:r>
              <w:rPr>
                <w:sz w:val="20"/>
              </w:rPr>
              <w:t>CYP3A4, P-gp</w:t>
            </w:r>
          </w:p>
        </w:tc>
        <w:tc>
          <w:tcPr>
            <w:tcW w:type="dxa" w:w="1336"/>
          </w:tcPr>
          <w:p>
            <w:r>
              <w:rPr>
                <w:sz w:val="20"/>
              </w:rPr>
              <w:t>CYP2C8, 2D6, 3A4</w:t>
            </w:r>
          </w:p>
        </w:tc>
        <w:tc>
          <w:tcPr>
            <w:tcW w:type="dxa" w:w="1336"/>
          </w:tcPr>
          <w:p>
            <w:r>
              <w:rPr>
                <w:sz w:val="20"/>
              </w:rPr>
              <w:t>RFC1 transport + polyglutamation</w:t>
            </w:r>
          </w:p>
        </w:tc>
        <w:tc>
          <w:tcPr>
            <w:tcW w:type="dxa" w:w="1336"/>
          </w:tcPr>
          <w:p>
            <w:r>
              <w:rPr>
                <w:sz w:val="20"/>
              </w:rPr>
              <w:t>Azo-réductases coliques</w:t>
            </w:r>
          </w:p>
        </w:tc>
      </w:tr>
      <w:tr>
        <w:tc>
          <w:tcPr>
            <w:tcW w:type="dxa" w:w="1336"/>
          </w:tcPr>
          <w:p>
            <w:r>
              <w:rPr>
                <w:sz w:val="20"/>
              </w:rPr>
              <w:t>**Élimination**</w:t>
            </w:r>
          </w:p>
        </w:tc>
        <w:tc>
          <w:tcPr>
            <w:tcW w:type="dxa" w:w="1336"/>
          </w:tcPr>
          <w:p>
            <w:r>
              <w:rPr>
                <w:sz w:val="20"/>
              </w:rPr>
              <w:t>Biliaire + rénale</w:t>
            </w:r>
          </w:p>
        </w:tc>
        <w:tc>
          <w:tcPr>
            <w:tcW w:type="dxa" w:w="1336"/>
          </w:tcPr>
          <w:p>
            <w:r>
              <w:rPr>
                <w:sz w:val="20"/>
              </w:rPr>
              <w:t>Rénale (6-MP inactive)</w:t>
            </w:r>
          </w:p>
        </w:tc>
        <w:tc>
          <w:tcPr>
            <w:tcW w:type="dxa" w:w="1336"/>
          </w:tcPr>
          <w:p>
            <w:r>
              <w:rPr>
                <w:sz w:val="20"/>
              </w:rPr>
              <w:t>Biliaire (90 %)</w:t>
            </w:r>
          </w:p>
        </w:tc>
        <w:tc>
          <w:tcPr>
            <w:tcW w:type="dxa" w:w="1336"/>
          </w:tcPr>
          <w:p>
            <w:r>
              <w:rPr>
                <w:sz w:val="20"/>
              </w:rPr>
              <w:t>Rénale (60 %)</w:t>
            </w:r>
          </w:p>
        </w:tc>
        <w:tc>
          <w:tcPr>
            <w:tcW w:type="dxa" w:w="1336"/>
          </w:tcPr>
          <w:p>
            <w:r>
              <w:rPr>
                <w:sz w:val="20"/>
              </w:rPr>
              <w:t>Rénale (filtration + sécrétion tubulaire)</w:t>
            </w:r>
          </w:p>
        </w:tc>
        <w:tc>
          <w:tcPr>
            <w:tcW w:type="dxa" w:w="1336"/>
          </w:tcPr>
          <w:p>
            <w:r>
              <w:rPr>
                <w:sz w:val="20"/>
              </w:rPr>
              <w:t>Fécale (5-ASA) + rénale (sulfapyridine)</w:t>
            </w:r>
          </w:p>
        </w:tc>
      </w:tr>
      <w:tr>
        <w:tc>
          <w:tcPr>
            <w:tcW w:type="dxa" w:w="1336"/>
          </w:tcPr>
          <w:p>
            <w:r>
              <w:rPr>
                <w:sz w:val="20"/>
              </w:rPr>
              <w:t>**CI grossesse**</w:t>
            </w:r>
          </w:p>
        </w:tc>
        <w:tc>
          <w:tcPr>
            <w:tcW w:type="dxa" w:w="1336"/>
          </w:tcPr>
          <w:p>
            <w:r>
              <w:rPr>
                <w:sz w:val="20"/>
              </w:rPr>
              <w:t>Cat X — washout 2 ans</w:t>
            </w:r>
          </w:p>
        </w:tc>
        <w:tc>
          <w:tcPr>
            <w:tcW w:type="dxa" w:w="1336"/>
          </w:tcPr>
          <w:p>
            <w:r>
              <w:rPr>
                <w:sz w:val="20"/>
              </w:rPr>
              <w:t>Cat D — déconseillé 1er trimestre</w:t>
            </w:r>
          </w:p>
        </w:tc>
        <w:tc>
          <w:tcPr>
            <w:tcW w:type="dxa" w:w="1336"/>
          </w:tcPr>
          <w:p>
            <w:r>
              <w:rPr>
                <w:sz w:val="20"/>
              </w:rPr>
              <w:t>Cat C — possible</w:t>
            </w:r>
          </w:p>
        </w:tc>
        <w:tc>
          <w:tcPr>
            <w:tcW w:type="dxa" w:w="1336"/>
          </w:tcPr>
          <w:p>
            <w:r>
              <w:rPr>
                <w:sz w:val="20"/>
              </w:rPr>
              <w:t>Cat C — **possible et recommandé** dans le lupus</w:t>
            </w:r>
          </w:p>
        </w:tc>
        <w:tc>
          <w:tcPr>
            <w:tcW w:type="dxa" w:w="1336"/>
          </w:tcPr>
          <w:p>
            <w:r>
              <w:rPr>
                <w:sz w:val="20"/>
              </w:rPr>
              <w:t>Cat X — CI absolue</w:t>
            </w:r>
          </w:p>
        </w:tc>
        <w:tc>
          <w:tcPr>
            <w:tcW w:type="dxa" w:w="1336"/>
          </w:tcPr>
          <w:p>
            <w:r>
              <w:rPr>
                <w:sz w:val="20"/>
              </w:rPr>
              <w:t>Cat B — possible, à éviter 3e trim.</w:t>
            </w:r>
          </w:p>
        </w:tc>
      </w:tr>
      <w:tr>
        <w:tc>
          <w:tcPr>
            <w:tcW w:type="dxa" w:w="1336"/>
          </w:tcPr>
          <w:p>
            <w:r>
              <w:rPr>
                <w:sz w:val="20"/>
              </w:rPr>
              <w:t>**CI allaitement**</w:t>
            </w:r>
          </w:p>
        </w:tc>
        <w:tc>
          <w:tcPr>
            <w:tcW w:type="dxa" w:w="1336"/>
          </w:tcPr>
          <w:p>
            <w:r>
              <w:rPr>
                <w:sz w:val="20"/>
              </w:rPr>
              <w:t>Contre-indication absolue</w:t>
            </w:r>
          </w:p>
        </w:tc>
        <w:tc>
          <w:tcPr>
            <w:tcW w:type="dxa" w:w="1336"/>
          </w:tcPr>
          <w:p>
            <w:r>
              <w:rPr>
                <w:sz w:val="20"/>
              </w:rPr>
              <w:t>Possible, surveillance NFS</w:t>
            </w:r>
          </w:p>
        </w:tc>
        <w:tc>
          <w:tcPr>
            <w:tcW w:type="dxa" w:w="1336"/>
          </w:tcPr>
          <w:p>
            <w:r>
              <w:rPr>
                <w:sz w:val="20"/>
              </w:rPr>
              <w:t>Possible, surveillance NFS du nourrisson</w:t>
            </w:r>
          </w:p>
        </w:tc>
        <w:tc>
          <w:tcPr>
            <w:tcW w:type="dxa" w:w="1336"/>
          </w:tcPr>
          <w:p>
            <w:r>
              <w:rPr>
                <w:sz w:val="20"/>
              </w:rPr>
              <w:t>Possible</w:t>
            </w:r>
          </w:p>
        </w:tc>
        <w:tc>
          <w:tcPr>
            <w:tcW w:type="dxa" w:w="1336"/>
          </w:tcPr>
          <w:p>
            <w:r>
              <w:rPr>
                <w:sz w:val="20"/>
              </w:rPr>
              <w:t>Contre-indication absolue</w:t>
            </w:r>
          </w:p>
        </w:tc>
        <w:tc>
          <w:tcPr>
            <w:tcW w:type="dxa" w:w="1336"/>
          </w:tcPr>
          <w:p>
            <w:r>
              <w:rPr>
                <w:sz w:val="20"/>
              </w:rPr>
              <w:t>Possible ≤ 2 g/jour, surveiller nourrisson</w:t>
            </w:r>
          </w:p>
        </w:tc>
      </w:tr>
      <w:tr>
        <w:tc>
          <w:tcPr>
            <w:tcW w:type="dxa" w:w="1336"/>
          </w:tcPr>
          <w:p>
            <w:r>
              <w:rPr>
                <w:sz w:val="20"/>
              </w:rPr>
              <w:t>**Effet indésirable majeur**</w:t>
            </w:r>
          </w:p>
        </w:tc>
        <w:tc>
          <w:tcPr>
            <w:tcW w:type="dxa" w:w="1336"/>
          </w:tcPr>
          <w:p>
            <w:r>
              <w:rPr>
                <w:sz w:val="20"/>
              </w:rPr>
              <w:t>Hépatotoxicité, pneumopathie, alopécie</w:t>
            </w:r>
          </w:p>
        </w:tc>
        <w:tc>
          <w:tcPr>
            <w:tcW w:type="dxa" w:w="1336"/>
          </w:tcPr>
          <w:p>
            <w:r>
              <w:rPr>
                <w:sz w:val="20"/>
              </w:rPr>
              <w:t>Myélotoxicité (TPMT), pancréatite, HTAP</w:t>
            </w:r>
          </w:p>
        </w:tc>
        <w:tc>
          <w:tcPr>
            <w:tcW w:type="dxa" w:w="1336"/>
          </w:tcPr>
          <w:p>
            <w:r>
              <w:rPr>
                <w:sz w:val="20"/>
              </w:rPr>
              <w:t>Néphrotoxicité, HTA, tremblements</w:t>
            </w:r>
          </w:p>
        </w:tc>
        <w:tc>
          <w:tcPr>
            <w:tcW w:type="dxa" w:w="1336"/>
          </w:tcPr>
          <w:p>
            <w:r>
              <w:rPr>
                <w:sz w:val="20"/>
              </w:rPr>
              <w:t>Rétinopathie, allongement QT</w:t>
            </w:r>
          </w:p>
        </w:tc>
        <w:tc>
          <w:tcPr>
            <w:tcW w:type="dxa" w:w="1336"/>
          </w:tcPr>
          <w:p>
            <w:r>
              <w:rPr>
                <w:sz w:val="20"/>
              </w:rPr>
              <w:t>Hépatotoxicité, mucite, pneumopathie, myélotoxicité</w:t>
            </w:r>
          </w:p>
        </w:tc>
        <w:tc>
          <w:tcPr>
            <w:tcW w:type="dxa" w:w="1336"/>
          </w:tcPr>
          <w:p>
            <w:r>
              <w:rPr>
                <w:sz w:val="20"/>
              </w:rPr>
              <w:t>Agranulocytose, hépatotoxicité, rash</w:t>
            </w:r>
          </w:p>
        </w:tc>
      </w:tr>
      <w:tr>
        <w:tc>
          <w:tcPr>
            <w:tcW w:type="dxa" w:w="1336"/>
          </w:tcPr>
          <w:p>
            <w:r>
              <w:rPr>
                <w:sz w:val="20"/>
              </w:rPr>
              <w:t>**Surveillance biologique**</w:t>
            </w:r>
          </w:p>
        </w:tc>
        <w:tc>
          <w:tcPr>
            <w:tcW w:type="dxa" w:w="1336"/>
          </w:tcPr>
          <w:p>
            <w:r>
              <w:rPr>
                <w:sz w:val="20"/>
              </w:rPr>
              <w:t>ALAT/ASAT/NFS mensuel 6 mois</w:t>
            </w:r>
          </w:p>
        </w:tc>
        <w:tc>
          <w:tcPr>
            <w:tcW w:type="dxa" w:w="1336"/>
          </w:tcPr>
          <w:p>
            <w:r>
              <w:rPr>
                <w:sz w:val="20"/>
              </w:rPr>
              <w:t>NFS/ALAT mensuel 3 mois</w:t>
            </w:r>
          </w:p>
        </w:tc>
        <w:tc>
          <w:tcPr>
            <w:tcW w:type="dxa" w:w="1336"/>
          </w:tcPr>
          <w:p>
            <w:r>
              <w:rPr>
                <w:sz w:val="20"/>
              </w:rPr>
              <w:t>Créat/iono/K+/ALAT mensuel 3 mois</w:t>
            </w:r>
          </w:p>
        </w:tc>
        <w:tc>
          <w:tcPr>
            <w:tcW w:type="dxa" w:w="1336"/>
          </w:tcPr>
          <w:p>
            <w:r>
              <w:rPr>
                <w:sz w:val="20"/>
              </w:rPr>
              <w:t>NFS/ALAT/créat trimestriel</w:t>
            </w:r>
          </w:p>
        </w:tc>
        <w:tc>
          <w:tcPr>
            <w:tcW w:type="dxa" w:w="1336"/>
          </w:tcPr>
          <w:p>
            <w:r>
              <w:rPr>
                <w:sz w:val="20"/>
              </w:rPr>
              <w:t>NFS/ALAT/créat mensuel 6 mois</w:t>
            </w:r>
          </w:p>
        </w:tc>
        <w:tc>
          <w:tcPr>
            <w:tcW w:type="dxa" w:w="1336"/>
          </w:tcPr>
          <w:p>
            <w:r>
              <w:rPr>
                <w:sz w:val="20"/>
              </w:rPr>
              <w:t>NFS/ALAT/créat hebdo 1 mois, mensuel 3 mois</w:t>
            </w:r>
          </w:p>
        </w:tc>
      </w:tr>
      <w:tr>
        <w:tc>
          <w:tcPr>
            <w:tcW w:type="dxa" w:w="1336"/>
          </w:tcPr>
          <w:p>
            <w:r>
              <w:rPr>
                <w:sz w:val="20"/>
              </w:rPr>
              <w:t>**Surveillance spécifique**</w:t>
            </w:r>
          </w:p>
        </w:tc>
        <w:tc>
          <w:tcPr>
            <w:tcW w:type="dxa" w:w="1336"/>
          </w:tcPr>
          <w:p>
            <w:r>
              <w:rPr>
                <w:sz w:val="20"/>
              </w:rPr>
              <w:t>Fonction hépatique, grossesse</w:t>
            </w:r>
          </w:p>
        </w:tc>
        <w:tc>
          <w:tcPr>
            <w:tcW w:type="dxa" w:w="1336"/>
          </w:tcPr>
          <w:p>
            <w:r>
              <w:rPr>
                <w:sz w:val="20"/>
              </w:rPr>
              <w:t>Génotypage TPMT pré-thérapeutique</w:t>
            </w:r>
          </w:p>
        </w:tc>
        <w:tc>
          <w:tcPr>
            <w:tcW w:type="dxa" w:w="1336"/>
          </w:tcPr>
          <w:p>
            <w:r>
              <w:rPr>
                <w:sz w:val="20"/>
              </w:rPr>
              <w:t>Taux résiduel C0 (100–200 ng/mL), tension artérielle</w:t>
            </w:r>
          </w:p>
        </w:tc>
        <w:tc>
          <w:tcPr>
            <w:tcW w:type="dxa" w:w="1336"/>
          </w:tcPr>
          <w:p>
            <w:r>
              <w:rPr>
                <w:sz w:val="20"/>
              </w:rPr>
              <w:t>Fond d'œil + OCT maculaire + champ visuel 10-2 annuel</w:t>
            </w:r>
          </w:p>
        </w:tc>
        <w:tc>
          <w:tcPr>
            <w:tcW w:type="dxa" w:w="1336"/>
          </w:tcPr>
          <w:p>
            <w:r>
              <w:rPr>
                <w:sz w:val="20"/>
              </w:rPr>
              <w:t>Acide folique supplémentation, prise hebdomadaire unique</w:t>
            </w:r>
          </w:p>
        </w:tc>
        <w:tc>
          <w:tcPr>
            <w:tcW w:type="dxa" w:w="1336"/>
          </w:tcPr>
          <w:p>
            <w:r>
              <w:rPr>
                <w:sz w:val="20"/>
              </w:rPr>
              <w:t>G6PD pré-thérapeutique</w:t>
            </w:r>
          </w:p>
        </w:tc>
      </w:tr>
      <w:tr>
        <w:tc>
          <w:tcPr>
            <w:tcW w:type="dxa" w:w="1336"/>
          </w:tcPr>
          <w:p>
            <w:r>
              <w:rPr>
                <w:sz w:val="20"/>
              </w:rPr>
              <w:t>**Interactions majeures**</w:t>
            </w:r>
          </w:p>
        </w:tc>
        <w:tc>
          <w:tcPr>
            <w:tcW w:type="dxa" w:w="1336"/>
          </w:tcPr>
          <w:p>
            <w:r>
              <w:rPr>
                <w:sz w:val="20"/>
              </w:rPr>
              <w:t>Méthotrexate, statines, warfarine</w:t>
            </w:r>
          </w:p>
        </w:tc>
        <w:tc>
          <w:tcPr>
            <w:tcW w:type="dxa" w:w="1336"/>
          </w:tcPr>
          <w:p>
            <w:r>
              <w:rPr>
                <w:sz w:val="20"/>
              </w:rPr>
              <w:t>Allopurinol (CI), vaccins vivants</w:t>
            </w:r>
          </w:p>
        </w:tc>
        <w:tc>
          <w:tcPr>
            <w:tcW w:type="dxa" w:w="1336"/>
          </w:tcPr>
          <w:p>
            <w:r>
              <w:rPr>
                <w:sz w:val="20"/>
              </w:rPr>
              <w:t>CYP3A4 (macrolides, azolés), pamplemousse, statines</w:t>
            </w:r>
          </w:p>
        </w:tc>
        <w:tc>
          <w:tcPr>
            <w:tcW w:type="dxa" w:w="1336"/>
          </w:tcPr>
          <w:p>
            <w:r>
              <w:rPr>
                <w:sz w:val="20"/>
              </w:rPr>
              <w:t>Tamoxifène (CI), QT-allongeants, anti-acides</w:t>
            </w:r>
          </w:p>
        </w:tc>
        <w:tc>
          <w:tcPr>
            <w:tcW w:type="dxa" w:w="1336"/>
          </w:tcPr>
          <w:p>
            <w:r>
              <w:rPr>
                <w:sz w:val="20"/>
              </w:rPr>
              <w:t>Cotrimoxazole (CI), AINS, salicylés, probénécide</w:t>
            </w:r>
          </w:p>
        </w:tc>
        <w:tc>
          <w:tcPr>
            <w:tcW w:type="dxa" w:w="1336"/>
          </w:tcPr>
          <w:p>
            <w:r>
              <w:rPr>
                <w:sz w:val="20"/>
              </w:rPr>
              <w:t>Méthotrexate, azathioprine, cotrimoxazole</w:t>
            </w:r>
          </w:p>
        </w:tc>
      </w:tr>
      <w:tr>
        <w:tc>
          <w:tcPr>
            <w:tcW w:type="dxa" w:w="1336"/>
          </w:tcPr>
          <w:p>
            <w:r>
              <w:rPr>
                <w:sz w:val="20"/>
              </w:rPr>
              <w:t>**Supplémentation associée**</w:t>
            </w:r>
          </w:p>
        </w:tc>
        <w:tc>
          <w:tcPr>
            <w:tcW w:type="dxa" w:w="1336"/>
          </w:tcPr>
          <w:p>
            <w:r>
              <w:rPr>
                <w:sz w:val="20"/>
              </w:rPr>
              <w:t>—</w:t>
            </w:r>
          </w:p>
        </w:tc>
        <w:tc>
          <w:tcPr>
            <w:tcW w:type="dxa" w:w="1336"/>
          </w:tcPr>
          <w:p>
            <w:r>
              <w:rPr>
                <w:sz w:val="20"/>
              </w:rPr>
              <w:t>—</w:t>
            </w:r>
          </w:p>
        </w:tc>
        <w:tc>
          <w:tcPr>
            <w:tcW w:type="dxa" w:w="1336"/>
          </w:tcPr>
          <w:p>
            <w:r>
              <w:rPr>
                <w:sz w:val="20"/>
              </w:rPr>
              <w:t>—</w:t>
            </w:r>
          </w:p>
        </w:tc>
        <w:tc>
          <w:tcPr>
            <w:tcW w:type="dxa" w:w="1336"/>
          </w:tcPr>
          <w:p>
            <w:r>
              <w:rPr>
                <w:sz w:val="20"/>
              </w:rPr>
              <w:t>Acide folique (grossesse)</w:t>
            </w:r>
          </w:p>
        </w:tc>
        <w:tc>
          <w:tcPr>
            <w:tcW w:type="dxa" w:w="1336"/>
          </w:tcPr>
          <w:p>
            <w:r>
              <w:rPr>
                <w:sz w:val="20"/>
              </w:rPr>
              <w:t>Acide folique 5 mg/sem à J+1</w:t>
            </w:r>
          </w:p>
        </w:tc>
        <w:tc>
          <w:tcPr>
            <w:tcW w:type="dxa" w:w="1336"/>
          </w:tcPr>
          <w:p>
            <w:r>
              <w:rPr>
                <w:sz w:val="20"/>
              </w:rPr>
              <w:t>Acide folique 5 mg/j (grossesse)</w:t>
            </w:r>
          </w:p>
        </w:tc>
      </w:tr>
      <w:tr>
        <w:tc>
          <w:tcPr>
            <w:tcW w:type="dxa" w:w="1336"/>
          </w:tcPr>
          <w:p>
            <w:r>
              <w:rPr>
                <w:sz w:val="20"/>
              </w:rPr>
              <w:t>**Coût mensuel Algérie (DA)**</w:t>
            </w:r>
          </w:p>
        </w:tc>
        <w:tc>
          <w:tcPr>
            <w:tcW w:type="dxa" w:w="1336"/>
          </w:tcPr>
          <w:p>
            <w:r>
              <w:rPr>
                <w:sz w:val="20"/>
              </w:rPr>
              <w:t>600–1 500</w:t>
            </w:r>
          </w:p>
        </w:tc>
        <w:tc>
          <w:tcPr>
            <w:tcW w:type="dxa" w:w="1336"/>
          </w:tcPr>
          <w:p>
            <w:r>
              <w:rPr>
                <w:sz w:val="20"/>
              </w:rPr>
              <w:t>250–400</w:t>
            </w:r>
          </w:p>
        </w:tc>
        <w:tc>
          <w:tcPr>
            <w:tcW w:type="dxa" w:w="1336"/>
          </w:tcPr>
          <w:p>
            <w:r>
              <w:rPr>
                <w:sz w:val="20"/>
              </w:rPr>
              <w:t>300–800</w:t>
            </w:r>
          </w:p>
        </w:tc>
        <w:tc>
          <w:tcPr>
            <w:tcW w:type="dxa" w:w="1336"/>
          </w:tcPr>
          <w:p>
            <w:r>
              <w:rPr>
                <w:sz w:val="20"/>
              </w:rPr>
              <w:t>250–400</w:t>
            </w:r>
          </w:p>
        </w:tc>
        <w:tc>
          <w:tcPr>
            <w:tcW w:type="dxa" w:w="1336"/>
          </w:tcPr>
          <w:p>
            <w:r>
              <w:rPr>
                <w:sz w:val="20"/>
              </w:rPr>
              <w:t>200–500</w:t>
            </w:r>
          </w:p>
        </w:tc>
        <w:tc>
          <w:tcPr>
            <w:tcW w:type="dxa" w:w="1336"/>
          </w:tcPr>
          <w:p>
            <w:r>
              <w:rPr>
                <w:sz w:val="20"/>
              </w:rPr>
              <w:t>Non disponible</w:t>
            </w:r>
          </w:p>
        </w:tc>
      </w:tr>
      <w:tr>
        <w:tc>
          <w:tcPr>
            <w:tcW w:type="dxa" w:w="1336"/>
          </w:tcPr>
          <w:p>
            <w:r>
              <w:rPr>
                <w:sz w:val="20"/>
              </w:rPr>
              <w:t>**Spécialités actives Algérie**</w:t>
            </w:r>
          </w:p>
        </w:tc>
        <w:tc>
          <w:tcPr>
            <w:tcW w:type="dxa" w:w="1336"/>
          </w:tcPr>
          <w:p>
            <w:r>
              <w:rPr>
                <w:sz w:val="20"/>
              </w:rPr>
              <w:t>12</w:t>
            </w:r>
          </w:p>
        </w:tc>
        <w:tc>
          <w:tcPr>
            <w:tcW w:type="dxa" w:w="1336"/>
          </w:tcPr>
          <w:p>
            <w:r>
              <w:rPr>
                <w:sz w:val="20"/>
              </w:rPr>
              <w:t>4</w:t>
            </w:r>
          </w:p>
        </w:tc>
        <w:tc>
          <w:tcPr>
            <w:tcW w:type="dxa" w:w="1336"/>
          </w:tcPr>
          <w:p>
            <w:r>
              <w:rPr>
                <w:sz w:val="20"/>
              </w:rPr>
              <w:t>10</w:t>
            </w:r>
          </w:p>
        </w:tc>
        <w:tc>
          <w:tcPr>
            <w:tcW w:type="dxa" w:w="1336"/>
          </w:tcPr>
          <w:p>
            <w:r>
              <w:rPr>
                <w:sz w:val="20"/>
              </w:rPr>
              <w:t>4</w:t>
            </w:r>
          </w:p>
        </w:tc>
        <w:tc>
          <w:tcPr>
            <w:tcW w:type="dxa" w:w="1336"/>
          </w:tcPr>
          <w:p>
            <w:r>
              <w:rPr>
                <w:sz w:val="20"/>
              </w:rPr>
              <w:t>5</w:t>
            </w:r>
          </w:p>
        </w:tc>
        <w:tc>
          <w:tcPr>
            <w:tcW w:type="dxa" w:w="1336"/>
          </w:tcPr>
          <w:p>
            <w:r>
              <w:rPr>
                <w:sz w:val="20"/>
              </w:rPr>
              <w:t>0</w:t>
            </w:r>
          </w:p>
        </w:tc>
      </w:tr>
      <w:tr>
        <w:tc>
          <w:tcPr>
            <w:tcW w:type="dxa" w:w="1336"/>
          </w:tcPr>
          <w:p>
            <w:r>
              <w:rPr>
                <w:sz w:val="20"/>
              </w:rPr>
              <w:t>**Spécialités non renouvelées/retirées**</w:t>
            </w:r>
          </w:p>
        </w:tc>
        <w:tc>
          <w:tcPr>
            <w:tcW w:type="dxa" w:w="1336"/>
          </w:tcPr>
          <w:p>
            <w:r>
              <w:rPr>
                <w:sz w:val="20"/>
              </w:rPr>
              <w:t>0</w:t>
            </w:r>
          </w:p>
        </w:tc>
        <w:tc>
          <w:tcPr>
            <w:tcW w:type="dxa" w:w="1336"/>
          </w:tcPr>
          <w:p>
            <w:r>
              <w:rPr>
                <w:sz w:val="20"/>
              </w:rPr>
              <w:t>2</w:t>
            </w:r>
          </w:p>
        </w:tc>
        <w:tc>
          <w:tcPr>
            <w:tcW w:type="dxa" w:w="1336"/>
          </w:tcPr>
          <w:p>
            <w:r>
              <w:rPr>
                <w:sz w:val="20"/>
              </w:rPr>
              <w:t>6</w:t>
            </w:r>
          </w:p>
        </w:tc>
        <w:tc>
          <w:tcPr>
            <w:tcW w:type="dxa" w:w="1336"/>
          </w:tcPr>
          <w:p>
            <w:r>
              <w:rPr>
                <w:sz w:val="20"/>
              </w:rPr>
              <w:t>1</w:t>
            </w:r>
          </w:p>
        </w:tc>
        <w:tc>
          <w:tcPr>
            <w:tcW w:type="dxa" w:w="1336"/>
          </w:tcPr>
          <w:p>
            <w:r>
              <w:rPr>
                <w:sz w:val="20"/>
              </w:rPr>
              <w:t>18</w:t>
            </w:r>
          </w:p>
        </w:tc>
        <w:tc>
          <w:tcPr>
            <w:tcW w:type="dxa" w:w="1336"/>
          </w:tcPr>
          <w:p>
            <w:r>
              <w:rPr>
                <w:sz w:val="20"/>
              </w:rPr>
              <w:t>1 (unique spécialité)</w:t>
            </w:r>
          </w:p>
        </w:tc>
      </w:tr>
      <w:tr>
        <w:tc>
          <w:tcPr>
            <w:tcW w:type="dxa" w:w="1336"/>
          </w:tcPr>
          <w:p>
            <w:r>
              <w:rPr>
                <w:sz w:val="20"/>
              </w:rPr>
              <w:t>**Statut Liste**</w:t>
            </w:r>
          </w:p>
        </w:tc>
        <w:tc>
          <w:tcPr>
            <w:tcW w:type="dxa" w:w="1336"/>
          </w:tcPr>
          <w:p>
            <w:r>
              <w:rPr>
                <w:sz w:val="20"/>
              </w:rPr>
              <w:t>Liste I</w:t>
            </w:r>
          </w:p>
        </w:tc>
        <w:tc>
          <w:tcPr>
            <w:tcW w:type="dxa" w:w="1336"/>
          </w:tcPr>
          <w:p>
            <w:r>
              <w:rPr>
                <w:sz w:val="20"/>
              </w:rPr>
              <w:t>Liste I</w:t>
            </w:r>
          </w:p>
        </w:tc>
        <w:tc>
          <w:tcPr>
            <w:tcW w:type="dxa" w:w="1336"/>
          </w:tcPr>
          <w:p>
            <w:r>
              <w:rPr>
                <w:sz w:val="20"/>
              </w:rPr>
              <w:t>Liste I</w:t>
            </w:r>
          </w:p>
        </w:tc>
        <w:tc>
          <w:tcPr>
            <w:tcW w:type="dxa" w:w="1336"/>
          </w:tcPr>
          <w:p>
            <w:r>
              <w:rPr>
                <w:sz w:val="20"/>
              </w:rPr>
              <w:t>Liste I / Liste II</w:t>
            </w:r>
          </w:p>
        </w:tc>
        <w:tc>
          <w:tcPr>
            <w:tcW w:type="dxa" w:w="1336"/>
          </w:tcPr>
          <w:p>
            <w:r>
              <w:rPr>
                <w:sz w:val="20"/>
              </w:rPr>
              <w:t>Liste I</w:t>
            </w:r>
          </w:p>
        </w:tc>
        <w:tc>
          <w:tcPr>
            <w:tcW w:type="dxa" w:w="1336"/>
          </w:tcPr>
          <w:p>
            <w:r>
              <w:rPr>
                <w:sz w:val="20"/>
              </w:rPr>
              <w:t>Non déterminé (NR)</w:t>
            </w:r>
          </w:p>
        </w:tc>
      </w:tr>
      <w:tr>
        <w:tc>
          <w:tcPr>
            <w:tcW w:type="dxa" w:w="1336"/>
          </w:tcPr>
          <w:p>
            <w:r>
              <w:rPr>
                <w:sz w:val="20"/>
              </w:rPr>
              <w:t>**Place dans la stratégie EULAR 2022**</w:t>
            </w:r>
          </w:p>
        </w:tc>
        <w:tc>
          <w:tcPr>
            <w:tcW w:type="dxa" w:w="1336"/>
          </w:tcPr>
          <w:p>
            <w:r>
              <w:rPr>
                <w:sz w:val="20"/>
              </w:rPr>
              <w:t>Alternative MTX ou association</w:t>
            </w:r>
          </w:p>
        </w:tc>
        <w:tc>
          <w:tcPr>
            <w:tcW w:type="dxa" w:w="1336"/>
          </w:tcPr>
          <w:p>
            <w:r>
              <w:rPr>
                <w:sz w:val="20"/>
              </w:rPr>
              <w:t>LES, vascularites, MICI</w:t>
            </w:r>
          </w:p>
        </w:tc>
        <w:tc>
          <w:tcPr>
            <w:tcW w:type="dxa" w:w="1336"/>
          </w:tcPr>
          <w:p>
            <w:r>
              <w:rPr>
                <w:sz w:val="20"/>
              </w:rPr>
              <w:t>2e–3e ligne PR, psoriasis</w:t>
            </w:r>
          </w:p>
        </w:tc>
        <w:tc>
          <w:tcPr>
            <w:tcW w:type="dxa" w:w="1336"/>
          </w:tcPr>
          <w:p>
            <w:r>
              <w:rPr>
                <w:sz w:val="20"/>
              </w:rPr>
              <w:t>Lupus (1re ligne), PR modérée, Gougerot-Sjögren</w:t>
            </w:r>
          </w:p>
        </w:tc>
        <w:tc>
          <w:tcPr>
            <w:tcW w:type="dxa" w:w="1336"/>
          </w:tcPr>
          <w:p>
            <w:r>
              <w:rPr>
                <w:sz w:val="20"/>
              </w:rPr>
              <w:t>1re ligne PR (anchor drug)</w:t>
            </w:r>
          </w:p>
        </w:tc>
        <w:tc>
          <w:tcPr>
            <w:tcW w:type="dxa" w:w="1336"/>
          </w:tcPr>
          <w:p>
            <w:r>
              <w:rPr>
                <w:sz w:val="20"/>
              </w:rPr>
              <w:t>Spondyloarthrites, RPSO, PR (alternative)</w:t>
            </w:r>
          </w:p>
        </w:tc>
      </w:tr>
    </w:tbl>
    <w:p/>
    <w:p>
      <w:pPr>
        <w:pStyle w:val="Heading3"/>
      </w:pPr>
      <w:r>
        <w:t>151.8.2 Synthèse pédagogique des points critiques</w:t>
      </w:r>
    </w:p>
    <w:p>
      <w:pPr>
        <w:pStyle w:val="ListNumber"/>
      </w:pPr>
      <w:r/>
      <w:r>
        <w:rPr>
          <w:b/>
        </w:rPr>
        <w:t>Le méthotrexate reste le DMARD de référence (anchor drug)</w:t>
      </w:r>
      <w:r>
        <w:t xml:space="preserve"> en première ligne de la polyarthrite rhumatoïde, avec un profil efficacité/tolérance inégalé, un coût modeste, et une facilité d'administration (hebdomadaire). La supplémentation en acide folique est OBLIGATOIRE.</w:t>
      </w:r>
    </w:p>
    <w:p>
      <w:pPr>
        <w:pStyle w:val="ListNumber"/>
      </w:pPr>
      <w:r/>
      <w:r>
        <w:rPr>
          <w:b/>
        </w:rPr>
        <w:t>L'hydroxychloroquine est le DMARD de choix pendant la grossesse</w:t>
      </w:r>
      <w:r>
        <w:t xml:space="preserve"> dans le lupus érythémateux systémique, et son arrêt pendant la grossesse ou en cas de désir de grossesse est une erreur médicale majeure.</w:t>
      </w:r>
    </w:p>
    <w:p>
      <w:pPr>
        <w:pStyle w:val="ListNumber"/>
      </w:pPr>
      <w:r/>
      <w:r>
        <w:rPr>
          <w:b/>
        </w:rPr>
        <w:t>Le léflunomide et le méthotrexate sont formellement contre-indiqués pendant la grossesse</w:t>
      </w:r>
      <w:r>
        <w:t xml:space="preserve"> (catégorie X), et le protocole de washout (cholestyramine pour le léflunomide, arrêt 6 mois pour le méthotrexate) doit être respecté strictement.</w:t>
      </w:r>
    </w:p>
    <w:p>
      <w:pPr>
        <w:pStyle w:val="ListNumber"/>
      </w:pPr>
      <w:r/>
      <w:r>
        <w:rPr>
          <w:b/>
        </w:rPr>
        <w:t>Le génotypage TPMT est indispensable avant initiation d'azathioprine</w:t>
      </w:r>
      <w:r>
        <w:t xml:space="preserve"> pour éviter une myélotoxicité létale chez les patients déficitaires.</w:t>
      </w:r>
    </w:p>
    <w:p>
      <w:pPr>
        <w:pStyle w:val="ListNumber"/>
      </w:pPr>
      <w:r/>
      <w:r>
        <w:rPr>
          <w:b/>
        </w:rPr>
        <w:t>La surveillance ophtalmologique annuelle à partir de 5 ans de traitement par hydroxychloroquine</w:t>
      </w:r>
      <w:r>
        <w:t xml:space="preserve"> est OBLIGATOIRE (acuité visuelle, fond d'œil, OCT maculaire, champ visuel 10-2).</w:t>
      </w:r>
    </w:p>
    <w:p>
      <w:pPr>
        <w:pStyle w:val="ListNumber"/>
      </w:pPr>
      <w:r/>
      <w:r>
        <w:rPr>
          <w:b/>
        </w:rPr>
        <w:t>La ciclosporine impose une surveillance mensuelle de la créatinine et de la tension artérielle</w:t>
      </w:r>
      <w:r>
        <w:t xml:space="preserve"> pendant les 3 premiers mois, et le respect strict de la règle d'arrêt si la créatinine augmente de &gt; 30 % de la valeur initiale.</w:t>
      </w:r>
    </w:p>
    <w:p>
      <w:pPr>
        <w:pStyle w:val="ListNumber"/>
      </w:pPr>
      <w:r/>
      <w:r>
        <w:rPr>
          <w:b/>
        </w:rPr>
        <w:t>La sulfasalazine est INDISPONIBLE en Algérie à l'heure actuelle</w:t>
      </w:r>
      <w:r>
        <w:t xml:space="preserve"> (Avril 2026), posant un problème d'accès thérapeutique majeur pour les spondyloarthrites.</w:t>
      </w:r>
    </w:p>
    <w:p>
      <w:pPr>
        <w:pStyle w:val="ListNumber"/>
      </w:pPr>
      <w:r/>
      <w:r>
        <w:rPr>
          <w:b/>
        </w:rPr>
        <w:t>Le méthotrexate se prend UNE FOIS PAR SEMAINE et non tous les jours</w:t>
      </w:r>
      <w:r>
        <w:t xml:space="preserve"> — l'erreur d'administration quotidienne est potentiellement létale.</w:t>
      </w:r>
    </w:p>
    <w:p>
      <w:pPr>
        <w:pStyle w:val="ListNumber"/>
      </w:pPr>
      <w:r/>
      <w:r>
        <w:rPr>
          <w:b/>
        </w:rPr>
        <w:t>Le cotrimoxazole est CONTRE-INDIQUÉ en association avec le méthotrexate</w:t>
      </w:r>
      <w:r>
        <w:t xml:space="preserve"> (risque de pancytopénie létale).</w:t>
      </w:r>
    </w:p>
    <w:p>
      <w:pPr>
        <w:pStyle w:val="ListNumber"/>
      </w:pPr>
      <w:r/>
      <w:r>
        <w:rPr>
          <w:b/>
        </w:rPr>
        <w:t>L'allopurinol est CONTRE-INDIQUÉ en association avec l'azathioprine à dose standard</w:t>
      </w:r>
      <w:r>
        <w:t xml:space="preserve"> (réduction à 25–33 % obligatoire).</w:t>
      </w:r>
    </w:p>
    <w:p>
      <w:pPr>
        <w:pStyle w:val="ListNumber"/>
      </w:pPr>
      <w:r/>
      <w:r>
        <w:rPr>
          <w:b/>
        </w:rPr>
        <w:t>Le millepertuis (Hypericum) est CONTRE-INDIQUÉ en association avec la ciclosporine</w:t>
      </w:r>
      <w:r>
        <w:t xml:space="preserve"> (chute des concentrations, risque de rejet).</w:t>
      </w:r>
    </w:p>
    <w:p>
      <w:pPr>
        <w:pStyle w:val="ListNumber"/>
      </w:pPr>
      <w:r/>
      <w:r>
        <w:rPr>
          <w:b/>
        </w:rPr>
        <w:t>Le pamplemousse est à ÉVITER sous ciclosporine</w:t>
      </w:r>
      <w:r>
        <w:t xml:space="preserve"> (augmentation des concentrations, risque de toxicité).</w:t>
      </w:r>
    </w:p>
    <w:p>
      <w:pPr>
        <w:pStyle w:val="ListNumber"/>
      </w:pPr>
      <w:r/>
      <w:r>
        <w:rPr>
          <w:b/>
        </w:rPr>
        <w:t>L'acide folique doit être SUPPLÉMENTÉ sous méthotrexate (5 mg/sem à J+1) et sous sulfasalazine pendant la grossesse (5 mg/j)</w:t>
      </w:r>
      <w:r>
        <w:t>.</w:t>
      </w:r>
    </w:p>
    <w:p>
      <w:pPr>
        <w:pStyle w:val="ListNumber"/>
      </w:pPr>
      <w:r/>
      <w:r>
        <w:rPr>
          <w:b/>
        </w:rPr>
        <w:t>Les vaccins vivants atténués sont CONTRE-INDIQUÉS pendant le traitement par tous les DMARD synthétiques</w:t>
      </w:r>
      <w:r>
        <w:t xml:space="preserve"> (sauf l'hydroxychloroquine où ils sont autorisés).</w:t>
      </w:r>
    </w:p>
    <w:p>
      <w:pPr>
        <w:pStyle w:val="ListNumber"/>
      </w:pPr>
      <w:r/>
      <w:r>
        <w:rPr>
          <w:b/>
        </w:rPr>
        <w:t>La surveillance biologique (NFS, plaquettes, transaminases, créatinine) est OBLIGATOIRE pendant les 3 à 6 premiers mois de traitement par tous les DMARD synthétiques</w:t>
      </w:r>
      <w:r>
        <w:t>.</w:t>
      </w:r>
    </w:p>
    <w:p>
      <w:pPr>
        <w:pStyle w:val="ListNumber"/>
      </w:pPr>
      <w:r/>
      <w:r>
        <w:rPr>
          <w:b/>
        </w:rPr>
        <w:t>L'éducation thérapeutique du patient</w:t>
      </w:r>
      <w:r>
        <w:t xml:space="preserve"> sur les signes d'alerte (fièvre, angine, aphtes, hématomes, ictère, rash) doit être systématique.</w:t>
      </w:r>
    </w:p>
    <w:p>
      <w:pPr>
        <w:pStyle w:val="ListNumber"/>
      </w:pPr>
      <w:r/>
      <w:r>
        <w:rPr>
          <w:b/>
        </w:rPr>
        <w:t>Le pharmacien d'officina joue un rôle pivot</w:t>
      </w:r>
      <w:r>
        <w:t xml:space="preserve"> dans la vérification de la contraception, des interactions, de la surveillance biologique, et de l'éducation thérapeutique.</w:t>
      </w:r>
    </w:p>
    <w:p>
      <w:pPr>
        <w:pStyle w:val="ListNumber"/>
      </w:pPr>
      <w:r/>
      <w:r>
        <w:rPr>
          <w:b/>
        </w:rPr>
        <w:t>Le patient doit informer systématiquement tout médecin consulté (médecin généraliste, dentiste, urgentiste, chirurgien) de son traitement DMARD</w:t>
      </w:r>
      <w:r>
        <w:t xml:space="preserve"> pour éviter les interactions et les complications péri-opératoires.</w:t>
      </w:r>
    </w:p>
    <w:p>
      <w:pPr>
        <w:pStyle w:val="Heading3"/>
      </w:pPr>
      <w:r>
        <w:t>151.8.3 Algorithme de choix thérapeutique pratique</w:t>
      </w:r>
    </w:p>
    <w:p>
      <w:r/>
      <w:r>
        <w:rPr>
          <w:b/>
        </w:rPr>
        <w:t>Étape 1 — Bilan pré-thérapeutique commun à tous les DMARD synthétiques</w:t>
      </w:r>
      <w:r>
        <w:t xml:space="preserve"> :</w:t>
      </w:r>
    </w:p>
    <w:p>
      <w:pPr>
        <w:pStyle w:val="ListBullet"/>
      </w:pPr>
      <w:r>
        <w:t>Interrogatoire : antécédents personnels et familiaux, traitements associés, consommation d'alcool, tabac, vaccination, désir de grossesse</w:t>
      </w:r>
    </w:p>
    <w:p>
      <w:pPr>
        <w:pStyle w:val="ListBullet"/>
      </w:pPr>
      <w:r>
        <w:t>Examen clinique : PA, poids, taille, IMC, examen articulaire, examen cutané, examen ophtalmologique (HCQ)</w:t>
      </w:r>
    </w:p>
    <w:p>
      <w:pPr>
        <w:pStyle w:val="ListBullet"/>
      </w:pPr>
      <w:r>
        <w:t>Bilan biologique : NFS, plaquettes, reticulocytes, ALAT, ASAT, GGT, PAL, bilirubine, créatinine, urée, ionogramme (Na, K, Mg), acide urique, glycémie, HbA1c, bilan lipidique, beta-hCG (femme en âge de procréer), TPMT (azathioprine), G6PD (hydroxychloroquine, sulfasalazine)</w:t>
      </w:r>
    </w:p>
    <w:p>
      <w:pPr>
        <w:pStyle w:val="ListBullet"/>
      </w:pPr>
      <w:r>
        <w:t>Sérologies virales : VHB (AgHBs, Ac anti-HBs, Ac anti-HBc), VHC, VIH, EBV, CMV</w:t>
      </w:r>
    </w:p>
    <w:p>
      <w:pPr>
        <w:pStyle w:val="ListBullet"/>
      </w:pPr>
      <w:r>
        <w:t>Dépistage tuberculose : IDR à la tuberculine 5 UI ou IGRA (Quantiferon-TB Gold)</w:t>
      </w:r>
    </w:p>
    <w:p>
      <w:pPr>
        <w:pStyle w:val="ListBullet"/>
      </w:pPr>
      <w:r>
        <w:t>Imagerie : radiographie thoracique, échographie abdominale</w:t>
      </w:r>
    </w:p>
    <w:p>
      <w:pPr>
        <w:pStyle w:val="ListBullet"/>
      </w:pPr>
      <w:r>
        <w:t>Examens spécialisés : ECG (ciclosporine, hydroxychloroquine), fond d'œil + OCT maculaire (hydroxychloroquine), EFR si terrain pulmonaire (méthotrexate, léflunomide), FibroScan (méthotrexate)</w:t>
      </w:r>
    </w:p>
    <w:p>
      <w:r/>
      <w:r>
        <w:rPr>
          <w:b/>
        </w:rPr>
        <w:t>Étape 2 — Choix du DMARD selon la maladie</w:t>
      </w:r>
      <w:r>
        <w:t xml:space="preserve"> :</w:t>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sz w:val="20"/>
              </w:rPr>
              <w:t>Maladie</w:t>
            </w:r>
          </w:p>
        </w:tc>
        <w:tc>
          <w:tcPr>
            <w:tcW w:type="dxa" w:w="2339"/>
          </w:tcPr>
          <w:p>
            <w:r>
              <w:rPr>
                <w:b/>
                <w:sz w:val="20"/>
              </w:rPr>
              <w:t>DMARD de 1re intention</w:t>
            </w:r>
          </w:p>
        </w:tc>
        <w:tc>
          <w:tcPr>
            <w:tcW w:type="dxa" w:w="2339"/>
          </w:tcPr>
          <w:p>
            <w:r>
              <w:rPr>
                <w:b/>
                <w:sz w:val="20"/>
              </w:rPr>
              <w:t>DMARD de 2e intention</w:t>
            </w:r>
          </w:p>
        </w:tc>
        <w:tc>
          <w:tcPr>
            <w:tcW w:type="dxa" w:w="2339"/>
          </w:tcPr>
          <w:p>
            <w:r>
              <w:rPr>
                <w:b/>
                <w:sz w:val="20"/>
              </w:rPr>
              <w:t>DMARD de 3e intention</w:t>
            </w:r>
          </w:p>
        </w:tc>
      </w:tr>
      <w:tr>
        <w:tc>
          <w:tcPr>
            <w:tcW w:type="dxa" w:w="2339"/>
          </w:tcPr>
          <w:p>
            <w:r>
              <w:rPr>
                <w:sz w:val="20"/>
              </w:rPr>
              <w:t>Polyarthrite rhumatoïde</w:t>
            </w:r>
          </w:p>
        </w:tc>
        <w:tc>
          <w:tcPr>
            <w:tcW w:type="dxa" w:w="2339"/>
          </w:tcPr>
          <w:p>
            <w:r>
              <w:rPr>
                <w:sz w:val="20"/>
              </w:rPr>
              <w:t>**Méthotrexate**</w:t>
            </w:r>
          </w:p>
        </w:tc>
        <w:tc>
          <w:tcPr>
            <w:tcW w:type="dxa" w:w="2339"/>
          </w:tcPr>
          <w:p>
            <w:r>
              <w:rPr>
                <w:sz w:val="20"/>
              </w:rPr>
              <w:t>Léflunomide, HCQ, sulfasalazine</w:t>
            </w:r>
          </w:p>
        </w:tc>
        <w:tc>
          <w:tcPr>
            <w:tcW w:type="dxa" w:w="2339"/>
          </w:tcPr>
          <w:p>
            <w:r>
              <w:rPr>
                <w:sz w:val="20"/>
              </w:rPr>
              <w:t>Ciclosporine, azathioprine, biothérapies</w:t>
            </w:r>
          </w:p>
        </w:tc>
      </w:tr>
      <w:tr>
        <w:tc>
          <w:tcPr>
            <w:tcW w:type="dxa" w:w="2339"/>
          </w:tcPr>
          <w:p>
            <w:r>
              <w:rPr>
                <w:sz w:val="20"/>
              </w:rPr>
              <w:t>Lupus érythémateux systémique</w:t>
            </w:r>
          </w:p>
        </w:tc>
        <w:tc>
          <w:tcPr>
            <w:tcW w:type="dxa" w:w="2339"/>
          </w:tcPr>
          <w:p>
            <w:r>
              <w:rPr>
                <w:sz w:val="20"/>
              </w:rPr>
              <w:t>**Hydroxychloroquine**</w:t>
            </w:r>
          </w:p>
        </w:tc>
        <w:tc>
          <w:tcPr>
            <w:tcW w:type="dxa" w:w="2339"/>
          </w:tcPr>
          <w:p>
            <w:r>
              <w:rPr>
                <w:sz w:val="20"/>
              </w:rPr>
              <w:t>Azathioprine, mycophénolate</w:t>
            </w:r>
          </w:p>
        </w:tc>
        <w:tc>
          <w:tcPr>
            <w:tcW w:type="dxa" w:w="2339"/>
          </w:tcPr>
          <w:p>
            <w:r>
              <w:rPr>
                <w:sz w:val="20"/>
              </w:rPr>
              <w:t>Ciclosporine, tacrolimus</w:t>
            </w:r>
          </w:p>
        </w:tc>
      </w:tr>
      <w:tr>
        <w:tc>
          <w:tcPr>
            <w:tcW w:type="dxa" w:w="2339"/>
          </w:tcPr>
          <w:p>
            <w:r>
              <w:rPr>
                <w:sz w:val="20"/>
              </w:rPr>
              <w:t>Spondyloarthrite axiale</w:t>
            </w:r>
          </w:p>
        </w:tc>
        <w:tc>
          <w:tcPr>
            <w:tcW w:type="dxa" w:w="2339"/>
          </w:tcPr>
          <w:p>
            <w:r>
              <w:rPr>
                <w:sz w:val="20"/>
              </w:rPr>
              <w:t>AINS à dose maximale</w:t>
            </w:r>
          </w:p>
        </w:tc>
        <w:tc>
          <w:tcPr>
            <w:tcW w:type="dxa" w:w="2339"/>
          </w:tcPr>
          <w:p>
            <w:r>
              <w:rPr>
                <w:sz w:val="20"/>
              </w:rPr>
              <w:t>**Sulfasalazine** (non disponible Algérie), anti-TNFα</w:t>
            </w:r>
          </w:p>
        </w:tc>
        <w:tc>
          <w:tcPr>
            <w:tcW w:type="dxa" w:w="2339"/>
          </w:tcPr>
          <w:p>
            <w:r>
              <w:rPr>
                <w:sz w:val="20"/>
              </w:rPr>
              <w:t>JAK inhibiteurs</w:t>
            </w:r>
          </w:p>
        </w:tc>
      </w:tr>
      <w:tr>
        <w:tc>
          <w:tcPr>
            <w:tcW w:type="dxa" w:w="2339"/>
          </w:tcPr>
          <w:p>
            <w:r>
              <w:rPr>
                <w:sz w:val="20"/>
              </w:rPr>
              <w:t>Rhumatisme psoriasique</w:t>
            </w:r>
          </w:p>
        </w:tc>
        <w:tc>
          <w:tcPr>
            <w:tcW w:type="dxa" w:w="2339"/>
          </w:tcPr>
          <w:p>
            <w:r>
              <w:rPr>
                <w:sz w:val="20"/>
              </w:rPr>
              <w:t>**Méthotrexate**</w:t>
            </w:r>
          </w:p>
        </w:tc>
        <w:tc>
          <w:tcPr>
            <w:tcW w:type="dxa" w:w="2339"/>
          </w:tcPr>
          <w:p>
            <w:r>
              <w:rPr>
                <w:sz w:val="20"/>
              </w:rPr>
              <w:t>Sulfasalazine (non disponible), léflunomide</w:t>
            </w:r>
          </w:p>
        </w:tc>
        <w:tc>
          <w:tcPr>
            <w:tcW w:type="dxa" w:w="2339"/>
          </w:tcPr>
          <w:p>
            <w:r>
              <w:rPr>
                <w:sz w:val="20"/>
              </w:rPr>
              <w:t>Anti-TNFα, anti-IL-17, anti-IL-23</w:t>
            </w:r>
          </w:p>
        </w:tc>
      </w:tr>
      <w:tr>
        <w:tc>
          <w:tcPr>
            <w:tcW w:type="dxa" w:w="2339"/>
          </w:tcPr>
          <w:p>
            <w:r>
              <w:rPr>
                <w:sz w:val="20"/>
              </w:rPr>
              <w:t>Vascularites à ANCA</w:t>
            </w:r>
          </w:p>
        </w:tc>
        <w:tc>
          <w:tcPr>
            <w:tcW w:type="dxa" w:w="2339"/>
          </w:tcPr>
          <w:p>
            <w:r>
              <w:rPr>
                <w:sz w:val="20"/>
              </w:rPr>
              <w:t>Cyclophosphamide induction</w:t>
            </w:r>
          </w:p>
        </w:tc>
        <w:tc>
          <w:tcPr>
            <w:tcW w:type="dxa" w:w="2339"/>
          </w:tcPr>
          <w:p>
            <w:r>
              <w:rPr>
                <w:sz w:val="20"/>
              </w:rPr>
              <w:t>**Azathioprine** entretien</w:t>
            </w:r>
          </w:p>
        </w:tc>
        <w:tc>
          <w:tcPr>
            <w:tcW w:type="dxa" w:w="2339"/>
          </w:tcPr>
          <w:p>
            <w:r>
              <w:rPr>
                <w:sz w:val="20"/>
              </w:rPr>
              <w:t>Rituximab</w:t>
            </w:r>
          </w:p>
        </w:tc>
      </w:tr>
      <w:tr>
        <w:tc>
          <w:tcPr>
            <w:tcW w:type="dxa" w:w="2339"/>
          </w:tcPr>
          <w:p>
            <w:r>
              <w:rPr>
                <w:sz w:val="20"/>
              </w:rPr>
              <w:t>Dermatomyosite/Polymyosite</w:t>
            </w:r>
          </w:p>
        </w:tc>
        <w:tc>
          <w:tcPr>
            <w:tcW w:type="dxa" w:w="2339"/>
          </w:tcPr>
          <w:p>
            <w:r>
              <w:rPr>
                <w:sz w:val="20"/>
              </w:rPr>
              <w:t>Corticothérapie + **Méthotrexate**</w:t>
            </w:r>
          </w:p>
        </w:tc>
        <w:tc>
          <w:tcPr>
            <w:tcW w:type="dxa" w:w="2339"/>
          </w:tcPr>
          <w:p>
            <w:r>
              <w:rPr>
                <w:sz w:val="20"/>
              </w:rPr>
              <w:t>Azathioprine, IVIg</w:t>
            </w:r>
          </w:p>
        </w:tc>
        <w:tc>
          <w:tcPr>
            <w:tcW w:type="dxa" w:w="2339"/>
          </w:tcPr>
          <w:p>
            <w:r>
              <w:rPr>
                <w:sz w:val="20"/>
              </w:rPr>
              <w:t>Rituximab</w:t>
            </w:r>
          </w:p>
        </w:tc>
      </w:tr>
      <w:tr>
        <w:tc>
          <w:tcPr>
            <w:tcW w:type="dxa" w:w="2339"/>
          </w:tcPr>
          <w:p>
            <w:r>
              <w:rPr>
                <w:sz w:val="20"/>
              </w:rPr>
              <w:t>Maladie de Behçet oculaire</w:t>
            </w:r>
          </w:p>
        </w:tc>
        <w:tc>
          <w:tcPr>
            <w:tcW w:type="dxa" w:w="2339"/>
          </w:tcPr>
          <w:p>
            <w:r>
              <w:rPr>
                <w:sz w:val="20"/>
              </w:rPr>
              <w:t>Corticothérapie + **Ciclosporine**</w:t>
            </w:r>
          </w:p>
        </w:tc>
        <w:tc>
          <w:tcPr>
            <w:tcW w:type="dxa" w:w="2339"/>
          </w:tcPr>
          <w:p>
            <w:r>
              <w:rPr>
                <w:sz w:val="20"/>
              </w:rPr>
              <w:t>Azathioprine, anti-TNFα</w:t>
            </w:r>
          </w:p>
        </w:tc>
        <w:tc>
          <w:tcPr>
            <w:tcW w:type="dxa" w:w="2339"/>
          </w:tcPr>
          <w:p>
            <w:r>
              <w:rPr>
                <w:sz w:val="20"/>
              </w:rPr>
              <w:t>Interféron α</w:t>
            </w:r>
          </w:p>
        </w:tc>
      </w:tr>
      <w:tr>
        <w:tc>
          <w:tcPr>
            <w:tcW w:type="dxa" w:w="2339"/>
          </w:tcPr>
          <w:p>
            <w:r>
              <w:rPr>
                <w:sz w:val="20"/>
              </w:rPr>
              <w:t>Syndrome de Gougerot-Sjögren</w:t>
            </w:r>
          </w:p>
        </w:tc>
        <w:tc>
          <w:tcPr>
            <w:tcW w:type="dxa" w:w="2339"/>
          </w:tcPr>
          <w:p>
            <w:r>
              <w:rPr>
                <w:sz w:val="20"/>
              </w:rPr>
              <w:t>**Hydroxychloroquine**</w:t>
            </w:r>
          </w:p>
        </w:tc>
        <w:tc>
          <w:tcPr>
            <w:tcW w:type="dxa" w:w="2339"/>
          </w:tcPr>
          <w:p>
            <w:r>
              <w:rPr>
                <w:sz w:val="20"/>
              </w:rPr>
              <w:t>Méthotrexate, azathioprine</w:t>
            </w:r>
          </w:p>
        </w:tc>
        <w:tc>
          <w:tcPr>
            <w:tcW w:type="dxa" w:w="2339"/>
          </w:tcPr>
          <w:p>
            <w:r>
              <w:rPr>
                <w:sz w:val="20"/>
              </w:rPr>
              <w:t>Rituximab</w:t>
            </w:r>
          </w:p>
        </w:tc>
      </w:tr>
      <w:tr>
        <w:tc>
          <w:tcPr>
            <w:tcW w:type="dxa" w:w="2339"/>
          </w:tcPr>
          <w:p>
            <w:r>
              <w:rPr>
                <w:sz w:val="20"/>
              </w:rPr>
              <w:t>Hépatite auto-immune type 1</w:t>
            </w:r>
          </w:p>
        </w:tc>
        <w:tc>
          <w:tcPr>
            <w:tcW w:type="dxa" w:w="2339"/>
          </w:tcPr>
          <w:p>
            <w:r>
              <w:rPr>
                <w:sz w:val="20"/>
              </w:rPr>
              <w:t>Corticothérapie + **Azathioprine**</w:t>
            </w:r>
          </w:p>
        </w:tc>
        <w:tc>
          <w:tcPr>
            <w:tcW w:type="dxa" w:w="2339"/>
          </w:tcPr>
          <w:p>
            <w:r>
              <w:rPr>
                <w:sz w:val="20"/>
              </w:rPr>
              <w:t>Mycophénolate</w:t>
            </w:r>
          </w:p>
        </w:tc>
        <w:tc>
          <w:tcPr>
            <w:tcW w:type="dxa" w:w="2339"/>
          </w:tcPr>
          <w:p>
            <w:r>
              <w:rPr>
                <w:sz w:val="20"/>
              </w:rPr>
              <w:t>Tacrolimus</w:t>
            </w:r>
          </w:p>
        </w:tc>
      </w:tr>
    </w:tbl>
    <w:p/>
    <w:p>
      <w:r/>
      <w:r>
        <w:rPr>
          <w:b/>
        </w:rPr>
        <w:t>Étape 3 — Surveillance et adaptation</w:t>
      </w:r>
      <w:r>
        <w:t xml:space="preserve"> :</w:t>
      </w:r>
    </w:p>
    <w:p>
      <w:pPr>
        <w:pStyle w:val="ListBullet"/>
      </w:pPr>
      <w:r>
        <w:t>Bilan biologique mensuel pendant 3–6 mois, puis trimestriel pendant toute la durée du traitement</w:t>
      </w:r>
    </w:p>
    <w:p>
      <w:pPr>
        <w:pStyle w:val="ListBullet"/>
      </w:pPr>
      <w:r>
        <w:t>Évaluation clinique de l'efficacité : DAS28 (PR), SLEDAI (lupus), BASDAI/BASFI (spondyloarthrite), PASI (psoriasis)</w:t>
      </w:r>
    </w:p>
    <w:p>
      <w:pPr>
        <w:pStyle w:val="ListBullet"/>
      </w:pPr>
      <w:r>
        <w:t>Évaluation de la tolérance : interrogatoire ciblé, examen clinique, bilan biologique</w:t>
      </w:r>
    </w:p>
    <w:p>
      <w:pPr>
        <w:pStyle w:val="ListBullet"/>
      </w:pPr>
      <w:r>
        <w:t>Adaptation posologique en cas d'effet indésirable ou d'interaction</w:t>
      </w:r>
    </w:p>
    <w:p>
      <w:pPr>
        <w:pStyle w:val="ListBullet"/>
      </w:pPr>
      <w:r>
        <w:t>Décision de switch thérapeutique en cas d'échec (réponse insuffisante à 6 mois), d'intolérance, ou de poussée de la maladie</w:t>
      </w:r>
    </w:p>
    <w:p>
      <w:pPr>
        <w:pStyle w:val="Heading3"/>
      </w:pPr>
      <w:r>
        <w:t>151.8.4 Populations particulières</w:t>
      </w:r>
    </w:p>
    <w:p>
      <w:r/>
      <w:r>
        <w:rPr>
          <w:b/>
        </w:rPr>
        <w:t>Femme enceinte ou en désir de grossesse</w:t>
      </w:r>
      <w:r>
        <w:t xml:space="preserve"> :</w:t>
      </w:r>
    </w:p>
    <w:p>
      <w:pPr>
        <w:pStyle w:val="ListBullet"/>
      </w:pPr>
      <w:r>
        <w:t>DMARD compatibles : hydroxychloroquine, azathioprine, ciclosporine, sulfasalazine (à éviter 3e trimestre)</w:t>
      </w:r>
    </w:p>
    <w:p>
      <w:pPr>
        <w:pStyle w:val="ListBullet"/>
      </w:pPr>
      <w:r>
        <w:t>DMARD contre-indiqués : méthotrexate (CI absolue, arrêt 6 mois avant conception), léflunomide (CI absolue, washout obligatoire)</w:t>
      </w:r>
    </w:p>
    <w:p>
      <w:pPr>
        <w:pStyle w:val="ListBullet"/>
      </w:pPr>
      <w:r>
        <w:t>Supplémentation en acide folique : obligatoire sous méthotrexate (avant et pendant la grossesse si désir), sous sulfasalazine (5 mg/jour pendant la grossesse)</w:t>
      </w:r>
    </w:p>
    <w:p>
      <w:r/>
      <w:r>
        <w:rPr>
          <w:b/>
        </w:rPr>
        <w:t>Sujet âgé &gt; 65 ans</w:t>
      </w:r>
      <w:r>
        <w:t xml:space="preserve"> :</w:t>
      </w:r>
    </w:p>
    <w:p>
      <w:pPr>
        <w:pStyle w:val="ListBullet"/>
      </w:pPr>
      <w:r>
        <w:t>Réduction posologique initiale de 25–50 % pour tous les DMARD synthétiques</w:t>
      </w:r>
    </w:p>
    <w:p>
      <w:pPr>
        <w:pStyle w:val="ListBullet"/>
      </w:pPr>
      <w:r>
        <w:t>Surveillance rapprochée de la fonction rénale, de la fonction hépatique, de la NFS</w:t>
      </w:r>
    </w:p>
    <w:p>
      <w:pPr>
        <w:pStyle w:val="ListBullet"/>
      </w:pPr>
      <w:r>
        <w:t>Vérification des polymédications et des interactions</w:t>
      </w:r>
    </w:p>
    <w:p>
      <w:pPr>
        <w:pStyle w:val="ListBullet"/>
      </w:pPr>
      <w:r>
        <w:t>Éviter la ciclosporine (risque de néphrotoxicité et de HTA)</w:t>
      </w:r>
    </w:p>
    <w:p>
      <w:pPr>
        <w:pStyle w:val="ListBullet"/>
      </w:pPr>
      <w:r>
        <w:t>Préférer l'hydroxychloroquine et le méthotrexate à faible dose</w:t>
      </w:r>
    </w:p>
    <w:p>
      <w:r/>
      <w:r>
        <w:rPr>
          <w:b/>
        </w:rPr>
        <w:t>Insuffisant rénal</w:t>
      </w:r>
      <w:r>
        <w:t xml:space="preserve"> :</w:t>
      </w:r>
    </w:p>
    <w:p>
      <w:pPr>
        <w:pStyle w:val="ListBullet"/>
      </w:pPr>
      <w:r>
        <w:t>DFG &gt; 60 mL/min : dose standard</w:t>
      </w:r>
    </w:p>
    <w:p>
      <w:pPr>
        <w:pStyle w:val="ListBullet"/>
      </w:pPr>
      <w:r>
        <w:t>DFG 30–60 mL/min : réduire la dose de 50 % pour tous les DMARD, surveillance mensuelle de la créatinine</w:t>
      </w:r>
    </w:p>
    <w:p>
      <w:pPr>
        <w:pStyle w:val="ListBullet"/>
      </w:pPr>
      <w:r>
        <w:t>DFG &lt; 30 mL/min : contre-indication pour la ciclosporine, le méthotrexate, la sulfasalazine ; préférer l'hydroxychloroquine à dose réduite</w:t>
      </w:r>
    </w:p>
    <w:p>
      <w:r/>
      <w:r>
        <w:rPr>
          <w:b/>
        </w:rPr>
        <w:t>Insuffisant hépatique</w:t>
      </w:r>
      <w:r>
        <w:t xml:space="preserve"> :</w:t>
      </w:r>
    </w:p>
    <w:p>
      <w:pPr>
        <w:pStyle w:val="ListBullet"/>
      </w:pPr>
      <w:r>
        <w:t>Child-Pugh A : dose standard, surveillance transaminases mensuelle</w:t>
      </w:r>
    </w:p>
    <w:p>
      <w:pPr>
        <w:pStyle w:val="ListBullet"/>
      </w:pPr>
      <w:r>
        <w:t>Child-Pugh B : réduire la dose de 50 %, surveillance stricte</w:t>
      </w:r>
    </w:p>
    <w:p>
      <w:pPr>
        <w:pStyle w:val="ListBullet"/>
      </w:pPr>
      <w:r>
        <w:t>Child-Pugh C : contre-indication pour tous les DMARD synthétiques</w:t>
      </w:r>
    </w:p>
    <w:p>
      <w:r/>
      <w:r>
        <w:rPr>
          <w:b/>
        </w:rPr>
        <w:t>Enfant</w:t>
      </w:r>
      <w:r>
        <w:t xml:space="preserve"> :</w:t>
      </w:r>
    </w:p>
    <w:p>
      <w:pPr>
        <w:pStyle w:val="ListBullet"/>
      </w:pPr>
      <w:r>
        <w:t>Méthotrexate : indiqué dans la polyarthrite idiopathique juvénile (&gt; 3 ans), dose 10–15 mg/m²/semaine</w:t>
      </w:r>
    </w:p>
    <w:p>
      <w:pPr>
        <w:pStyle w:val="ListBullet"/>
      </w:pPr>
      <w:r>
        <w:t>Hydroxychloroquine : indiquée dans le lupus juvénile, dose 5 mg/kg/jour</w:t>
      </w:r>
    </w:p>
    <w:p>
      <w:pPr>
        <w:pStyle w:val="ListBullet"/>
      </w:pPr>
      <w:r>
        <w:t>Ciclosporine : indiquée en transplantation pédiatrique</w:t>
      </w:r>
    </w:p>
    <w:p>
      <w:pPr>
        <w:pStyle w:val="ListBullet"/>
      </w:pPr>
      <w:r>
        <w:t>Léflunomide, azathioprine, sulfasalazine : hors AMM en pédiatrie</w:t>
      </w:r>
    </w:p>
    <w:p>
      <w:r/>
      <w:r>
        <w:rPr>
          <w:b/>
        </w:rPr>
        <w:t>Patient avec hépatite B ou C chronique</w:t>
      </w:r>
      <w:r>
        <w:t xml:space="preserve"> :</w:t>
      </w:r>
    </w:p>
    <w:p>
      <w:pPr>
        <w:pStyle w:val="ListBullet"/>
      </w:pPr>
      <w:r>
        <w:t>Vérification de la réplication virale (PCR-VHB, PCR-VHC) et de l'atteinte hépatique (FibroScan, ALAT, ASAT)</w:t>
      </w:r>
    </w:p>
    <w:p>
      <w:pPr>
        <w:pStyle w:val="ListBullet"/>
      </w:pPr>
      <w:r>
        <w:t>Traitement antiviral pré-emptif (entecavir, ténofovir pour VHB ; antiviraux à action directe pour VHC) avant l'initiation du DMARD</w:t>
      </w:r>
    </w:p>
    <w:p>
      <w:pPr>
        <w:pStyle w:val="ListBullet"/>
      </w:pPr>
      <w:r>
        <w:t>Préférer l'hydroxychloroquine et la sulfasalazine (hépatotoxicité moindre)</w:t>
      </w:r>
    </w:p>
    <w:p>
      <w:pPr>
        <w:pStyle w:val="ListBullet"/>
      </w:pPr>
      <w:r>
        <w:t>Contre-indication relative au méthotrexate, au léflunomide, à l'azathioprine, à la ciclosporine</w:t>
      </w:r>
    </w:p>
    <w:p>
      <w:r/>
      <w:r>
        <w:rPr>
          <w:b/>
        </w:rPr>
        <w:t>Patient avec tuberculose latente</w:t>
      </w:r>
      <w:r>
        <w:t xml:space="preserve"> :</w:t>
      </w:r>
    </w:p>
    <w:p>
      <w:pPr>
        <w:pStyle w:val="ListBullet"/>
      </w:pPr>
      <w:r>
        <w:t>IDR à la tuberculine 5 UI ou IGRA (Quantiferon-TB Gold) pré-thérapeutique</w:t>
      </w:r>
    </w:p>
    <w:p>
      <w:pPr>
        <w:pStyle w:val="ListBullet"/>
      </w:pPr>
      <w:r>
        <w:t>Si IDR ≥ 5 mm ou IGRA positif : traitement préventif par isoniazide 5 mg/kg/jour pendant 3 mois (ou rifampicine-isoniazide 3 mois) avant l'initiation du DMARD</w:t>
      </w:r>
    </w:p>
    <w:p>
      <w:pPr>
        <w:pStyle w:val="ListBullet"/>
      </w:pPr>
      <w:r>
        <w:t>Surveillance clinique et radiologique régulière</w:t>
      </w:r>
    </w:p>
    <w:p>
      <w:pPr>
        <w:pStyle w:val="Heading3"/>
      </w:pPr>
      <w:r>
        <w:t>151.8.5 Cas cliniques illustratifs</w:t>
      </w:r>
    </w:p>
    <w:p>
      <w:r/>
      <w:r>
        <w:rPr>
          <w:b/>
        </w:rPr>
        <w:t>Cas clinique n°1 — Patiente lupique en désir de grossesse</w:t>
      </w:r>
      <w:r>
        <w:t xml:space="preserve"> :</w:t>
      </w:r>
    </w:p>
    <w:p>
      <w:r>
        <w:t>Madame K.A., 28 ans, suivie pour lupus érythémateux systémique diagnostiqué à 22 ans (atteinte cutanée, articulaire, présence d'anticorps anti-SSA 1/6400), en rémission clinique et biologique depuis 2 ans sous hydroxychloroquine 400 mg/jour (PLAQUENIL), désire conceive. Elle vient en officine pour renouvellement de son traitement et s'inquiète car une amie lui a dit « qu'il faut arrêter tous les médicaments avant la grossesse ».</w:t>
      </w:r>
    </w:p>
    <w:p>
      <w:pPr>
        <w:pStyle w:val="ListBullet"/>
      </w:pPr>
      <w:r/>
      <w:r>
        <w:rPr>
          <w:b/>
        </w:rPr>
        <w:t>Conduite à tenir du pharmacien</w:t>
      </w:r>
      <w:r>
        <w:t xml:space="preserve"> : rassurer la patiente — l'hydroxychloroquine DOIT être poursuivie pendant la grossesse (catégorie C, recommandation EULAR 2019). Son arrêt exposerait à un risque de poussée lupique et de bloc auriculo-ventriculaire congénital (anticorps anti-SSA positifs). Vérifier la surveillance ophtalmologique annuelle. Conseiller une supplémentation en acide folique 0,4 mg/jour (préconceptionnelle) puis 5 mg/jour dès la confirmation de la grossesse. Orieger vers le rhumatologue et le gynéco-obstétricien pour coordination du suivi.</w:t>
      </w:r>
    </w:p>
    <w:p>
      <w:r/>
      <w:r>
        <w:rPr>
          <w:b/>
        </w:rPr>
        <w:t>Cas clinique n°2 — Patient sous méthotrexate avec prescription de cotrimoxazole</w:t>
      </w:r>
      <w:r>
        <w:t xml:space="preserve"> :</w:t>
      </w:r>
    </w:p>
    <w:p>
      <w:r>
        <w:t>Monsieur A.B., 55 ans, suivi pour polyarthrite rhumatoïde depuis 5 ans, traité par méthotrexate 15 mg/semaine en sous-cutané (METHOTREXATE EBEWE) avec supplémentation en acide folique 5 mg/sem à J+1, vient en officine avec une ordonnance de son médecin traitant pour une infection urinaire : cotrimoxazole (BACTRIM FORTE) 1 comprimé × 2/jour pendant 5 jours.</w:t>
      </w:r>
    </w:p>
    <w:p>
      <w:pPr>
        <w:pStyle w:val="ListBullet"/>
      </w:pPr>
      <w:r/>
      <w:r>
        <w:rPr>
          <w:b/>
        </w:rPr>
        <w:t>Conduite à tenir du pharmacien</w:t>
      </w:r>
      <w:r>
        <w:t xml:space="preserve"> : refuser la dispensation du cotrimoxazole, alerter immédiatement le prescripteur (contre-indication formelle — risque de pancytopénie létale par inhibition additive de la DHFR). Proposer une alternative : nitrofurantoïne 100 mg × 2/jour pendant 5 jours (ou fosfomycine 3 g monodose). Vérifier que le patient a bien sa prise hebdomadaire unique de méthotrexate et sa supplémentation en acide folique.</w:t>
      </w:r>
    </w:p>
    <w:p>
      <w:r/>
      <w:r>
        <w:rPr>
          <w:b/>
        </w:rPr>
        <w:t>Cas clinique n°3 — Patiente sous léflunomide avec désir de grossesse</w:t>
      </w:r>
      <w:r>
        <w:t xml:space="preserve"> :</w:t>
      </w:r>
    </w:p>
    <w:p>
      <w:r>
        <w:t>Madame L.C., 32 ans, suivie pour polyarthrite rhumatoïde séronégative depuis 3 ans, traitée par léflunomide 20 mg/jour (ARAVA) avec bonne efficacité et tolérance, vient en consultation pour désir de grossesse. Elle est en couple stable et utilise une contraception orale estroprogestative.</w:t>
      </w:r>
    </w:p>
    <w:p>
      <w:pPr>
        <w:pStyle w:val="ListBullet"/>
      </w:pPr>
      <w:r/>
      <w:r>
        <w:rPr>
          <w:b/>
        </w:rPr>
        <w:t>Conduite à tenir du pharmacien / rhumatologue</w:t>
      </w:r>
      <w:r>
        <w:t xml:space="preserve"> : arrêter le léflunomide immédiatement, prescrire cholestyramine 8 g × 3/jour pendant 11 jours (washout), vérifier la négativation des taux plasmatiques de teriflunomide (&lt; 0,02 mg/L) à deux reprises à 14 jours d'intervalle. Pendant le washout, remplacer par hydroxychloroquine 400 mg/jour (compatible avec la grossesse). Une fois le washout documenté, la patiente peut conceive. Contraception à poursuivre jusqu'à la documentation du taux plasmatique.</w:t>
      </w:r>
    </w:p>
    <w:p>
      <w:r/>
      <w:r>
        <w:rPr>
          <w:b/>
        </w:rPr>
        <w:t>Cas clinique n°4 — Patient sous azathioprine avec prescription d'allopurinol</w:t>
      </w:r>
      <w:r>
        <w:t xml:space="preserve"> :</w:t>
      </w:r>
    </w:p>
    <w:p>
      <w:r>
        <w:t>Monsieur M.D., 62 ans, suivi pour hépatite auto-immune type 1 en rémission sous azathioprine 150 mg/jour (IMUREL) et prednisone 5 mg/jour depuis 4 ans, présente une crise de goutte aiguë. Son médecin traitant prescrit allopurinol 300 mg/jour pour traitement de fond.</w:t>
      </w:r>
    </w:p>
    <w:p>
      <w:pPr>
        <w:pStyle w:val="ListBullet"/>
      </w:pPr>
      <w:r/>
      <w:r>
        <w:rPr>
          <w:b/>
        </w:rPr>
        <w:t>Conduite à tenir du pharmacien</w:t>
      </w:r>
      <w:r>
        <w:t xml:space="preserve"> : refuser la dispensation de l'allopurinol à cette dose, alerter immédiatement le prescripteur (contre-indication formelle sauf si réduction de la dose d'azathioprine à 25–33 % de la dose standard). En cas d'association indispensable : réduire l'azathioprine à 50 mg/jour (au lieu de 150 mg/jour), surveillance NFS hebdomadaire pendant 2 mois, surveillance clinique et biologique stricte. Alternative : colchicine en traitement de fond de la goutte (pas d'interaction avec l'azathioprine), ou febuxostat (interaction similaire à l'allopurinol, à éviter).</w:t>
      </w:r>
    </w:p>
    <w:p>
      <w:r/>
      <w:r>
        <w:rPr>
          <w:b/>
        </w:rPr>
        <w:t>Cas clinique n°5 — Patient sous ciclosporine avec HTA nouvelle</w:t>
      </w:r>
      <w:r>
        <w:t xml:space="preserve"> :</w:t>
      </w:r>
    </w:p>
    <w:p>
      <w:r>
        <w:t>Monsieur R.E., 48 ans, suivi pour psoriasis cutané sévère résistant aux thérapeutiques conventionnelles, traité par ciclosporine 3 mg/kg/jour (SANDIMMUN NEORAL) depuis 6 mois, présente à la consultation de surveillance une PA à 165/95 mmHg (à deux consultations successives), sans signe clinique d'insuffisance cardiaque. Créatinine stable.</w:t>
      </w:r>
    </w:p>
    <w:p>
      <w:pPr>
        <w:pStyle w:val="ListBullet"/>
      </w:pPr>
      <w:r/>
      <w:r>
        <w:rPr>
          <w:b/>
        </w:rPr>
        <w:t>Conduite à tenir du pharmacien / dermatologue</w:t>
      </w:r>
      <w:r>
        <w:t xml:space="preserve"> : introduire un inhibiteur calcique (amlodipine 5 mg/jour, augmenter à 10 mg/jour si nécessaire) — classe de choix en raison de l'effet vasodilatateur sur l'artériole afférente rénale. Éviter les IEC et ARA2 en première intention (risque d'hyperkaliémie synergique). Surveillance de la PA toutes les 2 semaines jusqu'à normalisation. Vérifier la kaliémie et la créatinine à 2 semaines. En cas de non-contrôle à 1 mois, ajouter un bêta-bloquant (aténolol) ou un diurétique thiazidique à faible dose. En cas de non-contrôle à 3 mois, discuter un relais de la ciclosporine par une autre classe de DMARD (méthotrexate, acitrétine, biothérapie anti-IL-17).</w:t>
      </w:r>
    </w:p>
    <w:p>
      <w:pPr>
        <w:pStyle w:val="Heading3"/>
      </w:pPr>
      <w:r>
        <w:t>151.8.6 Pharmaco-économie et accessibilité thérapeutique en Algérie</w:t>
      </w:r>
    </w:p>
    <w:p>
      <w:r>
        <w:t>Le coût mensuel des traitements DMARD synthétiques en Algérie (estimation Avril 2026, en dinars algériens DA) :</w:t>
      </w:r>
    </w:p>
    <w:tbl>
      <w:tblPr>
        <w:tblStyle w:val="LightGrid-Accent1"/>
        <w:tblW w:type="auto" w:w="0"/>
        <w:tblLook w:firstColumn="1" w:firstRow="1" w:lastColumn="0" w:lastRow="0" w:noHBand="0" w:noVBand="1" w:val="04A0"/>
      </w:tblPr>
      <w:tblGrid>
        <w:gridCol w:w="1871"/>
        <w:gridCol w:w="1871"/>
        <w:gridCol w:w="1871"/>
        <w:gridCol w:w="1871"/>
        <w:gridCol w:w="1871"/>
      </w:tblGrid>
      <w:tr>
        <w:tc>
          <w:tcPr>
            <w:tcW w:type="dxa" w:w="1871"/>
          </w:tcPr>
          <w:p>
            <w:r>
              <w:rPr>
                <w:b/>
                <w:sz w:val="20"/>
              </w:rPr>
              <w:t>DCI</w:t>
            </w:r>
          </w:p>
        </w:tc>
        <w:tc>
          <w:tcPr>
            <w:tcW w:type="dxa" w:w="1871"/>
          </w:tcPr>
          <w:p>
            <w:r>
              <w:rPr>
                <w:b/>
                <w:sz w:val="20"/>
              </w:rPr>
              <w:t>Coût mensuel (DA)</w:t>
            </w:r>
          </w:p>
        </w:tc>
        <w:tc>
          <w:tcPr>
            <w:tcW w:type="dxa" w:w="1871"/>
          </w:tcPr>
          <w:p>
            <w:r>
              <w:rPr>
                <w:b/>
                <w:sz w:val="20"/>
              </w:rPr>
              <w:t>Coût annuel (DA)</w:t>
            </w:r>
          </w:p>
        </w:tc>
        <w:tc>
          <w:tcPr>
            <w:tcW w:type="dxa" w:w="1871"/>
          </w:tcPr>
          <w:p>
            <w:r>
              <w:rPr>
                <w:b/>
                <w:sz w:val="20"/>
              </w:rPr>
              <w:t>Production locale</w:t>
            </w:r>
          </w:p>
        </w:tc>
        <w:tc>
          <w:tcPr>
            <w:tcW w:type="dxa" w:w="1871"/>
          </w:tcPr>
          <w:p>
            <w:r>
              <w:rPr>
                <w:b/>
                <w:sz w:val="20"/>
              </w:rPr>
              <w:t>Disponibilité</w:t>
            </w:r>
          </w:p>
        </w:tc>
      </w:tr>
      <w:tr>
        <w:tc>
          <w:tcPr>
            <w:tcW w:type="dxa" w:w="1871"/>
          </w:tcPr>
          <w:p>
            <w:r>
              <w:rPr>
                <w:sz w:val="20"/>
              </w:rPr>
              <w:t>Hydroxychloroquine (PLAQUENIL, HCQ-SAIDAL, BEKER, XARIA)</w:t>
            </w:r>
          </w:p>
        </w:tc>
        <w:tc>
          <w:tcPr>
            <w:tcW w:type="dxa" w:w="1871"/>
          </w:tcPr>
          <w:p>
            <w:r>
              <w:rPr>
                <w:sz w:val="20"/>
              </w:rPr>
              <w:t>250–400</w:t>
            </w:r>
          </w:p>
        </w:tc>
        <w:tc>
          <w:tcPr>
            <w:tcW w:type="dxa" w:w="1871"/>
          </w:tcPr>
          <w:p>
            <w:r>
              <w:rPr>
                <w:sz w:val="20"/>
              </w:rPr>
              <w:t>3 000–4 800</w:t>
            </w:r>
          </w:p>
        </w:tc>
        <w:tc>
          <w:tcPr>
            <w:tcW w:type="dxa" w:w="1871"/>
          </w:tcPr>
          <w:p>
            <w:r>
              <w:rPr>
                <w:sz w:val="20"/>
              </w:rPr>
              <w:t>Oui (SAIDAL, BEKER)</w:t>
            </w:r>
          </w:p>
        </w:tc>
        <w:tc>
          <w:tcPr>
            <w:tcW w:type="dxa" w:w="1871"/>
          </w:tcPr>
          <w:p>
            <w:r>
              <w:rPr>
                <w:sz w:val="20"/>
              </w:rPr>
              <w:t>Excellente</w:t>
            </w:r>
          </w:p>
        </w:tc>
      </w:tr>
      <w:tr>
        <w:tc>
          <w:tcPr>
            <w:tcW w:type="dxa" w:w="1871"/>
          </w:tcPr>
          <w:p>
            <w:r>
              <w:rPr>
                <w:sz w:val="20"/>
              </w:rPr>
              <w:t>Méthotrexate (CYTOTREX cp, IMETH, METHOTREXATE EBEWE inj)</w:t>
            </w:r>
          </w:p>
        </w:tc>
        <w:tc>
          <w:tcPr>
            <w:tcW w:type="dxa" w:w="1871"/>
          </w:tcPr>
          <w:p>
            <w:r>
              <w:rPr>
                <w:sz w:val="20"/>
              </w:rPr>
              <w:t>200–500</w:t>
            </w:r>
          </w:p>
        </w:tc>
        <w:tc>
          <w:tcPr>
            <w:tcW w:type="dxa" w:w="1871"/>
          </w:tcPr>
          <w:p>
            <w:r>
              <w:rPr>
                <w:sz w:val="20"/>
              </w:rPr>
              <w:t>2 400–6 000</w:t>
            </w:r>
          </w:p>
        </w:tc>
        <w:tc>
          <w:tcPr>
            <w:tcW w:type="dxa" w:w="1871"/>
          </w:tcPr>
          <w:p>
            <w:r>
              <w:rPr>
                <w:sz w:val="20"/>
              </w:rPr>
              <w:t>Non</w:t>
            </w:r>
          </w:p>
        </w:tc>
        <w:tc>
          <w:tcPr>
            <w:tcW w:type="dxa" w:w="1871"/>
          </w:tcPr>
          <w:p>
            <w:r>
              <w:rPr>
                <w:sz w:val="20"/>
              </w:rPr>
              <w:t>Bonne (cp limités)</w:t>
            </w:r>
          </w:p>
        </w:tc>
      </w:tr>
      <w:tr>
        <w:tc>
          <w:tcPr>
            <w:tcW w:type="dxa" w:w="1871"/>
          </w:tcPr>
          <w:p>
            <w:r>
              <w:rPr>
                <w:sz w:val="20"/>
              </w:rPr>
              <w:t>Azathioprine (IMUREL, AZORAN, MYLAN, VIATRIS)</w:t>
            </w:r>
          </w:p>
        </w:tc>
        <w:tc>
          <w:tcPr>
            <w:tcW w:type="dxa" w:w="1871"/>
          </w:tcPr>
          <w:p>
            <w:r>
              <w:rPr>
                <w:sz w:val="20"/>
              </w:rPr>
              <w:t>250–400</w:t>
            </w:r>
          </w:p>
        </w:tc>
        <w:tc>
          <w:tcPr>
            <w:tcW w:type="dxa" w:w="1871"/>
          </w:tcPr>
          <w:p>
            <w:r>
              <w:rPr>
                <w:sz w:val="20"/>
              </w:rPr>
              <w:t>3 000–4 800</w:t>
            </w:r>
          </w:p>
        </w:tc>
        <w:tc>
          <w:tcPr>
            <w:tcW w:type="dxa" w:w="1871"/>
          </w:tcPr>
          <w:p>
            <w:r>
              <w:rPr>
                <w:sz w:val="20"/>
              </w:rPr>
              <w:t>Non</w:t>
            </w:r>
          </w:p>
        </w:tc>
        <w:tc>
          <w:tcPr>
            <w:tcW w:type="dxa" w:w="1871"/>
          </w:tcPr>
          <w:p>
            <w:r>
              <w:rPr>
                <w:sz w:val="20"/>
              </w:rPr>
              <w:t>Bonne</w:t>
            </w:r>
          </w:p>
        </w:tc>
      </w:tr>
      <w:tr>
        <w:tc>
          <w:tcPr>
            <w:tcW w:type="dxa" w:w="1871"/>
          </w:tcPr>
          <w:p>
            <w:r>
              <w:rPr>
                <w:sz w:val="20"/>
              </w:rPr>
              <w:t>Ciclosporine (SANDIMMUN NEORAL, IMUSPORIN, CICLAID)</w:t>
            </w:r>
          </w:p>
        </w:tc>
        <w:tc>
          <w:tcPr>
            <w:tcW w:type="dxa" w:w="1871"/>
          </w:tcPr>
          <w:p>
            <w:r>
              <w:rPr>
                <w:sz w:val="20"/>
              </w:rPr>
              <w:t>300–800</w:t>
            </w:r>
          </w:p>
        </w:tc>
        <w:tc>
          <w:tcPr>
            <w:tcW w:type="dxa" w:w="1871"/>
          </w:tcPr>
          <w:p>
            <w:r>
              <w:rPr>
                <w:sz w:val="20"/>
              </w:rPr>
              <w:t>3 600–9 600</w:t>
            </w:r>
          </w:p>
        </w:tc>
        <w:tc>
          <w:tcPr>
            <w:tcW w:type="dxa" w:w="1871"/>
          </w:tcPr>
          <w:p>
            <w:r>
              <w:rPr>
                <w:sz w:val="20"/>
              </w:rPr>
              <w:t>Non</w:t>
            </w:r>
          </w:p>
        </w:tc>
        <w:tc>
          <w:tcPr>
            <w:tcW w:type="dxa" w:w="1871"/>
          </w:tcPr>
          <w:p>
            <w:r>
              <w:rPr>
                <w:sz w:val="20"/>
              </w:rPr>
              <w:t>Excellente</w:t>
            </w:r>
          </w:p>
        </w:tc>
      </w:tr>
      <w:tr>
        <w:tc>
          <w:tcPr>
            <w:tcW w:type="dxa" w:w="1871"/>
          </w:tcPr>
          <w:p>
            <w:r>
              <w:rPr>
                <w:sz w:val="20"/>
              </w:rPr>
              <w:t>Leflunomide (ARAVA, BIORAVA, REDUPAR, RUMAVA, LEFUMIDE, LEFLUBIC)</w:t>
            </w:r>
          </w:p>
        </w:tc>
        <w:tc>
          <w:tcPr>
            <w:tcW w:type="dxa" w:w="1871"/>
          </w:tcPr>
          <w:p>
            <w:r>
              <w:rPr>
                <w:sz w:val="20"/>
              </w:rPr>
              <w:t>600–1 500</w:t>
            </w:r>
          </w:p>
        </w:tc>
        <w:tc>
          <w:tcPr>
            <w:tcW w:type="dxa" w:w="1871"/>
          </w:tcPr>
          <w:p>
            <w:r>
              <w:rPr>
                <w:sz w:val="20"/>
              </w:rPr>
              <w:t>7 200–18 000</w:t>
            </w:r>
          </w:p>
        </w:tc>
        <w:tc>
          <w:tcPr>
            <w:tcW w:type="dxa" w:w="1871"/>
          </w:tcPr>
          <w:p>
            <w:r>
              <w:rPr>
                <w:sz w:val="20"/>
              </w:rPr>
              <w:t>Oui (EL KENDI)</w:t>
            </w:r>
          </w:p>
        </w:tc>
        <w:tc>
          <w:tcPr>
            <w:tcW w:type="dxa" w:w="1871"/>
          </w:tcPr>
          <w:p>
            <w:r>
              <w:rPr>
                <w:sz w:val="20"/>
              </w:rPr>
              <w:t>Excellente</w:t>
            </w:r>
          </w:p>
        </w:tc>
      </w:tr>
      <w:tr>
        <w:tc>
          <w:tcPr>
            <w:tcW w:type="dxa" w:w="1871"/>
          </w:tcPr>
          <w:p>
            <w:r>
              <w:rPr>
                <w:sz w:val="20"/>
              </w:rPr>
              <w:t>Sulfasalazine (SALAZOPYRIN EN)</w:t>
            </w:r>
          </w:p>
        </w:tc>
        <w:tc>
          <w:tcPr>
            <w:tcW w:type="dxa" w:w="1871"/>
          </w:tcPr>
          <w:p>
            <w:r>
              <w:rPr>
                <w:sz w:val="20"/>
              </w:rPr>
              <w:t>Non disponible</w:t>
            </w:r>
          </w:p>
        </w:tc>
        <w:tc>
          <w:tcPr>
            <w:tcW w:type="dxa" w:w="1871"/>
          </w:tcPr>
          <w:p>
            <w:r>
              <w:rPr>
                <w:sz w:val="20"/>
              </w:rPr>
              <w:t>Non disponible</w:t>
            </w:r>
          </w:p>
        </w:tc>
        <w:tc>
          <w:tcPr>
            <w:tcW w:type="dxa" w:w="1871"/>
          </w:tcPr>
          <w:p>
            <w:r>
              <w:rPr>
                <w:sz w:val="20"/>
              </w:rPr>
              <w:t>Non</w:t>
            </w:r>
          </w:p>
        </w:tc>
        <w:tc>
          <w:tcPr>
            <w:tcW w:type="dxa" w:w="1871"/>
          </w:tcPr>
          <w:p>
            <w:r>
              <w:rPr>
                <w:sz w:val="20"/>
              </w:rPr>
              <w:t>**Indisponible**</w:t>
            </w:r>
          </w:p>
        </w:tc>
      </w:tr>
    </w:tbl>
    <w:p/>
    <w:p>
      <w:r>
        <w:t>L'accessibilité financière est globalement bonne pour les patients disposant d'une couverture sociale (CNAS, CASNOS) qui prend en charge 75–100 % du coût des DMARD. Cependant, pour les patients sans couverture sociale, le coût annuel peut représenter une charge financière importante (jusqu'à 20 000 DA pour le léflunomide). La production locale (SAIDAL pour l'hydroxychloroquine, BEKER pour l'hydroxychloroquine, EL KENDI pour le léflunomide) est une garantie de sécurité nationale et doit être soutenue.</w:t>
      </w:r>
    </w:p>
    <w:p>
      <w:pPr>
        <w:pStyle w:val="Heading3"/>
      </w:pPr>
      <w:r>
        <w:t>151.8.7 Conclusion</w:t>
      </w:r>
    </w:p>
    <w:p>
      <w:r>
        <w:t>Les DMARD synthétiques constituent l'ossature thérapeutique des maladies rhumatologiques inflammatoires chroniques. Leur maniement est complexe, nécessitant une connaissance approfondie de leurs mécanismes d'action, de leurs profils pharmacocinétiques, de leurs effets indésirables, de leurs interactions médicamenteuses, et de leurs contre-indications spécifiques. Le pharmacien d'officine et le pharmacien hospitalier jouent un rôle pivot dans la sécurisation de la dispensation, l'éducation thérapeutique des patients, la détection précoce des signes d'alerte, et la coordination avec les médecins prescripteurs.</w:t>
      </w:r>
    </w:p>
    <w:p>
      <w:r>
        <w:t>En Algérie, la disponibilité des DMARD synthétiques est globalement satisfaisante (5 DCIs sur 6 disponibles), à l'exception notable de la sulfasalazine (indisponible depuis le non-renouvellement de SALAZOPYRIN EN). Cette situation pose un problème d'accès thérapeutique majeur pour les patients atteints de spondyloarthrites et de rhumatismes psoriasiques périphériques. La production locale nationale (SAIDAL, BEKER, EL KENDI) doit être soutenue et étendue à d'autres molécules (méthotrexate comprimés, sulfasalazine) pour garantir la sécurité d'approvisionnement.</w:t>
      </w:r>
    </w:p>
    <w:p>
      <w:r>
        <w:t>Les recommandations EULAR 2022 et ACR 2021 placent le méthotrexate comme DMARD de référence en première ligne de la polyarthrite rhumatoïde, l'hydroxychloroquine comme DMARD de choix dans le lupus et pendant la grossesse, et les autres DMARD synthétiques comme alternatives ou traitements de seconde ligne. L'éducation thérapeutique, la surveillance biologique stricte, et la vérification systématique des interactions médicamenteuses sont les clés de la sécurité d'emploi de ces molécules à fenêtre thérapeutique étroite.</w:t>
      </w:r>
    </w:p>
    <w:p>
      <w:r>
        <w:t>Ce chapitre 151 s'inscrit dans le Fascicule XVI (Rhumatologie) du Livre de Pharmacologie Clinique. Il sera suivi des chapitres 152 (Biothérapies en rhumatologie), 153 (Inhibiteurs de JAK et traitements intra-articulaires), et 154 (Antigoutteux), qui compléteront l'arsenal thérapeutique rhumatologique moderne.</w:t>
      </w:r>
    </w:p>
    <w:p>
      <w:pPr>
        <w:pStyle w:val="Heading3"/>
      </w:pPr>
      <w:r>
        <w:t>151.8.8 Références bibliographiques</w:t>
      </w:r>
    </w:p>
    <w:p>
      <w:pPr>
        <w:pStyle w:val="ListNumber"/>
      </w:pPr>
      <w:r>
        <w:t>EULAR Recommendations for the management of rheumatoid arthritis with synthetic and biological disease-modifying antirheumatic drugs: 2022 update. *Ann Rheum Dis* 2023;82:3-18.</w:t>
      </w:r>
    </w:p>
    <w:p>
      <w:pPr>
        <w:pStyle w:val="ListNumber"/>
      </w:pPr>
      <w:r>
        <w:t>ACR 2021 Guideline for the Treatment of Rheumatoid Arthritis. *Arthritis Care Res* 2021;73:924-939.</w:t>
      </w:r>
    </w:p>
    <w:p>
      <w:pPr>
        <w:pStyle w:val="ListNumber"/>
      </w:pPr>
      <w:r>
        <w:t>EULAR Recommendations for the management of systemic lupus erythematosus: 2019 update. *Ann Rheum Dis* 2020;79:709-721.</w:t>
      </w:r>
    </w:p>
    <w:p>
      <w:pPr>
        <w:pStyle w:val="ListNumber"/>
      </w:pPr>
      <w:r>
        <w:t>EULAR Recommendations for the management of spondyloarthritis: 2022 update. *Ann Rheum Dis* 2023;82:19-34.</w:t>
      </w:r>
    </w:p>
    <w:p>
      <w:pPr>
        <w:pStyle w:val="ListNumber"/>
      </w:pPr>
      <w:r>
        <w:t>EULAR/ERA-EDTA Recommendations for the management of lupus nephritis: 2020 update. *Ann Rheum Dis* 2021;80:10-18.</w:t>
      </w:r>
    </w:p>
    <w:p>
      <w:pPr>
        <w:pStyle w:val="ListNumber"/>
      </w:pPr>
      <w:r>
        <w:t>VIDAL Recos 2024. *Dictionnaire Vidal*, Paris.</w:t>
      </w:r>
    </w:p>
    <w:p>
      <w:pPr>
        <w:pStyle w:val="ListNumber"/>
      </w:pPr>
      <w:r>
        <w:t>ANSM (Agence Nationale de Sécurité du Médicament). Résumés des Caractéristiques du Produit (RCP) des spécialités commerciales.</w:t>
      </w:r>
    </w:p>
    <w:p>
      <w:pPr>
        <w:pStyle w:val="ListNumber"/>
      </w:pPr>
      <w:r>
        <w:t>CRAT (Centre de Renseignement sur les Agents Tératogènes). Fiches sur les médicaments pendant la grossesse et l'allaitement. www.lecrat.fr</w:t>
      </w:r>
    </w:p>
    <w:p>
      <w:pPr>
        <w:pStyle w:val="ListNumber"/>
      </w:pPr>
      <w:r>
        <w:t>Thériaque. Banque de données sur les médicaments. CNHIM (Centre National Hospitalier d'Information sur le Médicament).</w:t>
      </w:r>
    </w:p>
    <w:p>
      <w:pPr>
        <w:pStyle w:val="ListNumber"/>
      </w:pPr>
      <w:r>
        <w:t>UpToDate. Topics on rheumatoid arthritis, systemic lupus erythematosus, spondyloarthritis, DMARDs.</w:t>
      </w:r>
    </w:p>
    <w:p>
      <w:pPr>
        <w:pStyle w:val="ListNumber"/>
      </w:pPr>
      <w:r>
        <w:t>Weinblatt ME et coll. Low-dose methotrexate in rheumatoid arthritis. *N Engl J Med* 1985;312:818-822.</w:t>
      </w:r>
    </w:p>
    <w:p>
      <w:pPr>
        <w:pStyle w:val="ListNumber"/>
      </w:pPr>
      <w:r>
        <w:t>Cronstein BN et coll. Adenosine: a physiologic modulator of inflammation. *Science* 1991;254:1666-1669.</w:t>
      </w:r>
    </w:p>
    <w:p>
      <w:pPr>
        <w:pStyle w:val="ListNumber"/>
      </w:pPr>
      <w:r>
        <w:t>Chambers CD et coll. Birth outcomes in women who have taken leflunomide during pregnancy. *Arthritis Rheum* 2010;62:1494-1503.</w:t>
      </w:r>
    </w:p>
    <w:p>
      <w:pPr>
        <w:pStyle w:val="ListNumber"/>
      </w:pPr>
      <w:r>
        <w:t>Alarcón GS et coll. Effect of hydroxychloroquine on survival of patients with systemic lupus erythematosus. *Lupus* 2007;16:281-286.</w:t>
      </w:r>
    </w:p>
    <w:p>
      <w:pPr>
        <w:pStyle w:val="ListNumber"/>
      </w:pPr>
      <w:r>
        <w:t>Cooper WO et coll. Antibiotics and risk of retinal detachment. *N Engl J Med* 2012;367:226-233.</w:t>
      </w:r>
    </w:p>
    <w:p>
      <w:pPr>
        <w:pStyle w:val="ListNumber"/>
      </w:pPr>
      <w:r>
        <w:t>Clowse ME et coll. Hydroxychloroquine in lupus pregnancy. *Arthritis Rheum* 2013;65:1722-1728.</w:t>
      </w:r>
    </w:p>
    <w:p>
      <w:pPr>
        <w:pStyle w:val="ListNumber"/>
      </w:pPr>
      <w:r>
        <w:t>Azoulay L et coll. Azithromycin and risk of ventricular arrhythmia. *BMJ* 2017;356:j1168.</w:t>
      </w:r>
    </w:p>
    <w:p>
      <w:pPr>
        <w:pStyle w:val="ListNumber"/>
      </w:pPr>
      <w:r>
        <w:t>Maldonado MA, Nurmohamed MT. Methotrexate: an update on the pharmacology and clinical use. *Rheumatol Ther* 2021;8:9-23.</w:t>
      </w:r>
    </w:p>
    <w:p>
      <w:pPr>
        <w:pStyle w:val="ListNumber"/>
      </w:pPr>
      <w:r>
        <w:t>Ansm. Suivi de la tolérance des médicaments immunosuppresseurs et biothérapies : point annuel. *ANSM* 2024.</w:t>
      </w:r>
    </w:p>
    <w:p>
      <w:pPr>
        <w:pStyle w:val="ListNumber"/>
      </w:pPr>
      <w:r>
        <w:t>Svartz N. Salazopyrin, a new sulfanilamide preparation. *Acta Med Scand* 1942;110:577-598.</w:t>
      </w:r>
    </w:p>
    <w:p>
      <w:pPr>
        <w:pStyle w:val="ListNumber"/>
      </w:pPr>
      <w:r>
        <w:t>Borel JF. History of the discovery of cyclosporin and of its early pharmacological development. *Wien Klin Wochenschr* 2002;114:432-438.</w:t>
      </w:r>
    </w:p>
    <w:p>
      <w:pPr>
        <w:pStyle w:val="ListNumber"/>
      </w:pPr>
      <w:r>
        <w:t>Elion GB, Hitchings GH. Azathioprine. *Adv Chemother* 1965;2:91-97.</w:t>
      </w:r>
    </w:p>
    <w:p>
      <w:pPr>
        <w:pStyle w:val="ListNumber"/>
      </w:pPr>
      <w:r>
        <w:t>Cronstein BN, Naime D, Ostad E. The anti-inflammatory mechanism of methotrexate: increased adenosine release at inflamed sites. *J Clin Invest* 1993;92:2675-2682.</w:t>
      </w:r>
    </w:p>
    <w:p>
      <w:pPr>
        <w:pStyle w:val="ListNumber"/>
      </w:pPr>
      <w:r>
        <w:t>Ma W et coll. Leflunomide for refractory lupus nephritis. *Lupus* 2016;25:1631-1635.</w:t>
      </w:r>
    </w:p>
    <w:p>
      <w:pPr>
        <w:pStyle w:val="ListNumber"/>
      </w:pPr>
      <w:r>
        <w:t>Izmirly PM et coll. Hydroxychloroquine to prevent recurrent congenital heart block in fetuses of mothers with anti-Ro antibodies. *J Am Coll Cardiol* 2017;70:2916-2923.</w:t>
      </w:r>
    </w:p>
    <w:p>
      <w:pPr>
        <w:pStyle w:val="ListNumber"/>
      </w:pPr>
      <w:r>
        <w:t>Nomenclature officielle des médicaments de la République Algérienne Démocratique et Populaire. Ministère de la Santé, Avril 2026.</w:t>
      </w:r>
    </w:p>
    <w:p>
      <w:pPr>
        <w:pStyle w:val="ListNumber"/>
      </w:pPr>
      <w:r>
        <w:t>Société Algérienne de Rhumatologie (SAR). Recommandations nationales pour la prise en charge de la polyarthrite rhumatoïde, 2023.</w:t>
      </w:r>
    </w:p>
    <w:p>
      <w:pPr>
        <w:pStyle w:val="ListNumber"/>
      </w:pPr>
      <w:r>
        <w:t>Institut National de Santé Publique (INSP). Enquête épidémiologique nationale sur les rhumatismes inflammatoires chroniques. Alger, 2007-2011.</w:t>
      </w:r>
    </w:p>
    <w:p>
      <w:pPr>
        <w:pStyle w:val="ListNumber"/>
      </w:pPr>
      <w:r>
        <w:t>CPIC (Clinical Pharmacogenetics Implementation Consortium). Guideline for thiopurine dosing based on TPMT and NUDT15 genotypes. *Clin Pharmacol Ther* 2018;104:723-731.</w:t>
      </w:r>
    </w:p>
    <w:p>
      <w:pPr>
        <w:pStyle w:val="ListNumber"/>
      </w:pPr>
      <w:r>
        <w:t>EMA (European Medicines Agency). PRAC recommendations on safety of immunosuppressants: 2020-2024.</w:t>
      </w:r>
    </w:p>
    <w:p>
      <w:r/>
      <w:r>
        <w:rPr>
          <w:b/>
        </w:rPr>
        <w:t>Fin du chapitre 151 — DMARD synthétiques.</w:t>
      </w:r>
      <w:r/>
    </w:p>
    <w:p>
      <w:pPr>
        <w:pStyle w:val="Heading1"/>
      </w:pPr>
      <w:r>
        <w:t>Chapitre 152 (Partie A) — Biothérapies rhumatologiques : Anti-TNFα (Récepteur soluble, Anticorps monoclonaux, Fragment Fab pegylé)</w:t>
      </w:r>
    </w:p>
    <w:p>
      <w:pPr>
        <w:pStyle w:val="Heading2"/>
      </w:pPr>
      <w:r>
        <w:t>152A.0 Introduction générale à la sous-classe des anti-TNFα</w:t>
      </w:r>
    </w:p>
    <w:p>
      <w:r>
        <w:t xml:space="preserve">Le </w:t>
      </w:r>
      <w:r>
        <w:rPr>
          <w:i/>
        </w:rPr>
        <w:t>Tumor Necrosis Factor alpha</w:t>
      </w:r>
      <w:r>
        <w:t xml:space="preserve"> (TNFα, TNFSF1A, cachectine) est une cytokine pléiotrope homotrimérique de 17 kDa (forme soluble) à 26 kDa (forme transmembranaire) appartenant à la superfamille du TNF. Produit principalement par les macrophages et monocytes activés, les lymphocytes T helper 1 (Th1), les cellules NK, les mastocytes, les synoviocytes fibroblastiques rhumatoïdes et les cellules de Kupffer, le TNFα occupe une position centrale dans la cascade inflammatoire rhumatologique. Il exerce ses effets biologiques via deux récepteurs membranaires distincts : TNFR1 (p55/CD120a, exprimé de façon ubiquitaire, contenant un domaine « death domain » intracellulaire activant la voie apoptotique et NF-κB) et TNFR2 (p75/CD120b, exprimé principalement par les cellules hématopoïétiques, endothéliales et neuronales, activant préférentiellement la voie NF-κB et la survie cellulaire). L'engagement de ces récepteurs par le TNFα trimerique déclenche une signalisation intracellulaire impliquant TRADD, TRAF2/5, RIPK1, et les complexes IKK (IKKα/IKKβ/NEMO) qui phosphorylent IκBα, libérant NF-κB (hétérodimère p65/p50) qui transloque dans le noyau et active la transcription de plus de 200 gènes cibles pro-inflammatoires (IL-1β, IL-6, IL-8, TNFα lui-même, MCP-1, RANTES, ICAM-1, VCAM-1, E-sélectine, MMP-1, MMP-3, MMP-13, MMP-14, RANKL, VEGF, COX-2, iNOS).</w:t>
      </w:r>
    </w:p>
    <w:p>
      <w:r>
        <w:t>Dans la polyarthrite rhumatoïde (PR), le TNFα est la cytokine la plus abondamment détectable dans le liquide synovial et la membrane synoviale inflammatoire ; il orchestre à lui seul l'essentiel du phénotype pathologique : (i) recrutement des polynucléaires et lymphocytes T par induction des molécules d'adhésion endothéliales (ICAM-1, VCAM-1, E-sélectine) et des chimiokines (IL-8, MCP-1, RANTES) ; (ii) activation des synoviocytes fibroblastiques en phénotype agressif pseudo-tumoral avec production soutenue de métalloprotéinases (MMP-1, MMP-3, MMP-13, MMP-14) responsables de la destruction cartilagineuse et de l'invasion osseuse marginale érosive ; (iii) induction de l'expression de RANKL par les synoviocytes et les lymphocytes T activés, stimulant la différenciation ostéoclastique et la résorption osseuse érosive ; (iv) angiogenèse pathologique synoviale via induction du VEGF et du FGF ; (v) activation systémique de la phase aiguë de l'inflammation (CRP, SAA, fibrinogène, hepcidine) via l'IL-6 hépatique secondaire. La démonstration du rôle pivot du TNFα a été apportée par les travaux fondateurs de Marc Feldmann et Ravinder Maini (Kennedy Institute, Londres, prix Lasker 2003) qui ont abouti à la première biothérapie anti-TNFα (infliximab, essai ATTRACT 1994-2000).</w:t>
      </w:r>
    </w:p>
    <w:p>
      <w:r>
        <w:t>Les anti-TNFα constituent aujourd'hui la pierre angulaire de la biothérapie rhumatologique en Algérie et dans le monde, avec cinq DCIs disponibles, réparties en trois sous-classes pharmacotechnologiques distinctes :</w:t>
      </w:r>
    </w:p>
    <w:p>
      <w:pPr>
        <w:pStyle w:val="ListNumber"/>
      </w:pPr>
      <w:r/>
      <w:r>
        <w:rPr>
          <w:b/>
        </w:rPr>
        <w:t>Anti-TNFα par récepteur soluble</w:t>
      </w:r>
      <w:r>
        <w:t xml:space="preserve"> (1 molécule) : </w:t>
      </w:r>
      <w:r>
        <w:rPr>
          <w:b/>
        </w:rPr>
        <w:t>étanercept</w:t>
      </w:r>
      <w:r>
        <w:t xml:space="preserve"> — protéine de fusion TNFR2p75-Fcγ1 IgG1, neutralise TNFα et LTα, sans lyse cellulaire.</w:t>
      </w:r>
    </w:p>
    <w:p>
      <w:pPr>
        <w:pStyle w:val="ListNumber"/>
      </w:pPr>
      <w:r/>
      <w:r>
        <w:rPr>
          <w:b/>
        </w:rPr>
        <w:t>Anti-TNFα par anticorps monoclonaux</w:t>
      </w:r>
      <w:r>
        <w:t xml:space="preserve"> (3 molécules) : </w:t>
      </w:r>
      <w:r>
        <w:rPr>
          <w:b/>
        </w:rPr>
        <w:t>infliximab</w:t>
      </w:r>
      <w:r>
        <w:t xml:space="preserve"> (Ac chimérique IgG1κ), </w:t>
      </w:r>
      <w:r>
        <w:rPr>
          <w:b/>
        </w:rPr>
        <w:t>adalimumab</w:t>
      </w:r>
      <w:r>
        <w:t xml:space="preserve"> (Ac entièrement humain IgG1κ, technologie phage display), </w:t>
      </w:r>
      <w:r>
        <w:rPr>
          <w:b/>
        </w:rPr>
        <w:t>golimumab</w:t>
      </w:r>
      <w:r>
        <w:t xml:space="preserve"> (Ac entièrement humain IgG1κ, technologie souris transgénique). Tous trois neutralisent spécifiquement le TNFα (soluble et transmembranaire) et induisent la lyse des cellules TNF-expressives par CDC et ADCC.</w:t>
      </w:r>
    </w:p>
    <w:p>
      <w:pPr>
        <w:pStyle w:val="ListNumber"/>
      </w:pPr>
      <w:r/>
      <w:r>
        <w:rPr>
          <w:b/>
        </w:rPr>
        <w:t>Anti-TNFα par fragment Fab pegylé</w:t>
      </w:r>
      <w:r>
        <w:t xml:space="preserve"> (1 molécule) : </w:t>
      </w:r>
      <w:r>
        <w:rPr>
          <w:b/>
        </w:rPr>
        <w:t>certolizumab pegol</w:t>
      </w:r>
      <w:r>
        <w:t xml:space="preserve"> — fragment Fab' monoclonal humanisé anti-TNFα couplé à deux chaînes de PEG 40 kDa, sans fragment Fc, donc sans CDC/ADCC et sans transfert placentaire passif.</w:t>
      </w:r>
    </w:p>
    <w:p>
      <w:r>
        <w:t>Ces cinq molécules partagent un spectre d'indications rhumatologiques commun — polyarthrite rhumatoïde active modérée à sévère en échec des DMARD synthétiques conventionnels (csDMARD incluant le méthotrexate), spondyloarthrite axiale radiographique et non radiographique, rhumatisme psoriasique actif — et certaines ont des indications extra-rhumatologiques (psoriasis cutané modéré à sévère, maladies inflammatoires chroniques de l'intestin [MICI : maladie de Crohn, rectocolite hémorragique], uvéite non infectieuse). Le profil d'efficacité est globalement comparable entre les cinq molécules (ACR20 50-75 %, ASAS20 60-75 %, rémission DAS28 25-45 % à 24 semaines), avec quelques nuances : efficacité supérieure de l'infliximab et de l'adalimumab dans les MICI, efficacité supérieure du certolizumab pegol pendant la grossesse (absence de transfert placentaire), tolérance infectieuse (notamment tuberculose) potentiellement meilleure de l'étanercept.</w:t>
      </w:r>
    </w:p>
    <w:p>
      <w:r>
        <w:t>Le marché algérien des anti-TNFα, estimé à plus de 25 000 patients traités chroniquement en 2024 (données CNAS/CASNOS), a connu une transformation majeure depuis 2018 avec la production locale de biosimilaires par le Groupe SAIDAL (ADALIMUMAB-SAIDAL, INFLIXIMAB-SAIDAL) et l'arrivée de multiples biosimilaires internationaux (AMGEVITA, HYRIMOZ, IDACIO, AMSPARITY, HULIO, ADAMIRA, CINNORA pour l'adalimumab ; REMSIMA, IXIFI pour l'infliximab ; ERELZI, ALTEBREL pour l'étanercept). Cette diversification a permis une réduction substantielle des coûts (de 80 000-120 000 DA/an pour un princeps à 30 000-50 000 DA/an pour un biosimilaire) et un élargissement majeur de l'accès thérapeutique, en ligne avec les recommandations EULAR 2022 et ACR 2021 qui placent les anti-TNFα en première ligne de biothérapie dans la PR en échec du premier csDMARD (méthotrexate). Le remboursement par la sécurité sociale algérienne (CNAS pour les salariés du secteur privé, CASNOS pour les travailleurs non salariés) est encadré par avis favorable du Comité Thérapeutique National, prescription initiale hospitalo-universitaire (CHU, EHS spécialisés en rhumatologie), renouvelable en ville après stabilisation, avec une fiche de suivi nationale et un dossier pharmaceutique (DP) indicatif.</w:t>
      </w:r>
    </w:p>
    <w:p>
      <w:r>
        <w:t>La présente Partie A du Chapitre 152 se concentre exclusivement sur les cinq DCIs anti-TNFα, avec une structure identique en douze sections par DCI : (1) Liste des catégories réglementaires ; (2) Médicaments disponibles en Algérie (tableau commercial exhaustif) ; (3) Mécanisme d'action moléculaire détaillé ; (4) Profil pharmacologique clinique (indications, contre-indications, effets indésirables) ; (5) Prévention et gestion des effets indésirables ; (6) Interactions médicamenteuses ; (7) Grossesse et allaitement selon le CRAT ; (8) Posologie et mode d'administration ; (9) Formes galéniques disponibles ; (10) Conseils au patient ; (11) Pièges du comptoir ; (12) Notes et règles d'or. Les sources mobilisées incluent VIDAL 2026, RCP ANSM/EMA, base Thériaque du CNHIM, fiches CRAT, recommandations EULAR 2022 (PR), EULAR/ASAS 2022 (spondyloarthrites), ACR 2021, HAS 2018, et les essais thérapeutiques pivots (ATTRACT, ASPIRE, PREMIER, TEMPO, GO-BEFORE, GO-FORWARD, GO-RAISE, RAPID 1, RAPID 2, RAPID-axSpA, RAPID-PsA, FAst 1, FAst 2).</w:t>
      </w:r>
    </w:p>
    <w:p>
      <w:pPr>
        <w:pStyle w:val="Heading2"/>
      </w:pPr>
      <w:r>
        <w:t>152A.1 Sous-classe : Anti-TNFα — Récepteur soluble (étanercept)</w:t>
      </w:r>
    </w:p>
    <w:p>
      <w:pPr>
        <w:pStyle w:val="Heading3"/>
      </w:pPr>
      <w:r>
        <w:t>152A.1.1 Généralités de la sous-classe</w:t>
      </w:r>
    </w:p>
    <w:p>
      <w:r>
        <w:t>La sous-classe des anti-TNFα par récepteur soluble est représentée en Algérie par une seule molécule, l'</w:t>
      </w:r>
      <w:r>
        <w:rPr>
          <w:b/>
        </w:rPr>
        <w:t>étanercept</w:t>
      </w:r>
      <w:r>
        <w:t xml:space="preserve"> (DCI), commercialisée depuis 1998 aux États-Unis (FDA) et depuis 2000 en Europe (EMA), et disponible en Algérie depuis le milieu des années 2000. L'innovation pharmacotechnique de l'étanercept réside dans sa construction en protéine de fusion recombinante : la molécule associe, par génie génétique, deux domaines de la portion extracellulaire du récepteur humain de type II au TNF (TNFR2/p75/CD120b — domaines de liaison au ligand) à la portion Fc d'une IgG1 humaine (CH2-CH3-hinge modifiée). La protéine finale, produite en cellules ovariennes de hamster chinoises (CHO), est un homodimère de 150 kDa comportant deux sites de liaison au TNFα, avec une affinité de liaison au TNFα soluble (KD ≈ 1 nM) comparable à celle des anticorps monoclonaux.</w:t>
      </w:r>
    </w:p>
    <w:p>
      <w:r>
        <w:t>L'étanercept se distingue fondamentalement des anticorps monoclonaux anti-TNFα par quatre caractéristiques pharmacologiques majeures qui déterminent son profil clinique :</w:t>
      </w:r>
    </w:p>
    <w:p>
      <w:pPr>
        <w:pStyle w:val="ListNumber"/>
      </w:pPr>
      <w:r/>
      <w:r>
        <w:rPr>
          <w:b/>
        </w:rPr>
        <w:t>Récepteur soluble et non anticorps</w:t>
      </w:r>
      <w:r>
        <w:t xml:space="preserve"> : la structure est composée d'un récepteur naturel, ce qui modifie les propriétés de neutralisation et de fixation (deux sites de liaison vs un seul par IgG). Cette caractéristique confère un profil de tolérance immunologique particulier, avec une incidence quasi nulle d'anticorps anti-médicament (anti-drug antibodies, ADA &lt; 1 % sous étanercept vs 5-25 % sous adalimumab sans MTX concomitant, 12-44 % sous infliximab sans MTX).</w:t>
      </w:r>
    </w:p>
    <w:p>
      <w:pPr>
        <w:pStyle w:val="ListNumber"/>
      </w:pPr>
      <w:r/>
      <w:r>
        <w:rPr>
          <w:b/>
        </w:rPr>
        <w:t>Double neutralisation TNFα + LTα (lymphotoxine-α, TNFβ)</w:t>
      </w:r>
      <w:r>
        <w:t xml:space="preserve"> : l'étanercept neutralise à la fois le TNFα et la lymphotoxine-α (LTα, TNFSF1B), une cytokine proche qui partage les mêmes récepteurs (TNFR1 et TNFR2). Les anticorps monoclonaux (infliximab, adalimumab, golimumab, certolizumab) ne neutralisent que le TNFα. Cette double neutralisation peut expliquer certaines différences d'efficacité entre étanercept et anticorps monoclonaux, notamment une efficacité potentiellement supérieure dans le psoriasis cutané mais une moindre efficacité dans les MICI (l'étanercept n'a pas d'AMM dans la maladie de Crohn ni la rectocolite hémorragique, et a même montré une efficacité inférieure au placebo dans certains essais MICI).</w:t>
      </w:r>
    </w:p>
    <w:p>
      <w:pPr>
        <w:pStyle w:val="ListNumber"/>
      </w:pPr>
      <w:r/>
      <w:r>
        <w:rPr>
          <w:b/>
        </w:rPr>
        <w:t>Absence de lyse cellulaire</w:t>
      </w:r>
      <w:r>
        <w:t xml:space="preserve"> : la portion Fc de l'IgG1 humaine dans l'étanercept est structurellement modifiée (mutations sélectionnées) pour empêcher la fixation du C1q du complément (pas de CDC, *complement-dependent cytotoxicity*) et des récepteurs FcγR des cellules effectrices (pas d'ADCC, *antibody-dependent cell-mediated cytotoxicity*). Cette absence de cytotoxicité directe vis-à-vis des cellules exprimant le TNFα transmembranaire (macrophages, monocytes, lymphocytes T activés) explique probablement l'incidence plus faible de tuberculose observée avec l'étanercept (0,02-0,05 pour 100 patients-années) comparée aux anticorps monoclonaux (0,4-1,0 pour l'infliximab et l'adalimumab), en raison de la moindre disruption des granulomes tuberculeux latency.</w:t>
      </w:r>
    </w:p>
    <w:p>
      <w:pPr>
        <w:pStyle w:val="ListNumber"/>
      </w:pPr>
      <w:r/>
      <w:r>
        <w:rPr>
          <w:b/>
        </w:rPr>
        <w:t>Demi-vie plus courte</w:t>
      </w:r>
      <w:r>
        <w:t xml:space="preserve"> : la demi-vie d'élimination de l'étanercept (3-5 jours) est plus courte que celle des anticorps monoclonaux complets (10-20 jours pour l'adalimumab, 14 jours pour le certolizumab, 7-12 jours pour le golimumab). Cette caractéristique impose une administration plus fréquente (1 fois/semaine vs 1 fois/2 semaines pour l'adalimumab, 1 fois/4 semaines pour le golimumab) mais permet une élimination plus rapide à l'arrêt en cas d'effet indésirable grave (réaction allergique sévère, infection sévère, syndrome démyélinisant).</w:t>
      </w:r>
    </w:p>
    <w:p>
      <w:r>
        <w:t>Sur le plan clinique, l'étanercept a démontré une efficacité remarquable dans la polyarthrite rhumatoïde (essai TEMPO : ACR20 71 % à 24 semaines vs 27 % placebo, ACR50 49 % vs 8 %, ACR70 21 % vs 2 % ; essai ERA : ACR20 59 % vs 11 % placebo à 6 mois), la spondyloarthrite ankylosante (essai GO-RAISE : ASAS20 74 % vs 12 % placebo à 12 semaines), le rhumatisme psoriasique (essai ADEPT : ACR20 50 % vs 13 % placebo à 12 semaines, PASI75 23 % vs 1 %), et le psoriasis en plaques modéré à sévère (PASI75 49 % à 12 semaines vs 3 % placebo). Il dispose en Algérie de quatre indications AMM : PR active modérée à sévère de l'adulte en association au méthotrexate, spondyloarthrite axiale sévère active (radiographique et non radiographique), rhumatisme psoriasique actif, psoriasis en plaques modéré à sévère de l'adulte. Il n'a pas d'AMM dans les MICI.</w:t>
      </w:r>
    </w:p>
    <w:p>
      <w:r>
        <w:t>Sur le plan commercial, l'étanercept est disponible en Algérie sous trois marques au 1er avril 2026 : ENBREL (Pfizer Europe, princeps historique issu d'Immunex puis Amgen puis Pfizer), ALTEBREL (Orion Lab, biosimilaire), ERELZI (Sandoz/Novartis, biosimilaire). Deux dosages sont commercialisés : 25 mg/0,5 mL et 50 mg/1 mL en seringue préremplie sous-cutanée, conditionnement boîte de 4 seringues (1 mois de traitement à 50 mg/sem). Le coût mensuel d'un traitement par étanercept 50 mg/sem varie de 18 000 à 32 000 DA selon la marque. L'étanercept est souvent le premier anti-TNFα initié en Algérie en raison de sa tolérance satisfaisante, de l'absence d'anticorps anti-médicament, et de la simplicité d'administration (1 SC/sem en auto-injection).</w:t>
      </w:r>
    </w:p>
    <w:p>
      <w:pPr>
        <w:pStyle w:val="Heading2"/>
      </w:pPr>
      <w:r>
        <w:t>152A.2 Sous-classe : Anti-TNFα — Anticorps monoclonaux (infliximab, adalimumab, golimumab)</w:t>
      </w:r>
    </w:p>
    <w:p>
      <w:pPr>
        <w:pStyle w:val="Heading3"/>
      </w:pPr>
      <w:r>
        <w:t>152A.2.1 Généralités de la sous-classe</w:t>
      </w:r>
    </w:p>
    <w:p>
      <w:r>
        <w:t>Les anticorps monoclonaux anti-TNFα constituent le pilier historique de la biothérapie rhumatologique depuis la mise sur le marché de l'infliximab en 1998 (premier anticorps monoclonal anti-TNFα autorisé dans la polyarthrite rhumatoïde). Trois molécules appartiennent à cette sous-classe et sont disponibles en Algérie : l'</w:t>
      </w:r>
      <w:r>
        <w:rPr>
          <w:b/>
        </w:rPr>
        <w:t>infliximab</w:t>
      </w:r>
      <w:r>
        <w:t xml:space="preserve"> (Remicade® et biosimilaires), l'</w:t>
      </w:r>
      <w:r>
        <w:rPr>
          <w:b/>
        </w:rPr>
        <w:t>adalimumab</w:t>
      </w:r>
      <w:r>
        <w:t xml:space="preserve"> (Humira® et huit biosimilaires), et le </w:t>
      </w:r>
      <w:r>
        <w:rPr>
          <w:b/>
        </w:rPr>
        <w:t>golimumab</w:t>
      </w:r>
      <w:r>
        <w:t xml:space="preserve"> (Simponi®). Toutes trois sont des anticorps monoclonaux de classe IgG1κ qui se lient avec une haute affinité (KD de 10⁻¹⁰ à 10⁻¹¹ M) au TNFα soluble et transmembranaire, neutralisent son interaction avec les récepteurs TNFR1 (p55/CD120a) et TNFR2 (p75/CD120b), et — à la différence de l'étanercept — </w:t>
      </w:r>
      <w:r>
        <w:rPr>
          <w:b/>
        </w:rPr>
        <w:t>induisent la lyse des cellules exprimant le TNF transmembranaire</w:t>
      </w:r>
      <w:r>
        <w:t xml:space="preserve"> (macrophages, monocytes, lymphocytes T activés) par cytotoxicité dépendante du complément (CDC) et cytotoxicité cellulaire dépendante des anticorps (ADCC) via le Fcγ de l'IgG1.</w:t>
      </w:r>
    </w:p>
    <w:p>
      <w:r>
        <w:t>Les trois anticorps monoclonaux diffèrent par leur structure moléculaire et leur degré d'humanisation, ce qui influence leur immunogénicité :</w:t>
      </w:r>
    </w:p>
    <w:p>
      <w:pPr>
        <w:pStyle w:val="ListBullet"/>
      </w:pPr>
      <w:r/>
      <w:r>
        <w:rPr>
          <w:b/>
        </w:rPr>
        <w:t>Infliximab</w:t>
      </w:r>
      <w:r>
        <w:t xml:space="preserve"> : anticorps </w:t>
      </w:r>
      <w:r>
        <w:rPr>
          <w:b/>
        </w:rPr>
        <w:t>chimérique murin-humanisé</w:t>
      </w:r>
      <w:r>
        <w:t xml:space="preserve"> (partie variable murine ~25 %, partie constante humaine ~75 %), produit par technologie hybridome. C'est l'anticorps anti-TNFα le plus ancien (1998) et le plus immunogène (HACA — *human anti-chimeric antibodies* — chez 12-44 % des patients sans MTX concomitant, 7-15 % avec MTX). L'infliximab est administré exclusivement par voie </w:t>
      </w:r>
      <w:r>
        <w:rPr>
          <w:b/>
        </w:rPr>
        <w:t>intraveineuse</w:t>
      </w:r>
      <w:r>
        <w:t xml:space="preserve"> en milieu hospitalier (perfusions de 2 heures), avec un schéma d'induction à S0, S2, S6 puis entretien toutes les 8 semaines. Sa production locale par le Groupe SAIDAL (INFLIXIMAB-SAIDAL) et la disponibilité de biosimilaires (REMSIMA, IXIFI) en font une option accessible en Algérie.</w:t>
      </w:r>
    </w:p>
    <w:p>
      <w:pPr>
        <w:pStyle w:val="ListBullet"/>
      </w:pPr>
      <w:r/>
      <w:r>
        <w:rPr>
          <w:b/>
        </w:rPr>
        <w:t>Adalimumab</w:t>
      </w:r>
      <w:r>
        <w:t xml:space="preserve"> : anticorps </w:t>
      </w:r>
      <w:r>
        <w:rPr>
          <w:b/>
        </w:rPr>
        <w:t>entièrement humain</w:t>
      </w:r>
      <w:r>
        <w:t xml:space="preserve"> (technologie phage display, sélection par banque de phages exprimant des fragments scFv humains), de structure 100 % humaine (séquences VH et VL humaines). Il est le moins immunogène des anticorps monoclonaux anti-TNFα (ADA — *anti-drug antibodies* — chez 5-25 % des patients sans MTX concomitant, &lt; 5 % avec MTX). Administré par voie </w:t>
      </w:r>
      <w:r>
        <w:rPr>
          <w:b/>
        </w:rPr>
        <w:t>sous-cutanée</w:t>
      </w:r>
      <w:r>
        <w:t xml:space="preserve"> à la dose de 40 mg toutes les 2 semaines en auto-injection (stylo ou seringue préremplie), il est l'anti-TNFα le plus prescrit en Algérie et dans le monde, grâce à la multiplicité des biosimilaires (9 marques disponibles en Algérie au 1er avril 2026 : Humira princeps + AMGEVITA + CINNORA + AMSPARITY + HULIO + HYRIMOZ + ADAMIRA + ADALIMUMAB-SAIDAL + IDACIO), permettant une accessibilité économique élargie (coût 25 000-45 000 DA/mois selon la marque).</w:t>
      </w:r>
    </w:p>
    <w:p>
      <w:pPr>
        <w:pStyle w:val="ListBullet"/>
      </w:pPr>
      <w:r/>
      <w:r>
        <w:rPr>
          <w:b/>
        </w:rPr>
        <w:t>Golimumab</w:t>
      </w:r>
      <w:r>
        <w:t xml:space="preserve"> : anticorps </w:t>
      </w:r>
      <w:r>
        <w:rPr>
          <w:b/>
        </w:rPr>
        <w:t>entièrement humain</w:t>
      </w:r>
      <w:r>
        <w:t xml:space="preserve"> (technologie souris transgénique UltiMAb, souris humanisées exprimant le répertoire complet d'Ig humaines), de structure 100 % humaine. Immunogénicité faible (ADA &lt; 5 % avec ou sans MTX). Administré par voie </w:t>
      </w:r>
      <w:r>
        <w:rPr>
          <w:b/>
        </w:rPr>
        <w:t>sous-cutanée</w:t>
      </w:r>
      <w:r>
        <w:t xml:space="preserve"> à la dose de 50 mg toutes les 4 semaines en auto-injection (stylo prérempli Simponi), c'est l'anti-TNFα à la fréquence d'administration la plus espacée (1 injection mensuelle), ce qui en fait une option intéressante en termes d'observance. Il est disponible en Algérie sous une seule marque (SIMPONI, Janssen Biologics) — pas de biosimilaire disponible à ce jour.</w:t>
      </w:r>
    </w:p>
    <w:p>
      <w:r>
        <w:t>Le mécanisme d'action commun des trois anticorps monoclonaux anti-TNFα repose sur le blocage complet de la voie TNFα, cytokine centrale de l'inflammation rhumatologique : (i) inhibition directe de l'inflammation synoviale (baisse de l'expression des molécules d'adhésion ICAM-1 et VCAM-1 sur les cellules endothéliales synoviales, baisse du chimiotactisme des polynucléaires et lymphocytes T) ; (ii) inhibition de l'angiogenèse pathologique (baisse du VEGF synovial, régression de la couche pannique) ; (iii) inhibition de l'activation ostéoclastique (baisse de la différenciation des précurseurs ostéoclastiques via RANKL, baisse de la résorption osseuse marginale érosive) ; (iv) inhibition de la destruction cartilagineuse (baisse des métalloprotéinases MMP-1, MMP-3, MMP-13 par les synoviocytes fibroblastiques). Ces effets combinés expliquent la prévention remarquable de la destruction structurale radiographique démontrée dans tous les essais pivots (réduction de 50 à 70 % de la progression du score de Sharp/van der Heijde à 1 an vs placebo).</w:t>
      </w:r>
    </w:p>
    <w:p>
      <w:r>
        <w:t xml:space="preserve">La tolérance des anticorps monoclonaux anti-TNFα est globalement comparable à celle de l'étanercept, mais avec plusieurs particularités critiques : (i) risque de tuberculose plus élevé avec l'infliximab et l'adalimumab (incidence 0,4 à 1,0 pour 100 patients-années, vs 0,02 à 0,05 pour l'étanercept) — dépistage systématique par IDR à la tuberculine (≥5 mm) ou IGRA (Quantiferon-TB Gold) et radiographie thoracique obligatoires avant instauration, avec chimioprophylaxie par isoniazide 5 mg/kg/j (max 300 mg) pendant 1 mois en cas de positivité ; (ii) </w:t>
      </w:r>
      <w:r>
        <w:rPr>
          <w:b/>
        </w:rPr>
        <w:t>réactions à la perfusion</w:t>
      </w:r>
      <w:r>
        <w:t xml:space="preserve"> pour l'infliximab (10-20 % des perfusions, principalement céphalées, flush, hypotension, parfois choc anaphylactique 1-2 %) — prémédication par antihistaminique et/ou corticothérapie IV recommandée ; (iii) </w:t>
      </w:r>
      <w:r>
        <w:rPr>
          <w:b/>
        </w:rPr>
        <w:t>formation d'anticorps anti-médicament</w:t>
      </w:r>
      <w:r>
        <w:t xml:space="preserve"> (HACA pour infliximab 12-44 % sans MTX concomitant, 7-15 % avec MTX ; anticorps anti-adalimumab 5-25 % sans MTX, &lt; 5 % avec MTX) — l'association systématique au MTX réduit la formation d'anticorps et améliore la pharmacocinétique (réduction de la clairance, maintien des taux résiduels thérapeutiques) ; (iv) </w:t>
      </w:r>
      <w:r>
        <w:rPr>
          <w:b/>
        </w:rPr>
        <w:t>lésions démyélinisantes</w:t>
      </w:r>
      <w:r>
        <w:t xml:space="preserve"> (rare, 1-2 cas/10 000 patients-années, évolution parfois irréversible — CI absolue en cas d'antécédent de sclérose en plaques, névrite optique, myélite transverse) ; (v) </w:t>
      </w:r>
      <w:r>
        <w:rPr>
          <w:b/>
        </w:rPr>
        <w:t>insuffisance cardiaque</w:t>
      </w:r>
      <w:r>
        <w:t xml:space="preserve"> (CI absolue NYHA III-IV, signal émergent pour NYHA I-II à utiliser avec prudence) ; (vi) infections opportunistes (légionellose, listériose, pneumocystose, histoplasmose, mycobactéries atypiques) — prudence alimentaire (pas de fromages au lait cru, pas de charcuterie non cuite, pas de légumes crus mal lavés).</w:t>
      </w:r>
    </w:p>
    <w:p>
      <w:r>
        <w:t>Sur le plan commercial, l'adalimumab est la biothérapie la plus prescrite en Algérie grâce à la multiplicité des biosimilaires (9 marques au total), permettant une accessibilité économique élargie. L'infliximab est disponible sous 4 marques (Remicade princeps + IXIFI + INFLIXIMAB-SAIDAL + REMSIMA) en flacon de 100 mg à reconstituer pour perfusion IV. Le golimumab est disponible uniquement sous la marque Simponi (Janssen) en stylo prérempli 50 mg/0,5 mL SC. L'infliximab et l'adalimumab disposent d'une AMM dans la PR (en association au MTX), les SpA, le RPso, la maladie de Crohn, la rectocolite hémorragique, le psoriasis (adalimumab), l'uvéite (adalimumab). Le golimumab dispose d'une AMM dans la PR, les SpA radiographiques et non radiographiques, et le RPso.</w:t>
      </w:r>
    </w:p>
    <w:p>
      <w:pPr>
        <w:pStyle w:val="Heading2"/>
      </w:pPr>
      <w:r>
        <w:t>152A.3 Sous-classe : Anti-TNFα — Fragment Fab pegylé (certolizumab pegol)</w:t>
      </w:r>
    </w:p>
    <w:p>
      <w:pPr>
        <w:pStyle w:val="Heading3"/>
      </w:pPr>
      <w:r>
        <w:t>152A.3.1 Généralités de la sous-classe</w:t>
      </w:r>
    </w:p>
    <w:p>
      <w:r>
        <w:t xml:space="preserve">Le </w:t>
      </w:r>
      <w:r>
        <w:rPr>
          <w:b/>
        </w:rPr>
        <w:t>certolizumab pegol</w:t>
      </w:r>
      <w:r>
        <w:t xml:space="preserve"> (DCI) représente une innovation pharmacotechnique unique dans la famille des anti-TNFα : il ne s'agit ni d'un anticorps monoclonal complet (IgG1) ni d'un récepteur soluble, mais d'un </w:t>
      </w:r>
      <w:r>
        <w:rPr>
          <w:b/>
        </w:rPr>
        <w:t>fragment Fab' monoclonal humanisé</w:t>
      </w:r>
      <w:r>
        <w:t xml:space="preserve"> (anti-TNFα) </w:t>
      </w:r>
      <w:r>
        <w:rPr>
          <w:b/>
        </w:rPr>
        <w:t>couplé de manière covalente à deux chaînes de polyéthylène glycol (PEG) de 40 kDa</w:t>
      </w:r>
      <w:r>
        <w:t xml:space="preserve"> chacune (technologie de pegylation par branch « 2×40 kDa PEG »). Cette pegylation confère au certolizumab pegol des propriétés pharmacocinétiques et pharmacodynamiques distinctes :</w:t>
      </w:r>
    </w:p>
    <w:p>
      <w:pPr>
        <w:pStyle w:val="ListNumber"/>
      </w:pPr>
      <w:r/>
      <w:r>
        <w:rPr>
          <w:b/>
        </w:rPr>
        <w:t>Absence totale de fragment Fc</w:t>
      </w:r>
      <w:r>
        <w:t xml:space="preserve"> : le certolizumab ne contient que le fragment Fab' (≈ 50 kDa sans le PEG, ≈ 90 kDa avec le PEG) sans la portion Fc d'une IgG. Cette absence de Fc a deux conséquences majeures : (i) absence de cytotoxicité dépendante du complément (CDC) et de cytotoxicité cellulaire dépendante des anticorps (ADCC) — le certolizumab neutralise le TNFα soluble et transmembranaire sans lyser les cellules qui l'expriment ; (ii) absence de transfert placentaire passif grâce à l'absence de fixation au récepteur néonatal FcRn placentaire (le FcRn est le récepteur qui assure le transfert actif transplacentaire des IgG maternelles vers le fœtus à partir de 16-20 SA). C'est le </w:t>
      </w:r>
      <w:r>
        <w:rPr>
          <w:b/>
        </w:rPr>
        <w:t>seul anti-TNFα considéré comme utilisable pendant toute la grossesse, y compris au 3e trimestre</w:t>
      </w:r>
      <w:r>
        <w:t>, sans risque d'immunosuppression néonatale — recommandation CRAT et EULAR 2022.</w:t>
      </w:r>
    </w:p>
    <w:p>
      <w:pPr>
        <w:pStyle w:val="ListNumber"/>
      </w:pPr>
      <w:r/>
      <w:r>
        <w:rPr>
          <w:b/>
        </w:rPr>
        <w:t>Demi-vie plasmatique prolongée (14 jours)</w:t>
      </w:r>
      <w:r>
        <w:t xml:space="preserve"> : la pegylation ralentit la filtration glomérulaire (taille hydrodynamique supérieure au seuil de filtration ≈ 70 kDa) et la dégradation protéolytique, permettant une administration toutes les 2 semaines en entretien (après phase d'induction S0, S2, S4).</w:t>
      </w:r>
    </w:p>
    <w:p>
      <w:pPr>
        <w:pStyle w:val="ListNumber"/>
      </w:pPr>
      <w:r/>
      <w:r>
        <w:rPr>
          <w:b/>
        </w:rPr>
        <w:t>Distribution tissulaire supérieure aux anticorps monoclonaux complets</w:t>
      </w:r>
      <w:r>
        <w:t xml:space="preserve"> : la taille plus réduite du fragment Fab' pegylé (≈ 90 kDa vs 150 kDa pour une IgG complète) permet une meilleure pénétration dans les tissus enflammés (synoviale, paroi intestinale, peau psoriasique), hypothèse pharmacodynamique avancée pour expliquer l'efficacité du certolizumab dans des indications où la pénétration tissulaire est critique (maladie de Crohn, psoriasis).</w:t>
      </w:r>
    </w:p>
    <w:p>
      <w:pPr>
        <w:pStyle w:val="ListNumber"/>
      </w:pPr>
      <w:r/>
      <w:r>
        <w:rPr>
          <w:b/>
        </w:rPr>
        <w:t>Immunogénicité faible-moderée</w:t>
      </w:r>
      <w:r>
        <w:t xml:space="preserve"> : le fragment Fab' sans Fc est moins immunogène qu'un anticorps chimérique (infliximab) mais peut induire des anticorps anti-médicament (ADA) chez 7-12 % des patients sans MTX concomitant (≤ 5 % avec MTX). Un signal émergent d'</w:t>
      </w:r>
      <w:r>
        <w:rPr>
          <w:b/>
        </w:rPr>
        <w:t>anticorps anti-PEG</w:t>
      </w:r>
      <w:r>
        <w:t xml:space="preserve"> (rare, &lt; 5 %) a été rapporté, susceptible de réduire l'efficacité à long terme et d'augmenter le risque de réactions d'hypersensibilité — surveillance clinique recommandée en cas de perte d'efficacité secondaire.</w:t>
      </w:r>
    </w:p>
    <w:p>
      <w:r>
        <w:t>Le certolizumab pegol a démontré son efficacité dans la polyarthrite rhumatoïde (essais RAPID 1 et RAPID 2 : ACR20 58-68 % à 24 semaines vs 14 % placebo, en association au MTX), la spondyloarthrite axiale (RAPID-axSpA : ASAS20 58 % vs 21 % placebo à 12 semaines), le rhumatisme psoriasique (RAPID-PsA : ACR20 58 % à 24 semaines), et le psoriasis en plaques (PASI75 75 % à 12 semaines vs 4 % placebo). Il dispose également d'une AMM dans la maladie de Crohn modérée à sévère (essais PRECiSE 1 et 2 : réponse à 6 semaines 60 % vs 40 % placebo). En Algérie, le certolizumab est disponible sous la marque CIMZIA (UCB Pharma) en seringue préremplie 200 mg/1 mL SC, avec un schéma d'administration en induction (S0, S2, S4 : 400 mg = 2 injections de 200 mg) puis entretien 200 mg toutes les 2 semaines ou 400 mg toutes les 4 semaines.</w:t>
      </w:r>
    </w:p>
    <w:p>
      <w:r>
        <w:t xml:space="preserve">La tolérance du certolizumab est globalement superposable à celle des autres anti-TNFα, avec toutefois quelques particularités : (i) incidence de tuberculose plus proche de celle de l'étanercept (0,05 à 0,1 pour 100 patients-années) que de celle de l'infliximab/adalimumab, probablement liée à l'absence de lyse cellulaire (pas de CDC/ADCC) — dépistage TB systématique recommandé malgré tout ; (ii) réactions au site d'injection plus fréquentes (10-15 % vs 5-10 % pour l'adalimumab) en raison de la double injection lors de la phase d'induction (400 mg = 2 × 200 mg) ; (iii) signal émergent d'anticorps anti-PEG (rare, &lt; 5 %), susceptibles de réduire l'efficacité à long terme ; (iv) </w:t>
      </w:r>
      <w:r>
        <w:rPr>
          <w:b/>
        </w:rPr>
        <w:t>tolérance pregnancy exceptionnelle</w:t>
      </w:r>
      <w:r>
        <w:t xml:space="preserve"> : le certolizumab est l'anti-TNFα de choix chez la femme enceinte nécessitant un traitement actif pendant toute la grossesse, y compris au 3e trimestre (CRAT : « l'absence de fragment Fc explique l'absence de transfert placentaire passif et l'absence d'immunosuppression néonatale »). L'allaitement est également compatible (faible passage dans le lait maternel, pegylation limitant la biodisponibilité orale chez le nouveau-né).</w:t>
      </w:r>
    </w:p>
    <w:p>
      <w:r>
        <w:t xml:space="preserve">Le certolizumab occupe une place particulière dans l'arsenal thérapeutique rhumatologique algérien : il est principalement indiqué dans la PR active modérée à sévère en cas d'échec ou d'intolérance à un premier anti-TNFα, dans les SpA axiales réfractaires, et surtout </w:t>
      </w:r>
      <w:r>
        <w:rPr>
          <w:b/>
        </w:rPr>
        <w:t>chez la femme en âge de procréer envisageant une grossesse</w:t>
      </w:r>
      <w:r>
        <w:t xml:space="preserve"> ou </w:t>
      </w:r>
      <w:r>
        <w:rPr>
          <w:b/>
        </w:rPr>
        <w:t>chez la patiente enceinte nécessitant un traitement anti-TNFα actif</w:t>
      </w:r>
      <w:r>
        <w:t xml:space="preserve"> (alternative de choix au cours des 3 trimestres, particulièrement au 3e trimestre où les autres anti-TNFα sont contre-indiqués). Son coût mensuel en Algérie est de 25 000 à 35 000 DA, en limite haute des anti-TNFα, mais justifié par son profil pharmacologique unique.</w:t>
      </w:r>
    </w:p>
    <w:p>
      <w:pPr>
        <w:pStyle w:val="Heading2"/>
      </w:pPr>
      <w:r>
        <w:t>152A.4 Synthèse comparative des trois sous-classes anti-TNFα avant l'analyse DCI par DCI</w:t>
      </w:r>
    </w:p>
    <w:p>
      <w:r>
        <w:t>Avant d'aborder les fiches DCI détaillées, il convient de rappeler les différences structurales, pharmacocinétiques et cliniques majeures entre les trois sous-classes anti-TNFα, qui déterminent le choix thérapeutique individualisé selon le profil du patient.</w:t>
      </w:r>
    </w:p>
    <w:p>
      <w:r/>
      <w:r>
        <w:rPr>
          <w:b/>
        </w:rPr>
        <w:t>Différences structurales</w:t>
      </w:r>
      <w:r>
        <w:t xml:space="preserve"> : l'étanercept (récepteur soluble) est une protéine de fusion homodimérique TNFR2p75-Fc IgG1 de 150 kDa avec un Fc modifié (pas de CDC/ADCC) ; les anticorps monoclonaux (infliximab, adalimumab, golimumab) sont des IgG1κ complètes de 150 kDa avec Fc fonctionnel (CDC+/ADCC+), de degré d'humanisation variable (chimérique pour infliximab, entièrement humain pour adalimumab et golimumab) ; le certolizumab pegol est un fragment Fab' humanisé pegylé de 90 kDa sans Fc (pas de CDC/ADCC, pas de transfert placentaire passif).</w:t>
      </w:r>
    </w:p>
    <w:p>
      <w:r/>
      <w:r>
        <w:rPr>
          <w:b/>
        </w:rPr>
        <w:t>Différences pharmacocinétiques</w:t>
      </w:r>
      <w:r>
        <w:t xml:space="preserve"> : la demi-vie d'élimination varie de 3-5 jours (étanercept) à 14 jours (certolizumab, golimumab) et 10-20 jours (adalimumab), imposant une fréquence d'administration allant de 1 injection/semaine (étanercept) à 1 injection/2 semaines (adalimumab, certolizumab) ou 1 injection/4 semaines (golimumab) ou 1 perfusion IV/4-8 semaines (infliximab). La voie d'administration est IV stricte pour l'infliximab (milieu hospitalier) et SC pour les quatre autres (auto-injection à domicile après formation).</w:t>
      </w:r>
    </w:p>
    <w:p>
      <w:r/>
      <w:r>
        <w:rPr>
          <w:b/>
        </w:rPr>
        <w:t>Différences cliniques d'efficacité</w:t>
      </w:r>
      <w:r>
        <w:t xml:space="preserve"> : toutes les molécules ont une efficacité comparable dans la PR (ACR20 50-75 % à 24 semaines) et les SpA (ASAS20 60-75 %), avec quelques nuances : (i) l'infliximab et l'adalimumab sont les seuls anti-TNFα avec AMM dans les MICI (Crohn, RCH) — l'étanercept n'a pas d'AMM et est même inefficace voire délétère dans la maladie de Crohn ; (ii) l'adalimumab est le seul avec AMM dans l'uvéite non infectieuse ; (iii) l'efficacité cutanée dans le psoriasis est globalement supérieure pour l'adalimumab, le certolizumab et les anti-IL-17 par rapport à l'étanercept (PASI75 49 % pour étanercept vs 75 % pour adalimumab et certolizumab).</w:t>
      </w:r>
    </w:p>
    <w:p>
      <w:r/>
      <w:r>
        <w:rPr>
          <w:b/>
        </w:rPr>
        <w:t>Différences de tolérance</w:t>
      </w:r>
      <w:r>
        <w:t xml:space="preserve"> : le risque de tuberculose est plus élevé avec les anticorps monoclonaux complets (infliximab, adalimumab) qu'avec l'étanercept et le certolizumab (absence de lyse cellulaire). Le risque de réaction à la perfusion est spécifique à l'infliximab (voie IV). Le risque d'immunosuppression néonatale au 3e trimestre de grossesse est spécifique aux anticorps monoclonaux complets (adalimumab, infliximab, golimumab) — le certolizumab est épargné.</w:t>
      </w:r>
    </w:p>
    <w:p>
      <w:r>
        <w:t>Le choix thérapeutique individualisé selon EULAR 2022 et ACR 2021 repose sur : (i) le profil d'efficacité attendu (MICI associée → infliximab ou adalimumab ; psoriasis sévère → adalimumab, certolizumab ; uvéite → adalimumab) ; (ii) le profil de tolérance (antécédent TB → étanercept ou certolizumab ; IC NYHA I-II → éviter anti-TNFα) ; (iii) le profil d'observance (1 injection/4 semaines → golimumab ; perfusion IV en milieu hospitalier → infliximab) ; (iv) le profil de grossesse envisagée (certolizumab = seul anti-TNFα utilisable pendant toute la grossesse y compris 3e trimestre) ; (v) le coût et la disponibilité (adalimumab = plus grand choix de biosimilaires en Algérie, accès facilité).</w:t>
      </w:r>
    </w:p>
    <w:p>
      <w:r>
        <w:t>Les fiches DCI détaillées qui suivent présentent, pour chacune des cinq molécules, l'ensemble des informations nécessaires à la prescription, à la dispensation, au conseil pharmaceutique et à la surveillance.</w:t>
      </w:r>
    </w:p>
    <w:p>
      <w:pPr>
        <w:pStyle w:val="Heading2"/>
      </w:pPr>
      <w:r>
        <w:t>152A.5 DCI : Étanercept (Etanercept)</w:t>
      </w:r>
    </w:p>
    <w:p>
      <w:pPr>
        <w:pStyle w:val="Heading3"/>
      </w:pPr>
      <w:r>
        <w:t>152A.5.1 Liste des catégories</w:t>
      </w:r>
    </w:p>
    <w:p>
      <w:pPr>
        <w:pStyle w:val="ListBullet"/>
      </w:pPr>
      <w:r/>
      <w:r>
        <w:rPr>
          <w:b/>
        </w:rPr>
        <w:t>DCI</w:t>
      </w:r>
      <w:r>
        <w:t xml:space="preserve"> : Étanercept</w:t>
      </w:r>
    </w:p>
    <w:p>
      <w:pPr>
        <w:pStyle w:val="ListBullet"/>
      </w:pPr>
      <w:r/>
      <w:r>
        <w:rPr>
          <w:b/>
        </w:rPr>
        <w:t>Code ATC</w:t>
      </w:r>
      <w:r>
        <w:t xml:space="preserve"> : L04AA01 — Immunosuppresseurs, inhibiteurs du TNFα (récepteur soluble)</w:t>
      </w:r>
    </w:p>
    <w:p>
      <w:pPr>
        <w:pStyle w:val="ListBullet"/>
      </w:pPr>
      <w:r/>
      <w:r>
        <w:rPr>
          <w:b/>
        </w:rPr>
        <w:t>Classe pharmacothérapeutique</w:t>
      </w:r>
      <w:r>
        <w:t xml:space="preserve"> : DMARD biologique (bDMARD), anti-TNFα par protéine de fusion récepteur soluble p75 TNFR2-Fc IgG1</w:t>
      </w:r>
    </w:p>
    <w:p>
      <w:pPr>
        <w:pStyle w:val="ListBullet"/>
      </w:pPr>
      <w:r/>
      <w:r>
        <w:rPr>
          <w:b/>
        </w:rPr>
        <w:t>Réglementation algérienne</w:t>
      </w:r>
      <w:r>
        <w:t xml:space="preserve"> : </w:t>
      </w:r>
      <w:r>
        <w:rPr>
          <w:b/>
        </w:rPr>
        <w:t>Liste I</w:t>
      </w:r>
      <w:r>
        <w:t xml:space="preserve"> (sur ordonnance médicale obligatoire), prescription initiale hospitalière réservée aux spécialistes en rhumatologie, dermatologie, médecine interne, gastro-entérologie ou pédiatrie. Renouvellement possible en ville après stabilisation. Prescription nominative sur ordonnance sécurisée.</w:t>
      </w:r>
    </w:p>
    <w:p>
      <w:pPr>
        <w:pStyle w:val="ListBullet"/>
      </w:pPr>
      <w:r/>
      <w:r>
        <w:rPr>
          <w:b/>
        </w:rPr>
        <w:t>Statut Liste des stupéfiants</w:t>
      </w:r>
      <w:r>
        <w:t xml:space="preserve"> : Non applicable</w:t>
      </w:r>
    </w:p>
    <w:p>
      <w:pPr>
        <w:pStyle w:val="ListBullet"/>
      </w:pPr>
      <w:r/>
      <w:r>
        <w:rPr>
          <w:b/>
        </w:rPr>
        <w:t>Statut grossesse</w:t>
      </w:r>
      <w:r>
        <w:t xml:space="preserve"> : Compatible aux 1er et 2e trimestres en cas de nécessité absolue ; </w:t>
      </w:r>
      <w:r>
        <w:rPr>
          <w:b/>
        </w:rPr>
        <w:t>contre-indication absolue au 3e trimestre</w:t>
      </w:r>
      <w:r>
        <w:t xml:space="preserve"> (passage transplacentaire des IgG1 via FcRn à partir de 16-20 SA, immunosuppression néonatale transitoire)</w:t>
      </w:r>
    </w:p>
    <w:p>
      <w:pPr>
        <w:pStyle w:val="ListBullet"/>
      </w:pPr>
      <w:r/>
      <w:r>
        <w:rPr>
          <w:b/>
        </w:rPr>
        <w:t>Statut allaitement</w:t>
      </w:r>
      <w:r>
        <w:t xml:space="preserve"> : Compatible (faible passage dans le lait maternel, digestion gastrique du fragment Fc chez le nouveau-né)</w:t>
      </w:r>
    </w:p>
    <w:p>
      <w:pPr>
        <w:pStyle w:val="ListBullet"/>
      </w:pPr>
      <w:r/>
      <w:r>
        <w:rPr>
          <w:b/>
        </w:rPr>
        <w:t>Disponibilité Algérie au 1er avril 2026</w:t>
      </w:r>
      <w:r>
        <w:t xml:space="preserve"> : 3 spécialités actives (ENBREL princeps + 2 biosimilaires ALTEBREL et ERELZI), 7 conditionnements actifs (2 dosages × 3 marques + 1 conditionnement ENBREL 50 mg)</w:t>
      </w:r>
    </w:p>
    <w:p>
      <w:pPr>
        <w:pStyle w:val="ListBullet"/>
      </w:pPr>
      <w:r/>
      <w:r>
        <w:rPr>
          <w:b/>
        </w:rPr>
        <w:t>Coût mensuel estimé</w:t>
      </w:r>
      <w:r>
        <w:t xml:space="preserve"> : 18 000 à 32 000 DA selon la marque (princeps vs biosimilaire), pour 50 mg/sem en entretien</w:t>
      </w:r>
    </w:p>
    <w:p>
      <w:pPr>
        <w:pStyle w:val="ListBullet"/>
      </w:pPr>
      <w:r/>
      <w:r>
        <w:rPr>
          <w:b/>
        </w:rPr>
        <w:t>Laboratoires référencés</w:t>
      </w:r>
      <w:r>
        <w:t xml:space="preserve"> : PFIZER EUROPE MA EEIG (princeps ENBREL), ORION LAB (biosimilaire ALTEBREL), SANDOZ GMBH AUTRICHE (biosimilaire ERELZI)</w:t>
      </w:r>
    </w:p>
    <w:p>
      <w:pPr>
        <w:pStyle w:val="Heading3"/>
      </w:pPr>
      <w:r>
        <w:t>152A.5.2 Médicaments disponibles en Algérie (tableau commercial exhaustif)</w:t>
      </w:r>
    </w:p>
    <w:p>
      <w:r>
        <w:t>L'étanercept est commercialisé en Algérie au 1er avril 2026 sous 3 marques (1 princeps + 2 biosimilaires), 2 dosages (25 mg/0,5 mL et 50 mg/1 mL), totalisant 7 conditionnements actifs en seringue préremplie sous-cutanée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ENBREL</w:t>
            </w:r>
          </w:p>
        </w:tc>
        <w:tc>
          <w:tcPr>
            <w:tcW w:type="dxa" w:w="1559"/>
          </w:tcPr>
          <w:p>
            <w:r>
              <w:rPr>
                <w:sz w:val="20"/>
              </w:rPr>
              <w:t>PFIZER EUROPE MA EEIG</w:t>
            </w:r>
          </w:p>
        </w:tc>
        <w:tc>
          <w:tcPr>
            <w:tcW w:type="dxa" w:w="1559"/>
          </w:tcPr>
          <w:p>
            <w:r>
              <w:rPr>
                <w:sz w:val="20"/>
              </w:rPr>
              <w:t>Solution injectable SC en seringue préremplie — 50 mg/1 mL</w:t>
            </w:r>
          </w:p>
        </w:tc>
        <w:tc>
          <w:tcPr>
            <w:tcW w:type="dxa" w:w="1559"/>
          </w:tcPr>
          <w:p>
            <w:r>
              <w:rPr>
                <w:sz w:val="20"/>
              </w:rPr>
              <w:t>B/4 seringues préremplies de 1 mL + 4 tampons alcoolisés</w:t>
            </w:r>
          </w:p>
        </w:tc>
        <w:tc>
          <w:tcPr>
            <w:tcW w:type="dxa" w:w="1559"/>
          </w:tcPr>
          <w:p>
            <w:r>
              <w:rPr>
                <w:sz w:val="20"/>
              </w:rPr>
              <w:t>LISTE I</w:t>
            </w:r>
          </w:p>
        </w:tc>
        <w:tc>
          <w:tcPr>
            <w:tcW w:type="dxa" w:w="1559"/>
          </w:tcPr>
          <w:p>
            <w:r>
              <w:rPr>
                <w:sz w:val="20"/>
              </w:rPr>
              <w:t>ACTIF</w:t>
            </w:r>
          </w:p>
        </w:tc>
      </w:tr>
      <w:tr>
        <w:tc>
          <w:tcPr>
            <w:tcW w:type="dxa" w:w="1559"/>
          </w:tcPr>
          <w:p>
            <w:r>
              <w:rPr>
                <w:sz w:val="20"/>
              </w:rPr>
              <w:t>ENBREL</w:t>
            </w:r>
          </w:p>
        </w:tc>
        <w:tc>
          <w:tcPr>
            <w:tcW w:type="dxa" w:w="1559"/>
          </w:tcPr>
          <w:p>
            <w:r>
              <w:rPr>
                <w:sz w:val="20"/>
              </w:rPr>
              <w:t>PFIZER EUROPE MA EEIG</w:t>
            </w:r>
          </w:p>
        </w:tc>
        <w:tc>
          <w:tcPr>
            <w:tcW w:type="dxa" w:w="1559"/>
          </w:tcPr>
          <w:p>
            <w:r>
              <w:rPr>
                <w:sz w:val="20"/>
              </w:rPr>
              <w:t>Solution injectable SC en seringue préremplie — 25 mg/0,5 mL</w:t>
            </w:r>
          </w:p>
        </w:tc>
        <w:tc>
          <w:tcPr>
            <w:tcW w:type="dxa" w:w="1559"/>
          </w:tcPr>
          <w:p>
            <w:r>
              <w:rPr>
                <w:sz w:val="20"/>
              </w:rPr>
              <w:t>B/4 seringues préremplies de 0,5 mL</w:t>
            </w:r>
          </w:p>
        </w:tc>
        <w:tc>
          <w:tcPr>
            <w:tcW w:type="dxa" w:w="1559"/>
          </w:tcPr>
          <w:p>
            <w:r>
              <w:rPr>
                <w:sz w:val="20"/>
              </w:rPr>
              <w:t>LISTE I</w:t>
            </w:r>
          </w:p>
        </w:tc>
        <w:tc>
          <w:tcPr>
            <w:tcW w:type="dxa" w:w="1559"/>
          </w:tcPr>
          <w:p>
            <w:r>
              <w:rPr>
                <w:sz w:val="20"/>
              </w:rPr>
              <w:t>ACTIF</w:t>
            </w:r>
          </w:p>
        </w:tc>
      </w:tr>
      <w:tr>
        <w:tc>
          <w:tcPr>
            <w:tcW w:type="dxa" w:w="1559"/>
          </w:tcPr>
          <w:p>
            <w:r>
              <w:rPr>
                <w:sz w:val="20"/>
              </w:rPr>
              <w:t>ENBREL</w:t>
            </w:r>
          </w:p>
        </w:tc>
        <w:tc>
          <w:tcPr>
            <w:tcW w:type="dxa" w:w="1559"/>
          </w:tcPr>
          <w:p>
            <w:r>
              <w:rPr>
                <w:sz w:val="20"/>
              </w:rPr>
              <w:t>PFIZER EUROPE MA EEIG</w:t>
            </w:r>
          </w:p>
        </w:tc>
        <w:tc>
          <w:tcPr>
            <w:tcW w:type="dxa" w:w="1559"/>
          </w:tcPr>
          <w:p>
            <w:r>
              <w:rPr>
                <w:sz w:val="20"/>
              </w:rPr>
              <w:t>Solution injectable SC — 50 mg</w:t>
            </w:r>
          </w:p>
        </w:tc>
        <w:tc>
          <w:tcPr>
            <w:tcW w:type="dxa" w:w="1559"/>
          </w:tcPr>
          <w:p>
            <w:r>
              <w:rPr>
                <w:sz w:val="20"/>
              </w:rPr>
              <w:t>B/4 seringues préremplies de 1 mL</w:t>
            </w:r>
          </w:p>
        </w:tc>
        <w:tc>
          <w:tcPr>
            <w:tcW w:type="dxa" w:w="1559"/>
          </w:tcPr>
          <w:p>
            <w:r>
              <w:rPr>
                <w:sz w:val="20"/>
              </w:rPr>
              <w:t>LISTE I</w:t>
            </w:r>
          </w:p>
        </w:tc>
        <w:tc>
          <w:tcPr>
            <w:tcW w:type="dxa" w:w="1559"/>
          </w:tcPr>
          <w:p>
            <w:r>
              <w:rPr>
                <w:sz w:val="20"/>
              </w:rPr>
              <w:t>ACTIF</w:t>
            </w:r>
          </w:p>
        </w:tc>
      </w:tr>
      <w:tr>
        <w:tc>
          <w:tcPr>
            <w:tcW w:type="dxa" w:w="1559"/>
          </w:tcPr>
          <w:p>
            <w:r>
              <w:rPr>
                <w:sz w:val="20"/>
              </w:rPr>
              <w:t>ALTEBREL</w:t>
            </w:r>
          </w:p>
        </w:tc>
        <w:tc>
          <w:tcPr>
            <w:tcW w:type="dxa" w:w="1559"/>
          </w:tcPr>
          <w:p>
            <w:r>
              <w:rPr>
                <w:sz w:val="20"/>
              </w:rPr>
              <w:t>ORION LAB</w:t>
            </w:r>
          </w:p>
        </w:tc>
        <w:tc>
          <w:tcPr>
            <w:tcW w:type="dxa" w:w="1559"/>
          </w:tcPr>
          <w:p>
            <w:r>
              <w:rPr>
                <w:sz w:val="20"/>
              </w:rPr>
              <w:t>Solution injectable SC — 50 mg</w:t>
            </w:r>
          </w:p>
        </w:tc>
        <w:tc>
          <w:tcPr>
            <w:tcW w:type="dxa" w:w="1559"/>
          </w:tcPr>
          <w:p>
            <w:r>
              <w:rPr>
                <w:sz w:val="20"/>
              </w:rPr>
              <w:t>B/4 seringues préremplies de 1 mL</w:t>
            </w:r>
          </w:p>
        </w:tc>
        <w:tc>
          <w:tcPr>
            <w:tcW w:type="dxa" w:w="1559"/>
          </w:tcPr>
          <w:p>
            <w:r>
              <w:rPr>
                <w:sz w:val="20"/>
              </w:rPr>
              <w:t>LISTE I</w:t>
            </w:r>
          </w:p>
        </w:tc>
        <w:tc>
          <w:tcPr>
            <w:tcW w:type="dxa" w:w="1559"/>
          </w:tcPr>
          <w:p>
            <w:r>
              <w:rPr>
                <w:sz w:val="20"/>
              </w:rPr>
              <w:t>ACTIF</w:t>
            </w:r>
          </w:p>
        </w:tc>
      </w:tr>
      <w:tr>
        <w:tc>
          <w:tcPr>
            <w:tcW w:type="dxa" w:w="1559"/>
          </w:tcPr>
          <w:p>
            <w:r>
              <w:rPr>
                <w:sz w:val="20"/>
              </w:rPr>
              <w:t>ALTEBREL</w:t>
            </w:r>
          </w:p>
        </w:tc>
        <w:tc>
          <w:tcPr>
            <w:tcW w:type="dxa" w:w="1559"/>
          </w:tcPr>
          <w:p>
            <w:r>
              <w:rPr>
                <w:sz w:val="20"/>
              </w:rPr>
              <w:t>ORION LAB</w:t>
            </w:r>
          </w:p>
        </w:tc>
        <w:tc>
          <w:tcPr>
            <w:tcW w:type="dxa" w:w="1559"/>
          </w:tcPr>
          <w:p>
            <w:r>
              <w:rPr>
                <w:sz w:val="20"/>
              </w:rPr>
              <w:t>Solution injectable SC — 25 mg/0,5 mL</w:t>
            </w:r>
          </w:p>
        </w:tc>
        <w:tc>
          <w:tcPr>
            <w:tcW w:type="dxa" w:w="1559"/>
          </w:tcPr>
          <w:p>
            <w:r>
              <w:rPr>
                <w:sz w:val="20"/>
              </w:rPr>
              <w:t>B/4 seringues préremplies de 0,5 mL</w:t>
            </w:r>
          </w:p>
        </w:tc>
        <w:tc>
          <w:tcPr>
            <w:tcW w:type="dxa" w:w="1559"/>
          </w:tcPr>
          <w:p>
            <w:r>
              <w:rPr>
                <w:sz w:val="20"/>
              </w:rPr>
              <w:t>LISTE I</w:t>
            </w:r>
          </w:p>
        </w:tc>
        <w:tc>
          <w:tcPr>
            <w:tcW w:type="dxa" w:w="1559"/>
          </w:tcPr>
          <w:p>
            <w:r>
              <w:rPr>
                <w:sz w:val="20"/>
              </w:rPr>
              <w:t>ACTIF</w:t>
            </w:r>
          </w:p>
        </w:tc>
      </w:tr>
      <w:tr>
        <w:tc>
          <w:tcPr>
            <w:tcW w:type="dxa" w:w="1559"/>
          </w:tcPr>
          <w:p>
            <w:r>
              <w:rPr>
                <w:sz w:val="20"/>
              </w:rPr>
              <w:t>ERELZI</w:t>
            </w:r>
          </w:p>
        </w:tc>
        <w:tc>
          <w:tcPr>
            <w:tcW w:type="dxa" w:w="1559"/>
          </w:tcPr>
          <w:p>
            <w:r>
              <w:rPr>
                <w:sz w:val="20"/>
              </w:rPr>
              <w:t>SANDOZ GMBH AUTRICHE</w:t>
            </w:r>
          </w:p>
        </w:tc>
        <w:tc>
          <w:tcPr>
            <w:tcW w:type="dxa" w:w="1559"/>
          </w:tcPr>
          <w:p>
            <w:r>
              <w:rPr>
                <w:sz w:val="20"/>
              </w:rPr>
              <w:t>Solution injectable SC — 50 mg</w:t>
            </w:r>
          </w:p>
        </w:tc>
        <w:tc>
          <w:tcPr>
            <w:tcW w:type="dxa" w:w="1559"/>
          </w:tcPr>
          <w:p>
            <w:r>
              <w:rPr>
                <w:sz w:val="20"/>
              </w:rPr>
              <w:t>B/4 seringues préremplies de 0,5 mL</w:t>
            </w:r>
          </w:p>
        </w:tc>
        <w:tc>
          <w:tcPr>
            <w:tcW w:type="dxa" w:w="1559"/>
          </w:tcPr>
          <w:p>
            <w:r>
              <w:rPr>
                <w:sz w:val="20"/>
              </w:rPr>
              <w:t>LISTE I</w:t>
            </w:r>
          </w:p>
        </w:tc>
        <w:tc>
          <w:tcPr>
            <w:tcW w:type="dxa" w:w="1559"/>
          </w:tcPr>
          <w:p>
            <w:r>
              <w:rPr>
                <w:sz w:val="20"/>
              </w:rPr>
              <w:t>ACTIF</w:t>
            </w:r>
          </w:p>
        </w:tc>
      </w:tr>
      <w:tr>
        <w:tc>
          <w:tcPr>
            <w:tcW w:type="dxa" w:w="1559"/>
          </w:tcPr>
          <w:p>
            <w:r>
              <w:rPr>
                <w:sz w:val="20"/>
              </w:rPr>
              <w:t>ERELZI</w:t>
            </w:r>
          </w:p>
        </w:tc>
        <w:tc>
          <w:tcPr>
            <w:tcW w:type="dxa" w:w="1559"/>
          </w:tcPr>
          <w:p>
            <w:r>
              <w:rPr>
                <w:sz w:val="20"/>
              </w:rPr>
              <w:t>SANDOZ GMBH AUTRICHE</w:t>
            </w:r>
          </w:p>
        </w:tc>
        <w:tc>
          <w:tcPr>
            <w:tcW w:type="dxa" w:w="1559"/>
          </w:tcPr>
          <w:p>
            <w:r>
              <w:rPr>
                <w:sz w:val="20"/>
              </w:rPr>
              <w:t>Solution injectable SC en seringue préremplie — 25 mg/0,5 mL</w:t>
            </w:r>
          </w:p>
        </w:tc>
        <w:tc>
          <w:tcPr>
            <w:tcW w:type="dxa" w:w="1559"/>
          </w:tcPr>
          <w:p>
            <w:r>
              <w:rPr>
                <w:sz w:val="20"/>
              </w:rPr>
              <w:t>B/4 seringues préremplies de 0,5 mL</w:t>
            </w:r>
          </w:p>
        </w:tc>
        <w:tc>
          <w:tcPr>
            <w:tcW w:type="dxa" w:w="1559"/>
          </w:tcPr>
          <w:p>
            <w:r>
              <w:rPr>
                <w:sz w:val="20"/>
              </w:rPr>
              <w:t>LISTE I</w:t>
            </w:r>
          </w:p>
        </w:tc>
        <w:tc>
          <w:tcPr>
            <w:tcW w:type="dxa" w:w="1559"/>
          </w:tcPr>
          <w:p>
            <w:r>
              <w:rPr>
                <w:sz w:val="20"/>
              </w:rPr>
              <w:t>ACTIF</w:t>
            </w:r>
          </w:p>
        </w:tc>
      </w:tr>
    </w:tbl>
    <w:p/>
    <w:p>
      <w:r>
        <w:t>Le marché algérien de l'étanercept reflète une structuration mature avec un princeps historique (ENBREL, commercialisé depuis 1998 aux États-Unis, depuis 2000 en Europe, et disponible en Algérie depuis le milieu des années 2000). ENBREL a été successivement développé par Immunex (1998), racheté par Amgen (2002), puis co-promu avec Wyeth (2003) avant le rachat de Wyeth par Pfizer (2009). Depuis lors, le princeps ENBREL est commercialisé en Algérie par Pfizer Europe MA EEIG. Les biosimilaires sont arrivés sur le marché algérien après l'expiration du brevet de l'étanercept (brevet européen expiré en 2015) : ALTEBREL (Orion Lab, Tunisie) et ERELZI (Sandoz/Novartis) sont les deux biosimilaires disponibles. Le coût mensuel d'un traitement par étanercept 50 mg/sem varie de 18 000 DA (biosimilaire ALTEBREL) à 32 000 DA (princeps ENBREL), permettant une accessibilité économique variable selon le statut d'assurance du patient. Le conditionnement de 4 seringues correspond à 1 mois de traitement à la posologie standard de 50 mg une fois par semaine (ou 2 semaines de traitement à 25 mg 2 fois/semaine, ancienne posologie).</w:t>
      </w:r>
    </w:p>
    <w:p>
      <w:pPr>
        <w:pStyle w:val="Heading3"/>
      </w:pPr>
      <w:r>
        <w:t>152A.5.3 Mécanisme d'action détaillé</w:t>
      </w:r>
    </w:p>
    <w:p>
      <w:r>
        <w:t xml:space="preserve">L'étanercept appartient à la sous-classe unique des </w:t>
      </w:r>
      <w:r>
        <w:rPr>
          <w:b/>
        </w:rPr>
        <w:t>anti-TNFα par récepteur soluble</w:t>
      </w:r>
      <w:r>
        <w:t xml:space="preserve">. Il s'agit d'une protéine de fusion recombinante produite par technologie ADN recombinant dans des cellules ovariennes de hamster chinoises (CHO), composée de deux domaines structurels : (i) la portion extracellulaire du récepteur humain de type II au TNF (TNFR2/p75/CD120b) qui comprend les domaines cystéine-riches de liaison au ligand (domaines 1-4 de l'ectodomaine) ; (ii) la portion Fc d'une IgG1 humaine (CH2-CH3-hinge) qui assure la stabilité plasmatique, la longue demi-vie (3-5 jours) via le recyclage par le récepteur néonatal FcRn, et la dimérisation de la molécule finale. La protéine finale est un </w:t>
      </w:r>
      <w:r>
        <w:rPr>
          <w:b/>
        </w:rPr>
        <w:t>homodimère de 150 kDa</w:t>
      </w:r>
      <w:r>
        <w:t xml:space="preserve"> comportant deux sites de liaison au TNFα, avec une affinité de liaison au TNFα soluble (KD ≈ 1 nM) comparable à celle des anticorps monoclonaux.</w:t>
      </w:r>
    </w:p>
    <w:p>
      <w:r/>
      <w:r>
        <w:rPr>
          <w:b/>
        </w:rPr>
        <w:t>Mécanisme d'action moléculaire</w:t>
      </w:r>
      <w:r>
        <w:t xml:space="preserve"> : l'étanercept se lie avec une haute affinité au TNFα soluble (sTNFα, forme trimerique active de 17 kDa par monomère) et au TNFα transmembranaire (tmTNFα, forme trimerique de 26 kDa par monomère ancrée dans la membrane des macrophages, monocytes et lymphocytes T activés), neutralisant leur interaction avec les récepteurs TNFR1 (p55/CD120a) et TNFR2 (p75/CD120b) présents sur la quasi-totalité des cellules nucléées. Cette neutralisation empêche la signalisation intracellulaire pro-inflammatoire (voie NF-κB, voie MAPK/JNK, voie AP-1) responsable de la production de cytokines (IL-1, IL-6, IL-8), de chimiokines (MCP-1, RANTES), de molécules d'adhésion (ICAM-1, VCAM-1, E-sélectine) et de métalloprotéinases (MMP-1, MMP-3, MMP-13, MMP-14). Le ratio de liaison étanercept:TNFα est de 1:1 (un trimère d'étanercept lie un trimère de TNFα), ce qui rend la neutralisation stoechiométrique et complète.</w:t>
      </w:r>
    </w:p>
    <w:p>
      <w:r/>
      <w:r>
        <w:rPr>
          <w:b/>
        </w:rPr>
        <w:t>Double neutralisation TNFα + LTα</w:t>
      </w:r>
      <w:r>
        <w:t xml:space="preserve"> : l'étanercept se lie également à la lymphotoxine-α (LTα, anciennement TNFβ, TNFSF1B) — à la forme soluble homotrimérique (LTα3) et accessoirement à la forme membranaire hétérotrimérique LTα1β2 (membrane lymphotoxine) — ce qui le distingue des anticorps monoclonaux anti-TNFα qui ne neutralisent que le TNFα. Cette particularité peut expliquer certaines différences d'efficacité et de tolérance observées entre l'étanercept et les anticorps monoclonaux : efficacité potentiellement supérieure dans le psoriasis cutané (la LTα est fortement exprimée dans les lésions psoriasiques), mais inefficacité dans les MICI (maladie de Crohn, RCH) où l'étanercept n'a pas d'AMM et a même montré une efficacité inférieure au placebo dans certains essais, possiblement en raison d'un mécanisme pathogénique différent (implication prédominante du TNFα mais pas de la LTα dans les MICI).</w:t>
      </w:r>
    </w:p>
    <w:p>
      <w:r/>
      <w:r>
        <w:rPr>
          <w:b/>
        </w:rPr>
        <w:t>Absence de lyse cellulaire</w:t>
      </w:r>
      <w:r>
        <w:t xml:space="preserve"> : la portion Fc de l'IgG1 humaine dans l'étanercept est structurellement modifiée (mutations sélectionnées dans la région CH2) pour empêcher la fixation du C1q du complément (pas de CDC) et des récepteurs FcγR des cellules effectrices (pas d'ADCC). Cette absence de cytotoxicité directe vis-à-vis des cellules exprimant le tmTNFα (macrophages, monocytes, lymphocytes T activés) explique probablement l'incidence plus faible de tuberculose observée avec l'étanercept (0,02-0,05 pour 100 patients-années) comparée aux anticorps monoclonaux (0,4-1,0 pour l'infliximab et l'adalimumab), en raison de la moindre disruption des granulomes tuberculeux latency. Cette caractéristique ne supprime cependant pas totalement le risque tuberculeux, et le dépistage systématique d'une tuberculose latente avant instauration reste obligatoire.</w:t>
      </w:r>
    </w:p>
    <w:p>
      <w:r/>
      <w:r>
        <w:rPr>
          <w:b/>
        </w:rPr>
        <w:t>Conséquences pharmacodynamiques cliniques</w:t>
      </w:r>
      <w:r>
        <w:t xml:space="preserve"> : (i) réduction rapide de la CRP (baisse de 50 % à 2 semaines, de 80 % à 4 semaines) ; (ii) réduction du nombre d'articulations gonflées et douloureuses (baisse significative à 2 semaines, optimum à 12-24 semaines) ; (iii) prévention de la progression radiographique (réduction de 50-70 % de la progression du score de Sharp/van der Heijde à 1 an vs placebo, bénéfice maintenu à 5 et 10 ans) ; (iv) réduction de la fatigue et amélioration de la qualité de vie (HAQ-DI, SF-36). Le délai d'action initial est de 2-4 semaines (amélioration symptomatique) avec un plateau d'efficacité à 12-24 semaines.</w:t>
      </w:r>
    </w:p>
    <w:p>
      <w:r/>
      <w:r>
        <w:rPr>
          <w:b/>
        </w:rPr>
        <w:t>Immunogénicité faible</w:t>
      </w:r>
      <w:r>
        <w:t xml:space="preserve"> : l'étanercept est le moins immunogène des anti-TNFα, avec une incidence d'anticorps anti-médicament (ADA) &lt; 1 % (vs 5-25 % pour l'adalimumab sans MTX, 12-44 % pour l'infliximab sans MTX). Cette faible immunogénicité s'explique par la structure de protéine de fusion (récepteur naturel + Fc humain) qui ne présente pas d'épitopes étrangers majeurs. L'association au MTX n'est pas systématiquement requise pour réduire l'immunogénicité (contrairement aux anticorps monoclonaux), bien qu'elle reste recommandée pour potentialiser l'efficacité dans la PR (essai TEMPO : ACR20 71 % avec étanercept + MTX vs 51 % avec étanercept seul).</w:t>
      </w:r>
    </w:p>
    <w:p>
      <w:pPr>
        <w:pStyle w:val="Heading3"/>
      </w:pPr>
      <w:r>
        <w:t>152A.5.4 Profil pharmacologique clinique : indications, contre-indications, effets indésirables</w:t>
      </w:r>
    </w:p>
    <w:p>
      <w:r/>
      <w:r>
        <w:rPr>
          <w:b/>
        </w:rPr>
        <w:t>Indications AMM en Algérie</w:t>
      </w:r>
      <w:r>
        <w:t xml:space="preserve"> :</w:t>
      </w:r>
    </w:p>
    <w:p>
      <w:pPr>
        <w:pStyle w:val="ListBullet"/>
      </w:pPr>
      <w:r/>
      <w:r>
        <w:rPr>
          <w:b/>
        </w:rPr>
        <w:t>Polyarthrite rhumatoïde active modérée à sévère de l'adulte</w:t>
      </w:r>
      <w:r>
        <w:t xml:space="preserve"> en association au méthotrexate (MTX) en cas de réponse inadéquate aux DMARDs conventionnels (incluant au moins un anti-paludéen de synthèse et le MTX). L'association étanercept + MTX est supérieure à l'étanercept en monothérapie (ACR20 71 % vs 51 % à 24 semaines, essai TEMPO) et à l'étanercept seul en termes de prévention radiographique. L'étanercept en monothérapie est une option en cas d'intolérance ou de contre-indication au MTX (hépatotoxicité, insuffisance rénale sévère, projet de grossesse).</w:t>
      </w:r>
    </w:p>
    <w:p>
      <w:pPr>
        <w:pStyle w:val="ListBullet"/>
      </w:pPr>
      <w:r/>
      <w:r>
        <w:rPr>
          <w:b/>
        </w:rPr>
        <w:t>Spondyloarthrite axiale sévère et active de l'adulte</w:t>
      </w:r>
      <w:r>
        <w:t xml:space="preserve"> (forme radiographique = spondylarthrite ankylosante, et forme non radiographique) en cas de réponse inadéquate au traitement conventionnel (AINS à dose maximale tolérée pendant ≥ 4 semaines). Efficacité démontrée dans l'essai GO-RAISE : ASAS20 74 % vs 12 % placebo à 12 semaines.</w:t>
      </w:r>
    </w:p>
    <w:p>
      <w:pPr>
        <w:pStyle w:val="ListBullet"/>
      </w:pPr>
      <w:r/>
      <w:r>
        <w:rPr>
          <w:b/>
        </w:rPr>
        <w:t>Rhumatisme psoriasique actif de l'adulte</w:t>
      </w:r>
      <w:r>
        <w:t xml:space="preserve"> en cas de réponse inadéquate aux DMARDs conventionnels. Efficacité démontrée dans l'essai ADEPT : ACR20 50 % vs 13 % placebo à 12 semaines, PASI75 23 % vs 1 %.</w:t>
      </w:r>
    </w:p>
    <w:p>
      <w:pPr>
        <w:pStyle w:val="ListBullet"/>
      </w:pPr>
      <w:r/>
      <w:r>
        <w:rPr>
          <w:b/>
        </w:rPr>
        <w:t>Psoriasis en plaques modéré à sévère de l'adulte</w:t>
      </w:r>
      <w:r>
        <w:t xml:space="preserve"> en cas de réponse inadéquate, de contre-indication ou d'intolérance aux traitements systémiques conventionnels (PUVAthérapie, ciclosporine, MTX). Efficacité : PASI75 49 % à 12 semaines vs 3 % placebo.</w:t>
      </w:r>
    </w:p>
    <w:p>
      <w:pPr>
        <w:pStyle w:val="ListBullet"/>
      </w:pPr>
      <w:r/>
      <w:r>
        <w:rPr>
          <w:b/>
        </w:rPr>
        <w:t>Arthrite chronique juvénile idiopathique polyarticulaire de l'enfant &gt; 2 ans</w:t>
      </w:r>
      <w:r>
        <w:t xml:space="preserve"> (forme active et évolutive) en cas de réponse inadéquate au MTX.</w:t>
      </w:r>
    </w:p>
    <w:p>
      <w:r/>
      <w:r>
        <w:rPr>
          <w:b/>
        </w:rPr>
        <w:t>Contre-indications absolues</w:t>
      </w:r>
      <w:r>
        <w:t xml:space="preserve"> :</w:t>
      </w:r>
    </w:p>
    <w:p>
      <w:pPr>
        <w:pStyle w:val="ListBullet"/>
      </w:pPr>
      <w:r>
        <w:t>Sepsis sévère ou infection sévère active (pneumonie, abcès, pyélonéphrite, infection opportuniste) — arrêt temporaire jusqu'à résolution.</w:t>
      </w:r>
    </w:p>
    <w:p>
      <w:pPr>
        <w:pStyle w:val="ListBullet"/>
      </w:pPr>
      <w:r>
        <w:t>Tuberculose active non traitée — dépistage pré-thérapeutique obligatoire (IDR à la tuberculine ≥ 5 mm ou IGRA Quantiferon-TB Gold positif + radiographie thoracique), traitement antituberculeux complet avant instauration (au moins 1 mois d'isoniazide en cas de tuberculose latente).</w:t>
      </w:r>
    </w:p>
    <w:p>
      <w:pPr>
        <w:pStyle w:val="ListBullet"/>
      </w:pPr>
      <w:r>
        <w:t>Infections opportunistes actives (pneumocystose, listériose, histoplasmose, mycobactériose atypique).</w:t>
      </w:r>
    </w:p>
    <w:p>
      <w:pPr>
        <w:pStyle w:val="ListBullet"/>
      </w:pPr>
      <w:r/>
      <w:r>
        <w:rPr>
          <w:b/>
        </w:rPr>
        <w:t>Insuffisance cardiaque NYHA III-IV</w:t>
      </w:r>
      <w:r>
        <w:t xml:space="preserve"> (signal émergent d'aggravation, surveillance étroite NYHA I-II).</w:t>
      </w:r>
    </w:p>
    <w:p>
      <w:pPr>
        <w:pStyle w:val="ListBullet"/>
      </w:pPr>
      <w:r/>
      <w:r>
        <w:rPr>
          <w:b/>
        </w:rPr>
        <w:t>Antécédent personnel de maladie démyélinisante centrale</w:t>
      </w:r>
      <w:r>
        <w:t xml:space="preserve"> (sclérose en plaques, névrite optique, myélite transverse) — signal rare mais documenté d'apparition ou d'aggravation.</w:t>
      </w:r>
    </w:p>
    <w:p>
      <w:pPr>
        <w:pStyle w:val="ListBullet"/>
      </w:pPr>
      <w:r>
        <w:t>Hypersensibilité à l'étanercept ou à l'un des excipients (saccharose, L-arginine, phosphate sodique monobasique monohydraté, phosphate disodique heptahydraté).</w:t>
      </w:r>
    </w:p>
    <w:p>
      <w:pPr>
        <w:pStyle w:val="ListBullet"/>
      </w:pPr>
      <w:r/>
      <w:r>
        <w:rPr>
          <w:b/>
        </w:rPr>
        <w:t>Vaccination par vaccin vivant atténué</w:t>
      </w:r>
      <w:r>
        <w:t xml:space="preserve"> pendant le traitement et jusqu'à 4 semaines après la dernière injection (BCG, rougeole-oreillons-rubéole, fièvre jaune, varicelle-zona, rotavirus, oral typhoïde, polio oral).</w:t>
      </w:r>
    </w:p>
    <w:p>
      <w:pPr>
        <w:pStyle w:val="ListBullet"/>
      </w:pPr>
      <w:r/>
      <w:r>
        <w:rPr>
          <w:b/>
        </w:rPr>
        <w:t>Grossesse 3e trimestre</w:t>
      </w:r>
      <w:r>
        <w:t xml:space="preserve"> : contre-indication relative stricte (passage transplacentaire des IgG1 via FcRn à partir de 16-20 SA, immunosuppression néonatale transitoire, vaccins vivants CI chez le nouveau-né pendant 6 mois).</w:t>
      </w:r>
    </w:p>
    <w:p>
      <w:r/>
      <w:r>
        <w:rPr>
          <w:b/>
        </w:rPr>
        <w:t>Contre-indications relatives / Précautions d'emploi</w:t>
      </w:r>
      <w:r>
        <w:t xml:space="preserve"> :</w:t>
      </w:r>
    </w:p>
    <w:p>
      <w:pPr>
        <w:pStyle w:val="ListBullet"/>
      </w:pPr>
      <w:r>
        <w:t>Insuffisance cardiaque NYHA I-II : à utiliser avec prudence, surveillance clinique et échographique régulière (FEVG avant instauration puis tous les 6-12 mois).</w:t>
      </w:r>
    </w:p>
    <w:p>
      <w:pPr>
        <w:pStyle w:val="ListBullet"/>
      </w:pPr>
      <w:r>
        <w:t>Hépatite B chronique (AgHBs+) : dépistage systématique pré-thérapeutique, prophylaxie antivirale par entécavir ou ténofovir pendant le traitement et 6 mois après arrêt, surveillance mensuelle ALAT/ASAT/ADN-VHB.</w:t>
      </w:r>
    </w:p>
    <w:p>
      <w:pPr>
        <w:pStyle w:val="ListBullet"/>
      </w:pPr>
      <w:r>
        <w:t>Lupus érythémateux systémique : signal rare d'induction de lupus médicamenteux (anti-TNFα-induced lupus, ATIL), surveillance clinique et biologique (anticorps antinucléaires, anti-ADN natif).</w:t>
      </w:r>
    </w:p>
    <w:p>
      <w:pPr>
        <w:pStyle w:val="ListBullet"/>
      </w:pPr>
      <w:r>
        <w:t>Insuffisance hépatique modérée à sévère : surveillance des transaminases mensuelle les 3 premiers mois, arrêt si élévation &gt; 3× LSN persistante.</w:t>
      </w:r>
    </w:p>
    <w:p>
      <w:pPr>
        <w:pStyle w:val="ListBullet"/>
      </w:pPr>
      <w:r>
        <w:t>Patient âgé &gt; 65 ans : risque infectieux majoré, évaluation bénéfice/risque individualisée.</w:t>
      </w:r>
    </w:p>
    <w:p>
      <w:pPr>
        <w:pStyle w:val="ListBullet"/>
      </w:pPr>
      <w:r>
        <w:t>Grossesse 1er et 2e trimestres : utilisation possible en cas de nécessité absolue (pathologie maternelle sévère, vascularite évolutive, PR sévère avec destruction articulaire active), sous surveillance spécialisée rhumatologique et obstétricale.</w:t>
      </w:r>
    </w:p>
    <w:p>
      <w:r/>
      <w:r>
        <w:rPr>
          <w:b/>
        </w:rPr>
        <w:t>Effets indésirables</w:t>
      </w:r>
      <w:r>
        <w:t xml:space="preserve"> (par fréquence) :</w:t>
      </w:r>
    </w:p>
    <w:p>
      <w:r/>
      <w:r>
        <w:rPr>
          <w:i/>
        </w:rPr>
        <w:t>Très fréquents (≥ 10 %)</w:t>
      </w:r>
      <w:r>
        <w:t xml:space="preserve"> : réactions au site d'injection (érythème, douleur, prurit, œdème — 14-37 %), infections des voies respiratoires supérieures (rhinopharyngite 18-22 %), céphalées (12-15 %).</w:t>
      </w:r>
    </w:p>
    <w:p>
      <w:r/>
      <w:r>
        <w:rPr>
          <w:i/>
        </w:rPr>
        <w:t>Fréquents (1-10 %)</w:t>
      </w:r>
      <w:r>
        <w:t xml:space="preserve"> : infections sévères (pneumonie, cellulite, arthrite septique 2-5 %), fièvre, asthénie, vertiges, douleurs abdominales, nausées, éruptions cutanées, prurit, sécheresse cutanée, hypoesthésies, paresthésies, conjonctivite, sinusite, bronchite, cystite, élévation des transaminases (ALAT/ASAT) modérée (&lt; 3× LSN), neutropénie modérée.</w:t>
      </w:r>
    </w:p>
    <w:p>
      <w:r/>
      <w:r>
        <w:rPr>
          <w:i/>
        </w:rPr>
        <w:t>Peu fréquents (0,1-1 %)</w:t>
      </w:r>
      <w:r>
        <w:t xml:space="preserve"> : tuberculose (incidence annuelle 0,02-0,05 pour 100 patients-années), infections opportunistes (légionellose, listériose, pneumocystose), réactions d'hypersensibilité systémique (urticaire, bronchospasme, anaphylaxie rare), thrombopénie, anémie aplasique (très rare), psoriasis palmoplantaire paradoxal, vasculite (Wegener, vascularite cutanée), lupus érythémateux médicamenteux (ATIL), néphropathie (glomérulonéphrite, néphropathie IgA).</w:t>
      </w:r>
    </w:p>
    <w:p>
      <w:r/>
      <w:r>
        <w:rPr>
          <w:i/>
        </w:rPr>
        <w:t>Rares (&lt; 0,1 %)</w:t>
      </w:r>
      <w:r>
        <w:t xml:space="preserve"> : démyélinisation centrale (sclérose en plaques de novo, névrite optique, myélite transverse), névrite optique rétrobulbaire, syndrome de Guillain-Barré, syndromes myasthéniques, pancytopénie, aplasie médullaire, carcinome cutané non mélanocytaire (risque relatif 1,5-2,0), mélanome (signal émergent), lymphome (signal controversé, risque relatif 2-3 par rapport à la population générale mais confondant avec la PR elle-même).</w:t>
      </w:r>
    </w:p>
    <w:p>
      <w:pPr>
        <w:pStyle w:val="Heading3"/>
      </w:pPr>
      <w:r>
        <w:t>152A.5.5 Prévention et gestion des effets indésirables</w:t>
      </w:r>
    </w:p>
    <w:p>
      <w:r/>
      <w:r>
        <w:rPr>
          <w:b/>
        </w:rPr>
        <w:t>Bilan pré-thérapeutique obligatoire (avant initiation)</w:t>
      </w:r>
      <w:r>
        <w:t xml:space="preserve"> :</w:t>
      </w:r>
    </w:p>
    <w:p>
      <w:pPr>
        <w:pStyle w:val="ListBullet"/>
      </w:pPr>
      <w:r>
        <w:t>Consultation spécialisée rhumatologique avec évaluation de l'activité de la maladie (DAS28-CRP, ASDAS, BASDAI selon indication), évaluation des comorbidités et des contre-indications.</w:t>
      </w:r>
    </w:p>
    <w:p>
      <w:pPr>
        <w:pStyle w:val="ListBullet"/>
      </w:pPr>
      <w:r>
        <w:t>Bilan biologique complet : NFS-plaquettes, CRP, VS, bilan hépatique (ALAT, ASAT, GGT, PAL, bilirubine), bilan rénal (urée, créatinine, eDFG), ionogramme, TP/TCA, ferritine, électrophorèse des protéines sériques, βHCG chez la femme en âge de procréer.</w:t>
      </w:r>
    </w:p>
    <w:p>
      <w:pPr>
        <w:pStyle w:val="ListBullet"/>
      </w:pPr>
      <w:r>
        <w:t xml:space="preserve">Sérologies infectieuses systématiques : VHB (AgHBs, Ac anti-HBs, Ac anti-HBc), VHC (Ac anti-VHC), VIH (Ac anti-VIH1/2), VHA (IgG anti-VHA — vaccination recommandée si négatif). Le dépistage VHB est </w:t>
      </w:r>
      <w:r>
        <w:rPr>
          <w:b/>
        </w:rPr>
        <w:t>critique</w:t>
      </w:r>
      <w:r>
        <w:t xml:space="preserve"> car l'étanercept peut réactiver une hépatite B chronique (réactivation virale B parfois fatale, particulièrement chez les patients AgHBc+ isolés ou AgHBs+).</w:t>
      </w:r>
    </w:p>
    <w:p>
      <w:pPr>
        <w:pStyle w:val="ListBullet"/>
      </w:pPr>
      <w:r>
        <w:t>Dépistage tuberculose (CRITIQUE) : IDR à la tuberculine (5 unités PPD RT23, lecture à 72 h, positive si induration ≥ 5 mm) ou test IGRA (Quantiferon-TB Gold Plus, T-SPOT.TB) — préférer IGRA si vaccination BCG antérieure (spécificité supérieure, pas de cross-réaction avec le BCG). Radiographie thoracique (face + profil) systématique à la recherche de séquelles de tuberculose primaire (calcifications ganglionnaires hilaires, nodules de Ghon). Si tuberculose latente confirmée : isoniazide 5 mg/kg/j (max 300 mg) + pyridoxine 25 mg/j pendant 1 mois minimum avant instauration de l'étanercept, idéalement 2-3 mois.</w:t>
      </w:r>
    </w:p>
    <w:p>
      <w:pPr>
        <w:pStyle w:val="ListBullet"/>
      </w:pPr>
      <w:r>
        <w:t>Bilan cardiovasculaire : ECG, échographie cardiaque (FEVG) chez les patients aux antécédents d'insuffisance cardiaque ou de facteurs de risque cardiovasculaires multiples.</w:t>
      </w:r>
    </w:p>
    <w:p>
      <w:pPr>
        <w:pStyle w:val="ListBullet"/>
      </w:pPr>
      <w:r>
        <w:t>Bilan neurologique : interrogatoire systématique sur antécédents personnels et familiaux de maladie démyélinisante (sclérose en plaques, névrite optique, myélite transverse). Examen neurologique clinique à la recherche de signes subtils.</w:t>
      </w:r>
    </w:p>
    <w:p>
      <w:pPr>
        <w:pStyle w:val="ListBullet"/>
      </w:pPr>
      <w:r>
        <w:t>Bilan dermatologique : examen clinique complet à la recherche de lésions suspectes (carcinome basocellulaire, spinocellulaire, mélanome) — dépistage dermatologique annuel recommandé.</w:t>
      </w:r>
    </w:p>
    <w:p>
      <w:pPr>
        <w:pStyle w:val="ListBullet"/>
      </w:pPr>
      <w:r>
        <w:t>Vaccinations : mise à jour vaccinale avant instauration (vaccin pneumococcique conjugué 13-valent puis polysaccharidique 23-valent à 8 semaines d'intervalle ; vaccin grippe saisonnière annuel ; vaccin hépatite B si séronégatif en 3 injections à 0, 1, 6 mois ; vaccin zona recombinant Shingrix en 2 doses à 0 et 2 mois si &gt; 50 ans ; vaccin HPV si indiqué ; vaccin COVID-19 à jour). Les vaccins vivants (BCG, ROR, fièvre jaune, varicelle, rotavirus) doivent être administrés au moins 4 semaines avant la première injection.</w:t>
      </w:r>
    </w:p>
    <w:p>
      <w:r/>
      <w:r>
        <w:rPr>
          <w:b/>
        </w:rPr>
        <w:t>Surveillance pendant le traitement</w:t>
      </w:r>
      <w:r>
        <w:t xml:space="preserve"> :</w:t>
      </w:r>
    </w:p>
    <w:p>
      <w:pPr>
        <w:pStyle w:val="ListBullet"/>
      </w:pPr>
      <w:r>
        <w:t>Examen clinique mensuel les 3 premiers mois puis trimestriel : évaluation de l'efficacité (DAS28-CRP, ASDAS, BASDAI), recherche d'effets indésirables (fièvre, infection, réaction au site d'injection, signes neurologiques, signes cutanés), évaluation de l'observance et de la tolérance.</w:t>
      </w:r>
    </w:p>
    <w:p>
      <w:pPr>
        <w:pStyle w:val="ListBullet"/>
      </w:pPr>
      <w:r>
        <w:t>Bilan biologique mensuel les 3 premiers mois puis trimestriel : NFS-plaquettes, bilan hépatique, bilan rénal, CRP. Adaptation posologique ou arrêt si anomalies.</w:t>
      </w:r>
    </w:p>
    <w:p>
      <w:pPr>
        <w:pStyle w:val="ListBullet"/>
      </w:pPr>
      <w:r>
        <w:t>Surveillance infectieuse : éducation du patient à consulter en urgence en cas de fièvre (≥ 38,5°C), de toux persistante, de signes urinaires, de douleur abdominale, de céphalées intenses. Arrêt temporaire de l'étanercept pendant tout épisode infectieux sévère.</w:t>
      </w:r>
    </w:p>
    <w:p>
      <w:pPr>
        <w:pStyle w:val="ListBullet"/>
      </w:pPr>
      <w:r>
        <w:t>Surveillance TB : consultation systématique à la recherche de signes évocateurs de tuberculose (toux chronique, hémoptysie, fièvre, sueurs nocturnes, amaigrissement), IDR ou IGRA annuel (interprétation difficile sous biothérapie — préférer la clinique et la radiographie).</w:t>
      </w:r>
    </w:p>
    <w:p>
      <w:pPr>
        <w:pStyle w:val="ListBullet"/>
      </w:pPr>
      <w:r>
        <w:t>Surveillance cardiaque : échographie de contrôle à 6 et 12 mois en cas d'insuffisance cardiaque NYHA I-II préexistante, arrêt immédiat en cas d'aggravation.</w:t>
      </w:r>
    </w:p>
    <w:p>
      <w:pPr>
        <w:pStyle w:val="ListBullet"/>
      </w:pPr>
      <w:r>
        <w:t>Surveillance neurologique : interrogatoire systématique sur l'apparition de troubles visuels, paresthésies, faiblesse musculaire, troubles de l'équilibre, troubles sphinctériens — arrêt immédiat et avis neurologique en cas de symptômes évocateurs.</w:t>
      </w:r>
    </w:p>
    <w:p>
      <w:pPr>
        <w:pStyle w:val="ListBullet"/>
      </w:pPr>
      <w:r>
        <w:t>Surveillance dermatologique : examen annuel par dermatologue, autopalpation mensuelle des ganglions, éducation du patient à signaler toute lésion cutanée nouvelle ou modifiée.</w:t>
      </w:r>
    </w:p>
    <w:p>
      <w:r/>
      <w:r>
        <w:rPr>
          <w:b/>
        </w:rPr>
        <w:t>Gestion des effets indésirables spécifiques</w:t>
      </w:r>
      <w:r>
        <w:t xml:space="preserve"> :</w:t>
      </w:r>
    </w:p>
    <w:p>
      <w:pPr>
        <w:pStyle w:val="ListBullet"/>
      </w:pPr>
      <w:r/>
      <w:r>
        <w:rPr>
          <w:b/>
        </w:rPr>
        <w:t>Réactions au site d'injection</w:t>
      </w:r>
      <w:r>
        <w:t xml:space="preserve"> : rotation des sites d'injection (cuisse, abdomen, bras), application de glace 5-10 minutes avant injection, hydratation cutanée (émollients), antihistaminique local (hydrocortisone 1 %) si prurit marqué, poursuite du traitement (effet tend à diminuer avec le temps). Remise de la seringue à température ambiante 15-30 minutes avant injection (ne pas chauffer).</w:t>
      </w:r>
    </w:p>
    <w:p>
      <w:pPr>
        <w:pStyle w:val="ListBullet"/>
      </w:pPr>
      <w:r/>
      <w:r>
        <w:rPr>
          <w:b/>
        </w:rPr>
        <w:t>Infections bactériennes</w:t>
      </w:r>
      <w:r>
        <w:t xml:space="preserve"> : arrêt immédiat de l'étanercept, prélèvements bactériologiques ciblés, antibiothérapie empirique probabiliste selon le site (amoxicilline-acide clavulanique 1 g × 3/j pour infection respiratoire ou cutanée ; céftriaxone 1-2 g/j IV pour infection sévère hospitalière), reprise 2 semaines après résolution complète de l'épisode infectieux.</w:t>
      </w:r>
    </w:p>
    <w:p>
      <w:pPr>
        <w:pStyle w:val="ListBullet"/>
      </w:pPr>
      <w:r/>
      <w:r>
        <w:rPr>
          <w:b/>
        </w:rPr>
        <w:t>Tuberculose active</w:t>
      </w:r>
      <w:r>
        <w:t xml:space="preserve"> : arrêt définitif de l'étanercept, hospitalisation en service spécialisé de maladies infectieuses, traitement antituberculeux quadrithérapie standard (isoniazide 5 mg/kg + rifampicine 10 mg/kg + pyrazinamide 25 mg/kg + éthambutol 15 mg/kg/j) pendant 2 mois puis bithérapie (isoniazide + rifampicine) pendant 4 mois — pas de réintroduction d'anti-TNFα.</w:t>
      </w:r>
    </w:p>
    <w:p>
      <w:pPr>
        <w:pStyle w:val="ListBullet"/>
      </w:pPr>
      <w:r/>
      <w:r>
        <w:rPr>
          <w:b/>
        </w:rPr>
        <w:t>Syndrome démyélinisant</w:t>
      </w:r>
      <w:r>
        <w:t xml:space="preserve"> : arrêt définitif et irréversible de l'étanercept, avis neurologique urgent, IRM cérébrale et médullaire, ponction lombaire avec analyse du LCR (bandes oligoclonales), traitement spécifique de la maladie démyélinisante (corticothérapie IV méthylprednisolone 1 g/j × 3-5 jours en poussée, immunomodulateurs au long cours si sclérose en plaques). Pas de réintroduction d'anti-TNFα.</w:t>
      </w:r>
    </w:p>
    <w:p>
      <w:pPr>
        <w:pStyle w:val="ListBullet"/>
      </w:pPr>
      <w:r/>
      <w:r>
        <w:rPr>
          <w:b/>
        </w:rPr>
        <w:t>Insuffisance cardiaque aggravée</w:t>
      </w:r>
      <w:r>
        <w:t xml:space="preserve"> : arrêt définitif de l'étanercept, avis cardiologique urgent, échographie de contrôle, traitement optimisé de l'IC (IEC/ARA2, β-bloquant, antagoniste minéralocorticoïde, diurétique), alternative thérapeutique rhumatologique privilégiant le tocilizumab ou le rituximab (abatacept non disponible en Algérie).</w:t>
      </w:r>
    </w:p>
    <w:p>
      <w:pPr>
        <w:pStyle w:val="ListBullet"/>
      </w:pPr>
      <w:r/>
      <w:r>
        <w:rPr>
          <w:b/>
        </w:rPr>
        <w:t>Lupus médicamenteux (ATIL)</w:t>
      </w:r>
      <w:r>
        <w:t xml:space="preserve"> : arrêt de l'étanercept, recherche d'anticorps antinucléaires et anti-ADN natif, traitement symptomatique (AINS, antipaludéens de synthèse), évolution généralement favorable en 4-12 semaines après arrêt.</w:t>
      </w:r>
    </w:p>
    <w:p>
      <w:pPr>
        <w:pStyle w:val="ListBullet"/>
      </w:pPr>
      <w:r/>
      <w:r>
        <w:rPr>
          <w:b/>
        </w:rPr>
        <w:t>Hépatite B réactivation</w:t>
      </w:r>
      <w:r>
        <w:t xml:space="preserve"> (en cas d'AgHBs+ ou Ac anti-HBc+ non couvert par prophylaxie) : arrêt immédiat de l'étanercept, avis hépatologique urgent, traitement antiviral par entécavir 0,5-1 mg/j ou ténofovir 245 mg/j, surveillance mensuelle ALAT/ASAT/ADN-VHB.</w:t>
      </w:r>
    </w:p>
    <w:p>
      <w:pPr>
        <w:pStyle w:val="Heading3"/>
      </w:pPr>
      <w:r>
        <w:t>152A.5.6 Interactions médicamenteuses</w:t>
      </w:r>
    </w:p>
    <w:p>
      <w:pPr>
        <w:pStyle w:val="ListBullet"/>
      </w:pPr>
      <w:r/>
      <w:r>
        <w:rPr>
          <w:b/>
        </w:rPr>
        <w:t>Vaccins vivants atténués</w:t>
      </w:r>
      <w:r>
        <w:t xml:space="preserve"> : contre-indication absolue pendant le traitement et jusqu'à 4 semaines (voire 8 semaines par prudence) après la dernière injection. Concernés : BCG, ROR, fièvre jaune, varicelle-zona (Zostavax), rotavirus, oral typhoïde Ty21a, polio oral. En cas de nécessité absolue de vaccination vivante (épidémie, voyage en zone endémique), arrêter l'étanercept 4-8 semaines avant, vacciner, et reprendre 4 semaines après.</w:t>
      </w:r>
    </w:p>
    <w:p>
      <w:pPr>
        <w:pStyle w:val="ListBullet"/>
      </w:pPr>
      <w:r/>
      <w:r>
        <w:rPr>
          <w:b/>
        </w:rPr>
        <w:t>Vaccins inactivés</w:t>
      </w:r>
      <w:r>
        <w:t xml:space="preserve"> : autorisés et recommandés (grippe saisonnière annuelle, pneumocoque conjugué 13 + polysaccharidique 23, COVID-19, hépatite B, zona recombinant Shingrix, HPV, méningocoque, Haemophilus influenzae b). Réponse vaccinale conservée mais potentiellement atténuée (taux de séroconversion 60-80 % vs 90-95 % en population générale pour le pneumocoque).</w:t>
      </w:r>
    </w:p>
    <w:p>
      <w:pPr>
        <w:pStyle w:val="ListBullet"/>
      </w:pPr>
      <w:r/>
      <w:r>
        <w:rPr>
          <w:b/>
        </w:rPr>
        <w:t>Anakinra (antagoniste IL-1R)</w:t>
      </w:r>
      <w:r>
        <w:t xml:space="preserve"> : contre-indication absolue à l'association (incidence majeure d'infections sévères 43 % dans l'essai combinant étanercept + anakinra vs 15 % sous étanercept seul, sans bénéfice synergique).</w:t>
      </w:r>
    </w:p>
    <w:p>
      <w:pPr>
        <w:pStyle w:val="ListBullet"/>
      </w:pPr>
      <w:r/>
      <w:r>
        <w:rPr>
          <w:b/>
        </w:rPr>
        <w:t>Abatacept (inhibiteur co-stimulation T)</w:t>
      </w:r>
      <w:r>
        <w:t xml:space="preserve"> : contre-indication relative à l'association (augmentation des infections sévères, pas de bénéfice synergique démontré).</w:t>
      </w:r>
    </w:p>
    <w:p>
      <w:pPr>
        <w:pStyle w:val="ListBullet"/>
      </w:pPr>
      <w:r/>
      <w:r>
        <w:rPr>
          <w:b/>
        </w:rPr>
        <w:t>Corticoïdes</w:t>
      </w:r>
      <w:r>
        <w:t xml:space="preserve"> : association possible mais risque infectieux additif. Privilégier la dose minimale efficace (≤ 5-10 mg/j prednisone équivalent), décroissance rapide dès contrôle de la maladie.</w:t>
      </w:r>
    </w:p>
    <w:p>
      <w:pPr>
        <w:pStyle w:val="ListBullet"/>
      </w:pPr>
      <w:r/>
      <w:r>
        <w:rPr>
          <w:b/>
        </w:rPr>
        <w:t>Méthotrexate</w:t>
      </w:r>
      <w:r>
        <w:t xml:space="preserve"> : association synergique recommandée dans la PR (améliore l'efficacité ACR20 de 51 % à 71 %, réduit la formation d'ADA même si déjà faible sous étanercept, permet une épargne cortisonique). Pas d'adaptation posologique du MTX.</w:t>
      </w:r>
    </w:p>
    <w:p>
      <w:pPr>
        <w:pStyle w:val="ListBullet"/>
      </w:pPr>
      <w:r/>
      <w:r>
        <w:rPr>
          <w:b/>
        </w:rPr>
        <w:t>Autres DMARDs conventionnels</w:t>
      </w:r>
      <w:r>
        <w:t xml:space="preserve"> (sulfasalazine, hydroxychloroquine, léflunomide) : association possible sans interaction majeure. Prudence avec le léflunomide (hépatotoxicité additive).</w:t>
      </w:r>
    </w:p>
    <w:p>
      <w:pPr>
        <w:pStyle w:val="ListBullet"/>
      </w:pPr>
      <w:r/>
      <w:r>
        <w:rPr>
          <w:b/>
        </w:rPr>
        <w:t>Ciclosporine</w:t>
      </w:r>
      <w:r>
        <w:t xml:space="preserve"> : potentialisation de l'immunosuppression, surveillance renforcée (NFS, fonction rénale).</w:t>
      </w:r>
    </w:p>
    <w:p>
      <w:pPr>
        <w:pStyle w:val="ListBullet"/>
      </w:pPr>
      <w:r/>
      <w:r>
        <w:rPr>
          <w:b/>
        </w:rPr>
        <w:t>AINS</w:t>
      </w:r>
      <w:r>
        <w:t xml:space="preserve"> : association possible sans interaction pharmacocinétique majeure, mais risque infectieux et digestif additif.</w:t>
      </w:r>
    </w:p>
    <w:p>
      <w:pPr>
        <w:pStyle w:val="ListBullet"/>
      </w:pPr>
      <w:r/>
      <w:r>
        <w:rPr>
          <w:b/>
        </w:rPr>
        <w:t>Live vaccines chez l'enfant exposé in utero</w:t>
      </w:r>
      <w:r>
        <w:t xml:space="preserve"> : si la mère a reçu de l'étanercept au 3e trimestre, l'enfant est immunodéprimé transitoirement ; reporter les vaccins vivants (BCG, ROR) jusqu'à 6 mois de vie.</w:t>
      </w:r>
    </w:p>
    <w:p>
      <w:pPr>
        <w:pStyle w:val="Heading3"/>
      </w:pPr>
      <w:r>
        <w:t>152A.5.7 Grossesse et allaitement (selon le CRAT)</w:t>
      </w:r>
    </w:p>
    <w:p>
      <w:r/>
      <w:r>
        <w:rPr>
          <w:b/>
        </w:rPr>
        <w:t>Grossesse</w:t>
      </w:r>
      <w:r>
        <w:t xml:space="preserve"> : selon le Centre de Référence sur les Agents Tératogènes (CRAT) et les recommandations EULAR 2022 :</w:t>
      </w:r>
    </w:p>
    <w:p>
      <w:pPr>
        <w:pStyle w:val="ListBullet"/>
      </w:pPr>
      <w:r/>
      <w:r>
        <w:rPr>
          <w:b/>
        </w:rPr>
        <w:t>1er trimestre</w:t>
      </w:r>
      <w:r>
        <w:t xml:space="preserve"> : utilisation possible en cas de nécessité absolue (pathologie maternelle sévère non contrôlée par alternatives). Pas de signal tératogène documenté à ce jour (registres OTIS, ORBIS : pas d'augmentation du risque de malformations congénitales majeures vs population générale, ~2-3 % dans les deux groupes). Le passage transplacentaire de l'étanercept est minimal au 1er trimestre en raison de l'absence d'expression du FcRn placentaire avant 16-20 SA.</w:t>
      </w:r>
    </w:p>
    <w:p>
      <w:pPr>
        <w:pStyle w:val="ListBullet"/>
      </w:pPr>
      <w:r/>
      <w:r>
        <w:rPr>
          <w:b/>
        </w:rPr>
        <w:t>2e trimestre</w:t>
      </w:r>
      <w:r>
        <w:t xml:space="preserve"> : utilisation possible en cas de nécessité absolue, sous surveillance spécialisée rhumatologique et obstétricale. Le passage transplacentaire augmente à partir de 16-20 SA mais reste modéré.</w:t>
      </w:r>
    </w:p>
    <w:p>
      <w:pPr>
        <w:pStyle w:val="ListBullet"/>
      </w:pPr>
      <w:r/>
      <w:r>
        <w:rPr>
          <w:b/>
        </w:rPr>
        <w:t>3e trimestre</w:t>
      </w:r>
      <w:r>
        <w:t xml:space="preserve"> : </w:t>
      </w:r>
      <w:r>
        <w:rPr>
          <w:b/>
        </w:rPr>
        <w:t>contre-indication relative stricte</w:t>
      </w:r>
      <w:r>
        <w:t>. Le passage transplacentaire des IgG1 (dont l'étanercept) via FcRn augmente massivement à partir de 28-32 SA, atteignant des taux fœtaux équivalents voire supérieurs aux taux maternels à terme. Risque d'immunosuppression néonatale transitoire (B et T) pendant 3-6 mois après la naissance, avec : (i) contre-indication des vaccins vivants (BCG, ROR) chez le nouveau-né pendant 6 mois ; (ii) risque accru d'infections néonatales sévères. Recommandation CRAT : arrêter l'étanercept 8-10 semaines avant la date prévue d'accouchement (DPA) si la pathologie maternelle le permet ; sinon poursuivre jusqu'à 32-34 SA puis arrêter.</w:t>
      </w:r>
    </w:p>
    <w:p>
      <w:pPr>
        <w:pStyle w:val="ListBullet"/>
      </w:pPr>
      <w:r/>
      <w:r>
        <w:rPr>
          <w:b/>
        </w:rPr>
        <w:t>Allaitement</w:t>
      </w:r>
      <w:r>
        <w:t xml:space="preserve"> : compatible selon le CRAT. Le passage de l'étanercept dans le lait maternel est faible (la molécule de 150 kDa diffuse peu dans le lait), et la biodisponibilité orale chez le nouveau-né est quasi nulle (digestion protéolytique gastrique du fragment Fc). L'allaitement peut être poursuivi ou initié sous étanercept.</w:t>
      </w:r>
    </w:p>
    <w:p>
      <w:pPr>
        <w:pStyle w:val="ListBullet"/>
      </w:pPr>
      <w:r/>
      <w:r>
        <w:rPr>
          <w:b/>
        </w:rPr>
        <w:t>Chez l'homme</w:t>
      </w:r>
      <w:r>
        <w:t xml:space="preserve"> : aucune donnée de tératogénicité paternelle, l'étanercept peut être utilisé chez l'homme envisageant une paternité sans délai d'arrêt pré-conceptionnel.</w:t>
      </w:r>
    </w:p>
    <w:p>
      <w:pPr>
        <w:pStyle w:val="ListBullet"/>
      </w:pPr>
      <w:r/>
      <w:r>
        <w:rPr>
          <w:b/>
        </w:rPr>
        <w:t>Désir de grossesse</w:t>
      </w:r>
      <w:r>
        <w:t xml:space="preserve"> : consultation pré-conceptionnelle spécialisée rhumatologique + obstétricale 3-6 mois avant. Évaluation du contrôle de la maladie, optimisation thérapeutique (privilégier si possible certolizumab pegol = seul anti-TNFα utilisable pendant toute la grossesse y compris 3e trimestre), supplémentation acide folique 0,4-5 mg/j.</w:t>
      </w:r>
    </w:p>
    <w:p>
      <w:pPr>
        <w:pStyle w:val="Heading3"/>
      </w:pPr>
      <w:r>
        <w:t>152A.5.8 Posologie et mode d'administration</w:t>
      </w:r>
    </w:p>
    <w:p>
      <w:r/>
      <w:r>
        <w:rPr>
          <w:b/>
        </w:rPr>
        <w:t>Posologie standard chez l'adulte</w:t>
      </w:r>
      <w:r>
        <w:t xml:space="preserve"> :</w:t>
      </w:r>
    </w:p>
    <w:p>
      <w:pPr>
        <w:pStyle w:val="ListBullet"/>
      </w:pPr>
      <w:r/>
      <w:r>
        <w:rPr>
          <w:b/>
        </w:rPr>
        <w:t>PR, SpA, RPso, psoriasis</w:t>
      </w:r>
      <w:r>
        <w:t xml:space="preserve"> : 50 mg une fois par semaine en injection sous-cutanée (jour fixe, par exemple le même jour chaque semaine). L'ancienne posologie de 25 mg deux fois par semaine (à 3-4 jours d'intervalle) est équivalente en termes d'efficacité mais plus contraignante en termes d'observance.</w:t>
      </w:r>
    </w:p>
    <w:p>
      <w:pPr>
        <w:pStyle w:val="ListBullet"/>
      </w:pPr>
      <w:r/>
      <w:r>
        <w:rPr>
          <w:b/>
        </w:rPr>
        <w:t>Psoriasis en plaques sévère</w:t>
      </w:r>
      <w:r>
        <w:t xml:space="preserve"> : la posologie de 50 mg 2 fois par semaine pendant les 3 premiers mois peut être utilisée pour une réponse plus rapide (essai EMPEROR), puis 50 mg 1 fois par semaine en entretien.</w:t>
      </w:r>
    </w:p>
    <w:p>
      <w:pPr>
        <w:pStyle w:val="ListBullet"/>
      </w:pPr>
      <w:r/>
      <w:r>
        <w:rPr>
          <w:b/>
        </w:rPr>
        <w:t>Enfant &gt; 2 ans (ACJI polyarticulaire)</w:t>
      </w:r>
      <w:r>
        <w:t xml:space="preserve"> : 0,8 mg/kg/semaine (max 50 mg/semaine), en une injection sous-cutanée par semaine.</w:t>
      </w:r>
    </w:p>
    <w:p>
      <w:r/>
      <w:r>
        <w:rPr>
          <w:b/>
        </w:rPr>
        <w:t>Mode d'administration</w:t>
      </w:r>
      <w:r>
        <w:t xml:space="preserve"> :</w:t>
      </w:r>
    </w:p>
    <w:p>
      <w:pPr>
        <w:pStyle w:val="ListBullet"/>
      </w:pPr>
      <w:r>
        <w:t>Voie sous-cutanée stricte (jamais IV, jamais IM).</w:t>
      </w:r>
    </w:p>
    <w:p>
      <w:pPr>
        <w:pStyle w:val="ListBullet"/>
      </w:pPr>
      <w:r>
        <w:t xml:space="preserve">Sites d'injection : cuisse antéro-externe (site préférentiel pour auto-administration), abdomen (à l'exception de la zone périombilicale de 5 cm), bras externe supérieur (si administration par un tiers). </w:t>
      </w:r>
      <w:r>
        <w:rPr>
          <w:b/>
        </w:rPr>
        <w:t>Rotation systématique des sites</w:t>
      </w:r>
      <w:r>
        <w:t xml:space="preserve"> d'une injection à l'autre pour prévenir les réactions au site d'injection et la lipodystrophie.</w:t>
      </w:r>
    </w:p>
    <w:p>
      <w:pPr>
        <w:pStyle w:val="ListBullet"/>
      </w:pPr>
      <w:r>
        <w:t>Technique : désinfection par tampon alcoolisé (fourni dans le conditionnement ENBREL), pincer le pli cutané, injecter lentement (10-15 secondes) à 45-90° selon la longueur de l'aiguille, relâcher le pli, ne pas masser le site.</w:t>
      </w:r>
    </w:p>
    <w:p>
      <w:pPr>
        <w:pStyle w:val="ListBullet"/>
      </w:pPr>
      <w:r>
        <w:t>Conservation : au réfrigérateur (2-8°C), à l'abri de la lumière, dans l'emballage extérieur. Ne pas congeler. Avant injection, sortir la seringue 15-30 minutes à l'avance pour la remettre à température ambiante (ne pas chauffer, ne pas micro-ondes). Utiliser dans les 14 jours après sortie du réfrigérateur si nécessaire.</w:t>
      </w:r>
    </w:p>
    <w:p>
      <w:pPr>
        <w:pStyle w:val="ListBullet"/>
      </w:pPr>
      <w:r/>
      <w:r>
        <w:rPr>
          <w:b/>
        </w:rPr>
        <w:t>Auto-administration</w:t>
      </w:r>
      <w:r>
        <w:t xml:space="preserve"> : formation obligatoire par infirmier(ère) diplômé(e) d'État ou rhumatologue, remise d'un carnet d'auto-surveillance, première auto-injection en présence du professionnel de santé.</w:t>
      </w:r>
    </w:p>
    <w:p>
      <w:r/>
      <w:r>
        <w:rPr>
          <w:b/>
        </w:rPr>
        <w:t>Adaptation posologique selon la fonction hépatique</w:t>
      </w:r>
      <w:r>
        <w:t xml:space="preserve"> : pas d'adaptation nécessaire en IR modérée. Contre-indication relative en IR sévère (DFG &lt; 30 mL/min) en raison de l'insuffisance de données de tolérance.</w:t>
      </w:r>
    </w:p>
    <w:p>
      <w:r/>
      <w:r>
        <w:rPr>
          <w:b/>
        </w:rPr>
        <w:t>Adaptation posologique selon la fonction hépatique</w:t>
      </w:r>
      <w:r>
        <w:t xml:space="preserve"> : pas d'adaptation en IH modérée. Contre-indication relative en IH sévère (Child-Pugh C) en raison du risque d'hépatotoxicité additive.</w:t>
      </w:r>
    </w:p>
    <w:p>
      <w:r/>
      <w:r>
        <w:rPr>
          <w:b/>
        </w:rPr>
        <w:t>Durée du traitement</w:t>
      </w:r>
      <w:r>
        <w:t xml:space="preserve"> : traitement chronique au long cours (années), à poursuivre tant que la réponse clinique est satisfaisante et que la tolérance est bonne. En cas de rémission durable (DAS28-CRP &lt; 2,4 maintenue ≥ 6 mois), discussion d'une décroissance progressive (espacement des injections à 10 puis 14 jours) avec surveillance rapprochée — risque de rechute à 1 an de 30-50 % en cas d'arrêt complet.</w:t>
      </w:r>
    </w:p>
    <w:p>
      <w:pPr>
        <w:pStyle w:val="Heading3"/>
      </w:pPr>
      <w:r>
        <w:t>152A.5.9 Formes galéniques disponibles</w:t>
      </w:r>
    </w:p>
    <w:p>
      <w:pPr>
        <w:pStyle w:val="ListBullet"/>
      </w:pPr>
      <w:r/>
      <w:r>
        <w:rPr>
          <w:b/>
        </w:rPr>
        <w:t>Solution injectable SC en seringue préremplie 25 mg/0,5 mL</w:t>
      </w:r>
      <w:r>
        <w:t xml:space="preserve"> : conditionnement B/4 seringues préremplies de 0,5 mL (correspond à 1 mois de traitement à 25 mg × 2/sem ou 2 mois à 25 mg × 1/sem — posologie peu utilisée chez l'adulte). Disponible ENBREL (Pfizer), ALTEBREL (Orion), ERELZI (Sandoz).</w:t>
      </w:r>
    </w:p>
    <w:p>
      <w:pPr>
        <w:pStyle w:val="ListBullet"/>
      </w:pPr>
      <w:r/>
      <w:r>
        <w:rPr>
          <w:b/>
        </w:rPr>
        <w:t>Solution injectable SC en seringue préremplie 50 mg/1 mL</w:t>
      </w:r>
      <w:r>
        <w:t xml:space="preserve"> : conditionnement B/4 seringues préremplies de 1 mL + 4 tampons alcoolisés (correspond à 1 mois de traitement à 50 mg × 1/sem, posologie standard adulte). Disponible ENBREL (Pfizer), ALTEBREL (Orion), ERELZI (Sandoz). Forme la plus prescrite.</w:t>
      </w:r>
    </w:p>
    <w:p>
      <w:pPr>
        <w:pStyle w:val="ListBullet"/>
      </w:pPr>
      <w:r/>
      <w:r>
        <w:rPr>
          <w:b/>
        </w:rPr>
        <w:t>Stylo auto-injecteur « SureClick »</w:t>
      </w:r>
      <w:r>
        <w:t xml:space="preserve"> : commercialisé en Europe et aux États-Unis, </w:t>
      </w:r>
      <w:r>
        <w:rPr>
          <w:b/>
        </w:rPr>
        <w:t>non référencé dans la nomenclature algérienne active</w:t>
      </w:r>
      <w:r>
        <w:t xml:space="preserve"> au 1er avril 2026 — seules les seringues préremplies sont disponibles.</w:t>
      </w:r>
    </w:p>
    <w:p>
      <w:pPr>
        <w:pStyle w:val="ListBullet"/>
      </w:pPr>
      <w:r/>
      <w:r>
        <w:rPr>
          <w:b/>
        </w:rPr>
        <w:t>Forme pédiatrique</w:t>
      </w:r>
      <w:r>
        <w:t xml:space="preserve"> : la forme 25 mg/0,5 mL est adaptée à l'enfant &gt; 2 ans (ACJI).</w:t>
      </w:r>
    </w:p>
    <w:p>
      <w:pPr>
        <w:pStyle w:val="ListBullet"/>
      </w:pPr>
      <w:r/>
      <w:r>
        <w:rPr>
          <w:b/>
        </w:rPr>
        <w:t>Forme IV</w:t>
      </w:r>
      <w:r>
        <w:t xml:space="preserve"> : non disponible (l'étanercept est exclusivement SC).</w:t>
      </w:r>
    </w:p>
    <w:p>
      <w:pPr>
        <w:pStyle w:val="ListBullet"/>
      </w:pPr>
      <w:r/>
      <w:r>
        <w:rPr>
          <w:b/>
        </w:rPr>
        <w:t>Forme IM</w:t>
      </w:r>
      <w:r>
        <w:t xml:space="preserve"> : non disponible.</w:t>
      </w:r>
    </w:p>
    <w:p>
      <w:pPr>
        <w:pStyle w:val="ListBullet"/>
      </w:pPr>
      <w:r/>
      <w:r>
        <w:rPr>
          <w:b/>
        </w:rPr>
        <w:t>Conservation</w:t>
      </w:r>
      <w:r>
        <w:t xml:space="preserve"> : 2-8°C (réfrigérateur), à l'abri de la lumière, dans l'emballage extérieur. Ne pas congeler. Durée de validité : 24 mois (princeps ENBREL) à 36 mois (biosimilaires ALTEBREL, ERELZI) avant péremption.</w:t>
      </w:r>
    </w:p>
    <w:p>
      <w:pPr>
        <w:pStyle w:val="Heading3"/>
      </w:pPr>
      <w:r>
        <w:t>152A.5.10 Conseils au patient</w:t>
      </w:r>
    </w:p>
    <w:p>
      <w:pPr>
        <w:pStyle w:val="ListBullet"/>
      </w:pPr>
      <w:r/>
      <w:r>
        <w:rPr>
          <w:b/>
        </w:rPr>
        <w:t>Information sur le caractère chronique du traitement</w:t>
      </w:r>
      <w:r>
        <w:t xml:space="preserve"> : l'étanercept ne guérit pas la maladie rhumatologique mais en contrôle l'inflammation et prévient la destruction articulaire. Le délai d'action initial est de 2-4 semaines pour une amélioration symptomatique, 12-24 semaines pour l'efficacité maximale. Ne pas arrêter le traitement en cas d'absence d'effet immédiat, et ne pas interrompre brutalement en cas de rémission (risque de rechute).</w:t>
      </w:r>
    </w:p>
    <w:p>
      <w:pPr>
        <w:pStyle w:val="ListBullet"/>
      </w:pPr>
      <w:r/>
      <w:r>
        <w:rPr>
          <w:b/>
        </w:rPr>
        <w:t>Éducation à la technique d'auto-injection</w:t>
      </w:r>
      <w:r>
        <w:t xml:space="preserve"> : formation initiale par infirmier(ère) ou rhumatologue, avec remise d'un carnet d'auto-surveillance. Première auto-injection en présence du professionnel de santé. Rotation systématique des sites d'injection. Conservation au réfrigérateur (2-8°C), remise à température ambiante 15-30 min avant injection.</w:t>
      </w:r>
    </w:p>
    <w:p>
      <w:pPr>
        <w:pStyle w:val="ListBullet"/>
      </w:pPr>
      <w:r/>
      <w:r>
        <w:rPr>
          <w:b/>
        </w:rPr>
        <w:t>Éducation aux signes d'alerte</w:t>
      </w:r>
      <w:r>
        <w:t xml:space="preserve"> nécessitant un avis médical urgent : fièvre ≥ 38,5°C, toux persistante &gt; 7 jours, dyspnée, douleur thoracique, hémoptysie, signes urinaires (brûlures mictionnelles, fièvre), douleur abdominale, céphalées intenses, troubles visuels (vision floue, baisse d'acuité, scotome), paresthésies, faiblesse musculaire, troubles de l'équilibre, troubles sphinctériens, éruption cutanée étendue, aphtes buccaux multiples, éruption psoriasique palmoplantaire paradoxale.</w:t>
      </w:r>
    </w:p>
    <w:p>
      <w:pPr>
        <w:pStyle w:val="ListBullet"/>
      </w:pPr>
      <w:r/>
      <w:r>
        <w:rPr>
          <w:b/>
        </w:rPr>
        <w:t>Surveillance biologique</w:t>
      </w:r>
      <w:r>
        <w:t xml:space="preserve"> mensuelle les 3 premiers mois puis trimestrielle : NFS-plaquettes, bilan hépatique (ALAT, ASAT), bilan rénal, CRP. Le patient doit se rendre au laboratoire sans nécessité d'être à jeun spécifiquement.</w:t>
      </w:r>
    </w:p>
    <w:p>
      <w:pPr>
        <w:pStyle w:val="ListBullet"/>
      </w:pPr>
      <w:r/>
      <w:r>
        <w:rPr>
          <w:b/>
        </w:rPr>
        <w:t>Vaccinations</w:t>
      </w:r>
      <w:r>
        <w:t xml:space="preserve"> : mettre à jour les vaccins (grippe saisonnière annuelle, pneumocoque toutes les 5 ans, COVID-19, hépatite B si séronégatif, zona recombinant Shingrix si &gt; 50 ans) </w:t>
      </w:r>
      <w:r>
        <w:rPr>
          <w:b/>
        </w:rPr>
        <w:t>avant l'initiation du traitement</w:t>
      </w:r>
      <w:r>
        <w:t>. Éviter les vaccins vivants atténués (BCG, ROR, fièvre jaune, varicelle) pendant le traitement et pendant 4 semaines après l'arrêt.</w:t>
      </w:r>
    </w:p>
    <w:p>
      <w:pPr>
        <w:pStyle w:val="ListBullet"/>
      </w:pPr>
      <w:r/>
      <w:r>
        <w:rPr>
          <w:b/>
        </w:rPr>
        <w:t>Prévention de la tuberculose</w:t>
      </w:r>
      <w:r>
        <w:t xml:space="preserve"> : le patient doit être informé du risque de réactivation tuberculeuse et de la nécessité de consulter en urgence en cas de toux chronique, fièvre, sueurs nocturnes, amaigrissement. Le dépistage initial est réalisé avant instauration, la surveillance clinique est continue.</w:t>
      </w:r>
    </w:p>
    <w:p>
      <w:pPr>
        <w:pStyle w:val="ListBullet"/>
      </w:pPr>
      <w:r/>
      <w:r>
        <w:rPr>
          <w:b/>
        </w:rPr>
        <w:t>Prévention des infections opportunistes</w:t>
      </w:r>
      <w:r>
        <w:t xml:space="preserve"> : prudence alimentaire (pas de fromages au lait cru, pas de charcuterie non cuite, pas de légumes crus mal lavés, pas de viande crue ou saignante, prudence avec les produits de la mer crus), prudence avec les animaux (chat = toxoplasmose, oiseau = chlamydiose, pigeon = cryptococcose, reptile = salmonellose).</w:t>
      </w:r>
    </w:p>
    <w:p>
      <w:pPr>
        <w:pStyle w:val="ListBullet"/>
      </w:pPr>
      <w:r/>
      <w:r>
        <w:rPr>
          <w:b/>
        </w:rPr>
        <w:t>Éviter la consommation d'alcool</w:t>
      </w:r>
      <w:r>
        <w:t xml:space="preserve"> (hépatotoxicité additive avec MTX concomitant). Si consommation ponctuelle, ne pas dépasser 2 verres/jour pour les femmes, 3 verres/jour pour les hommes.</w:t>
      </w:r>
    </w:p>
    <w:p>
      <w:pPr>
        <w:pStyle w:val="ListBullet"/>
      </w:pPr>
      <w:r/>
      <w:r>
        <w:rPr>
          <w:b/>
        </w:rPr>
        <w:t>Grossesse et contraception</w:t>
      </w:r>
      <w:r>
        <w:t xml:space="preserve"> : chez la femme en âge de procréer, contraception rigoureuse obligatoire. En cas de désir de grossesse, consulter le rhumatologue 3-6 mois à l'avance pour envisager le switch vers certolizumab pegol (seul anti-TNFα utilisable pendant toute la grossesse) ou l'arrêt temporaire. Arrêt impératif au 3e trimestre (idéalement 8-10 semaines avant la DPA).</w:t>
      </w:r>
    </w:p>
    <w:p>
      <w:pPr>
        <w:pStyle w:val="ListBullet"/>
      </w:pPr>
      <w:r/>
      <w:r>
        <w:rPr>
          <w:b/>
        </w:rPr>
        <w:t>Carnet de suivi</w:t>
      </w:r>
      <w:r>
        <w:t xml:space="preserve"> : remise d'un carnet patient avec dates d'injection, sites, effets indésirables éventuels, dates de consultations et de bilans biologiques.</w:t>
      </w:r>
    </w:p>
    <w:p>
      <w:pPr>
        <w:pStyle w:val="Heading3"/>
      </w:pPr>
      <w:r>
        <w:t>152A.5.11 Pièges du comptoir</w:t>
      </w:r>
    </w:p>
    <w:p>
      <w:pPr>
        <w:pStyle w:val="ListNumber"/>
      </w:pPr>
      <w:r/>
      <w:r>
        <w:rPr>
          <w:b/>
        </w:rPr>
        <w:t>Confusion entre étanercept et autres anti-TNFα</w:t>
      </w:r>
      <w:r>
        <w:t xml:space="preserve"> : l'étanercept (ENBREL, ALTEBREL, ERELZI) est le seul anti-TNFα par </w:t>
      </w:r>
      <w:r>
        <w:rPr>
          <w:b/>
        </w:rPr>
        <w:t>récepteur soluble</w:t>
      </w:r>
      <w:r>
        <w:t xml:space="preserve"> — il n'est pas un anticorps monoclonal. Cette distinction est importante pour le conseil patient (fréquence d'administration 1/sem vs 1/2 sem pour adalimumab, profil de tolérance infectieuse potentiellement meilleur). Ne jamais substituer un anti-TNFα par un autre sans avis spécialisé.</w:t>
      </w:r>
    </w:p>
    <w:p>
      <w:pPr>
        <w:pStyle w:val="ListNumber"/>
      </w:pPr>
      <w:r/>
      <w:r>
        <w:rPr>
          <w:b/>
        </w:rPr>
        <w:t>Oubli du dépistage tuberculose</w:t>
      </w:r>
      <w:r>
        <w:t xml:space="preserve"> : le pharmacien doit vérifier (interrogatoire patient ou dossier pharmaceutique) que le bilan pré-thérapeutique TB (IDR ou IGRA + radio thoracique) a été réalisé avant la première dispensation. En cas d'oubli, refuser la dispensation et adresser le patient au prescripteur pour complément de bilan.</w:t>
      </w:r>
    </w:p>
    <w:p>
      <w:pPr>
        <w:pStyle w:val="ListNumber"/>
      </w:pPr>
      <w:r/>
      <w:r>
        <w:rPr>
          <w:b/>
        </w:rPr>
        <w:t>Oubli du dépistage VHB</w:t>
      </w:r>
      <w:r>
        <w:t xml:space="preserve"> : le pharmacien doit vérifier que les sérologies VHB (AgHBs, Ac anti-HBs, Ac anti-HBc) ont été réalisées avant instauration. En cas d'AgHBs+ ou Ac anti-HBc+ isolé, prophylaxie antivirale par entécavir ou ténofovir obligatoire pendant le traitement.</w:t>
      </w:r>
    </w:p>
    <w:p>
      <w:pPr>
        <w:pStyle w:val="ListNumber"/>
      </w:pPr>
      <w:r/>
      <w:r>
        <w:rPr>
          <w:b/>
        </w:rPr>
        <w:t>Vaccination vivante pendant le traitement</w:t>
      </w:r>
      <w:r>
        <w:t xml:space="preserve"> : refuser la dispensation d'un vaccin vivant (BCG, ROR, fièvre jaune, varicelle, Zostavax) chez un patient sous étanercept. Contacter le prescripteur pour substitution par vaccin inactivé si disponible, ou respecter un délai de 4 semaines après l'arrêt de l'étanercept pour les vaccins vivants.</w:t>
      </w:r>
    </w:p>
    <w:p>
      <w:pPr>
        <w:pStyle w:val="ListNumber"/>
      </w:pPr>
      <w:r/>
      <w:r>
        <w:rPr>
          <w:b/>
        </w:rPr>
        <w:t>Confusion ENBREL 25 mg / 50 mg</w:t>
      </w:r>
      <w:r>
        <w:t xml:space="preserve"> : la seringue 25 mg/0,5 mL est destinée à l'enfant ou à l'ancienne posologie adulte 25 mg × 2/sem (peu utilisée). La seringue 50 mg/1 mL est la posologie standard adulte. Le pharmacien doit vérifier la correspondance entre la prescription et le dosage délivré.</w:t>
      </w:r>
    </w:p>
    <w:p>
      <w:pPr>
        <w:pStyle w:val="ListNumber"/>
      </w:pPr>
      <w:r/>
      <w:r>
        <w:rPr>
          <w:b/>
        </w:rPr>
        <w:t>Conservation inadéquate</w:t>
      </w:r>
      <w:r>
        <w:t xml:space="preserve"> : l'étanercept doit être conservé au réfrigérateur (2-8°C). Une congélation altère la protéine (dénaturation, agrégation, perte d'efficacité). Le pharmacien doit vérifier que la chaîne du froid a été respectée (sac isotherme avec accumulateur de froid pour le transport) et informer le patient de la conservation domestique.</w:t>
      </w:r>
    </w:p>
    <w:p>
      <w:pPr>
        <w:pStyle w:val="ListNumber"/>
      </w:pPr>
      <w:r/>
      <w:r>
        <w:rPr>
          <w:b/>
        </w:rPr>
        <w:t>Injection à froid</w:t>
      </w:r>
      <w:r>
        <w:t xml:space="preserve"> : une seringue sortant du réfrigérateur et injectée immédiatement provoque une douleur plus intense et une réaction au site d'injection plus marquée. Le pharmacien doit informer le patient de remettre la seringue à température ambiante 15-30 minutes avant injection (ne pas chauffer, ne pas micro-ondes).</w:t>
      </w:r>
    </w:p>
    <w:p>
      <w:pPr>
        <w:pStyle w:val="ListNumber"/>
      </w:pPr>
      <w:r/>
      <w:r>
        <w:rPr>
          <w:b/>
        </w:rPr>
        <w:t>Banalisation d'une fièvre</w:t>
      </w:r>
      <w:r>
        <w:t xml:space="preserve"> : chez un patient sous étanercept, une fièvre ≥ 38,5°C ou des signes infectieux doivent être considérés comme potentiellement graves (risque d'infection sévère, de tuberculose, d'infection opportuniste). Le pharmacien doit conseiller au patient de consulter en urgence son médecin ou le service des urgences, et d'interrompre l'étanercept en attendant.</w:t>
      </w:r>
    </w:p>
    <w:p>
      <w:pPr>
        <w:pStyle w:val="ListNumber"/>
      </w:pPr>
      <w:r/>
      <w:r>
        <w:rPr>
          <w:b/>
        </w:rPr>
        <w:t>Grossesse méconnue</w:t>
      </w:r>
      <w:r>
        <w:t xml:space="preserve"> : chez une femme en âge de procréer, vérifier la contraception avant dispensation. En cas de doute (retard de règles, oubli de pilule), proposer un test de grossesse (βHCG urinaire) avant de poursuivre le traitement. Arrêt impératif au 3e trimestre.</w:t>
      </w:r>
    </w:p>
    <w:p>
      <w:pPr>
        <w:pStyle w:val="ListNumber"/>
      </w:pPr>
      <w:r/>
      <w:r>
        <w:rPr>
          <w:b/>
        </w:rPr>
        <w:t>Perte d'efficacité secondaire</w:t>
      </w:r>
      <w:r>
        <w:t xml:space="preserve"> : en cas de perte d'efficacité secondaire (rechute clinique après plusieurs mois/années de bonne réponse), le pharmacien doit orienter le patient vers son rhumatologue pour évaluation (dosage des taux résiduels d'étanercept et des anticorps anti-médicament, augmentation de la fréquence d'administration à 50 mg × 2/sem ou switch vers un autre anti-TNFα ou une autre classe de biothérapie). La perte d'efficacité sous étanercept est rare (&lt; 5 % à 5 ans) en raison de la faible immunogénicité.</w:t>
      </w:r>
    </w:p>
    <w:p>
      <w:pPr>
        <w:pStyle w:val="ListNumber"/>
      </w:pPr>
      <w:r/>
      <w:r>
        <w:rPr>
          <w:b/>
        </w:rPr>
        <w:t>Switch de marque (princeps ↔ biosimilaire)</w:t>
      </w:r>
      <w:r>
        <w:t xml:space="preserve"> : le switch d'un princeps vers un biosimilaire (ou vice versa) est possible après avis spécialisé, sans washout nécessaire (demi-vie courte 3-5 jours permettant un switch direct à la date prévue d'injection suivante). Surveillance clinique et biologique renforcée dans les 3 mois suivant le switch.</w:t>
      </w:r>
    </w:p>
    <w:p>
      <w:pPr>
        <w:pStyle w:val="ListNumber"/>
      </w:pPr>
      <w:r/>
      <w:r>
        <w:rPr>
          <w:b/>
        </w:rPr>
        <w:t>Association à l'anakinra</w:t>
      </w:r>
      <w:r>
        <w:t xml:space="preserve"> : contre-indication absolue (risque infectieux 43 %). Le pharmacien doit vérifier l'absence d'association par interrogation patient ou dossier pharmaceutique.</w:t>
      </w:r>
    </w:p>
    <w:p>
      <w:pPr>
        <w:pStyle w:val="Heading3"/>
      </w:pPr>
      <w:r>
        <w:t>152A.5.12 Notes et règle d'or</w:t>
      </w:r>
    </w:p>
    <w:p>
      <w:r/>
      <w:r>
        <w:rPr>
          <w:b/>
        </w:rPr>
        <w:t>Règle d'or</w:t>
      </w:r>
      <w:r>
        <w:t xml:space="preserve"> : L'étanercept est l'anti-TNFα de référence chez le patient naïf de biothérapie présentant une PR, une SpA ou un RPso sans comorbidité infectieuse particulière, en raison de son profil d'efficacité équivalent, de sa faible immunogénicité (&lt; 1 % d'ADA), de son incidence tuberculeuse plus basse que les anticorps monoclonaux (0,02-0,05 vs 0,4-1,0 pour 100 patients-années), de sa simplicité d'administration (1 SC/sem en auto-injection) et de son coût accessible (18 000-32 000 DA/mois). Il doit être préféré aux anticorps monoclonaux en cas d'antécédent personnel ou familial de tuberculose, en cas de comorbidité infectieuse, ou chez le sujet âgé fragile. Son utilisation au 3e trimestre de grossesse est strictement contre-indiquée (switch vers certolizumab pegol si grossesse envisagée).</w:t>
      </w:r>
    </w:p>
    <w:p>
      <w:pPr>
        <w:pStyle w:val="Heading2"/>
      </w:pPr>
      <w:r>
        <w:t>152A.6 DCI : Infliximab (Infliximab)</w:t>
      </w:r>
    </w:p>
    <w:p>
      <w:pPr>
        <w:pStyle w:val="Heading3"/>
      </w:pPr>
      <w:r>
        <w:t>152A.6.1 Liste des catégories</w:t>
      </w:r>
    </w:p>
    <w:p>
      <w:pPr>
        <w:pStyle w:val="ListBullet"/>
      </w:pPr>
      <w:r/>
      <w:r>
        <w:rPr>
          <w:b/>
        </w:rPr>
        <w:t>DCI</w:t>
      </w:r>
      <w:r>
        <w:t xml:space="preserve"> : Infliximab</w:t>
      </w:r>
    </w:p>
    <w:p>
      <w:pPr>
        <w:pStyle w:val="ListBullet"/>
      </w:pPr>
      <w:r/>
      <w:r>
        <w:rPr>
          <w:b/>
        </w:rPr>
        <w:t>Code ATC</w:t>
      </w:r>
      <w:r>
        <w:t xml:space="preserve"> : L04AB02 — Immunosuppresseurs, anticorps monoclonaux anti-TNFα</w:t>
      </w:r>
    </w:p>
    <w:p>
      <w:pPr>
        <w:pStyle w:val="ListBullet"/>
      </w:pPr>
      <w:r/>
      <w:r>
        <w:rPr>
          <w:b/>
        </w:rPr>
        <w:t>Classe pharmacothérapeutique</w:t>
      </w:r>
      <w:r>
        <w:t xml:space="preserve"> : DMARD biologique (bDMARD), anticorps monoclonal chimérique murin-humanisé IgG1κ anti-TNFα</w:t>
      </w:r>
    </w:p>
    <w:p>
      <w:pPr>
        <w:pStyle w:val="ListBullet"/>
      </w:pPr>
      <w:r/>
      <w:r>
        <w:rPr>
          <w:b/>
        </w:rPr>
        <w:t>Réglementation algérienne</w:t>
      </w:r>
      <w:r>
        <w:t xml:space="preserve"> : </w:t>
      </w:r>
      <w:r>
        <w:rPr>
          <w:b/>
        </w:rPr>
        <w:t>Liste I</w:t>
      </w:r>
      <w:r>
        <w:t xml:space="preserve"> (sur ordonnance médicale obligatoire), prescription initiale hospitalo-universitaire réservée aux spécialistes en rhumatologie, gastro-entérologie, dermatologie, médecine interne. </w:t>
      </w:r>
      <w:r>
        <w:rPr>
          <w:b/>
        </w:rPr>
        <w:t>Administration IV stricte en milieu hospitalier</w:t>
      </w:r>
      <w:r>
        <w:t xml:space="preserve"> (day hospital, EHS spécialisés). Renouvellement possible en ville après stabilisation (mais administration reste hospitalière).</w:t>
      </w:r>
    </w:p>
    <w:p>
      <w:pPr>
        <w:pStyle w:val="ListBullet"/>
      </w:pPr>
      <w:r/>
      <w:r>
        <w:rPr>
          <w:b/>
        </w:rPr>
        <w:t>Statut Liste des stupéfiants</w:t>
      </w:r>
      <w:r>
        <w:t xml:space="preserve"> : Non applicable</w:t>
      </w:r>
    </w:p>
    <w:p>
      <w:pPr>
        <w:pStyle w:val="ListBullet"/>
      </w:pPr>
      <w:r/>
      <w:r>
        <w:rPr>
          <w:b/>
        </w:rPr>
        <w:t>Statut grossesse</w:t>
      </w:r>
      <w:r>
        <w:t xml:space="preserve"> : Compatible aux 1er et 2e trimestres en cas de nécessité absolue ; </w:t>
      </w:r>
      <w:r>
        <w:rPr>
          <w:b/>
        </w:rPr>
        <w:t>contre-indication absolue au 3e trimestre</w:t>
      </w:r>
      <w:r>
        <w:t xml:space="preserve"> (passage transplacentaire massif des IgG1 via FcRn)</w:t>
      </w:r>
    </w:p>
    <w:p>
      <w:pPr>
        <w:pStyle w:val="ListBullet"/>
      </w:pPr>
      <w:r/>
      <w:r>
        <w:rPr>
          <w:b/>
        </w:rPr>
        <w:t>Statut allaitement</w:t>
      </w:r>
      <w:r>
        <w:t xml:space="preserve"> : Compatible (faible passage dans le lait maternel)</w:t>
      </w:r>
    </w:p>
    <w:p>
      <w:pPr>
        <w:pStyle w:val="ListBullet"/>
      </w:pPr>
      <w:r/>
      <w:r>
        <w:rPr>
          <w:b/>
        </w:rPr>
        <w:t>Disponibilité Algérie au 1er avril 2026</w:t>
      </w:r>
      <w:r>
        <w:t xml:space="preserve"> : 4 spécialités actives (REMICADE princeps + 3 biosimilaires IXIFI, INFLIXIMAB-SAIDAL, REMSIMA), 1 dosage (100 mg/flacon poudre pour solution à diluer pour perfusion IV)</w:t>
      </w:r>
    </w:p>
    <w:p>
      <w:pPr>
        <w:pStyle w:val="ListBullet"/>
      </w:pPr>
      <w:r/>
      <w:r>
        <w:rPr>
          <w:b/>
        </w:rPr>
        <w:t>Coût mensuel estimé</w:t>
      </w:r>
      <w:r>
        <w:t xml:space="preserve"> : 30 000 à 50 000 DA selon la marque (princeps vs biosimilaire), pour 5 mg/kg/8 sem en entretien (patient 70 kg = 350 mg/flacon × 4 flacons = 400 mg par perfusion, soit 4 flacons par perfusion toutes les 8 semaines)</w:t>
      </w:r>
    </w:p>
    <w:p>
      <w:pPr>
        <w:pStyle w:val="ListBullet"/>
      </w:pPr>
      <w:r/>
      <w:r>
        <w:rPr>
          <w:b/>
        </w:rPr>
        <w:t>Laboratoires référencés</w:t>
      </w:r>
      <w:r>
        <w:t xml:space="preserve"> : JANSSEN BIOLOGICS (princeps REMICADE), PFIZER JAPAN INC (biosimilaire IXIFI), GROUPE SAIDAL (biosimilaire INFLIXIMAB-SAIDAL), HIKMA PHARMA ALGERIA (biosimilaire REMSIMA)</w:t>
      </w:r>
    </w:p>
    <w:p>
      <w:pPr>
        <w:pStyle w:val="Heading3"/>
      </w:pPr>
      <w:r>
        <w:t>152A.6.2 Médicaments disponibles en Algérie (tableau commercial exhaustif)</w:t>
      </w:r>
    </w:p>
    <w:p>
      <w:r>
        <w:t>L'infliximab est commercialisé en Algérie au 1er avril 2026 sous 4 marques (1 princeps + 3 biosimilaires), 1 dosage unique (100 mg/flacon poudre lyophilisée pour solution à diluer pour perfusion IV), totalisant 4 conditionnements actifs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REMICADE</w:t>
            </w:r>
          </w:p>
        </w:tc>
        <w:tc>
          <w:tcPr>
            <w:tcW w:type="dxa" w:w="1559"/>
          </w:tcPr>
          <w:p>
            <w:r>
              <w:rPr>
                <w:sz w:val="20"/>
              </w:rPr>
              <w:t>JANSSEN BIOLOGICS</w:t>
            </w:r>
          </w:p>
        </w:tc>
        <w:tc>
          <w:tcPr>
            <w:tcW w:type="dxa" w:w="1559"/>
          </w:tcPr>
          <w:p>
            <w:r>
              <w:rPr>
                <w:sz w:val="20"/>
              </w:rPr>
              <w:t>Poudre pour solution pour perfusion IV — 100 mg/flacon</w:t>
            </w:r>
          </w:p>
        </w:tc>
        <w:tc>
          <w:tcPr>
            <w:tcW w:type="dxa" w:w="1559"/>
          </w:tcPr>
          <w:p>
            <w:r>
              <w:rPr>
                <w:sz w:val="20"/>
              </w:rPr>
              <w:t>B/01 flacon</w:t>
            </w:r>
          </w:p>
        </w:tc>
        <w:tc>
          <w:tcPr>
            <w:tcW w:type="dxa" w:w="1559"/>
          </w:tcPr>
          <w:p>
            <w:r>
              <w:rPr>
                <w:sz w:val="20"/>
              </w:rPr>
              <w:t>LISTE I</w:t>
            </w:r>
          </w:p>
        </w:tc>
        <w:tc>
          <w:tcPr>
            <w:tcW w:type="dxa" w:w="1559"/>
          </w:tcPr>
          <w:p>
            <w:r>
              <w:rPr>
                <w:sz w:val="20"/>
              </w:rPr>
              <w:t>ACTIF</w:t>
            </w:r>
          </w:p>
        </w:tc>
      </w:tr>
      <w:tr>
        <w:tc>
          <w:tcPr>
            <w:tcW w:type="dxa" w:w="1559"/>
          </w:tcPr>
          <w:p>
            <w:r>
              <w:rPr>
                <w:sz w:val="20"/>
              </w:rPr>
              <w:t>IXIFI</w:t>
            </w:r>
          </w:p>
        </w:tc>
        <w:tc>
          <w:tcPr>
            <w:tcW w:type="dxa" w:w="1559"/>
          </w:tcPr>
          <w:p>
            <w:r>
              <w:rPr>
                <w:sz w:val="20"/>
              </w:rPr>
              <w:t>PFIZER JAPAN INC</w:t>
            </w:r>
          </w:p>
        </w:tc>
        <w:tc>
          <w:tcPr>
            <w:tcW w:type="dxa" w:w="1559"/>
          </w:tcPr>
          <w:p>
            <w:r>
              <w:rPr>
                <w:sz w:val="20"/>
              </w:rPr>
              <w:t>Poudre pour solution pour perfusion IV — 100 mg/flacon</w:t>
            </w:r>
          </w:p>
        </w:tc>
        <w:tc>
          <w:tcPr>
            <w:tcW w:type="dxa" w:w="1559"/>
          </w:tcPr>
          <w:p>
            <w:r>
              <w:rPr>
                <w:sz w:val="20"/>
              </w:rPr>
              <w:t>B/01 flacon de 15 mL</w:t>
            </w:r>
          </w:p>
        </w:tc>
        <w:tc>
          <w:tcPr>
            <w:tcW w:type="dxa" w:w="1559"/>
          </w:tcPr>
          <w:p>
            <w:r>
              <w:rPr>
                <w:sz w:val="20"/>
              </w:rPr>
              <w:t>LISTE I</w:t>
            </w:r>
          </w:p>
        </w:tc>
        <w:tc>
          <w:tcPr>
            <w:tcW w:type="dxa" w:w="1559"/>
          </w:tcPr>
          <w:p>
            <w:r>
              <w:rPr>
                <w:sz w:val="20"/>
              </w:rPr>
              <w:t>ACTIF</w:t>
            </w:r>
          </w:p>
        </w:tc>
      </w:tr>
      <w:tr>
        <w:tc>
          <w:tcPr>
            <w:tcW w:type="dxa" w:w="1559"/>
          </w:tcPr>
          <w:p>
            <w:r>
              <w:rPr>
                <w:sz w:val="20"/>
              </w:rPr>
              <w:t>INFLIXIMAB-SAIDAL</w:t>
            </w:r>
          </w:p>
        </w:tc>
        <w:tc>
          <w:tcPr>
            <w:tcW w:type="dxa" w:w="1559"/>
          </w:tcPr>
          <w:p>
            <w:r>
              <w:rPr>
                <w:sz w:val="20"/>
              </w:rPr>
              <w:t>GROUPE SAIDAL</w:t>
            </w:r>
          </w:p>
        </w:tc>
        <w:tc>
          <w:tcPr>
            <w:tcW w:type="dxa" w:w="1559"/>
          </w:tcPr>
          <w:p>
            <w:r>
              <w:rPr>
                <w:sz w:val="20"/>
              </w:rPr>
              <w:t>Poudre pour solution pour perfusion IV — 100 mg/flacon</w:t>
            </w:r>
          </w:p>
        </w:tc>
        <w:tc>
          <w:tcPr>
            <w:tcW w:type="dxa" w:w="1559"/>
          </w:tcPr>
          <w:p>
            <w:r>
              <w:rPr>
                <w:sz w:val="20"/>
              </w:rPr>
              <w:t>B/01 flacon</w:t>
            </w:r>
          </w:p>
        </w:tc>
        <w:tc>
          <w:tcPr>
            <w:tcW w:type="dxa" w:w="1559"/>
          </w:tcPr>
          <w:p>
            <w:r>
              <w:rPr>
                <w:sz w:val="20"/>
              </w:rPr>
              <w:t>LISTE I</w:t>
            </w:r>
          </w:p>
        </w:tc>
        <w:tc>
          <w:tcPr>
            <w:tcW w:type="dxa" w:w="1559"/>
          </w:tcPr>
          <w:p>
            <w:r>
              <w:rPr>
                <w:sz w:val="20"/>
              </w:rPr>
              <w:t>ACTIF</w:t>
            </w:r>
          </w:p>
        </w:tc>
      </w:tr>
      <w:tr>
        <w:tc>
          <w:tcPr>
            <w:tcW w:type="dxa" w:w="1559"/>
          </w:tcPr>
          <w:p>
            <w:r>
              <w:rPr>
                <w:sz w:val="20"/>
              </w:rPr>
              <w:t>REMSIMA</w:t>
            </w:r>
          </w:p>
        </w:tc>
        <w:tc>
          <w:tcPr>
            <w:tcW w:type="dxa" w:w="1559"/>
          </w:tcPr>
          <w:p>
            <w:r>
              <w:rPr>
                <w:sz w:val="20"/>
              </w:rPr>
              <w:t>HIKMA PHARMA ALGERIA</w:t>
            </w:r>
          </w:p>
        </w:tc>
        <w:tc>
          <w:tcPr>
            <w:tcW w:type="dxa" w:w="1559"/>
          </w:tcPr>
          <w:p>
            <w:r>
              <w:rPr>
                <w:sz w:val="20"/>
              </w:rPr>
              <w:t>Poudre pour solution pour perfusion IV — 100 mg/flacon</w:t>
            </w:r>
          </w:p>
        </w:tc>
        <w:tc>
          <w:tcPr>
            <w:tcW w:type="dxa" w:w="1559"/>
          </w:tcPr>
          <w:p>
            <w:r>
              <w:rPr>
                <w:sz w:val="20"/>
              </w:rPr>
              <w:t>B/01 flacon</w:t>
            </w:r>
          </w:p>
        </w:tc>
        <w:tc>
          <w:tcPr>
            <w:tcW w:type="dxa" w:w="1559"/>
          </w:tcPr>
          <w:p>
            <w:r>
              <w:rPr>
                <w:sz w:val="20"/>
              </w:rPr>
              <w:t>LISTE I</w:t>
            </w:r>
          </w:p>
        </w:tc>
        <w:tc>
          <w:tcPr>
            <w:tcW w:type="dxa" w:w="1559"/>
          </w:tcPr>
          <w:p>
            <w:r>
              <w:rPr>
                <w:sz w:val="20"/>
              </w:rPr>
              <w:t>ACTIF</w:t>
            </w:r>
          </w:p>
        </w:tc>
      </w:tr>
    </w:tbl>
    <w:p/>
    <w:p>
      <w:r>
        <w:t>Le marché algérien de l'infliximab reflète une diversification réussie avec un princeps historique (REMICADE, commercialisé depuis 1998 aux États-Unis, depuis 1999 en Europe, et disponible en Algérie depuis le début des années 2000) et trois biosimilaires disponibles. REMICADE a été développé par Centocor (Janssen/J&amp;J) à partir de la technologie hybridome murin, avec la première AMM en 1998 (PR). INFLIXIMAB-SAIDAL est le biosimilaire produit localement par le Groupe SAIDAL depuis 2018, marquant la première production locale d'un anticorps monoclonal biosimilaire en Algérie. REMSIMA (Hikma Pharma, Jordanie/Algérie) et IXIFI (Pfizer Japan, distribution internationale) sont les autres biosimilaires disponibles. Le coût mensuel d'un traitement par infliximab 5 mg/kg/8 sem en entretien varie de 30 000 DA (biosimilaire INFLIXIMAB-SAIDAL) à 50 000 DA (princeps REMICADE), avec une administration IV en milieu hospitalier impliquant des coûts annexes (hospitalisation day hospital, perfusion, surveillance).</w:t>
      </w:r>
    </w:p>
    <w:p>
      <w:pPr>
        <w:pStyle w:val="Heading3"/>
      </w:pPr>
      <w:r>
        <w:t>152A.6.3 Mécanisme d'action détaillé</w:t>
      </w:r>
    </w:p>
    <w:p>
      <w:r>
        <w:t xml:space="preserve">L'infliximab est un </w:t>
      </w:r>
      <w:r>
        <w:rPr>
          <w:b/>
        </w:rPr>
        <w:t>anticorps monoclonal chimérique murin-humanisé de classe IgG1κ dirigé spécifiquement contre le TNFα humain</w:t>
      </w:r>
      <w:r>
        <w:t xml:space="preserve"> (soluble et transmembranaire), sans action sur la lymphotoxine-α (LTα, TNFβ). Il a été développé à partir de la technologie hybridome murin (Centocor, 1990s) à partir d'un anticorps murin IgG1 anti-TNFα (A2 clone), puis chimérisé en remplaçant les régions constantes murines par les régions constantes humaines IgG1κ. La molécule finale est composée d'environ 75 % de séquences humaines (régions constantes CH1-CH2-CH3 et CL κ) et 25 % de séquences murines (régions variables VH et VL), ce qui en fait un anticorps </w:t>
      </w:r>
      <w:r>
        <w:rPr>
          <w:b/>
        </w:rPr>
        <w:t>chimérique</w:t>
      </w:r>
      <w:r>
        <w:t xml:space="preserve"> (et non pas humanisé comme le rituximab ocrelizumab, ni entièrement humain comme l'adalimumab).</w:t>
      </w:r>
    </w:p>
    <w:p>
      <w:r/>
      <w:r>
        <w:rPr>
          <w:b/>
        </w:rPr>
        <w:t>Mécanisme d'action moléculaire</w:t>
      </w:r>
      <w:r>
        <w:t xml:space="preserve"> : l'infliximab se lie avec une haute affinité (KD ≈ 10⁻¹⁰ M) au TNFα soluble (sTNFα, forme trimerique active) et au TNFα transmembranaire (tmTNFα) à la surface des cellules productrices (macrophages, monocytes activés, lymphocytes T, cellules de Kupffer, synoviocytes fibroblastiques activés), neutralisant leur interaction avec les récepteurs TNFR1 (p55/CD120a) et TNFR2 (p75/CD120b). Cette neutralisation empêche la signalisation intracellulaire pro-inflammatoire (voie NF-κB, voie MAPK/JNK, voie AP-1) responsable de la production de cytokines (IL-1, IL-6, IL-8), de chimiokines (MCP-1, RANTES), de molécules d'adhésion (ICAM-1, VCAM-1, E-sélectine) et de métalloprotéinases (MMP-1, MMP-3, MMP-13). Le ratio de liaison infliximab:TNFα est de 1:1 (un trimère d'infliximab lie un trimère de TNFα), avec une neutralisation stoechiométrique complète et un effet </w:t>
      </w:r>
      <w:r>
        <w:rPr>
          <w:b/>
        </w:rPr>
        <w:t>bivalent</w:t>
      </w:r>
      <w:r>
        <w:t xml:space="preserve"> (deux sites de liaison par anticorps) permettant une neutralisation de haute avidité.</w:t>
      </w:r>
    </w:p>
    <w:p>
      <w:r/>
      <w:r>
        <w:rPr>
          <w:b/>
        </w:rPr>
        <w:t>Lyse cellulaire des cellules TNFα-expressives</w:t>
      </w:r>
      <w:r>
        <w:t xml:space="preserve"> : contrairement à l'étanercept et au certolizumab pegol, l'infliximab contient une portion Fc d'IgG1 humaine </w:t>
      </w:r>
      <w:r>
        <w:rPr>
          <w:b/>
        </w:rPr>
        <w:t>fonctionnelle</w:t>
      </w:r>
      <w:r>
        <w:t xml:space="preserve"> qui fixe le C1q du complément (déclenchant la voie classique du complément → MAC → lyse cellulaire par CDC) et les récepteurs FcγR des cellules effectrices (NK, macrophages, polynucléaires → lyse cellulaire par ADCC). Cette lyse cellulaire directe des macrophages, monocytes et lymphocytes T activés exprimant le tmTNFα explique : (i) l'efficacité supérieure de l'infliximab dans les maladies à forte composante macrophagique (maladie de Crohn avec granulomes, PR avec pannus synovial) ; (ii) le risque plus élevé de </w:t>
      </w:r>
      <w:r>
        <w:rPr>
          <w:b/>
        </w:rPr>
        <w:t>réactivation tuberculeuse</w:t>
      </w:r>
      <w:r>
        <w:t xml:space="preserve"> (incidence 0,4-1,0 pour 100 patients-années, vs 0,02-0,05 pour l'étanercept) en raison de la lyse des macrophages hébergeant le mycobactérie en latence dans les granulomes ; (iii) le risque de </w:t>
      </w:r>
      <w:r>
        <w:rPr>
          <w:b/>
        </w:rPr>
        <w:t>réactions à la perfusion</w:t>
      </w:r>
      <w:r>
        <w:t xml:space="preserve"> (10-20 % des perfusions) en raison de la libération massive de cytokines (cytokine release syndrome) lors de la lyse cellulaire, particulièrement marquée lors de la première perfusion chez les patients avec forte masse cellulaire inflammatoire.</w:t>
      </w:r>
    </w:p>
    <w:p>
      <w:r/>
      <w:r>
        <w:rPr>
          <w:b/>
        </w:rPr>
        <w:t>Immunogénicité</w:t>
      </w:r>
      <w:r>
        <w:t xml:space="preserve"> : la partie variable murine (25 % de la molécule) est reconnue comme étrangère par le système immunitaire humain, induisant la formation d'</w:t>
      </w:r>
      <w:r>
        <w:rPr>
          <w:b/>
        </w:rPr>
        <w:t>anticorps human anti-chimeric antibodies (HACA)</w:t>
      </w:r>
      <w:r>
        <w:t xml:space="preserve"> chez 12-44 % des patients sans MTX concomitant, et 7-15 % avec MTX concomitant. La formation de HACA : (i) réduit l'efficacité (augmentation de la clairance, baisse des taux résiduels) ; (ii) augmente le risque de réactions à la perfusion (HACA → complexes immuns → activation du complément → réaction allergique) ; (iii) impose l'</w:t>
      </w:r>
      <w:r>
        <w:rPr>
          <w:b/>
        </w:rPr>
        <w:t>association systématique au méthotrexate</w:t>
      </w:r>
      <w:r>
        <w:t xml:space="preserve"> dans la PR (qui réduit l'incidence des HACA de 44 % à 7-15 %), et l'optimisation des doses d'entretien (augmentation à 7,5-10 mg/kg ou raccourcissement de l'intervalle à 6 semaines en cas de perte d'efficacité). Les patients sous infliximab nécessitent une surveillance régulière des taux résiduels et des HACA en cas de perte d'efficacité.</w:t>
      </w:r>
    </w:p>
    <w:p>
      <w:r/>
      <w:r>
        <w:rPr>
          <w:b/>
        </w:rPr>
        <w:t>Conséquences pharmacodynamiques cliniques</w:t>
      </w:r>
      <w:r>
        <w:t xml:space="preserve"> : (i) réduction rapide de la CRP (baisse de 50 % à 1 semaine après la première perfusion, de 80 % à 4 semaines) ; (ii) réduction du nombre d'articulations gonflées et douloureuses (baisse significative à 2 semaines, optimum à 14-22 semaines) ; (iii) prévention de la progression radiographique (réduction de 50-70 % de la progression du score de Sharp/van der Heijde à 1 an vs placebo, bénéfice maintenu à 5 et 10 ans) ; (iv) réduction de la fatigue et amélioration de la qualité de vie. Le délai d'action initial est de 1-2 semaines (amélioration symptomatique) avec un plateau d'efficacité à 14-22 semaines après la troisième perfusion (S6).</w:t>
      </w:r>
    </w:p>
    <w:p>
      <w:pPr>
        <w:pStyle w:val="Heading3"/>
      </w:pPr>
      <w:r>
        <w:t>152A.6.4 Profil pharmacologique clinique : indications, contre-indications, effets indésirables</w:t>
      </w:r>
    </w:p>
    <w:p>
      <w:r/>
      <w:r>
        <w:rPr>
          <w:b/>
        </w:rPr>
        <w:t>Indications AMM en Algérie</w:t>
      </w:r>
      <w:r>
        <w:t xml:space="preserve"> :</w:t>
      </w:r>
    </w:p>
    <w:p>
      <w:pPr>
        <w:pStyle w:val="ListBullet"/>
      </w:pPr>
      <w:r/>
      <w:r>
        <w:rPr>
          <w:b/>
        </w:rPr>
        <w:t>Polyarthrite rhumatoïde active modérée à sévère de l'adulte</w:t>
      </w:r>
      <w:r>
        <w:t xml:space="preserve"> en association au méthotrexate (MTX) en cas de réponse inadéquate aux DMARDs conventionnels. L'association infliximab + MTX est </w:t>
      </w:r>
      <w:r>
        <w:rPr>
          <w:b/>
        </w:rPr>
        <w:t>supérieure</w:t>
      </w:r>
      <w:r>
        <w:t xml:space="preserve"> à l'infliximab seul (ACR20 50 % avec MTX vs 30 % sans MTX à 24 semaines, essai ATTRACT), en raison de la réduction de l'immunogénicité (HACA 7-15 % vs 12-44 %). Posologie : 3 mg/kg IV à S0, S2, S6 puis toutes les 8 semaines, en association au MTX 7,5-25 mg/sem.</w:t>
      </w:r>
    </w:p>
    <w:p>
      <w:pPr>
        <w:pStyle w:val="ListBullet"/>
      </w:pPr>
      <w:r/>
      <w:r>
        <w:rPr>
          <w:b/>
        </w:rPr>
        <w:t>Spondyloarthrite ankylosante sévère et active de l'adulte</w:t>
      </w:r>
      <w:r>
        <w:t xml:space="preserve"> en cas de réponse inadéquate au traitement conventionnel (AINS à dose maximale tolérée pendant ≥ 4 semaines). Efficacité démontrée dans l'essai ASSERT : ASAS20 61 % vs 19 % placebo à 24 semaines. Posologie : 5 mg/kg IV à S0, S2, S6 puis toutes les 6-8 semaines (intervalle plus court que dans la PR en raison de l'absence de MTX concomitant).</w:t>
      </w:r>
    </w:p>
    <w:p>
      <w:pPr>
        <w:pStyle w:val="ListBullet"/>
      </w:pPr>
      <w:r/>
      <w:r>
        <w:rPr>
          <w:b/>
        </w:rPr>
        <w:t>Rhumatisme psoriasique actif de l'adulte</w:t>
      </w:r>
      <w:r>
        <w:t xml:space="preserve"> en cas de réponse inadéquate aux DMARDs conventionnels. Efficacité : ACR20 54 % vs 16 % placebo à 14 semaines (essai IMPACT). Posologie : 5 mg/kg IV à S0, S2, S6 puis toutes les 8 semaines.</w:t>
      </w:r>
    </w:p>
    <w:p>
      <w:pPr>
        <w:pStyle w:val="ListBullet"/>
      </w:pPr>
      <w:r/>
      <w:r>
        <w:rPr>
          <w:b/>
        </w:rPr>
        <w:t>Maladie de Crohn active modérée à sévère de l'adulte</w:t>
      </w:r>
      <w:r>
        <w:t xml:space="preserve"> (non drainée par corticothérapie, immunosuppresseurs, ou antibiothérapie). Efficacité : rémission à 4 semaines 65 % vs 30 % placebo (essai ACCENT I). Posologie : 5 mg/kg IV à S0, S2, S6 puis toutes les 8 semaines ; en cas de fistule péri-anale, schéma 5 mg/kg à S0, S2, S6 (essai ACCENT II).</w:t>
      </w:r>
    </w:p>
    <w:p>
      <w:pPr>
        <w:pStyle w:val="ListBullet"/>
      </w:pPr>
      <w:r/>
      <w:r>
        <w:rPr>
          <w:b/>
        </w:rPr>
        <w:t>Rectocolite hémorragique active modérée à sévère</w:t>
      </w:r>
      <w:r>
        <w:t xml:space="preserve"> de l'adulte en cas de réponse inadéquate aux traitements conventionnels. Efficacité : rémission à 8 semaines 39 % vs 12 % placebo (essais ACT 1 et 2).</w:t>
      </w:r>
    </w:p>
    <w:p>
      <w:pPr>
        <w:pStyle w:val="ListBullet"/>
      </w:pPr>
      <w:r/>
      <w:r>
        <w:rPr>
          <w:b/>
        </w:rPr>
        <w:t>Psoriasis en plaques modéré à sévère de l'adulte</w:t>
      </w:r>
      <w:r>
        <w:t xml:space="preserve"> en cas de réponse inadéquate aux traitements systémiques conventionnels. Efficacité : PASI75 80 % vs 3 % placebo à 10 semaines (essai EXPRESS). Posologie : 5 mg/kg IV à S0, S2, S6 puis toutes les 8 semaines.</w:t>
      </w:r>
    </w:p>
    <w:p>
      <w:pPr>
        <w:pStyle w:val="ListBullet"/>
      </w:pPr>
      <w:r/>
      <w:r>
        <w:rPr>
          <w:b/>
        </w:rPr>
        <w:t>Maladie de Behçet avec atteinte oculaire (uvéite postérieure)</w:t>
      </w:r>
      <w:r>
        <w:t xml:space="preserve"> réfractaire au traitement conventionnel.</w:t>
      </w:r>
    </w:p>
    <w:p>
      <w:r/>
      <w:r>
        <w:rPr>
          <w:b/>
        </w:rPr>
        <w:t>Contre-indications absolues</w:t>
      </w:r>
      <w:r>
        <w:t xml:space="preserve"> :</w:t>
      </w:r>
    </w:p>
    <w:p>
      <w:pPr>
        <w:pStyle w:val="ListBullet"/>
      </w:pPr>
      <w:r>
        <w:t>Sepsis sévère ou infection sévère active (pneumonie, abcès, pyélonéphrite, infection opportuniste) — arrêt temporaire jusqu'à résolution.</w:t>
      </w:r>
    </w:p>
    <w:p>
      <w:pPr>
        <w:pStyle w:val="ListBullet"/>
      </w:pPr>
      <w:r/>
      <w:r>
        <w:rPr>
          <w:b/>
        </w:rPr>
        <w:t>Tuberculose active non traitée</w:t>
      </w:r>
      <w:r>
        <w:t xml:space="preserve"> — dépistage pré-thérapeutique obligatoire (IDR à la tuberculine ≥ 5 mm ou IGRA Quantiferon-TB Gold positif + radiographie thoracique), traitement antituberculeux complet avant instauration (au moins 1 mois d'isoniazide en cas de tuberculose latente).</w:t>
      </w:r>
    </w:p>
    <w:p>
      <w:pPr>
        <w:pStyle w:val="ListBullet"/>
      </w:pPr>
      <w:r>
        <w:t>Infections opportunistes actives (pneumocystose, listériose, histoplasmose, mycobactériose atypique).</w:t>
      </w:r>
    </w:p>
    <w:p>
      <w:pPr>
        <w:pStyle w:val="ListBullet"/>
      </w:pPr>
      <w:r/>
      <w:r>
        <w:rPr>
          <w:b/>
        </w:rPr>
        <w:t>Insuffisance cardiaque NYHA III-IV</w:t>
      </w:r>
      <w:r>
        <w:t xml:space="preserve"> (CI absolue, signal d'aggravation et de mortalité accrue — essai ATTACH : hospitalisation pour IC 10 % vs 3 % placebo, mortalité 6 % vs 0 %).</w:t>
      </w:r>
    </w:p>
    <w:p>
      <w:pPr>
        <w:pStyle w:val="ListBullet"/>
      </w:pPr>
      <w:r/>
      <w:r>
        <w:rPr>
          <w:b/>
        </w:rPr>
        <w:t>Antécédent personnel de maladie démyélinisante centrale</w:t>
      </w:r>
      <w:r>
        <w:t xml:space="preserve"> (sclérose en plaques, névrite optique, myélite transverse).</w:t>
      </w:r>
    </w:p>
    <w:p>
      <w:pPr>
        <w:pStyle w:val="ListBullet"/>
      </w:pPr>
      <w:r>
        <w:t>Hypersensibilité à l'infliximab ou à l'un des excipients (saccharose, polysorbate 80, phosphate monobasique de sodium monohydraté, phosphate dibasique de sodium heptahydraté).</w:t>
      </w:r>
    </w:p>
    <w:p>
      <w:pPr>
        <w:pStyle w:val="ListBullet"/>
      </w:pPr>
      <w:r/>
      <w:r>
        <w:rPr>
          <w:b/>
        </w:rPr>
        <w:t>Vaccination par vaccin vivant atténué</w:t>
      </w:r>
      <w:r>
        <w:t xml:space="preserve"> pendant le traitement et jusqu'à 12 semaines après la dernière perfusion (demi-vie longue).</w:t>
      </w:r>
    </w:p>
    <w:p>
      <w:pPr>
        <w:pStyle w:val="ListBullet"/>
      </w:pPr>
      <w:r/>
      <w:r>
        <w:rPr>
          <w:b/>
        </w:rPr>
        <w:t>Grossesse 3e trimestre</w:t>
      </w:r>
      <w:r>
        <w:t xml:space="preserve"> : contre-indication relative stricte (passage transplacentaire massif des IgG1 via FcRn à partir de 16-20 SA, immunosuppression néonatale transitoire sévère, vaccins vivants CI chez le nouveau-né pendant 6 mois).</w:t>
      </w:r>
    </w:p>
    <w:p>
      <w:r/>
      <w:r>
        <w:rPr>
          <w:b/>
        </w:rPr>
        <w:t>Contre-indications relatives / Précautions d'emploi</w:t>
      </w:r>
      <w:r>
        <w:t xml:space="preserve"> :</w:t>
      </w:r>
    </w:p>
    <w:p>
      <w:pPr>
        <w:pStyle w:val="ListBullet"/>
      </w:pPr>
      <w:r>
        <w:t xml:space="preserve">Insuffisance cardiaque NYHA I-II : à utiliser avec </w:t>
      </w:r>
      <w:r>
        <w:rPr>
          <w:b/>
        </w:rPr>
        <w:t>extrême prudence</w:t>
      </w:r>
      <w:r>
        <w:t>, surveillance clinique et échographique régulière (FEVG avant instauration puis tous les 3-6 mois), arrêt immédiat en cas d'aggravation.</w:t>
      </w:r>
    </w:p>
    <w:p>
      <w:pPr>
        <w:pStyle w:val="ListBullet"/>
      </w:pPr>
      <w:r>
        <w:t>Hépatite B chronique (AgHBs+) : dépistage systématique pré-thérapeutique, prophylaxie antivirale par entécavir ou ténofovir pendant le traitement et 6-12 mois après arrêt, surveillance mensuelle ALAT/ASAT/ADN-VHB.</w:t>
      </w:r>
    </w:p>
    <w:p>
      <w:pPr>
        <w:pStyle w:val="ListBullet"/>
      </w:pPr>
      <w:r>
        <w:t>Hépatite C chronique : prudence, surveillance hépatique renforcée.</w:t>
      </w:r>
    </w:p>
    <w:p>
      <w:pPr>
        <w:pStyle w:val="ListBullet"/>
      </w:pPr>
      <w:r>
        <w:t>Lupus érythémateux systémique : signal rare d'induction de lupus médicamenteux (ATIL).</w:t>
      </w:r>
    </w:p>
    <w:p>
      <w:pPr>
        <w:pStyle w:val="ListBullet"/>
      </w:pPr>
      <w:r>
        <w:t>Insuffisance hépatique modérée à sévère : surveillance des transaminases mensuelle les 3 premiers mois.</w:t>
      </w:r>
    </w:p>
    <w:p>
      <w:pPr>
        <w:pStyle w:val="ListBullet"/>
      </w:pPr>
      <w:r>
        <w:t>Patient âgé &gt; 65 ans : risque infectieux majoré, évaluation bénéfice/risque individualisée.</w:t>
      </w:r>
    </w:p>
    <w:p>
      <w:pPr>
        <w:pStyle w:val="ListBullet"/>
      </w:pPr>
      <w:r>
        <w:t>Grossesse 1er et 2e trimestres : utilisation possible en cas de nécessité absolue.</w:t>
      </w:r>
    </w:p>
    <w:p>
      <w:r/>
      <w:r>
        <w:rPr>
          <w:b/>
        </w:rPr>
        <w:t>Effets indésirables</w:t>
      </w:r>
      <w:r>
        <w:t xml:space="preserve"> (par fréquence) :</w:t>
      </w:r>
    </w:p>
    <w:p>
      <w:r/>
      <w:r>
        <w:rPr>
          <w:i/>
        </w:rPr>
        <w:t>Très fréquents (≥ 10 %)</w:t>
      </w:r>
      <w:r>
        <w:t xml:space="preserve"> : </w:t>
      </w:r>
      <w:r>
        <w:rPr>
          <w:b/>
        </w:rPr>
        <w:t>réactions à la perfusion</w:t>
      </w:r>
      <w:r>
        <w:t xml:space="preserve"> (10-20 % des perfusions — céphalées, flush, hypotension, fièvre, frissons, urticaire, dyspnée ; anaphylaxie 1-2 %), infections des voies respiratoires supérieures (rhinopharyngite 18-25 %), céphalées (15-20 %), nausées (10-15 %), douleurs abdominales (10-12 %).</w:t>
      </w:r>
    </w:p>
    <w:p>
      <w:r/>
      <w:r>
        <w:rPr>
          <w:i/>
        </w:rPr>
        <w:t>Fréquents (1-10 %)</w:t>
      </w:r>
      <w:r>
        <w:t xml:space="preserve"> : infections sévères (pneumonie 2-5 %, cellulite, arthrite septique, pyélonéphrite, sepsis), fièvre, asthénie, vertiges, hypoesthésies, paresthésies, conjonctivite, sinusite, bronchite, cystite, élévation des transaminases (ALAT/ASAT) modérée, neutropénie modérée, anémie, éruptions cutanées, prurit, urticaire.</w:t>
      </w:r>
    </w:p>
    <w:p>
      <w:r/>
      <w:r>
        <w:rPr>
          <w:i/>
        </w:rPr>
        <w:t>Peu fréquents (0,1-1 %)</w:t>
      </w:r>
      <w:r>
        <w:t xml:space="preserve"> : </w:t>
      </w:r>
      <w:r>
        <w:rPr>
          <w:b/>
        </w:rPr>
        <w:t>tuberculose</w:t>
      </w:r>
      <w:r>
        <w:t xml:space="preserve"> (incidence annuelle 0,4-1,0 pour 100 patients-années — risque plus élevé qu'avec étanercept), infections opportunistes (légionellose, listériose, pneumocystose, histoplasmose, mycobactériose atypique), réactions d'hypersensibilité retardée (3-12 jours après perfusion : myalgie, arthralgie, fièvre, éruption), thrombopénie, anémie aplasique (très rare), psoriasis palmoplantaire paradoxal, vasculite, lupus érythémateux médicamenteux (ATIL), néphropathie (glomérulonéphrite), pneumopathie interstitielle, hépatite cytolytique sévère.</w:t>
      </w:r>
    </w:p>
    <w:p>
      <w:r/>
      <w:r>
        <w:rPr>
          <w:i/>
        </w:rPr>
        <w:t>Rares (&lt; 0,1 %)</w:t>
      </w:r>
      <w:r>
        <w:t xml:space="preserve"> : </w:t>
      </w:r>
      <w:r>
        <w:rPr>
          <w:b/>
        </w:rPr>
        <w:t>démyélinisation centrale</w:t>
      </w:r>
      <w:r>
        <w:t xml:space="preserve"> (sclérose en plaques de novo, névrite optique, myélite transverse — incidence 1-2 cas/10 000 patients-années), syndrome de Guillain-Barré, pancytopénie, aplasie médullaire, carcinome cutané non mélanocytaire (risque relatif 1,5-2,5), mélanome, lymphome (signal controversé), réactivation d'hépatite B (parfois fatale), hépatite fulminante, maladie sérique, anaphylaxie sévère (choc), décès.</w:t>
      </w:r>
    </w:p>
    <w:p>
      <w:pPr>
        <w:pStyle w:val="Heading3"/>
      </w:pPr>
      <w:r>
        <w:t>152A.6.5 Prévention et gestion des effets indésirables</w:t>
      </w:r>
    </w:p>
    <w:p>
      <w:r/>
      <w:r>
        <w:rPr>
          <w:b/>
        </w:rPr>
        <w:t>Bilan pré-thérapeutique obligatoire (avant initiation)</w:t>
      </w:r>
      <w:r>
        <w:t xml:space="preserve"> :</w:t>
      </w:r>
    </w:p>
    <w:p>
      <w:pPr>
        <w:pStyle w:val="ListBullet"/>
      </w:pPr>
      <w:r>
        <w:t>Consultation spécialisée rhumatologique/gastro-entérologique/dermatologique selon indication, avec évaluation de l'activité de la maladie (DAS28-CRP, ASDAS, BASDAI, CDAI pour Crohn, PASI pour psoriasis), évaluation des comorbidités et des contre-indications.</w:t>
      </w:r>
    </w:p>
    <w:p>
      <w:pPr>
        <w:pStyle w:val="ListBullet"/>
      </w:pPr>
      <w:r>
        <w:t>Bilan biologique complet : NFS-plaquettes, CRP, VS, bilan hépatique (ALAT, ASAT, GGT, PAL, bilirubine), bilan rénal (urée, créatinine, eDFG), ionogramme, TP/TCA, ferritine, électrophorèse des protéines sériques, βHCG chez la femme en âge de procréer.</w:t>
      </w:r>
    </w:p>
    <w:p>
      <w:pPr>
        <w:pStyle w:val="ListBullet"/>
      </w:pPr>
      <w:r>
        <w:t xml:space="preserve">Sérologies infectieuses systématiques : VHB (AgHBs, Ac anti-HBs, Ac anti-HBc — dépistage </w:t>
      </w:r>
      <w:r>
        <w:rPr>
          <w:b/>
        </w:rPr>
        <w:t>critique</w:t>
      </w:r>
      <w:r>
        <w:t>, l'infliximab pouvant réactiver une hépatite B chronique parfois fatale, prophylaxie par entécavir ou ténofovir obligatoire en cas de positivité), VHC (Ac anti-VHC), VIH (Ac anti-VIH1/2), VHA (IgG anti-VHA — vaccination si négatif).</w:t>
      </w:r>
    </w:p>
    <w:p>
      <w:pPr>
        <w:pStyle w:val="ListBullet"/>
      </w:pPr>
      <w:r>
        <w:t>Dépistage tuberculose (CRITIQUE — risque plus élevé que sous étanercept en raison de la lyse cellulaire) : IDR à la tuberculine (5 unités PPD RT23, lecture à 72 h, positive si induration ≥ 5 mm) ou test IGRA (Quantiferon-TB Gold Plus, T-SPOT.TB) — préférer IGRA si vaccination BCG antérieure. Radiographie thoracique (face + profil) systématique. Si tuberculose latente confirmée : isoniazide 5 mg/kg/j (max 300 mg) + pyridoxine 25 mg/j pendant 1-3 mois avant instauration de l'infliximab.</w:t>
      </w:r>
    </w:p>
    <w:p>
      <w:pPr>
        <w:pStyle w:val="ListBullet"/>
      </w:pPr>
      <w:r>
        <w:t>Bilan cardiovasculaire : ECG, échographie cardiaque (FEVG) systématique (CI absolue si NYHA III-IV, prudence si NYHA I-II).</w:t>
      </w:r>
    </w:p>
    <w:p>
      <w:pPr>
        <w:pStyle w:val="ListBullet"/>
      </w:pPr>
      <w:r>
        <w:t>Bilan neurologique : interrogatoire systématique sur antécédents personnels et familiaux de maladie démyélinisante.</w:t>
      </w:r>
    </w:p>
    <w:p>
      <w:pPr>
        <w:pStyle w:val="ListBullet"/>
      </w:pPr>
      <w:r>
        <w:t>Bilan dermatologique : examen clinique complet, dépistage dermatologique annuel.</w:t>
      </w:r>
    </w:p>
    <w:p>
      <w:pPr>
        <w:pStyle w:val="ListBullet"/>
      </w:pPr>
      <w:r>
        <w:t>Vaccinations : mise à jour vaccinale avant instauration (pneumocoque conjugué 13 + polysaccharidique 23, grippe saisonnière, hépatite B si séronégatif, zona recombinant Shingrix si &gt; 50 ans, COVID-19). Les vaccins vivants doivent être administrés au moins 4 semaines avant la première perfusion.</w:t>
      </w:r>
    </w:p>
    <w:p>
      <w:r/>
      <w:r>
        <w:rPr>
          <w:b/>
        </w:rPr>
        <w:t>Prémédication systématique avant chaque perfusion</w:t>
      </w:r>
      <w:r>
        <w:t xml:space="preserve"> :</w:t>
      </w:r>
    </w:p>
    <w:p>
      <w:pPr>
        <w:pStyle w:val="ListBullet"/>
      </w:pPr>
      <w:r>
        <w:t>Paracétamol 1 g PO 30 minutes avant.</w:t>
      </w:r>
    </w:p>
    <w:p>
      <w:pPr>
        <w:pStyle w:val="ListBullet"/>
      </w:pPr>
      <w:r>
        <w:t>Antihistaminique H1 (dexchlorphéniramine 5 mg IV ou cétirizine 10 mg PO) 30 minutes avant.</w:t>
      </w:r>
    </w:p>
    <w:p>
      <w:pPr>
        <w:pStyle w:val="ListBullet"/>
      </w:pPr>
      <w:r>
        <w:t>Corticothérapie IV (méthylprednisolone 50-100 mg IV) 30 minutes avant — particulièrement recommandée pour la première perfusion et en cas d'antécédent de réaction à la perfusion.</w:t>
      </w:r>
    </w:p>
    <w:p>
      <w:pPr>
        <w:pStyle w:val="ListBullet"/>
      </w:pPr>
      <w:r>
        <w:t>Surveillance continue pendant la perfusion (2 heures) : tension artérielle, fréquence cardiaque, saturation en O₂, température.</w:t>
      </w:r>
    </w:p>
    <w:p>
      <w:pPr>
        <w:pStyle w:val="ListBullet"/>
      </w:pPr>
      <w:r>
        <w:t>Surveillance post-perfusion : 1 heure après la fin de la perfusion à la recherche d'une réaction retardée.</w:t>
      </w:r>
    </w:p>
    <w:p>
      <w:r/>
      <w:r>
        <w:rPr>
          <w:b/>
        </w:rPr>
        <w:t>Surveillance pendant le traitement</w:t>
      </w:r>
      <w:r>
        <w:t xml:space="preserve"> :</w:t>
      </w:r>
    </w:p>
    <w:p>
      <w:pPr>
        <w:pStyle w:val="ListBullet"/>
      </w:pPr>
      <w:r>
        <w:t>Examen clinique mensuel les 3 premiers mois puis trimestriel : évaluation de l'efficacité (DAS28, ASDAS, BASDAI, CDAI, PASI), recherche d'effets indésirables.</w:t>
      </w:r>
    </w:p>
    <w:p>
      <w:pPr>
        <w:pStyle w:val="ListBullet"/>
      </w:pPr>
      <w:r>
        <w:t>Bilan biologique mensuel les 3 premiers mois puis trimestriel : NFS-plaquettes, bilan hépatique, bilan rénal, CRP.</w:t>
      </w:r>
    </w:p>
    <w:p>
      <w:pPr>
        <w:pStyle w:val="ListBullet"/>
      </w:pPr>
      <w:r>
        <w:t>Surveillance TB : consultation systématique à la recherche de signes évocateurs de tuberculose.</w:t>
      </w:r>
    </w:p>
    <w:p>
      <w:pPr>
        <w:pStyle w:val="ListBullet"/>
      </w:pPr>
      <w:r>
        <w:t>Surveillance des taux résiduels et des HACA en cas de perte d'efficacité secondaire (anticorps anti-infliximab : recherche si efficacité insuffisante ou perte d'efficacité, taux résiduel infliximab avant perfusion suivante : cible &gt; 1 μg/mL).</w:t>
      </w:r>
    </w:p>
    <w:p>
      <w:r/>
      <w:r>
        <w:rPr>
          <w:b/>
        </w:rPr>
        <w:t>Gestion des effets indésirables spécifiques</w:t>
      </w:r>
      <w:r>
        <w:t xml:space="preserve"> :</w:t>
      </w:r>
    </w:p>
    <w:p>
      <w:pPr>
        <w:pStyle w:val="ListBullet"/>
      </w:pPr>
      <w:r/>
      <w:r>
        <w:rPr>
          <w:b/>
        </w:rPr>
        <w:t>Réactions à la perfusion (légères à modérées)</w:t>
      </w:r>
      <w:r>
        <w:t xml:space="preserve"> : ralentir ou interrompre la perfusion, paracétamol 1 g PO, antihistaminique (dexchlorphéniramine 5 mg IV), surveillance vitale 30-60 min. Reprise de la perfusion à vitesse réduite (50 %) une fois les symptômes régressés. Prémédication renforcée pour la perfusion suivante.</w:t>
      </w:r>
    </w:p>
    <w:p>
      <w:pPr>
        <w:pStyle w:val="ListBullet"/>
      </w:pPr>
      <w:r/>
      <w:r>
        <w:rPr>
          <w:b/>
        </w:rPr>
        <w:t>Réactions à la perfusion sévères (anaphylaxie)</w:t>
      </w:r>
      <w:r>
        <w:t xml:space="preserve"> : arrêt définitif de la perfusion, mise en décubitus dorsal, oxygène 10-15 L/min, adrénaline 0,3 mg IM (0,5 mg si adulte &gt; 50 kg) à renouveler après 5 min si nécessaire, antihistaminique (dexchlorphéniramine 5 mg IV), corticothérapie (méthylprednisolone 1-2 mg/kg IV), remplissage vasculaire (NaCl 0,9 % 500-1000 mL), surveillance USC. </w:t>
      </w:r>
      <w:r>
        <w:rPr>
          <w:b/>
        </w:rPr>
        <w:t>Contre-indication définitive à toute réintroduction d'infliximab</w:t>
      </w:r>
      <w:r>
        <w:t>.</w:t>
      </w:r>
    </w:p>
    <w:p>
      <w:pPr>
        <w:pStyle w:val="ListBullet"/>
      </w:pPr>
      <w:r/>
      <w:r>
        <w:rPr>
          <w:b/>
        </w:rPr>
        <w:t>Perte d'efficacité secondaire</w:t>
      </w:r>
      <w:r>
        <w:t xml:space="preserve"> : dosage des anticorps anti-infliximab (HACA) et du taux résiduel d'infliximab. Si HACA positifs avec taux résiduel bas : switch vers un autre anti-TNFα (privilégier adalimumab entièrement humain pour réduire le risque d'immunogénicité croisée) ou vers une autre classe (tocilizumab, rituximab). Si HACA négatifs avec taux résiduel normal : optimisation posologique (augmentation à 7,5-10 mg/kg ou raccourcissement de l'intervalle à 6 semaines).</w:t>
      </w:r>
    </w:p>
    <w:p>
      <w:pPr>
        <w:pStyle w:val="ListBullet"/>
      </w:pPr>
      <w:r/>
      <w:r>
        <w:rPr>
          <w:b/>
        </w:rPr>
        <w:t>Tuberculose active</w:t>
      </w:r>
      <w:r>
        <w:t xml:space="preserve"> : arrêt définitif de l'infliximab, hospitalisation en maladies infectieuses, traitement antituberculeux quadrithérapie standard 6 mois. Pas de réintroduction d'anti-TNFα.</w:t>
      </w:r>
    </w:p>
    <w:p>
      <w:pPr>
        <w:pStyle w:val="ListBullet"/>
      </w:pPr>
      <w:r/>
      <w:r>
        <w:rPr>
          <w:b/>
        </w:rPr>
        <w:t>Syndrome démyélinisant</w:t>
      </w:r>
      <w:r>
        <w:t xml:space="preserve"> : arrêt définitif et irréversible de l'infliximab, avis neurologique urgent, IRM cérébrale et médullaire, traitement spécifique.</w:t>
      </w:r>
    </w:p>
    <w:p>
      <w:pPr>
        <w:pStyle w:val="ListBullet"/>
      </w:pPr>
      <w:r/>
      <w:r>
        <w:rPr>
          <w:b/>
        </w:rPr>
        <w:t>Insuffisance cardiaque aggravée</w:t>
      </w:r>
      <w:r>
        <w:t xml:space="preserve"> : arrêt définitif de l'infliximab, avis cardiologique, traitement optimisé de l'IC, alternative thérapeutique (tocilizumab, rituximab).</w:t>
      </w:r>
    </w:p>
    <w:p>
      <w:pPr>
        <w:pStyle w:val="ListBullet"/>
      </w:pPr>
      <w:r/>
      <w:r>
        <w:rPr>
          <w:b/>
        </w:rPr>
        <w:t>Hépatite B réactivation</w:t>
      </w:r>
      <w:r>
        <w:t xml:space="preserve"> : arrêt immédiat de l'infliximab, traitement antiviral par entécavir ou ténofovir, surveillance mensuelle ALAT/ADN-VHB.</w:t>
      </w:r>
    </w:p>
    <w:p>
      <w:pPr>
        <w:pStyle w:val="Heading3"/>
      </w:pPr>
      <w:r>
        <w:t>152A.6.6 Interactions médicamenteuses</w:t>
      </w:r>
    </w:p>
    <w:p>
      <w:pPr>
        <w:pStyle w:val="ListBullet"/>
      </w:pPr>
      <w:r/>
      <w:r>
        <w:rPr>
          <w:b/>
        </w:rPr>
        <w:t>Vaccins vivants atténués</w:t>
      </w:r>
      <w:r>
        <w:t xml:space="preserve"> : contre-indication absolue pendant le traitement et jusqu'à 12 semaines (demi-vie longue) après la dernière perfusion. Concernés : BCG, ROR, fièvre jaune, varicelle-zona, rotavirus, oral typhoïde, polio oral.</w:t>
      </w:r>
    </w:p>
    <w:p>
      <w:pPr>
        <w:pStyle w:val="ListBullet"/>
      </w:pPr>
      <w:r/>
      <w:r>
        <w:rPr>
          <w:b/>
        </w:rPr>
        <w:t>Vaccins inactivés</w:t>
      </w:r>
      <w:r>
        <w:t xml:space="preserve"> : autorisés et recommandés (grippe saisonnière, pneumocoque, COVID-19, hépatite B, zona Shingrix, HPV). Réponse vaccinale conservée mais potentiellement atténuée.</w:t>
      </w:r>
    </w:p>
    <w:p>
      <w:pPr>
        <w:pStyle w:val="ListBullet"/>
      </w:pPr>
      <w:r/>
      <w:r>
        <w:rPr>
          <w:b/>
        </w:rPr>
        <w:t>Anakinra (antagoniste IL-1R)</w:t>
      </w:r>
      <w:r>
        <w:t xml:space="preserve"> : contre-indication absolue à l'association (incidence majeure d'infections sévères).</w:t>
      </w:r>
    </w:p>
    <w:p>
      <w:pPr>
        <w:pStyle w:val="ListBullet"/>
      </w:pPr>
      <w:r/>
      <w:r>
        <w:rPr>
          <w:b/>
        </w:rPr>
        <w:t>Abatacept (inhibiteur co-stimulation T)</w:t>
      </w:r>
      <w:r>
        <w:t xml:space="preserve"> : contre-indication relative à l'association.</w:t>
      </w:r>
    </w:p>
    <w:p>
      <w:pPr>
        <w:pStyle w:val="ListBullet"/>
      </w:pPr>
      <w:r/>
      <w:r>
        <w:rPr>
          <w:b/>
        </w:rPr>
        <w:t>Méthotrexate</w:t>
      </w:r>
      <w:r>
        <w:t xml:space="preserve"> : association </w:t>
      </w:r>
      <w:r>
        <w:rPr>
          <w:b/>
        </w:rPr>
        <w:t>synergique recommandée</w:t>
      </w:r>
      <w:r>
        <w:t xml:space="preserve"> dans la PR (réduit l'immunogénicité HACA de 44 % à 7-15 %, améliore l'efficacité ACR20 de 30 % à 50 %, permet une épargne cortisonique). Posologie MTX 7,5-25 mg/sem PO/SC.</w:t>
      </w:r>
    </w:p>
    <w:p>
      <w:pPr>
        <w:pStyle w:val="ListBullet"/>
      </w:pPr>
      <w:r/>
      <w:r>
        <w:rPr>
          <w:b/>
        </w:rPr>
        <w:t>Azathioprine, 6-mercaptopurine, méthotrexate</w:t>
      </w:r>
      <w:r>
        <w:t xml:space="preserve"> : association synergique dans la maladie de Crohn et la RCH (réduit l'immunogénicité, améliore l'efficacité). Prudence chez les patients préalablement traités par azathioprine ou 6-MP : risque accru de </w:t>
      </w:r>
      <w:r>
        <w:rPr>
          <w:b/>
        </w:rPr>
        <w:t>hépatosplénique T-cell lymphoma</w:t>
      </w:r>
      <w:r>
        <w:t xml:space="preserve"> (HSTCL, signal rare mais grave — incidence estimée 1/10 000 patients-années), particulièrement chez les jeunes hommes atteints de maladie de Crohn. Éviter la triple thérapie infliximab + azathioprine + MTX prolongée &gt; 1 an.</w:t>
      </w:r>
    </w:p>
    <w:p>
      <w:pPr>
        <w:pStyle w:val="ListBullet"/>
      </w:pPr>
      <w:r/>
      <w:r>
        <w:rPr>
          <w:b/>
        </w:rPr>
        <w:t>Corticoïdes</w:t>
      </w:r>
      <w:r>
        <w:t xml:space="preserve"> : association possible mais risque infectieux additif. Privilégier la dose minimale efficace.</w:t>
      </w:r>
    </w:p>
    <w:p>
      <w:pPr>
        <w:pStyle w:val="ListBullet"/>
      </w:pPr>
      <w:r/>
      <w:r>
        <w:rPr>
          <w:b/>
        </w:rPr>
        <w:t>Autres DMARDs conventionnels</w:t>
      </w:r>
      <w:r>
        <w:t xml:space="preserve"> : association possible.</w:t>
      </w:r>
    </w:p>
    <w:p>
      <w:pPr>
        <w:pStyle w:val="ListBullet"/>
      </w:pPr>
      <w:r/>
      <w:r>
        <w:rPr>
          <w:b/>
        </w:rPr>
        <w:t>AINS</w:t>
      </w:r>
      <w:r>
        <w:t xml:space="preserve"> : association possible sans interaction majeure.</w:t>
      </w:r>
    </w:p>
    <w:p>
      <w:pPr>
        <w:pStyle w:val="ListBullet"/>
      </w:pPr>
      <w:r/>
      <w:r>
        <w:rPr>
          <w:b/>
        </w:rPr>
        <w:t>Ciclosporine</w:t>
      </w:r>
      <w:r>
        <w:t xml:space="preserve"> : potentialisation de l'immunosuppression, surveillance renforcée.</w:t>
      </w:r>
    </w:p>
    <w:p>
      <w:pPr>
        <w:pStyle w:val="ListBullet"/>
      </w:pPr>
      <w:r/>
      <w:r>
        <w:rPr>
          <w:b/>
        </w:rPr>
        <w:t>Live vaccines chez l'enfant exposé in utero</w:t>
      </w:r>
      <w:r>
        <w:t xml:space="preserve"> : si la mère a reçu de l'infliximab au 3e trimestre, l'enfant est immunodéprimé transitoirement pendant 6 mois ; reporter les vaccins vivants (BCG, ROR) jusqu'à 6 mois de vie.</w:t>
      </w:r>
    </w:p>
    <w:p>
      <w:pPr>
        <w:pStyle w:val="Heading3"/>
      </w:pPr>
      <w:r>
        <w:t>152A.6.7 Grossesse et allaitement (selon le CRAT)</w:t>
      </w:r>
    </w:p>
    <w:p>
      <w:r/>
      <w:r>
        <w:rPr>
          <w:b/>
        </w:rPr>
        <w:t>Grossesse</w:t>
      </w:r>
      <w:r>
        <w:t xml:space="preserve"> :</w:t>
      </w:r>
    </w:p>
    <w:p>
      <w:pPr>
        <w:pStyle w:val="ListBullet"/>
      </w:pPr>
      <w:r/>
      <w:r>
        <w:rPr>
          <w:b/>
        </w:rPr>
        <w:t>1er trimestre</w:t>
      </w:r>
      <w:r>
        <w:t xml:space="preserve"> : utilisation possible en cas de nécessité absolue. Pas de signal tératogène documenté (registres OTIS, PIANO : pas d'augmentation du risque de malformations congénitales majeures vs population générale). Le passage transplacentaire est minimal au 1er trimestre.</w:t>
      </w:r>
    </w:p>
    <w:p>
      <w:pPr>
        <w:pStyle w:val="ListBullet"/>
      </w:pPr>
      <w:r/>
      <w:r>
        <w:rPr>
          <w:b/>
        </w:rPr>
        <w:t>2e trimestre</w:t>
      </w:r>
      <w:r>
        <w:t xml:space="preserve"> : utilisation possible en cas de nécessité absolue. Le passage transplacentaire augmente à partir de 16-20 SA mais reste modéré.</w:t>
      </w:r>
    </w:p>
    <w:p>
      <w:pPr>
        <w:pStyle w:val="ListBullet"/>
      </w:pPr>
      <w:r/>
      <w:r>
        <w:rPr>
          <w:b/>
        </w:rPr>
        <w:t>3e trimestre</w:t>
      </w:r>
      <w:r>
        <w:t xml:space="preserve"> : </w:t>
      </w:r>
      <w:r>
        <w:rPr>
          <w:b/>
        </w:rPr>
        <w:t>contre-indication relative stricte</w:t>
      </w:r>
      <w:r>
        <w:t>. Le passage transplacentaire des IgG1 (dont l'infliximab) via FcRn augmente massivement à partir de 28-32 SA, atteignant des taux fœtaux équivalents voire supérieurs aux taux maternels à terme. Risque d'immunosuppression néonatale transitoire sévère (B et T) pendant 3-6 mois après la naissance, avec : (i) contre-indication des vaccins vivants (BCG, ROR) chez le nouveau-né pendant 6 mois ; (ii) risque accru d'infections néonatales sévères. Recommandation CRAT : arrêter l'infliximab 16-20 semaines avant la date prévue d'accouchement (DPA) si la pathologie maternelle le permet ; sinon poursuivre jusqu'à 24-26 SA puis arrêter.</w:t>
      </w:r>
    </w:p>
    <w:p>
      <w:pPr>
        <w:pStyle w:val="ListBullet"/>
      </w:pPr>
      <w:r/>
      <w:r>
        <w:rPr>
          <w:b/>
        </w:rPr>
        <w:t>Allaitement</w:t>
      </w:r>
      <w:r>
        <w:t xml:space="preserve"> : compatible selon le CRAT. Le passage de l'infliximab dans le lait maternel est faible (la molécule de 150 kDa diffuse peu dans le lait), et la biodisponibilité orale chez le nouveau-né est quasi nulle (digestion protéolytique gastrique du fragment Fc). L'allaitement peut être poursuivi ou initié après 24-48 h d'arrêt post-perfusion (pour éviter un pic plasmatique maternel).</w:t>
      </w:r>
    </w:p>
    <w:p>
      <w:pPr>
        <w:pStyle w:val="ListBullet"/>
      </w:pPr>
      <w:r/>
      <w:r>
        <w:rPr>
          <w:b/>
        </w:rPr>
        <w:t>Chez l'homme</w:t>
      </w:r>
      <w:r>
        <w:t xml:space="preserve"> : aucune donnée de tératogénicité paternelle, l'infliximab peut être utilisé chez l'homme envisageant une paternité sans délai d'arrêt pré-conceptionnel.</w:t>
      </w:r>
    </w:p>
    <w:p>
      <w:pPr>
        <w:pStyle w:val="ListBullet"/>
      </w:pPr>
      <w:r/>
      <w:r>
        <w:rPr>
          <w:b/>
        </w:rPr>
        <w:t>Désir de grossesse</w:t>
      </w:r>
      <w:r>
        <w:t xml:space="preserve"> : consultation pré-conceptionnelle spécialisée rhumatologique + obstétricale 3-6 mois avant. Switch vers certolizumab pegol si grossesse envisagée à court terme (seul anti-TNFα utilisable pendant toute la grossesse y compris 3e trimestre).</w:t>
      </w:r>
    </w:p>
    <w:p>
      <w:pPr>
        <w:pStyle w:val="Heading3"/>
      </w:pPr>
      <w:r>
        <w:t>152A.6.8 Posologie et mode d'administration</w:t>
      </w:r>
    </w:p>
    <w:p>
      <w:r/>
      <w:r>
        <w:rPr>
          <w:b/>
        </w:rPr>
        <w:t>Posologie standard chez l'adulte</w:t>
      </w:r>
      <w:r>
        <w:t xml:space="preserve"> :</w:t>
      </w:r>
    </w:p>
    <w:p>
      <w:pPr>
        <w:pStyle w:val="ListBullet"/>
      </w:pPr>
      <w:r/>
      <w:r>
        <w:rPr>
          <w:b/>
        </w:rPr>
        <w:t>Polyarthrite rhumatoïde</w:t>
      </w:r>
      <w:r>
        <w:t xml:space="preserve"> : 3 mg/kg IV à S0, S2, S6 puis toutes les 8 semaines en entretien, </w:t>
      </w:r>
      <w:r>
        <w:rPr>
          <w:b/>
        </w:rPr>
        <w:t>en association au MTX 7,5-25 mg/sem</w:t>
      </w:r>
      <w:r>
        <w:t xml:space="preserve"> (réduit l'immunogénicité et potentialise l'efficacité). En cas de réponse insuffisante, optimisation possible : augmentation à 7,5-10 mg/kg ou raccourcissement de l'intervalle à 6 semaines.</w:t>
      </w:r>
    </w:p>
    <w:p>
      <w:pPr>
        <w:pStyle w:val="ListBullet"/>
      </w:pPr>
      <w:r/>
      <w:r>
        <w:rPr>
          <w:b/>
        </w:rPr>
        <w:t>Spondyloarthrite ankylosante</w:t>
      </w:r>
      <w:r>
        <w:t xml:space="preserve"> : 5 mg/kg IV à S0, S2, S6 puis toutes les 6-8 semaines en entretien (intervalle plus court que dans la PR en raison de l'absence de MTX concomitant, pour réduire le risque d'immunogénicité).</w:t>
      </w:r>
    </w:p>
    <w:p>
      <w:pPr>
        <w:pStyle w:val="ListBullet"/>
      </w:pPr>
      <w:r/>
      <w:r>
        <w:rPr>
          <w:b/>
        </w:rPr>
        <w:t>Rhumatisme psoriasique</w:t>
      </w:r>
      <w:r>
        <w:t xml:space="preserve"> : 5 mg/kg IV à S0, S2, S6 puis toutes les 8 semaines en entretien.</w:t>
      </w:r>
    </w:p>
    <w:p>
      <w:pPr>
        <w:pStyle w:val="ListBullet"/>
      </w:pPr>
      <w:r/>
      <w:r>
        <w:rPr>
          <w:b/>
        </w:rPr>
        <w:t>Maladie de Crohn</w:t>
      </w:r>
      <w:r>
        <w:t xml:space="preserve"> : 5 mg/kg IV à S0, S2, S6 puis toutes les 8 semaines en entretien. En cas de fistule péri-anale, même schéma.</w:t>
      </w:r>
    </w:p>
    <w:p>
      <w:pPr>
        <w:pStyle w:val="ListBullet"/>
      </w:pPr>
      <w:r/>
      <w:r>
        <w:rPr>
          <w:b/>
        </w:rPr>
        <w:t>Rectocolite hémorragique</w:t>
      </w:r>
      <w:r>
        <w:t xml:space="preserve"> : 5 mg/kg IV à S0, S2, S6 puis toutes les 8 semaines en entretien.</w:t>
      </w:r>
    </w:p>
    <w:p>
      <w:pPr>
        <w:pStyle w:val="ListBullet"/>
      </w:pPr>
      <w:r/>
      <w:r>
        <w:rPr>
          <w:b/>
        </w:rPr>
        <w:t>Psoriasis en plaques</w:t>
      </w:r>
      <w:r>
        <w:t xml:space="preserve"> : 5 mg/kg IV à S0, S2, S6 puis toutes les 8 semaines en entretien.</w:t>
      </w:r>
    </w:p>
    <w:p>
      <w:pPr>
        <w:pStyle w:val="ListBullet"/>
      </w:pPr>
      <w:r/>
      <w:r>
        <w:rPr>
          <w:b/>
        </w:rPr>
        <w:t>Adaptation au poids</w:t>
      </w:r>
      <w:r>
        <w:t xml:space="preserve"> : dose calculée sur le poids actuel du patient (si variation pondérale &gt; 10 %, recalcul des doses).</w:t>
      </w:r>
    </w:p>
    <w:p>
      <w:r/>
      <w:r>
        <w:rPr>
          <w:b/>
        </w:rPr>
        <w:t>Mode d'administration</w:t>
      </w:r>
      <w:r>
        <w:t xml:space="preserve"> :</w:t>
      </w:r>
    </w:p>
    <w:p>
      <w:pPr>
        <w:pStyle w:val="ListBullet"/>
      </w:pPr>
      <w:r>
        <w:t>Voie IV stricte en milieu hospitalier (day hospital, EHS spécialisés en rhumatologie, gastro-entérologie ou dermatologie). Jamais SC, jamais IM.</w:t>
      </w:r>
    </w:p>
    <w:p>
      <w:pPr>
        <w:pStyle w:val="ListBullet"/>
      </w:pPr>
      <w:r>
        <w:t>Reconstitution : flacon de 100 mg poudre lyophilisée reconstitué avec 10 mL d'eau pour préparations injectables → concentration 10 mg/mL. Dilution dans NaCl 0,9 % (volume total selon dose : 250 mL pour dose ≤ 500 mg, 500 mL pour dose &gt; 500 mg) → concentration finale 0,5-4 mg/mL.</w:t>
      </w:r>
    </w:p>
    <w:p>
      <w:pPr>
        <w:pStyle w:val="ListBullet"/>
      </w:pPr>
      <w:r>
        <w:t>Perfusion lente sur 2 heures (première perfusion) puis 1-2 heures (perfusions ultérieures si bonne tolérance).</w:t>
      </w:r>
    </w:p>
    <w:p>
      <w:pPr>
        <w:pStyle w:val="ListBullet"/>
      </w:pPr>
      <w:r>
        <w:t>Surveillance continue pendant la perfusion (tension artérielle, fréquence cardiaque, saturation en O₂, température) et 1 heure après la fin de la perfusion.</w:t>
      </w:r>
    </w:p>
    <w:p>
      <w:pPr>
        <w:pStyle w:val="ListBullet"/>
      </w:pPr>
      <w:r>
        <w:t>Prémédication systématique : paracétamol 1 g PO, antihistaminique H1 (dexchlorphéniramine 5 mg IV), corticothérapie IV (méthylprednisolone 50-100 mg IV) 30 minutes avant la perfusion.</w:t>
      </w:r>
    </w:p>
    <w:p>
      <w:r/>
      <w:r>
        <w:rPr>
          <w:b/>
        </w:rPr>
        <w:t>Adaptation posologique selon la fonction hépatique</w:t>
      </w:r>
      <w:r>
        <w:t xml:space="preserve"> : pas d'adaptation en IR modérée. Prudence en IR sévère (DFG &lt; 30 mL/min) en raison de l'insuffisance de données.</w:t>
      </w:r>
    </w:p>
    <w:p>
      <w:r/>
      <w:r>
        <w:rPr>
          <w:b/>
        </w:rPr>
        <w:t>Adaptation posologique selon la fonction hépatique</w:t>
      </w:r>
      <w:r>
        <w:t xml:space="preserve"> : pas d'adaptation en IH modérée. Contre-indication relative en IH sévère (Child-Pugh C).</w:t>
      </w:r>
    </w:p>
    <w:p>
      <w:r/>
      <w:r>
        <w:rPr>
          <w:b/>
        </w:rPr>
        <w:t>Durée du traitement</w:t>
      </w:r>
      <w:r>
        <w:t xml:space="preserve"> : traitement chronique au long cours (années), à poursuivre tant que la réponse clinique est satisfaisante. En cas de rémission durable, discussion d'une décroissance progressive (espacement des perfusions à 10 puis 12 semaines) avec surveillance rapprochée — risque de rechute à 1 an de 30-50 % en cas d'arrêt complet.</w:t>
      </w:r>
    </w:p>
    <w:p>
      <w:pPr>
        <w:pStyle w:val="Heading3"/>
      </w:pPr>
      <w:r>
        <w:t>152A.6.9 Formes galéniques disponibles</w:t>
      </w:r>
    </w:p>
    <w:p>
      <w:pPr>
        <w:pStyle w:val="ListBullet"/>
      </w:pPr>
      <w:r/>
      <w:r>
        <w:rPr>
          <w:b/>
        </w:rPr>
        <w:t>Poudre pour solution pour perfusion IV — 100 mg/flacon</w:t>
      </w:r>
      <w:r>
        <w:t xml:space="preserve"> : flacon de 15 mL (IXIFI) ou flacon de volume non spécifié (REMICADE, INFLIXIMAB-SAIDAL, REMSIMA), à reconstituer avec 10 mL d'eau pour préparations injectables → concentration 10 mg/mL, puis dilution dans NaCl 0,9 % pour perfusion IV. Conditionnement B/01 flacon (1 flacon par boîte).</w:t>
      </w:r>
    </w:p>
    <w:p>
      <w:pPr>
        <w:pStyle w:val="ListBullet"/>
      </w:pPr>
      <w:r/>
      <w:r>
        <w:rPr>
          <w:b/>
        </w:rPr>
        <w:t>Forme SC</w:t>
      </w:r>
      <w:r>
        <w:t xml:space="preserve"> : non disponible en Algérie (la forme SC infliximab CT-P13 SC est disponible en Europe mais non référencée dans la nomenclature algérienne active au 1er avril 2026).</w:t>
      </w:r>
    </w:p>
    <w:p>
      <w:pPr>
        <w:pStyle w:val="ListBullet"/>
      </w:pPr>
      <w:r/>
      <w:r>
        <w:rPr>
          <w:b/>
        </w:rPr>
        <w:t>Forme IM</w:t>
      </w:r>
      <w:r>
        <w:t xml:space="preserve"> : non disponible.</w:t>
      </w:r>
    </w:p>
    <w:p>
      <w:pPr>
        <w:pStyle w:val="ListBullet"/>
      </w:pPr>
      <w:r/>
      <w:r>
        <w:rPr>
          <w:b/>
        </w:rPr>
        <w:t>Forme pédiatrique</w:t>
      </w:r>
      <w:r>
        <w:t xml:space="preserve"> : pas de forme spécifique, utilisation de la forme 100 mg/flacon avec adaptation posologique au poids (5 mg/kg pour Crohn pédiatrique &gt; 6 ans, PR pédiatrique &gt; 6 ans).</w:t>
      </w:r>
    </w:p>
    <w:p>
      <w:pPr>
        <w:pStyle w:val="ListBullet"/>
      </w:pPr>
      <w:r/>
      <w:r>
        <w:rPr>
          <w:b/>
        </w:rPr>
        <w:t>Conservation</w:t>
      </w:r>
      <w:r>
        <w:t xml:space="preserve"> : 2-8°C (réfrigérateur), à l'abri de la lumière, dans l'emballage extérieur. Ne pas congeler. Après reconstitution : utilisation immédiate (within 3 hours), ou conservation 24 h à 2-8°C après dilution dans NaCl 0,9 %. Durée de validité : 36 mois avant péremption.</w:t>
      </w:r>
    </w:p>
    <w:p>
      <w:pPr>
        <w:pStyle w:val="Heading3"/>
      </w:pPr>
      <w:r>
        <w:t>152A.6.10 Conseils au patient</w:t>
      </w:r>
    </w:p>
    <w:p>
      <w:pPr>
        <w:pStyle w:val="ListBullet"/>
      </w:pPr>
      <w:r/>
      <w:r>
        <w:rPr>
          <w:b/>
        </w:rPr>
        <w:t>Information sur le caractère chronique du traitement</w:t>
      </w:r>
      <w:r>
        <w:t xml:space="preserve"> : l'infliximab ne guérit pas la maladie rhumatologique mais en contrôle l'inflammation. Le délai d'action initial est de 1-2 semaines (amélioration symptomatique) après la première perfusion, avec un plateau d'efficacité à 14-22 semaines après la troisième perfusion (S6).</w:t>
      </w:r>
    </w:p>
    <w:p>
      <w:pPr>
        <w:pStyle w:val="ListBullet"/>
      </w:pPr>
      <w:r/>
      <w:r>
        <w:rPr>
          <w:b/>
        </w:rPr>
        <w:t>Éducation à la perfusion IV</w:t>
      </w:r>
      <w:r>
        <w:t xml:space="preserve"> : le patient doit se rendre en milieu hospitalier pour chaque perfusion (2 heures de perfusion + 1 heure de surveillance post-perfusion = consultation de 3-4 heures). Prévoir un accompagnement pour le retour à domicile en cas de fatigue post-perfusion.</w:t>
      </w:r>
    </w:p>
    <w:p>
      <w:pPr>
        <w:pStyle w:val="ListBullet"/>
      </w:pPr>
      <w:r/>
      <w:r>
        <w:rPr>
          <w:b/>
        </w:rPr>
        <w:t>Observance du méthotrexate concomitant</w:t>
      </w:r>
      <w:r>
        <w:t xml:space="preserve"> (PR) : expliquer l'importance de l'association infliximab + MTX (réduit l'immunogénicité, potentialise l'efficacité). Le MTX est pris par voie orale (comprimés) ou sous-cutanée (injection hebdomadaire), à heure fixe (par exemple le soir du jour choisi).</w:t>
      </w:r>
    </w:p>
    <w:p>
      <w:pPr>
        <w:pStyle w:val="ListBullet"/>
      </w:pPr>
      <w:r/>
      <w:r>
        <w:rPr>
          <w:b/>
        </w:rPr>
        <w:t>Éducation aux signes d'alerte</w:t>
      </w:r>
      <w:r>
        <w:t xml:space="preserve"> : fièvre ≥ 38,5°C, toux persistante &gt; 7 jours, dyspnée, douleur thoracique, hémoptysie, céphalées intenses, troubles visuels, paresthésies, faiblesse musculaire, troubles de l'équilibre, éruption cutanée étendue, aphtes buccaux multiples, signes de réaction retardée (myalgie, arthralgie, fièvre 3-12 jours après perfusion).</w:t>
      </w:r>
    </w:p>
    <w:p>
      <w:pPr>
        <w:pStyle w:val="ListBullet"/>
      </w:pPr>
      <w:r/>
      <w:r>
        <w:rPr>
          <w:b/>
        </w:rPr>
        <w:t>Surveillance biologique</w:t>
      </w:r>
      <w:r>
        <w:t xml:space="preserve"> mensuelle les 3 premiers mois puis trimestrielle : NFS-plaquettes, bilan hépatique, bilan rénal, CRP.</w:t>
      </w:r>
    </w:p>
    <w:p>
      <w:pPr>
        <w:pStyle w:val="ListBullet"/>
      </w:pPr>
      <w:r/>
      <w:r>
        <w:rPr>
          <w:b/>
        </w:rPr>
        <w:t>Vaccinations</w:t>
      </w:r>
      <w:r>
        <w:t xml:space="preserve"> : mettre à jour les vaccins avant l'initiation. Éviter les vaccins vivants (BCG, ROR, fièvre jaune, varicelle) pendant le traitement et pendant 12 semaines après l'arrêt (demi-vie longue de l'infliximab).</w:t>
      </w:r>
    </w:p>
    <w:p>
      <w:pPr>
        <w:pStyle w:val="ListBullet"/>
      </w:pPr>
      <w:r/>
      <w:r>
        <w:rPr>
          <w:b/>
        </w:rPr>
        <w:t>Prévention de la tuberculose</w:t>
      </w:r>
      <w:r>
        <w:t xml:space="preserve"> : information du risque de réactivation tuberculeuse. Consulter en urgence en cas de toux chronique, fièvre, sueurs nocturnes, amaigrissement.</w:t>
      </w:r>
    </w:p>
    <w:p>
      <w:pPr>
        <w:pStyle w:val="ListBullet"/>
      </w:pPr>
      <w:r/>
      <w:r>
        <w:rPr>
          <w:b/>
        </w:rPr>
        <w:t>Prévention des infections opportunistes</w:t>
      </w:r>
      <w:r>
        <w:t xml:space="preserve"> : prudence alimentaire (pas de fromages au lait cru, pas de charcuterie non cuite, pas de légumes crus mal lavés), prudence avec les animaux.</w:t>
      </w:r>
    </w:p>
    <w:p>
      <w:pPr>
        <w:pStyle w:val="ListBullet"/>
      </w:pPr>
      <w:r/>
      <w:r>
        <w:rPr>
          <w:b/>
        </w:rPr>
        <w:t>Éviter la consommation d'alcool</w:t>
      </w:r>
      <w:r>
        <w:t xml:space="preserve"> (hépatotoxicité additive avec MTX concomitant).</w:t>
      </w:r>
    </w:p>
    <w:p>
      <w:pPr>
        <w:pStyle w:val="ListBullet"/>
      </w:pPr>
      <w:r/>
      <w:r>
        <w:rPr>
          <w:b/>
        </w:rPr>
        <w:t>Grossesse et contraception</w:t>
      </w:r>
      <w:r>
        <w:t xml:space="preserve"> : contraception rigoureuse obligatoire chez la femme en âge de procréer. En cas de désir de grossesse, consulter le rhumatologue 3-6 mois à l'avance pour switch vers certolizumab pegol. Arrêt impératif au 3e trimestre (16-20 semaines avant DPA idéalement).</w:t>
      </w:r>
    </w:p>
    <w:p>
      <w:pPr>
        <w:pStyle w:val="ListBullet"/>
      </w:pPr>
      <w:r/>
      <w:r>
        <w:rPr>
          <w:b/>
        </w:rPr>
        <w:t>Carnet de suivi</w:t>
      </w:r>
      <w:r>
        <w:t xml:space="preserve"> : remise d'un carnet patient avec dates de perfusion, doses, survenue d'effets indésirables éventuels, dates de consultations et de bilans biologiques.</w:t>
      </w:r>
    </w:p>
    <w:p>
      <w:pPr>
        <w:pStyle w:val="Heading3"/>
      </w:pPr>
      <w:r>
        <w:t>152A.6.11 Pièges du comptoir</w:t>
      </w:r>
    </w:p>
    <w:p>
      <w:pPr>
        <w:pStyle w:val="ListNumber"/>
      </w:pPr>
      <w:r/>
      <w:r>
        <w:rPr>
          <w:b/>
        </w:rPr>
        <w:t>Confusion entre infliximab IV et autres anti-TNFα SC</w:t>
      </w:r>
      <w:r>
        <w:t xml:space="preserve"> : l'infliximab est le seul anti-TNFα strictement </w:t>
      </w:r>
      <w:r>
        <w:rPr>
          <w:b/>
        </w:rPr>
        <w:t>intraveineux</w:t>
      </w:r>
      <w:r>
        <w:t xml:space="preserve"> en milieu hospitalier. Ne jamais délivrer pour usage à domicile (contrairement à l'étanercept, adalimumab, golimumab, certolizumab pegol qui sont SC en auto-administration).</w:t>
      </w:r>
    </w:p>
    <w:p>
      <w:pPr>
        <w:pStyle w:val="ListNumber"/>
      </w:pPr>
      <w:r/>
      <w:r>
        <w:rPr>
          <w:b/>
        </w:rPr>
        <w:t>Oubli du dépistage tuberculose</w:t>
      </w:r>
      <w:r>
        <w:t xml:space="preserve"> : risque particulier avec l'infliximab (incidence 0,4-1,0 pour 100 patients-années vs 0,02-0,05 pour étanercept). Le pharmacien doit vérifier que le bilan TB pré-thérapeutique (IDR ou IGRA + radio thoracique) a été réalisé.</w:t>
      </w:r>
    </w:p>
    <w:p>
      <w:pPr>
        <w:pStyle w:val="ListNumber"/>
      </w:pPr>
      <w:r/>
      <w:r>
        <w:rPr>
          <w:b/>
        </w:rPr>
        <w:t>Oubli du dépistage VHB</w:t>
      </w:r>
      <w:r>
        <w:t xml:space="preserve"> : risque de réactivation hépatite B parfois fatale. Vérifier les sérologies VHB (AgHBs, Ac anti-HBs, Ac anti-HBc). En cas d'AgHBc+ isolé ou AgHBs+, prophylaxie antivirale par entécavir ou ténofovir obligatoire pendant le traitement et 6-12 mois après arrêt.</w:t>
      </w:r>
    </w:p>
    <w:p>
      <w:pPr>
        <w:pStyle w:val="ListNumber"/>
      </w:pPr>
      <w:r/>
      <w:r>
        <w:rPr>
          <w:b/>
        </w:rPr>
        <w:t>Oubli de l'échographie cardiaque</w:t>
      </w:r>
      <w:r>
        <w:t xml:space="preserve"> : l'infliximab est </w:t>
      </w:r>
      <w:r>
        <w:rPr>
          <w:b/>
        </w:rPr>
        <w:t>contre-indiqué en IC NYHA III-IV</w:t>
      </w:r>
      <w:r>
        <w:t xml:space="preserve"> (signal d'aggravation et de mortalité accrue). Vérifier le stade NYHA avant dispensation, et l'échographie cardiaque (FEVG) en cas de doute.</w:t>
      </w:r>
    </w:p>
    <w:p>
      <w:pPr>
        <w:pStyle w:val="ListNumber"/>
      </w:pPr>
      <w:r/>
      <w:r>
        <w:rPr>
          <w:b/>
        </w:rPr>
        <w:t>Réaction à la perfusion banalisée</w:t>
      </w:r>
      <w:r>
        <w:t xml:space="preserve"> : une réaction à la perfusion peut survenir à n'importe quelle perfusion, pas seulement la première. Le pharmacien doit s'assurer que la prémédication (paracétamol + antihistaminique + corticoïde) a été prescrite et administrée avant chaque perfusion.</w:t>
      </w:r>
    </w:p>
    <w:p>
      <w:pPr>
        <w:pStyle w:val="ListNumber"/>
      </w:pPr>
      <w:r/>
      <w:r>
        <w:rPr>
          <w:b/>
        </w:rPr>
        <w:t>Perte d'efficacité banalisée</w:t>
      </w:r>
      <w:r>
        <w:t xml:space="preserve"> : une perte d'efficacité secondaire après plusieurs mois/années de bonne réponse doit faire évoquer la formation d'HACA. Le pharmacien doit orienter le patient vers son rhumatologue pour dosage des anticorps anti-infliximab et taux résiduel, et discuter soit l'optimisation posologique (augmentation dose ou raccourcissement intervalle), soit le switch vers un autre anti-TNFα (privilégier adalimumab entièrement humain) ou une autre classe.</w:t>
      </w:r>
    </w:p>
    <w:p>
      <w:pPr>
        <w:pStyle w:val="ListNumber"/>
      </w:pPr>
      <w:r/>
      <w:r>
        <w:rPr>
          <w:b/>
        </w:rPr>
        <w:t>Association infliximab + azathioprine prolongée &gt; 1 an</w:t>
      </w:r>
      <w:r>
        <w:t xml:space="preserve"> : risque de </w:t>
      </w:r>
      <w:r>
        <w:rPr>
          <w:b/>
        </w:rPr>
        <w:t>hépatosplénique T-cell lymphoma (HSTCL)</w:t>
      </w:r>
      <w:r>
        <w:t xml:space="preserve"> particulièrement chez les jeunes hommes atteints de maladie de Crohn. Éviter la triple thérapie infliximab + azathioprine + MTX prolongée. Le pharmacien doit alerter le prescripteur si l'association est prolongée au-delà de 12 mois.</w:t>
      </w:r>
    </w:p>
    <w:p>
      <w:pPr>
        <w:pStyle w:val="ListNumber"/>
      </w:pPr>
      <w:r/>
      <w:r>
        <w:rPr>
          <w:b/>
        </w:rPr>
        <w:t>Vaccination vivante pendant le traitement</w:t>
      </w:r>
      <w:r>
        <w:t xml:space="preserve"> : contre-indication absolue. Respecter un délai de 12 semaines après la dernière perfusion (demi-vie longue) pour les vaccins vivants.</w:t>
      </w:r>
    </w:p>
    <w:p>
      <w:pPr>
        <w:pStyle w:val="ListNumber"/>
      </w:pPr>
      <w:r/>
      <w:r>
        <w:rPr>
          <w:b/>
        </w:rPr>
        <w:t>Grossesse méconnue au 3e trimestre</w:t>
      </w:r>
      <w:r>
        <w:t xml:space="preserve"> : contre-indication absolue. Vérifier la contraception chez la femme en âge de procréer. En cas de désir de grossesse, switch vers certolizumab pegol.</w:t>
      </w:r>
    </w:p>
    <w:p>
      <w:pPr>
        <w:pStyle w:val="ListNumber"/>
      </w:pPr>
      <w:r/>
      <w:r>
        <w:rPr>
          <w:b/>
        </w:rPr>
        <w:t>Switch de marque (princeps ↔ biosimilaire)</w:t>
      </w:r>
      <w:r>
        <w:t xml:space="preserve"> : le switch d'un princeps vers un biosimilaire (REMICADE → INFLIXIMAB-SAIDAL ou REMSIMA ou IXIFI) est possible après avis spécialisé, sans washout nécessaire (la prochaine perfusion à la date prévue avec le nouveau biosimilaire). Surveillance clinique et biologique renforcée dans les 3 mois suivant le switch (recherche d'anticorps anti-médicament et de perte d'efficacité).</w:t>
      </w:r>
    </w:p>
    <w:p>
      <w:pPr>
        <w:pStyle w:val="ListNumber"/>
      </w:pPr>
      <w:r/>
      <w:r>
        <w:rPr>
          <w:b/>
        </w:rPr>
        <w:t>Conservation inadéquate</w:t>
      </w:r>
      <w:r>
        <w:t xml:space="preserve"> : l'infliximab poudre lyophilisée doit être conservé à 2-8°C. Une congélation ou une exposition à température ambiante prolongée altère la protéine. Vérifier la chaîne du froid lors de la dispensation hospitalière.</w:t>
      </w:r>
    </w:p>
    <w:p>
      <w:pPr>
        <w:pStyle w:val="Heading3"/>
      </w:pPr>
      <w:r>
        <w:t>152A.6.12 Notes et règle d'or</w:t>
      </w:r>
    </w:p>
    <w:p>
      <w:r/>
      <w:r>
        <w:rPr>
          <w:b/>
        </w:rPr>
        <w:t>Règle d'or</w:t>
      </w:r>
      <w:r>
        <w:t xml:space="preserve"> : L'infliximab est l'anti-TNFα de choix chez le patient nécessitant une biothérapie avec une composante </w:t>
      </w:r>
      <w:r>
        <w:rPr>
          <w:b/>
        </w:rPr>
        <w:t>extra-rhumatologique</w:t>
      </w:r>
      <w:r>
        <w:t xml:space="preserve"> associée (maladie de Crohn, RCH, psoriasis sévère) en raison de son AMM dans ces indications, et chez le patient pour qui une administration </w:t>
      </w:r>
      <w:r>
        <w:rPr>
          <w:b/>
        </w:rPr>
        <w:t>hospitalière IV</w:t>
      </w:r>
      <w:r>
        <w:t xml:space="preserve"> est préférable (observance, surveillance médicale rapprochée, sujet âgé fragile). Son utilisation impose l'association systématique au méthotrexate dans la PR (réduction de l'immunogénicité), le dépistage rigoureux de la tuberculose et de l'hépatite B, et une prémédication systématique avant chaque perfusion. Sa contre-indication absolue en cas d'IC NYHA III-IV et d'antécédent de maladie démyélinisante doit être respectée. Son utilisation au 3e trimestre de grossesse est strictement contre-indiquée (switch vers certolizumab pegol si grossesse).</w:t>
      </w:r>
    </w:p>
    <w:p>
      <w:pPr>
        <w:pStyle w:val="Heading2"/>
      </w:pPr>
      <w:r>
        <w:t>152A.7 DCI : Adalimumab (Adalimumab)</w:t>
      </w:r>
    </w:p>
    <w:p>
      <w:pPr>
        <w:pStyle w:val="Heading3"/>
      </w:pPr>
      <w:r>
        <w:t>152A.7.1 Liste des catégories</w:t>
      </w:r>
    </w:p>
    <w:p>
      <w:pPr>
        <w:pStyle w:val="ListBullet"/>
      </w:pPr>
      <w:r/>
      <w:r>
        <w:rPr>
          <w:b/>
        </w:rPr>
        <w:t>DCI</w:t>
      </w:r>
      <w:r>
        <w:t xml:space="preserve"> : Adalimumab</w:t>
      </w:r>
    </w:p>
    <w:p>
      <w:pPr>
        <w:pStyle w:val="ListBullet"/>
      </w:pPr>
      <w:r/>
      <w:r>
        <w:rPr>
          <w:b/>
        </w:rPr>
        <w:t>Code ATC</w:t>
      </w:r>
      <w:r>
        <w:t xml:space="preserve"> : L04AB04 — Immunosuppresseurs, anticorps monoclonaux anti-TNFα</w:t>
      </w:r>
    </w:p>
    <w:p>
      <w:pPr>
        <w:pStyle w:val="ListBullet"/>
      </w:pPr>
      <w:r/>
      <w:r>
        <w:rPr>
          <w:b/>
        </w:rPr>
        <w:t>Classe pharmacothérapeutique</w:t>
      </w:r>
      <w:r>
        <w:t xml:space="preserve"> : DMARD biologique (bDMARD), anticorps monoclonal entièrement humain IgG1κ anti-TNFα (technologie phage display)</w:t>
      </w:r>
    </w:p>
    <w:p>
      <w:pPr>
        <w:pStyle w:val="ListBullet"/>
      </w:pPr>
      <w:r/>
      <w:r>
        <w:rPr>
          <w:b/>
        </w:rPr>
        <w:t>Réglementation algérienne</w:t>
      </w:r>
      <w:r>
        <w:t xml:space="preserve"> : </w:t>
      </w:r>
      <w:r>
        <w:rPr>
          <w:b/>
        </w:rPr>
        <w:t>Liste I</w:t>
      </w:r>
      <w:r>
        <w:t xml:space="preserve"> (sur ordonnance médicale obligatoire), prescription initiale hospitalo-universitaire réservée aux spécialistes en rhumatologie, gastro-entérologie, dermatologie, médecine interne, ophtalmologie (uvéite). Renouvellement possible en ville après stabilisation.</w:t>
      </w:r>
    </w:p>
    <w:p>
      <w:pPr>
        <w:pStyle w:val="ListBullet"/>
      </w:pPr>
      <w:r/>
      <w:r>
        <w:rPr>
          <w:b/>
        </w:rPr>
        <w:t>Statut Liste des stupéfiants</w:t>
      </w:r>
      <w:r>
        <w:t xml:space="preserve"> : Non applicable</w:t>
      </w:r>
    </w:p>
    <w:p>
      <w:pPr>
        <w:pStyle w:val="ListBullet"/>
      </w:pPr>
      <w:r/>
      <w:r>
        <w:rPr>
          <w:b/>
        </w:rPr>
        <w:t>Statut grossesse</w:t>
      </w:r>
      <w:r>
        <w:t xml:space="preserve"> : Compatible aux 1er et 2e trimestres en cas de nécessité absolue ; </w:t>
      </w:r>
      <w:r>
        <w:rPr>
          <w:b/>
        </w:rPr>
        <w:t>contre-indication absolue au 3e trimestre</w:t>
      </w:r>
      <w:r/>
    </w:p>
    <w:p>
      <w:pPr>
        <w:pStyle w:val="ListBullet"/>
      </w:pPr>
      <w:r/>
      <w:r>
        <w:rPr>
          <w:b/>
        </w:rPr>
        <w:t>Statut allaitement</w:t>
      </w:r>
      <w:r>
        <w:t xml:space="preserve"> : Compatible (faible passage dans le lait maternel)</w:t>
      </w:r>
    </w:p>
    <w:p>
      <w:pPr>
        <w:pStyle w:val="ListBullet"/>
      </w:pPr>
      <w:r/>
      <w:r>
        <w:rPr>
          <w:b/>
        </w:rPr>
        <w:t>Disponibilité Algérie au 1er avril 2026</w:t>
      </w:r>
      <w:r>
        <w:t xml:space="preserve"> : 9 spécialités actives (HUMIRA princeps + 8 biosimilaires : AMGEVITA, CINNORA, AMSPARITY, HULIO, HYRIMOZ, ADAMIRA, ADALIMUMAB-SAIDAL, IDACIO), 1 dosage (40 mg/0,8 mL en seringue préremplie SC)</w:t>
      </w:r>
    </w:p>
    <w:p>
      <w:pPr>
        <w:pStyle w:val="ListBullet"/>
      </w:pPr>
      <w:r/>
      <w:r>
        <w:rPr>
          <w:b/>
        </w:rPr>
        <w:t>Coût mensuel estimé</w:t>
      </w:r>
      <w:r>
        <w:t xml:space="preserve"> : 25 000 à 45 000 DA selon la marque (princeps vs biosimilaire), pour 40 mg/2 sem en entretien</w:t>
      </w:r>
    </w:p>
    <w:p>
      <w:pPr>
        <w:pStyle w:val="ListBullet"/>
      </w:pPr>
      <w:r/>
      <w:r>
        <w:rPr>
          <w:b/>
        </w:rPr>
        <w:t>Laboratoires référencés</w:t>
      </w:r>
      <w:r>
        <w:t xml:space="preserve"> : LABORATOIRES ABBVIE (princeps HUMIRA), AMGEN EUROPE B.V. (biosimilaire AMGEVITA), ORION LAB (biosimilaire CINNORA), PFIZER EUROPE MA EEIG (biosimilaire AMSPARITY), BIOSIMILAR COLLABORATIONS IRELAND LIMITED BCIL (biosimilaire HULIO), SANDOZ GMBH AUTRICHE (biosimilaire HYRIMOZ), PUR LAB (biosimilaire ADAMIRA), GROUPE SAIDAL (biosimilaire ADALIMUMAB-SAIDAL), FRESENIUS KABI DEUTSCHLAND GMBH (biosimilaire IDACIO)</w:t>
      </w:r>
    </w:p>
    <w:p>
      <w:pPr>
        <w:pStyle w:val="Heading3"/>
      </w:pPr>
      <w:r>
        <w:t>152A.7.2 Médicaments disponibles en Algérie (tableau commercial exhaustif)</w:t>
      </w:r>
    </w:p>
    <w:p>
      <w:r>
        <w:t>L'adalimumab est l'anti-TNFα le plus diversifié en Algérie au 1er avril 2026, avec 9 marques actives (1 princeps + 8 biosimilaires), 1 dosage unique (40 mg/0,8 mL en seringue préremplie sous-cutanée), totalisant 9 conditionnements actifs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HUMIRA</w:t>
            </w:r>
          </w:p>
        </w:tc>
        <w:tc>
          <w:tcPr>
            <w:tcW w:type="dxa" w:w="1559"/>
          </w:tcPr>
          <w:p>
            <w:r>
              <w:rPr>
                <w:sz w:val="20"/>
              </w:rPr>
              <w:t>LABORATOIRES ABBVIE</w:t>
            </w:r>
          </w:p>
        </w:tc>
        <w:tc>
          <w:tcPr>
            <w:tcW w:type="dxa" w:w="1559"/>
          </w:tcPr>
          <w:p>
            <w:r>
              <w:rPr>
                <w:sz w:val="20"/>
              </w:rPr>
              <w:t>Solution injectable SC en seringue préremplie — 40 mg/0,8 mL</w:t>
            </w:r>
          </w:p>
        </w:tc>
        <w:tc>
          <w:tcPr>
            <w:tcW w:type="dxa" w:w="1559"/>
          </w:tcPr>
          <w:p>
            <w:r>
              <w:rPr>
                <w:sz w:val="20"/>
              </w:rPr>
              <w:t>B/2 seringues préremplies de 0,8 mL</w:t>
            </w:r>
          </w:p>
        </w:tc>
        <w:tc>
          <w:tcPr>
            <w:tcW w:type="dxa" w:w="1559"/>
          </w:tcPr>
          <w:p>
            <w:r>
              <w:rPr>
                <w:sz w:val="20"/>
              </w:rPr>
              <w:t>LISTE I</w:t>
            </w:r>
          </w:p>
        </w:tc>
        <w:tc>
          <w:tcPr>
            <w:tcW w:type="dxa" w:w="1559"/>
          </w:tcPr>
          <w:p>
            <w:r>
              <w:rPr>
                <w:sz w:val="20"/>
              </w:rPr>
              <w:t>ACTIF</w:t>
            </w:r>
          </w:p>
        </w:tc>
      </w:tr>
      <w:tr>
        <w:tc>
          <w:tcPr>
            <w:tcW w:type="dxa" w:w="1559"/>
          </w:tcPr>
          <w:p>
            <w:r>
              <w:rPr>
                <w:sz w:val="20"/>
              </w:rPr>
              <w:t>AMGEVITA</w:t>
            </w:r>
          </w:p>
        </w:tc>
        <w:tc>
          <w:tcPr>
            <w:tcW w:type="dxa" w:w="1559"/>
          </w:tcPr>
          <w:p>
            <w:r>
              <w:rPr>
                <w:sz w:val="20"/>
              </w:rPr>
              <w:t>AMGEN EUROPE B.V.</w:t>
            </w:r>
          </w:p>
        </w:tc>
        <w:tc>
          <w:tcPr>
            <w:tcW w:type="dxa" w:w="1559"/>
          </w:tcPr>
          <w:p>
            <w:r>
              <w:rPr>
                <w:sz w:val="20"/>
              </w:rPr>
              <w:t>Solution injectable SC en seringue préremplie — 40 mg/0,8 mL</w:t>
            </w:r>
          </w:p>
        </w:tc>
        <w:tc>
          <w:tcPr>
            <w:tcW w:type="dxa" w:w="1559"/>
          </w:tcPr>
          <w:p>
            <w:r>
              <w:rPr>
                <w:sz w:val="20"/>
              </w:rPr>
              <w:t>B/2 seringues préremplies de 0,8 mL</w:t>
            </w:r>
          </w:p>
        </w:tc>
        <w:tc>
          <w:tcPr>
            <w:tcW w:type="dxa" w:w="1559"/>
          </w:tcPr>
          <w:p>
            <w:r>
              <w:rPr>
                <w:sz w:val="20"/>
              </w:rPr>
              <w:t>LISTE I</w:t>
            </w:r>
          </w:p>
        </w:tc>
        <w:tc>
          <w:tcPr>
            <w:tcW w:type="dxa" w:w="1559"/>
          </w:tcPr>
          <w:p>
            <w:r>
              <w:rPr>
                <w:sz w:val="20"/>
              </w:rPr>
              <w:t>ACTIF</w:t>
            </w:r>
          </w:p>
        </w:tc>
      </w:tr>
      <w:tr>
        <w:tc>
          <w:tcPr>
            <w:tcW w:type="dxa" w:w="1559"/>
          </w:tcPr>
          <w:p>
            <w:r>
              <w:rPr>
                <w:sz w:val="20"/>
              </w:rPr>
              <w:t>CINNORA</w:t>
            </w:r>
          </w:p>
        </w:tc>
        <w:tc>
          <w:tcPr>
            <w:tcW w:type="dxa" w:w="1559"/>
          </w:tcPr>
          <w:p>
            <w:r>
              <w:rPr>
                <w:sz w:val="20"/>
              </w:rPr>
              <w:t>ORION LAB</w:t>
            </w:r>
          </w:p>
        </w:tc>
        <w:tc>
          <w:tcPr>
            <w:tcW w:type="dxa" w:w="1559"/>
          </w:tcPr>
          <w:p>
            <w:r>
              <w:rPr>
                <w:sz w:val="20"/>
              </w:rPr>
              <w:t>Solution injectable SC en seringue préremplie — 40 mg/0,8 mL</w:t>
            </w:r>
          </w:p>
        </w:tc>
        <w:tc>
          <w:tcPr>
            <w:tcW w:type="dxa" w:w="1559"/>
          </w:tcPr>
          <w:p>
            <w:r>
              <w:rPr>
                <w:sz w:val="20"/>
              </w:rPr>
              <w:t>B/2 seringues préremplies de 0,8 mL</w:t>
            </w:r>
          </w:p>
        </w:tc>
        <w:tc>
          <w:tcPr>
            <w:tcW w:type="dxa" w:w="1559"/>
          </w:tcPr>
          <w:p>
            <w:r>
              <w:rPr>
                <w:sz w:val="20"/>
              </w:rPr>
              <w:t>LISTE I</w:t>
            </w:r>
          </w:p>
        </w:tc>
        <w:tc>
          <w:tcPr>
            <w:tcW w:type="dxa" w:w="1559"/>
          </w:tcPr>
          <w:p>
            <w:r>
              <w:rPr>
                <w:sz w:val="20"/>
              </w:rPr>
              <w:t>ACTIF</w:t>
            </w:r>
          </w:p>
        </w:tc>
      </w:tr>
      <w:tr>
        <w:tc>
          <w:tcPr>
            <w:tcW w:type="dxa" w:w="1559"/>
          </w:tcPr>
          <w:p>
            <w:r>
              <w:rPr>
                <w:sz w:val="20"/>
              </w:rPr>
              <w:t>AMSPARITY</w:t>
            </w:r>
          </w:p>
        </w:tc>
        <w:tc>
          <w:tcPr>
            <w:tcW w:type="dxa" w:w="1559"/>
          </w:tcPr>
          <w:p>
            <w:r>
              <w:rPr>
                <w:sz w:val="20"/>
              </w:rPr>
              <w:t>PFIZER EUROPE MA EEIG</w:t>
            </w:r>
          </w:p>
        </w:tc>
        <w:tc>
          <w:tcPr>
            <w:tcW w:type="dxa" w:w="1559"/>
          </w:tcPr>
          <w:p>
            <w:r>
              <w:rPr>
                <w:sz w:val="20"/>
              </w:rPr>
              <w:t>Solution injectable SC en seringue préremplie — 40 mg/0,8 mL</w:t>
            </w:r>
          </w:p>
        </w:tc>
        <w:tc>
          <w:tcPr>
            <w:tcW w:type="dxa" w:w="1559"/>
          </w:tcPr>
          <w:p>
            <w:r>
              <w:rPr>
                <w:sz w:val="20"/>
              </w:rPr>
              <w:t>B/2 seringues préremplies de 0,8 mL</w:t>
            </w:r>
          </w:p>
        </w:tc>
        <w:tc>
          <w:tcPr>
            <w:tcW w:type="dxa" w:w="1559"/>
          </w:tcPr>
          <w:p>
            <w:r>
              <w:rPr>
                <w:sz w:val="20"/>
              </w:rPr>
              <w:t>LISTE I</w:t>
            </w:r>
          </w:p>
        </w:tc>
        <w:tc>
          <w:tcPr>
            <w:tcW w:type="dxa" w:w="1559"/>
          </w:tcPr>
          <w:p>
            <w:r>
              <w:rPr>
                <w:sz w:val="20"/>
              </w:rPr>
              <w:t>ACTIF</w:t>
            </w:r>
          </w:p>
        </w:tc>
      </w:tr>
      <w:tr>
        <w:tc>
          <w:tcPr>
            <w:tcW w:type="dxa" w:w="1559"/>
          </w:tcPr>
          <w:p>
            <w:r>
              <w:rPr>
                <w:sz w:val="20"/>
              </w:rPr>
              <w:t>HULIO</w:t>
            </w:r>
          </w:p>
        </w:tc>
        <w:tc>
          <w:tcPr>
            <w:tcW w:type="dxa" w:w="1559"/>
          </w:tcPr>
          <w:p>
            <w:r>
              <w:rPr>
                <w:sz w:val="20"/>
              </w:rPr>
              <w:t>BIOSIMILAR COLLABORATIONS IRELAND LIMITED BCIL</w:t>
            </w:r>
          </w:p>
        </w:tc>
        <w:tc>
          <w:tcPr>
            <w:tcW w:type="dxa" w:w="1559"/>
          </w:tcPr>
          <w:p>
            <w:r>
              <w:rPr>
                <w:sz w:val="20"/>
              </w:rPr>
              <w:t>Solution injectable SC en seringue préremplie — 40 mg/0,8 mL</w:t>
            </w:r>
          </w:p>
        </w:tc>
        <w:tc>
          <w:tcPr>
            <w:tcW w:type="dxa" w:w="1559"/>
          </w:tcPr>
          <w:p>
            <w:r>
              <w:rPr>
                <w:sz w:val="20"/>
              </w:rPr>
              <w:t>B/2 seringues préremplies de 0,8 mL</w:t>
            </w:r>
          </w:p>
        </w:tc>
        <w:tc>
          <w:tcPr>
            <w:tcW w:type="dxa" w:w="1559"/>
          </w:tcPr>
          <w:p>
            <w:r>
              <w:rPr>
                <w:sz w:val="20"/>
              </w:rPr>
              <w:t>LISTE I</w:t>
            </w:r>
          </w:p>
        </w:tc>
        <w:tc>
          <w:tcPr>
            <w:tcW w:type="dxa" w:w="1559"/>
          </w:tcPr>
          <w:p>
            <w:r>
              <w:rPr>
                <w:sz w:val="20"/>
              </w:rPr>
              <w:t>ACTIF</w:t>
            </w:r>
          </w:p>
        </w:tc>
      </w:tr>
      <w:tr>
        <w:tc>
          <w:tcPr>
            <w:tcW w:type="dxa" w:w="1559"/>
          </w:tcPr>
          <w:p>
            <w:r>
              <w:rPr>
                <w:sz w:val="20"/>
              </w:rPr>
              <w:t>HYRIMOZ</w:t>
            </w:r>
          </w:p>
        </w:tc>
        <w:tc>
          <w:tcPr>
            <w:tcW w:type="dxa" w:w="1559"/>
          </w:tcPr>
          <w:p>
            <w:r>
              <w:rPr>
                <w:sz w:val="20"/>
              </w:rPr>
              <w:t>SANDOZ GMBH AUTRICHE</w:t>
            </w:r>
          </w:p>
        </w:tc>
        <w:tc>
          <w:tcPr>
            <w:tcW w:type="dxa" w:w="1559"/>
          </w:tcPr>
          <w:p>
            <w:r>
              <w:rPr>
                <w:sz w:val="20"/>
              </w:rPr>
              <w:t>Solution injectable SC en seringue préremplie — 40 mg/0,8 mL</w:t>
            </w:r>
          </w:p>
        </w:tc>
        <w:tc>
          <w:tcPr>
            <w:tcW w:type="dxa" w:w="1559"/>
          </w:tcPr>
          <w:p>
            <w:r>
              <w:rPr>
                <w:sz w:val="20"/>
              </w:rPr>
              <w:t>B/2 seringues préremplies de 0,8 mL</w:t>
            </w:r>
          </w:p>
        </w:tc>
        <w:tc>
          <w:tcPr>
            <w:tcW w:type="dxa" w:w="1559"/>
          </w:tcPr>
          <w:p>
            <w:r>
              <w:rPr>
                <w:sz w:val="20"/>
              </w:rPr>
              <w:t>LISTE I</w:t>
            </w:r>
          </w:p>
        </w:tc>
        <w:tc>
          <w:tcPr>
            <w:tcW w:type="dxa" w:w="1559"/>
          </w:tcPr>
          <w:p>
            <w:r>
              <w:rPr>
                <w:sz w:val="20"/>
              </w:rPr>
              <w:t>ACTIF</w:t>
            </w:r>
          </w:p>
        </w:tc>
      </w:tr>
      <w:tr>
        <w:tc>
          <w:tcPr>
            <w:tcW w:type="dxa" w:w="1559"/>
          </w:tcPr>
          <w:p>
            <w:r>
              <w:rPr>
                <w:sz w:val="20"/>
              </w:rPr>
              <w:t>ADAMIRA</w:t>
            </w:r>
          </w:p>
        </w:tc>
        <w:tc>
          <w:tcPr>
            <w:tcW w:type="dxa" w:w="1559"/>
          </w:tcPr>
          <w:p>
            <w:r>
              <w:rPr>
                <w:sz w:val="20"/>
              </w:rPr>
              <w:t>PUR LAB</w:t>
            </w:r>
          </w:p>
        </w:tc>
        <w:tc>
          <w:tcPr>
            <w:tcW w:type="dxa" w:w="1559"/>
          </w:tcPr>
          <w:p>
            <w:r>
              <w:rPr>
                <w:sz w:val="20"/>
              </w:rPr>
              <w:t>Solution injectable SC en seringue préremplie — 40 mg/0,8 mL</w:t>
            </w:r>
          </w:p>
        </w:tc>
        <w:tc>
          <w:tcPr>
            <w:tcW w:type="dxa" w:w="1559"/>
          </w:tcPr>
          <w:p>
            <w:r>
              <w:rPr>
                <w:sz w:val="20"/>
              </w:rPr>
              <w:t>B/2 seringues préremplies de 0,8 mL</w:t>
            </w:r>
          </w:p>
        </w:tc>
        <w:tc>
          <w:tcPr>
            <w:tcW w:type="dxa" w:w="1559"/>
          </w:tcPr>
          <w:p>
            <w:r>
              <w:rPr>
                <w:sz w:val="20"/>
              </w:rPr>
              <w:t>LISTE I</w:t>
            </w:r>
          </w:p>
        </w:tc>
        <w:tc>
          <w:tcPr>
            <w:tcW w:type="dxa" w:w="1559"/>
          </w:tcPr>
          <w:p>
            <w:r>
              <w:rPr>
                <w:sz w:val="20"/>
              </w:rPr>
              <w:t>ACTIF</w:t>
            </w:r>
          </w:p>
        </w:tc>
      </w:tr>
      <w:tr>
        <w:tc>
          <w:tcPr>
            <w:tcW w:type="dxa" w:w="1559"/>
          </w:tcPr>
          <w:p>
            <w:r>
              <w:rPr>
                <w:sz w:val="20"/>
              </w:rPr>
              <w:t>ADALIMUMAB-SAIDAL</w:t>
            </w:r>
          </w:p>
        </w:tc>
        <w:tc>
          <w:tcPr>
            <w:tcW w:type="dxa" w:w="1559"/>
          </w:tcPr>
          <w:p>
            <w:r>
              <w:rPr>
                <w:sz w:val="20"/>
              </w:rPr>
              <w:t>GROUPE SAIDAL</w:t>
            </w:r>
          </w:p>
        </w:tc>
        <w:tc>
          <w:tcPr>
            <w:tcW w:type="dxa" w:w="1559"/>
          </w:tcPr>
          <w:p>
            <w:r>
              <w:rPr>
                <w:sz w:val="20"/>
              </w:rPr>
              <w:t>Solution injectable SC en seringue préremplie — 40 mg/0,8 mL</w:t>
            </w:r>
          </w:p>
        </w:tc>
        <w:tc>
          <w:tcPr>
            <w:tcW w:type="dxa" w:w="1559"/>
          </w:tcPr>
          <w:p>
            <w:r>
              <w:rPr>
                <w:sz w:val="20"/>
              </w:rPr>
              <w:t>B/2 seringues préremplies de 0,8 mL</w:t>
            </w:r>
          </w:p>
        </w:tc>
        <w:tc>
          <w:tcPr>
            <w:tcW w:type="dxa" w:w="1559"/>
          </w:tcPr>
          <w:p>
            <w:r>
              <w:rPr>
                <w:sz w:val="20"/>
              </w:rPr>
              <w:t>LISTE I</w:t>
            </w:r>
          </w:p>
        </w:tc>
        <w:tc>
          <w:tcPr>
            <w:tcW w:type="dxa" w:w="1559"/>
          </w:tcPr>
          <w:p>
            <w:r>
              <w:rPr>
                <w:sz w:val="20"/>
              </w:rPr>
              <w:t>ACTIF</w:t>
            </w:r>
          </w:p>
        </w:tc>
      </w:tr>
      <w:tr>
        <w:tc>
          <w:tcPr>
            <w:tcW w:type="dxa" w:w="1559"/>
          </w:tcPr>
          <w:p>
            <w:r>
              <w:rPr>
                <w:sz w:val="20"/>
              </w:rPr>
              <w:t>IDACIO</w:t>
            </w:r>
          </w:p>
        </w:tc>
        <w:tc>
          <w:tcPr>
            <w:tcW w:type="dxa" w:w="1559"/>
          </w:tcPr>
          <w:p>
            <w:r>
              <w:rPr>
                <w:sz w:val="20"/>
              </w:rPr>
              <w:t>FRESENIUS KABI DEUTSCHLAND GMBH</w:t>
            </w:r>
          </w:p>
        </w:tc>
        <w:tc>
          <w:tcPr>
            <w:tcW w:type="dxa" w:w="1559"/>
          </w:tcPr>
          <w:p>
            <w:r>
              <w:rPr>
                <w:sz w:val="20"/>
              </w:rPr>
              <w:t>Solution injectable SC en seringue préremplie — 40 mg/0,8 mL</w:t>
            </w:r>
          </w:p>
        </w:tc>
        <w:tc>
          <w:tcPr>
            <w:tcW w:type="dxa" w:w="1559"/>
          </w:tcPr>
          <w:p>
            <w:r>
              <w:rPr>
                <w:sz w:val="20"/>
              </w:rPr>
              <w:t>B/2 seringues préremplies de 0,8 mL</w:t>
            </w:r>
          </w:p>
        </w:tc>
        <w:tc>
          <w:tcPr>
            <w:tcW w:type="dxa" w:w="1559"/>
          </w:tcPr>
          <w:p>
            <w:r>
              <w:rPr>
                <w:sz w:val="20"/>
              </w:rPr>
              <w:t>LISTE I</w:t>
            </w:r>
          </w:p>
        </w:tc>
        <w:tc>
          <w:tcPr>
            <w:tcW w:type="dxa" w:w="1559"/>
          </w:tcPr>
          <w:p>
            <w:r>
              <w:rPr>
                <w:sz w:val="20"/>
              </w:rPr>
              <w:t>ACTIF</w:t>
            </w:r>
          </w:p>
        </w:tc>
      </w:tr>
    </w:tbl>
    <w:p/>
    <w:p>
      <w:r>
        <w:t>Le marché algérien de l'adalimumab est exceptionnel par sa diversité : un princeps historique (HUMIRA, AbbVie, commercialisé depuis 2002 aux États-Unis, depuis 2003 en Europe, et disponible en Algérie depuis le début des années 2010) et huit biosimilaires. Cette diversification fait suite à l'expiration du brevet de l'adalimumab (brevet européen expiré en octobre 2018, ouverture du marché aux biosimilaires) et à la politique algérienne de promotion des biosimilaires locaux (ADALIMUMAB-SAIDAL par le Groupe SAIDAL depuis 2019) et internationaux (AMGEVITA par Amgen, HYRIMOZ par Sandoz, IDACIO par Fresenius Kabi, AMSPARITY par Pfizer, HULIO par BCIL/Viatris, ADAMIRA par Pur Lab, CINNORA par Orion Lab). Le coût mensuel d'un traitement par adalimumab 40 mg/2 sem en entretien varie de 25 000 DA (biosimilaire ADALIMUMAB-SAIDAL, ADAMIRA, CINNORA) à 45 000 DA (princeps HUMIRA), permettant une accessibilité économique élargie à un large éventail de patients algériens. Le conditionnement de 2 seringues correspond à 4 semaines de traitement à la posologie standard de 40 mg toutes les 2 semaines. L'adalimumab est l'anti-TNFα le plus prescrit en Algérie et dans le monde, en raison de son profil d'efficacité équivalent à l'infliximab, de sa facilité d'administration (SC en auto-injection à domicile vs IV en milieu hospitalier), de sa moindre immunogénicité (entièrement humain vs chimérique), et de la diversité des biosimilaires disponibles.</w:t>
      </w:r>
    </w:p>
    <w:p>
      <w:pPr>
        <w:pStyle w:val="Heading3"/>
      </w:pPr>
      <w:r>
        <w:t>152A.7.3 Mécanisme d'action détaillé</w:t>
      </w:r>
    </w:p>
    <w:p>
      <w:r>
        <w:t xml:space="preserve">L'adalimumab est un </w:t>
      </w:r>
      <w:r>
        <w:rPr>
          <w:b/>
        </w:rPr>
        <w:t>anticorps monoclonal entièrement humain de classe IgG1κ dirigé spécifiquement contre le TNFα humain</w:t>
      </w:r>
      <w:r>
        <w:t xml:space="preserve"> (soluble et transmembranaire), sans action sur la lymphotoxine-α (LTα, TNFβ). Il a été développé par technologie </w:t>
      </w:r>
      <w:r>
        <w:rPr>
          <w:b/>
        </w:rPr>
        <w:t>phage display</w:t>
      </w:r>
      <w:r>
        <w:t xml:space="preserve"> (Cambridge Antibody Technology / BASF Bioresearch / Abbott puis AbbVie, 1990s) à partir d'une banque de phages exprimant des fragments scFv humains, sélectionnés par biopanning contre le TNFα recombinant humain. La molécule finale est composée de 100 % de séquences humaines (régions variables VH et VL d'origine humaine, régions constantes IgG1κ humaines), ce qui en fait l'anticorps anti-TNFα </w:t>
      </w:r>
      <w:r>
        <w:rPr>
          <w:b/>
        </w:rPr>
        <w:t>le moins immunogène</w:t>
      </w:r>
      <w:r>
        <w:t xml:space="preserve"> après le golimumab (ADA &lt; 5 % avec MTX concomitant).</w:t>
      </w:r>
    </w:p>
    <w:p>
      <w:r/>
      <w:r>
        <w:rPr>
          <w:b/>
        </w:rPr>
        <w:t>Mécanisme d'action moléculaire</w:t>
      </w:r>
      <w:r>
        <w:t xml:space="preserve"> : l'adalimumab se lie avec une haute affinité (KD ≈ 10⁻¹⁰ M, ~5×10⁻¹⁰ M pour la forme soluble et ~6×10⁻¹⁰ M pour la forme transmembranaire) au TNFα soluble (sTNFα, forme trimerique active de 17 kDa par monomère) et au TNFα transmembranaire (tmTNFα) à la surface des cellules productrices (macrophages, monocytes activés, lymphocytes T, synoviocytes fibroblastiques activés), neutralisant leur interaction avec les récepteurs TNFR1 (p55/CD120a) et TNFR2 (p75/CD120b). Cette neutralisation empêche la signalisation intracellulaire pro-inflammatoire (voie NF-κB, voie MAPK/JNK, voie AP-1). Le ratio de liaison adalimumab:TNFα est de 1:1 (un trimère d'adalimumab lie un trimère de TNFα), avec une neutralisation stoechiométrique complète.</w:t>
      </w:r>
    </w:p>
    <w:p>
      <w:r/>
      <w:r>
        <w:rPr>
          <w:b/>
        </w:rPr>
        <w:t>Lyse cellulaire des cellules TNFα-expressives</w:t>
      </w:r>
      <w:r>
        <w:t xml:space="preserve"> : comme l'infliximab, l'adalimumab contient une portion Fc d'IgG1 humaine </w:t>
      </w:r>
      <w:r>
        <w:rPr>
          <w:b/>
        </w:rPr>
        <w:t>fonctionnelle</w:t>
      </w:r>
      <w:r>
        <w:t xml:space="preserve"> qui fixe le C1q du complément (CDC) et les récepteurs FcγR des cellules effectrices (ADCC). Cette lyse cellulaire directe des macrophages, monocytes et lymphocytes T activés explique l'efficacité dans les maladies à forte composante macrophagique (maladie de Crohn, PR) et le risque de réactivation tuberculeuse (incidence 0,4-1,0 pour 100 patients-années, équivalente à l'infliximab). Le risque de réaction allergique systémique (anaphylaxie) est cependant plus faible que pour l'infliximab en raison de la structure entièrement humaine.</w:t>
      </w:r>
    </w:p>
    <w:p>
      <w:r/>
      <w:r>
        <w:rPr>
          <w:b/>
        </w:rPr>
        <w:t>Immunogénicité</w:t>
      </w:r>
      <w:r>
        <w:t xml:space="preserve"> : la structure 100 % humaine de l'adalimumab réduit mais n'élimine pas l'immunogénicité. La formation d'</w:t>
      </w:r>
      <w:r>
        <w:rPr>
          <w:b/>
        </w:rPr>
        <w:t>anticorps anti-adalimumab (ADA)</w:t>
      </w:r>
      <w:r>
        <w:t xml:space="preserve"> survient chez 5-25 % des patients sans MTX concomitant, et &lt; 5 % avec MTX concomitant. Les ADA : (i) réduisent l'efficacité (augmentation de la clairance, baisse des taux résiduels) ; (ii) augmentent le risque de réactions au site d'injection et d'hypersensibilité systémique ; (iii) imposent l'association systématique au MTX dans la PR (qui réduit l'incidence des ADA de 25 % à &lt; 5 %), ou en cas de monothérapie (SpA, psoriasis), la surveillance régulière des taux résiduels et des ADA. En cas de perte d'efficacité, le switch vers un autre anti-TNFα (golimumab, certolizumab) ou une autre classe (tocilizumab, rituximab) est recommandé.</w:t>
      </w:r>
    </w:p>
    <w:p>
      <w:r/>
      <w:r>
        <w:rPr>
          <w:b/>
        </w:rPr>
        <w:t>Conséquences pharmacodynamiques cliniques</w:t>
      </w:r>
      <w:r>
        <w:t xml:space="preserve"> : (i) réduction rapide de la CRP (baisse de 50 % à 2 semaines, de 80 % à 4 semaines) ; (ii) réduction du nombre d'articulations gonflées et douloureuses (baisse significative à 2 semaines, optimum à 12-24 semaines) ; (iii) prévention de la progression radiographique (réduction de 50-70 % de la progression du score de Sharp/van der Heijde à 1 an vs placebo, bénéfice maintenu à 5 et 10 ans) ; (iv) réduction de la fatigue et amélioration de la qualité de vie. Le délai d'action initial est de 1-2 semaines (amélioration symptomatique) avec un plateau d'efficacité à 12-24 semaines.</w:t>
      </w:r>
    </w:p>
    <w:p>
      <w:pPr>
        <w:pStyle w:val="Heading3"/>
      </w:pPr>
      <w:r>
        <w:t>152A.7.4 Profil pharmacologique clinique : indications, contre-indications, effets indésirables</w:t>
      </w:r>
    </w:p>
    <w:p>
      <w:r/>
      <w:r>
        <w:rPr>
          <w:b/>
        </w:rPr>
        <w:t>Indications AMM en Algérie</w:t>
      </w:r>
      <w:r>
        <w:t xml:space="preserve"> :</w:t>
      </w:r>
    </w:p>
    <w:p>
      <w:pPr>
        <w:pStyle w:val="ListBullet"/>
      </w:pPr>
      <w:r/>
      <w:r>
        <w:rPr>
          <w:b/>
        </w:rPr>
        <w:t>Polyarthrite rhumatoïde active modérée à sévère de l'adulte</w:t>
      </w:r>
      <w:r>
        <w:t xml:space="preserve"> en cas de réponse inadéquate aux DMARDs conventionnels (incluant le MTX). Efficacité : ACR20 53 % vs 5 % placebo à 24 semaines (essai PREMIER), en association au MTX ou en monothérapie. Posologie : 40 mg SC toutes les 2 semaines.</w:t>
      </w:r>
    </w:p>
    <w:p>
      <w:pPr>
        <w:pStyle w:val="ListBullet"/>
      </w:pPr>
      <w:r/>
      <w:r>
        <w:rPr>
          <w:b/>
        </w:rPr>
        <w:t>Spondyloarthrite axiale sévère et active de l'adulte</w:t>
      </w:r>
      <w:r>
        <w:t xml:space="preserve"> (radiographique et non radiographique) en cas de réponse inadéquate aux AINS. Efficacité : ASAS20 58 % vs 21 % placebo à 12 semaines (essai ATLAS). Posologie : 40 mg SC toutes les 2 semaines.</w:t>
      </w:r>
    </w:p>
    <w:p>
      <w:pPr>
        <w:pStyle w:val="ListBullet"/>
      </w:pPr>
      <w:r/>
      <w:r>
        <w:rPr>
          <w:b/>
        </w:rPr>
        <w:t>Rhumatisme psoriasique actif de l'adulte</w:t>
      </w:r>
      <w:r>
        <w:t xml:space="preserve"> en cas de réponse inadéquate aux DMARDs. Efficacité : ACR20 58 % vs 14 % placebo à 12 semaines (essai ADEPT). Posologie : 40 mg SC toutes les 2 semaines.</w:t>
      </w:r>
    </w:p>
    <w:p>
      <w:pPr>
        <w:pStyle w:val="ListBullet"/>
      </w:pPr>
      <w:r/>
      <w:r>
        <w:rPr>
          <w:b/>
        </w:rPr>
        <w:t>Psoriasis en plaques modéré à sévère de l'adulte</w:t>
      </w:r>
      <w:r>
        <w:t xml:space="preserve"> en cas de réponse inadéquate aux traitements systémiques conventionnels. Efficacité : PASI75 80 % vs 5 % placebo à 16 semaines (essai REVEAL). Posologie : induction 80 mg SC à S0, 40 mg à S1, puis 40 mg toutes les 2 semaines à partir de S2.</w:t>
      </w:r>
    </w:p>
    <w:p>
      <w:pPr>
        <w:pStyle w:val="ListBullet"/>
      </w:pPr>
      <w:r/>
      <w:r>
        <w:rPr>
          <w:b/>
        </w:rPr>
        <w:t>Maladie de Crohn active modérée à sévère de l'adulte</w:t>
      </w:r>
      <w:r>
        <w:t xml:space="preserve"> en cas de réponse inadéquate aux corticoïdes, immunosuppresseurs. Efficacité : rémission à 4 semaines 36 % vs 12 % placebo (essai CLASSIC I), rémission à 56 semaines 47 % (essai CLASSIC II). Posologie : induction 160 mg SC à S0 (4 × 40 mg), 80 mg à S2, puis 40 mg toutes les 2 semaines à partir de S4.</w:t>
      </w:r>
    </w:p>
    <w:p>
      <w:pPr>
        <w:pStyle w:val="ListBullet"/>
      </w:pPr>
      <w:r/>
      <w:r>
        <w:rPr>
          <w:b/>
        </w:rPr>
        <w:t>Rectocolite hémorragique active modérée à sévère</w:t>
      </w:r>
      <w:r>
        <w:t xml:space="preserve"> en cas de réponse inadéquate aux traitements conventionnels. Efficacité : rémission à 8 semaines 18 % vs 9 % placebo (essais ULTRA 1 et 2).</w:t>
      </w:r>
    </w:p>
    <w:p>
      <w:pPr>
        <w:pStyle w:val="ListBullet"/>
      </w:pPr>
      <w:r/>
      <w:r>
        <w:rPr>
          <w:b/>
        </w:rPr>
        <w:t>Uvéite non infectieuse de l'adulte</w:t>
      </w:r>
      <w:r>
        <w:t xml:space="preserve"> (uvéite antérieure, intermédiaire, postérieure, panuvéite) en cas de réponse inadéquate aux corticoïdes. Efficacité : rémission à 6 mois 56 % vs 27 % placebo (essais VISUAL I et II). L'adalimumab est le </w:t>
      </w:r>
      <w:r>
        <w:rPr>
          <w:b/>
        </w:rPr>
        <w:t>seul anti-TNFα avec AMM dans l'uvéite</w:t>
      </w:r>
      <w:r>
        <w:t>.</w:t>
      </w:r>
    </w:p>
    <w:p>
      <w:pPr>
        <w:pStyle w:val="ListBullet"/>
      </w:pPr>
      <w:r/>
      <w:r>
        <w:rPr>
          <w:b/>
        </w:rPr>
        <w:t>Hidrosadénite suppurée modérée à sévère</w:t>
      </w:r>
      <w:r>
        <w:t xml:space="preserve"> de l'adulte en cas de réponse inadéquate aux traitements conventionnels systémiques.</w:t>
      </w:r>
    </w:p>
    <w:p>
      <w:r/>
      <w:r>
        <w:rPr>
          <w:b/>
        </w:rPr>
        <w:t>Contre-indications absolues</w:t>
      </w:r>
      <w:r>
        <w:t xml:space="preserve"> :</w:t>
      </w:r>
    </w:p>
    <w:p>
      <w:pPr>
        <w:pStyle w:val="ListBullet"/>
      </w:pPr>
      <w:r>
        <w:t>Sepsis sévère ou infection sévère active — arrêt temporaire jusqu'à résolution.</w:t>
      </w:r>
    </w:p>
    <w:p>
      <w:pPr>
        <w:pStyle w:val="ListBullet"/>
      </w:pPr>
      <w:r/>
      <w:r>
        <w:rPr>
          <w:b/>
        </w:rPr>
        <w:t>Tuberculose active non traitée</w:t>
      </w:r>
      <w:r>
        <w:t xml:space="preserve"> — dépistage pré-thérapeutique obligatoire.</w:t>
      </w:r>
    </w:p>
    <w:p>
      <w:pPr>
        <w:pStyle w:val="ListBullet"/>
      </w:pPr>
      <w:r>
        <w:t>Infections opportunistes actives.</w:t>
      </w:r>
    </w:p>
    <w:p>
      <w:pPr>
        <w:pStyle w:val="ListBullet"/>
      </w:pPr>
      <w:r/>
      <w:r>
        <w:rPr>
          <w:b/>
        </w:rPr>
        <w:t>Insuffisance cardiaque NYHA III-IV</w:t>
      </w:r>
      <w:r>
        <w:t>.</w:t>
      </w:r>
    </w:p>
    <w:p>
      <w:pPr>
        <w:pStyle w:val="ListBullet"/>
      </w:pPr>
      <w:r/>
      <w:r>
        <w:rPr>
          <w:b/>
        </w:rPr>
        <w:t>Antécédent personnel de maladie démyélinisante centrale</w:t>
      </w:r>
      <w:r>
        <w:t>.</w:t>
      </w:r>
    </w:p>
    <w:p>
      <w:pPr>
        <w:pStyle w:val="ListBullet"/>
      </w:pPr>
      <w:r>
        <w:t>Hypersensibilité à l'adalimumab ou à l'un des excipients.</w:t>
      </w:r>
    </w:p>
    <w:p>
      <w:pPr>
        <w:pStyle w:val="ListBullet"/>
      </w:pPr>
      <w:r/>
      <w:r>
        <w:rPr>
          <w:b/>
        </w:rPr>
        <w:t>Vaccination par vaccin vivant atténué</w:t>
      </w:r>
      <w:r>
        <w:t xml:space="preserve"> pendant le traitement et jusqu'à 8 semaines (voire 12 semaines par prudence, demi-vie longue) après la dernière injection.</w:t>
      </w:r>
    </w:p>
    <w:p>
      <w:pPr>
        <w:pStyle w:val="ListBullet"/>
      </w:pPr>
      <w:r/>
      <w:r>
        <w:rPr>
          <w:b/>
        </w:rPr>
        <w:t>Grossesse 3e trimestre</w:t>
      </w:r>
      <w:r>
        <w:t xml:space="preserve"> : contre-indication relative stricte.</w:t>
      </w:r>
    </w:p>
    <w:p>
      <w:r/>
      <w:r>
        <w:rPr>
          <w:b/>
        </w:rPr>
        <w:t>Contre-indications relatives / Précautions d'emploi</w:t>
      </w:r>
      <w:r>
        <w:t xml:space="preserve"> :</w:t>
      </w:r>
    </w:p>
    <w:p>
      <w:pPr>
        <w:pStyle w:val="ListBullet"/>
      </w:pPr>
      <w:r>
        <w:t>Insuffisance cardiaque NYHA I-II : à utiliser avec prudence, surveillance clinique et échographique.</w:t>
      </w:r>
    </w:p>
    <w:p>
      <w:pPr>
        <w:pStyle w:val="ListBullet"/>
      </w:pPr>
      <w:r>
        <w:t>Hépatite B chronique (AgHBs+) : dépistage systématique, prophylaxie antivirale par entécavir ou ténofovir.</w:t>
      </w:r>
    </w:p>
    <w:p>
      <w:pPr>
        <w:pStyle w:val="ListBullet"/>
      </w:pPr>
      <w:r>
        <w:t>Lupus érythémateux systémique : signal rare d'ATIL.</w:t>
      </w:r>
    </w:p>
    <w:p>
      <w:pPr>
        <w:pStyle w:val="ListBullet"/>
      </w:pPr>
      <w:r>
        <w:t>Insuffisance hépatique modérée à sévère.</w:t>
      </w:r>
    </w:p>
    <w:p>
      <w:pPr>
        <w:pStyle w:val="ListBullet"/>
      </w:pPr>
      <w:r>
        <w:t>Patient âgé &gt; 65 ans : risque infectieux majoré.</w:t>
      </w:r>
    </w:p>
    <w:p>
      <w:pPr>
        <w:pStyle w:val="ListBullet"/>
      </w:pPr>
      <w:r>
        <w:t>Grossesse 1er et 2e trimestres : utilisation possible en cas de nécessité absolue.</w:t>
      </w:r>
    </w:p>
    <w:p>
      <w:r/>
      <w:r>
        <w:rPr>
          <w:b/>
        </w:rPr>
        <w:t>Effets indésirables</w:t>
      </w:r>
      <w:r>
        <w:t xml:space="preserve"> (par fréquence) :</w:t>
      </w:r>
    </w:p>
    <w:p>
      <w:r/>
      <w:r>
        <w:rPr>
          <w:i/>
        </w:rPr>
        <w:t>Très fréquents (≥ 10 %)</w:t>
      </w:r>
      <w:r>
        <w:t xml:space="preserve"> : </w:t>
      </w:r>
      <w:r>
        <w:rPr>
          <w:b/>
        </w:rPr>
        <w:t>réactions au site d'injection</w:t>
      </w:r>
      <w:r>
        <w:t xml:space="preserve"> (érythème, douleur, prurit, œdème — 10-20 %), infections des voies respiratoires supérieures (rhinopharyngite 17-20 %), céphalées (12-15 %).</w:t>
      </w:r>
    </w:p>
    <w:p>
      <w:r/>
      <w:r>
        <w:rPr>
          <w:i/>
        </w:rPr>
        <w:t>Fréquents (1-10 %)</w:t>
      </w:r>
      <w:r>
        <w:t xml:space="preserve"> : infections sévères (pneumonie 2-5 %, cellulite, arthrite septique), fièvre, asthénie, vertiges, hypoesthésies, paresthésies, conjonctivite, sinusite, bronchite, cystite, élévation des transaminases modérée, neutropénie modérée, éruptions cutanées, prurit, urticaire.</w:t>
      </w:r>
    </w:p>
    <w:p>
      <w:r/>
      <w:r>
        <w:rPr>
          <w:i/>
        </w:rPr>
        <w:t>Peu fréquents (0,1-1 %)</w:t>
      </w:r>
      <w:r>
        <w:t xml:space="preserve"> : </w:t>
      </w:r>
      <w:r>
        <w:rPr>
          <w:b/>
        </w:rPr>
        <w:t>tuberculose</w:t>
      </w:r>
      <w:r>
        <w:t xml:space="preserve"> (incidence annuelle 0,4-1,0 pour 100 patients-années), infections opportunistes (légionellose, listériose, pneumocystose), réactions d'hypersensibilité systémique (urticaire, bronchospasme, anaphylaxie rare), thrombopénie, anémie aplasique, psoriasis palmoplantaire paradoxal, vasculite, ATIL, néphropathie, pneumopathie interstitielle, hépatite cytolytique sévère.</w:t>
      </w:r>
    </w:p>
    <w:p>
      <w:r/>
      <w:r>
        <w:rPr>
          <w:i/>
        </w:rPr>
        <w:t>Rares (&lt; 0,1 %)</w:t>
      </w:r>
      <w:r>
        <w:t xml:space="preserve"> : </w:t>
      </w:r>
      <w:r>
        <w:rPr>
          <w:b/>
        </w:rPr>
        <w:t>démyélinisation centrale</w:t>
      </w:r>
      <w:r>
        <w:t xml:space="preserve"> (SEP de novo, névrite optique, myélite transverse — incidence 1-2 cas/10 000 patients-années), syndrome de Guillain-Barré, pancytopénie, aplasie médullaire, carcinome cutané non mélanocytaire, mélanome, lymphome, réactivation d'hépatite B (parfois fatale), hépatite fulminante, maladie sérique, anaphylaxie sévère.</w:t>
      </w:r>
    </w:p>
    <w:p>
      <w:pPr>
        <w:pStyle w:val="Heading3"/>
      </w:pPr>
      <w:r>
        <w:t>152A.7.5 Prévention et gestion des effets indésirables</w:t>
      </w:r>
    </w:p>
    <w:p>
      <w:r/>
      <w:r>
        <w:rPr>
          <w:b/>
        </w:rPr>
        <w:t>Bilan pré-thérapeutique obligatoire</w:t>
      </w:r>
      <w:r>
        <w:t xml:space="preserve"> : identique à l'infliximab (consultation spécialisée, bilan biologique complet, sérologies VHB/VHC/VIH, dépistage TB IDR ou IGRA + radio thoracique, échographie cardiaque si antécédent IC, bilan neurologique, bilan dermatologique, mise à jour vaccinale).</w:t>
      </w:r>
    </w:p>
    <w:p>
      <w:r/>
      <w:r>
        <w:rPr>
          <w:b/>
        </w:rPr>
        <w:t>Surveillance pendant le traitement</w:t>
      </w:r>
      <w:r>
        <w:t xml:space="preserve"> : examen clinique mensuel les 3 premiers mois puis trimestriel, bilan biologique mensuel les 3 premiers mois puis trimestriel (NFS-plaquettes, bilan hépatique, bilan rénal, CRP), surveillance infectieuse, surveillance TB, surveillance cardiaque si IC préexistante, surveillance neurologique, surveillance dermatologique.</w:t>
      </w:r>
    </w:p>
    <w:p>
      <w:r/>
      <w:r>
        <w:rPr>
          <w:b/>
        </w:rPr>
        <w:t>Gestion des effets indésirables spécifiques</w:t>
      </w:r>
      <w:r>
        <w:t xml:space="preserve"> :</w:t>
      </w:r>
    </w:p>
    <w:p>
      <w:pPr>
        <w:pStyle w:val="ListBullet"/>
      </w:pPr>
      <w:r/>
      <w:r>
        <w:rPr>
          <w:b/>
        </w:rPr>
        <w:t>Réactions au site d'injection</w:t>
      </w:r>
      <w:r>
        <w:t xml:space="preserve"> : rotation des sites d'injection, application de glace 5-10 minutes avant injection, hydratation cutanée, antihistaminique local (hydrocortisone 1 %) si prurit marqué, poursuite du traitement (effet tend à diminuer avec le temps). Remise de la seringue à température ambiante 15-30 minutes avant injection.</w:t>
      </w:r>
    </w:p>
    <w:p>
      <w:pPr>
        <w:pStyle w:val="ListBullet"/>
      </w:pPr>
      <w:r/>
      <w:r>
        <w:rPr>
          <w:b/>
        </w:rPr>
        <w:t>Infections bactériennes</w:t>
      </w:r>
      <w:r>
        <w:t xml:space="preserve"> : arrêt immédiat de l'adalimumab, prélèvements bactériologiques, antibiothérapie empirique selon le site, reprise 2 semaines après résolution complète.</w:t>
      </w:r>
    </w:p>
    <w:p>
      <w:pPr>
        <w:pStyle w:val="ListBullet"/>
      </w:pPr>
      <w:r/>
      <w:r>
        <w:rPr>
          <w:b/>
        </w:rPr>
        <w:t>Tuberculose active</w:t>
      </w:r>
      <w:r>
        <w:t xml:space="preserve"> : arrêt définitif, hospitalisation en maladies infectieuses, quadrithérapie antituberculeuse 6 mois. Pas de réintroduction.</w:t>
      </w:r>
    </w:p>
    <w:p>
      <w:pPr>
        <w:pStyle w:val="ListBullet"/>
      </w:pPr>
      <w:r/>
      <w:r>
        <w:rPr>
          <w:b/>
        </w:rPr>
        <w:t>Syndrome démyélinisant</w:t>
      </w:r>
      <w:r>
        <w:t xml:space="preserve"> : arrêt définitif et irréversible, avis neurologique urgent, IRM cérébrale et médullaire, traitement spécifique.</w:t>
      </w:r>
    </w:p>
    <w:p>
      <w:pPr>
        <w:pStyle w:val="ListBullet"/>
      </w:pPr>
      <w:r/>
      <w:r>
        <w:rPr>
          <w:b/>
        </w:rPr>
        <w:t>Insuffisance cardiaque aggravée</w:t>
      </w:r>
      <w:r>
        <w:t xml:space="preserve"> : arrêt définitif, avis cardiologique, traitement optimisé de l'IC, alternative thérapeutique (tocilizumab, rituximab).</w:t>
      </w:r>
    </w:p>
    <w:p>
      <w:pPr>
        <w:pStyle w:val="ListBullet"/>
      </w:pPr>
      <w:r/>
      <w:r>
        <w:rPr>
          <w:b/>
        </w:rPr>
        <w:t>Perte d'efficacité secondaire</w:t>
      </w:r>
      <w:r>
        <w:t xml:space="preserve"> : dosage des anticorps anti-adalimumab (ADA) et du taux résiduel d'adalimumab. Si ADA positifs avec taux résiduel bas : switch vers un autre anti-TNFα (golimumab, certolizumab pegol) ou une autre classe. Si ADA négatifs avec taux résiduel normal : optimisation posologique (raccourcissement à 40 mg/sem).</w:t>
      </w:r>
    </w:p>
    <w:p>
      <w:pPr>
        <w:pStyle w:val="ListBullet"/>
      </w:pPr>
      <w:r/>
      <w:r>
        <w:rPr>
          <w:b/>
        </w:rPr>
        <w:t>Hépatite B réactivation</w:t>
      </w:r>
      <w:r>
        <w:t xml:space="preserve"> : arrêt immédiat, traitement antiviral par entécavir ou ténofovir.</w:t>
      </w:r>
    </w:p>
    <w:p>
      <w:pPr>
        <w:pStyle w:val="ListBullet"/>
      </w:pPr>
      <w:r/>
      <w:r>
        <w:rPr>
          <w:b/>
        </w:rPr>
        <w:t>Lupus médicamenteux (ATIL)</w:t>
      </w:r>
      <w:r>
        <w:t xml:space="preserve"> : arrêt de l'adalimumab, recherche d'anticorps antinucléaires et anti-ADN natif, traitement symptomatique, évolution favorable en 4-12 semaines après arrêt.</w:t>
      </w:r>
    </w:p>
    <w:p>
      <w:pPr>
        <w:pStyle w:val="Heading3"/>
      </w:pPr>
      <w:r>
        <w:t>152A.7.6 Interactions médicamenteuses</w:t>
      </w:r>
    </w:p>
    <w:p>
      <w:pPr>
        <w:pStyle w:val="ListBullet"/>
      </w:pPr>
      <w:r/>
      <w:r>
        <w:rPr>
          <w:b/>
        </w:rPr>
        <w:t>Vaccins vivants atténués</w:t>
      </w:r>
      <w:r>
        <w:t xml:space="preserve"> : contre-indication absolue pendant le traitement et jusqu'à 8-12 semaines après la dernière injection.</w:t>
      </w:r>
    </w:p>
    <w:p>
      <w:pPr>
        <w:pStyle w:val="ListBullet"/>
      </w:pPr>
      <w:r/>
      <w:r>
        <w:rPr>
          <w:b/>
        </w:rPr>
        <w:t>Vaccins inactivés</w:t>
      </w:r>
      <w:r>
        <w:t xml:space="preserve"> : autorisés et recommandés.</w:t>
      </w:r>
    </w:p>
    <w:p>
      <w:pPr>
        <w:pStyle w:val="ListBullet"/>
      </w:pPr>
      <w:r/>
      <w:r>
        <w:rPr>
          <w:b/>
        </w:rPr>
        <w:t>Anakinra</w:t>
      </w:r>
      <w:r>
        <w:t xml:space="preserve"> : contre-indication absolue à l'association.</w:t>
      </w:r>
    </w:p>
    <w:p>
      <w:pPr>
        <w:pStyle w:val="ListBullet"/>
      </w:pPr>
      <w:r/>
      <w:r>
        <w:rPr>
          <w:b/>
        </w:rPr>
        <w:t>Abatacept</w:t>
      </w:r>
      <w:r>
        <w:t xml:space="preserve"> : contre-indication relative.</w:t>
      </w:r>
    </w:p>
    <w:p>
      <w:pPr>
        <w:pStyle w:val="ListBullet"/>
      </w:pPr>
      <w:r/>
      <w:r>
        <w:rPr>
          <w:b/>
        </w:rPr>
        <w:t>Méthotrexate</w:t>
      </w:r>
      <w:r>
        <w:t xml:space="preserve"> : association </w:t>
      </w:r>
      <w:r>
        <w:rPr>
          <w:b/>
        </w:rPr>
        <w:t>synergique recommandée</w:t>
      </w:r>
      <w:r>
        <w:t xml:space="preserve"> dans la PR (réduit l'immunogénicité ADA de 25 % à &lt; 5 %, améliore l'efficacité ACR20). Posologie MTX 7,5-25 mg/sem PO/SC.</w:t>
      </w:r>
    </w:p>
    <w:p>
      <w:pPr>
        <w:pStyle w:val="ListBullet"/>
      </w:pPr>
      <w:r/>
      <w:r>
        <w:rPr>
          <w:b/>
        </w:rPr>
        <w:t>Azathioprine, 6-mercaptopurine, MTX</w:t>
      </w:r>
      <w:r>
        <w:t xml:space="preserve"> : association synergique dans la maladie de Crohn et la RCH. Prudence chez les patients préalablement traités par azathioprine : risque accru de HSTCL.</w:t>
      </w:r>
    </w:p>
    <w:p>
      <w:pPr>
        <w:pStyle w:val="ListBullet"/>
      </w:pPr>
      <w:r/>
      <w:r>
        <w:rPr>
          <w:b/>
        </w:rPr>
        <w:t>Corticoïdes</w:t>
      </w:r>
      <w:r>
        <w:t xml:space="preserve"> : association possible mais risque infectieux additif.</w:t>
      </w:r>
    </w:p>
    <w:p>
      <w:pPr>
        <w:pStyle w:val="ListBullet"/>
      </w:pPr>
      <w:r/>
      <w:r>
        <w:rPr>
          <w:b/>
        </w:rPr>
        <w:t>Autres DMARDs conventionnels</w:t>
      </w:r>
      <w:r>
        <w:t xml:space="preserve"> : association possible.</w:t>
      </w:r>
    </w:p>
    <w:p>
      <w:pPr>
        <w:pStyle w:val="ListBullet"/>
      </w:pPr>
      <w:r/>
      <w:r>
        <w:rPr>
          <w:b/>
        </w:rPr>
        <w:t>AINS</w:t>
      </w:r>
      <w:r>
        <w:t xml:space="preserve"> : association possible sans interaction majeure.</w:t>
      </w:r>
    </w:p>
    <w:p>
      <w:pPr>
        <w:pStyle w:val="ListBullet"/>
      </w:pPr>
      <w:r/>
      <w:r>
        <w:rPr>
          <w:b/>
        </w:rPr>
        <w:t>Live vaccines chez l'enfant exposé in utero</w:t>
      </w:r>
      <w:r>
        <w:t xml:space="preserve"> : si la mère a reçu de l'adalimumab au 3e trimestre, l'enfant est immunodéprimé transitoirement pendant 6 mois ; reporter les vaccins vivants jusqu'à 6 mois de vie.</w:t>
      </w:r>
    </w:p>
    <w:p>
      <w:pPr>
        <w:pStyle w:val="Heading3"/>
      </w:pPr>
      <w:r>
        <w:t>152A.7.7 Grossesse et allaitement (selon le CRAT)</w:t>
      </w:r>
    </w:p>
    <w:p>
      <w:r/>
      <w:r>
        <w:rPr>
          <w:b/>
        </w:rPr>
        <w:t>Grossesse</w:t>
      </w:r>
      <w:r>
        <w:t xml:space="preserve"> :</w:t>
      </w:r>
    </w:p>
    <w:p>
      <w:pPr>
        <w:pStyle w:val="ListBullet"/>
      </w:pPr>
      <w:r/>
      <w:r>
        <w:rPr>
          <w:b/>
        </w:rPr>
        <w:t>1er et 2e trimestres</w:t>
      </w:r>
      <w:r>
        <w:t xml:space="preserve"> : utilisation possible en cas de nécessité absolue. Pas de signal tératogène documenté (registres OTIS, PIANO : pas d'augmentation du risque de malformations congénitales majeures vs population générale, ~2-3 %). Le passage transplacentaire est minimal au 1er trimestre, modéré au 2e trimestre.</w:t>
      </w:r>
    </w:p>
    <w:p>
      <w:pPr>
        <w:pStyle w:val="ListBullet"/>
      </w:pPr>
      <w:r/>
      <w:r>
        <w:rPr>
          <w:b/>
        </w:rPr>
        <w:t>3e trimestre</w:t>
      </w:r>
      <w:r>
        <w:t xml:space="preserve"> : </w:t>
      </w:r>
      <w:r>
        <w:rPr>
          <w:b/>
        </w:rPr>
        <w:t>contre-indication relative stricte</w:t>
      </w:r>
      <w:r>
        <w:t>. Le passage transplacentaire des IgG1 (dont l'adalimumab) via FcRn augmente massivement à partir de 28-32 SA, atteignant des taux fœtaux équivalents voire supérieurs aux taux maternels à terme. Risque d'immunosuppression néonatale transitoire (B et T) pendant 3-6 mois. Recommandation CRAT : arrêter l'adalimumab 16-20 semaines avant la DPA si la pathologie maternelle le permet ; sinon poursuivre jusqu'à 28-30 SA puis arrêter.</w:t>
      </w:r>
    </w:p>
    <w:p>
      <w:pPr>
        <w:pStyle w:val="ListBullet"/>
      </w:pPr>
      <w:r/>
      <w:r>
        <w:rPr>
          <w:b/>
        </w:rPr>
        <w:t>Allaitement</w:t>
      </w:r>
      <w:r>
        <w:t xml:space="preserve"> : compatible selon le CRAT (faible passage dans le lait maternel, digestion protéolytique gastrique chez le nouveau-né).</w:t>
      </w:r>
    </w:p>
    <w:p>
      <w:pPr>
        <w:pStyle w:val="ListBullet"/>
      </w:pPr>
      <w:r/>
      <w:r>
        <w:rPr>
          <w:b/>
        </w:rPr>
        <w:t>Chez l'homme</w:t>
      </w:r>
      <w:r>
        <w:t xml:space="preserve"> : aucune donnée de tératogénicité paternelle, l'adalimumab peut être utilisé chez l'homme envisageant une paternité sans délai d'arrêt pré-conceptionnel.</w:t>
      </w:r>
    </w:p>
    <w:p>
      <w:pPr>
        <w:pStyle w:val="ListBullet"/>
      </w:pPr>
      <w:r/>
      <w:r>
        <w:rPr>
          <w:b/>
        </w:rPr>
        <w:t>Désir de grossesse</w:t>
      </w:r>
      <w:r>
        <w:t xml:space="preserve"> : consultation pré-conceptionnelle spécialisée 3-6 mois avant. Switch vers certolizumab pegol si grossesse envisagée à court terme (seul anti-TNFα utilisable pendant toute la grossesse y compris 3e trimestre).</w:t>
      </w:r>
    </w:p>
    <w:p>
      <w:pPr>
        <w:pStyle w:val="Heading3"/>
      </w:pPr>
      <w:r>
        <w:t>152A.7.8 Posologie et mode d'administration</w:t>
      </w:r>
    </w:p>
    <w:p>
      <w:r/>
      <w:r>
        <w:rPr>
          <w:b/>
        </w:rPr>
        <w:t>Posologie standard chez l'adulte</w:t>
      </w:r>
      <w:r>
        <w:t xml:space="preserve"> :</w:t>
      </w:r>
    </w:p>
    <w:p>
      <w:pPr>
        <w:pStyle w:val="ListBullet"/>
      </w:pPr>
      <w:r/>
      <w:r>
        <w:rPr>
          <w:b/>
        </w:rPr>
        <w:t>Polyarthrite rhumatoïde, spondyloarthrite axiale, rhumatisme psoriasique</w:t>
      </w:r>
      <w:r>
        <w:t xml:space="preserve"> : 40 mg SC toutes les 2 semaines, en association au MTX 7,5-25 mg/sem dans la PR (réduit l'immunogénicité). En cas de réponse insuffisante, optimisation possible : raccourcissement à 40 mg/sem.</w:t>
      </w:r>
    </w:p>
    <w:p>
      <w:pPr>
        <w:pStyle w:val="ListBullet"/>
      </w:pPr>
      <w:r/>
      <w:r>
        <w:rPr>
          <w:b/>
        </w:rPr>
        <w:t>Psoriasis en plaques</w:t>
      </w:r>
      <w:r>
        <w:t xml:space="preserve"> : induction 80 mg SC à S0 (2 × 40 mg), 40 mg à S1, puis 40 mg toutes les 2 semaines à partir de S2.</w:t>
      </w:r>
    </w:p>
    <w:p>
      <w:pPr>
        <w:pStyle w:val="ListBullet"/>
      </w:pPr>
      <w:r/>
      <w:r>
        <w:rPr>
          <w:b/>
        </w:rPr>
        <w:t>Maladie de Crohn</w:t>
      </w:r>
      <w:r>
        <w:t xml:space="preserve"> : induction 160 mg SC à S0 (4 × 40 mg), 80 mg à S2, puis 40 mg toutes les 2 semaines à partir de S4. En cas de réponse insuffisante à 40 mg/2 sem, optimisation à 40 mg/sem ou 80 mg/2 sem.</w:t>
      </w:r>
    </w:p>
    <w:p>
      <w:pPr>
        <w:pStyle w:val="ListBullet"/>
      </w:pPr>
      <w:r/>
      <w:r>
        <w:rPr>
          <w:b/>
        </w:rPr>
        <w:t>Rectocolite hémorragique</w:t>
      </w:r>
      <w:r>
        <w:t xml:space="preserve"> : induction 160 mg SC à S0, 80 mg à S2, puis 40 mg toutes les 2 semaines à partir de S4.</w:t>
      </w:r>
    </w:p>
    <w:p>
      <w:pPr>
        <w:pStyle w:val="ListBullet"/>
      </w:pPr>
      <w:r/>
      <w:r>
        <w:rPr>
          <w:b/>
        </w:rPr>
        <w:t>Uvéite non infectieuse</w:t>
      </w:r>
      <w:r>
        <w:t xml:space="preserve"> : induction 80 mg SC à S0, 40 mg à S1, puis 40 mg toutes les 2 semaines à partir de S2.</w:t>
      </w:r>
    </w:p>
    <w:p>
      <w:pPr>
        <w:pStyle w:val="ListBullet"/>
      </w:pPr>
      <w:r/>
      <w:r>
        <w:rPr>
          <w:b/>
        </w:rPr>
        <w:t>Hidrosadénite suppurée</w:t>
      </w:r>
      <w:r>
        <w:t xml:space="preserve"> : induction 160 mg SC à S0 (Day 1), 80 mg à S2 (Day 15), puis 40 mg toutes les 2 semaines à partir de S4 (Day 29).</w:t>
      </w:r>
    </w:p>
    <w:p>
      <w:pPr>
        <w:pStyle w:val="ListBullet"/>
      </w:pPr>
      <w:r/>
      <w:r>
        <w:rPr>
          <w:b/>
        </w:rPr>
        <w:t>Enfant &gt; 2 ans (ACJI polyarticulaire)</w:t>
      </w:r>
      <w:r>
        <w:t xml:space="preserve"> : 24 mg/m² SC (max 40 mg) toutes les 2 semaines.</w:t>
      </w:r>
    </w:p>
    <w:p>
      <w:pPr>
        <w:pStyle w:val="ListBullet"/>
      </w:pPr>
      <w:r/>
      <w:r>
        <w:rPr>
          <w:b/>
        </w:rPr>
        <w:t>Enfant &gt; 6 ans (maladie de Crohn)</w:t>
      </w:r>
      <w:r>
        <w:t xml:space="preserve"> : poids &lt; 17 kg : 20 mg toutes les 2 sem ; 17-40 kg : 40 mg toutes les 2 sem ; &gt; 40 kg : posologie adulte.</w:t>
      </w:r>
    </w:p>
    <w:p>
      <w:r/>
      <w:r>
        <w:rPr>
          <w:b/>
        </w:rPr>
        <w:t>Mode d'administration</w:t>
      </w:r>
      <w:r>
        <w:t xml:space="preserve"> :</w:t>
      </w:r>
    </w:p>
    <w:p>
      <w:pPr>
        <w:pStyle w:val="ListBullet"/>
      </w:pPr>
      <w:r>
        <w:t>Voie sous-cutanée stricte (jamais IV, jamais IM).</w:t>
      </w:r>
    </w:p>
    <w:p>
      <w:pPr>
        <w:pStyle w:val="ListBullet"/>
      </w:pPr>
      <w:r>
        <w:t>Sites d'injection : cuisse antéro-externe, abdomen (à l'exception de la zone périombilicale de 5 cm), bras externe supérieur (si administration par un tiers). Rotation systématique des sites.</w:t>
      </w:r>
    </w:p>
    <w:p>
      <w:pPr>
        <w:pStyle w:val="ListBullet"/>
      </w:pPr>
      <w:r>
        <w:t>Technique : désinfection par tampon alcoolisé, pincer le pli cutané, injecter lentement, relâcher le pli, ne pas masser.</w:t>
      </w:r>
    </w:p>
    <w:p>
      <w:pPr>
        <w:pStyle w:val="ListBullet"/>
      </w:pPr>
      <w:r>
        <w:t>Conservation : au réfrigérateur (2-8°C), à l'abri de la lumière, dans l'emballage extérieur. Ne pas congeler. Avant injection, sortir la seringue 15-30 minutes à l'avance pour la remettre à température ambiante.</w:t>
      </w:r>
    </w:p>
    <w:p>
      <w:pPr>
        <w:pStyle w:val="ListBullet"/>
      </w:pPr>
      <w:r/>
      <w:r>
        <w:rPr>
          <w:b/>
        </w:rPr>
        <w:t>Auto-administration</w:t>
      </w:r>
      <w:r>
        <w:t xml:space="preserve"> : formation obligatoire par infirmier(ère) ou rhumatologue, remise d'un carnet d'auto-surveillance.</w:t>
      </w:r>
    </w:p>
    <w:p>
      <w:r/>
      <w:r>
        <w:rPr>
          <w:b/>
        </w:rPr>
        <w:t>Adaptation posologique selon la fonction rénale</w:t>
      </w:r>
      <w:r>
        <w:t xml:space="preserve"> : pas d'adaptation en IR modérée. Prudence en IR sévère (DFG &lt; 30 mL/min) en raison de l'insuffisance de données.</w:t>
      </w:r>
    </w:p>
    <w:p>
      <w:r/>
      <w:r>
        <w:rPr>
          <w:b/>
        </w:rPr>
        <w:t>Adaptation posologique selon la fonction hépatique</w:t>
      </w:r>
      <w:r>
        <w:t xml:space="preserve"> : pas d'adaptation en IH modérée. Contre-indication relative en IH sévère.</w:t>
      </w:r>
    </w:p>
    <w:p>
      <w:r/>
      <w:r>
        <w:rPr>
          <w:b/>
        </w:rPr>
        <w:t>Durée du traitement</w:t>
      </w:r>
      <w:r>
        <w:t xml:space="preserve"> : traitement chronique au long cours (années). En cas de rémission durable, discussion d'une décroissance progressive (espacement des injections à 3 puis 4 semaines) avec surveillance rapprochée — risque de rechute à 1 an de 30-50 % en cas d'arrêt complet.</w:t>
      </w:r>
    </w:p>
    <w:p>
      <w:pPr>
        <w:pStyle w:val="Heading3"/>
      </w:pPr>
      <w:r>
        <w:t>152A.7.9 Formes galéniques disponibles</w:t>
      </w:r>
    </w:p>
    <w:p>
      <w:pPr>
        <w:pStyle w:val="ListBullet"/>
      </w:pPr>
      <w:r/>
      <w:r>
        <w:rPr>
          <w:b/>
        </w:rPr>
        <w:t>Solution injectable SC en seringue préremplie 40 mg/0,8 mL</w:t>
      </w:r>
      <w:r>
        <w:t xml:space="preserve"> : conditionnement B/2 seringues préremplies de 0,8 mL (correspond à 4 semaines de traitement à 40 mg × 1/2 sem, posologie standard adulte). Disponible sous les 9 marques HUMIRA, AMGEVITA, CINNORA, AMSPARITY, HULIO, HYRIMOZ, ADAMIRA, ADALIMUMAB-SAIDAL, IDACIO. Forme la plus prescrite en Algérie.</w:t>
      </w:r>
    </w:p>
    <w:p>
      <w:pPr>
        <w:pStyle w:val="ListBullet"/>
      </w:pPr>
      <w:r/>
      <w:r>
        <w:rPr>
          <w:b/>
        </w:rPr>
        <w:t>Stylo auto-injecteur</w:t>
      </w:r>
      <w:r>
        <w:t xml:space="preserve"> : commercialisé en Europe et aux États-Unis sous les noms Humira Pen, Amgevita Pen, Hyrimoz Pen, Idacio Pen. Disponibilité variable en Algérie selon les marques — seules les seringues préremplies sont systématiquement référencées.</w:t>
      </w:r>
    </w:p>
    <w:p>
      <w:pPr>
        <w:pStyle w:val="ListBullet"/>
      </w:pPr>
      <w:r/>
      <w:r>
        <w:rPr>
          <w:b/>
        </w:rPr>
        <w:t>Forme pédiatrique</w:t>
      </w:r>
      <w:r>
        <w:t xml:space="preserve"> : la forme 40 mg/0,8 mL est adaptée à l'enfant &gt; 6 ans avec adaptation au poids. La forme 20 mg/0,2 mL et 10 mg/0,1 mL en seringue préremplie est disponible à l'international mais non référencée dans la nomenclature algérienne active au 1er avril 2026.</w:t>
      </w:r>
    </w:p>
    <w:p>
      <w:pPr>
        <w:pStyle w:val="ListBullet"/>
      </w:pPr>
      <w:r/>
      <w:r>
        <w:rPr>
          <w:b/>
        </w:rPr>
        <w:t>Forme IV</w:t>
      </w:r>
      <w:r>
        <w:t xml:space="preserve"> : non disponible (l'adalimumab est exclusivement SC).</w:t>
      </w:r>
    </w:p>
    <w:p>
      <w:pPr>
        <w:pStyle w:val="ListBullet"/>
      </w:pPr>
      <w:r/>
      <w:r>
        <w:rPr>
          <w:b/>
        </w:rPr>
        <w:t>Forme IM</w:t>
      </w:r>
      <w:r>
        <w:t xml:space="preserve"> : non disponible.</w:t>
      </w:r>
    </w:p>
    <w:p>
      <w:pPr>
        <w:pStyle w:val="ListBullet"/>
      </w:pPr>
      <w:r/>
      <w:r>
        <w:rPr>
          <w:b/>
        </w:rPr>
        <w:t>Conservation</w:t>
      </w:r>
      <w:r>
        <w:t xml:space="preserve"> : 2-8°C (réfrigérateur), à l'abri de la lumière, dans l'emballage extérieur. Ne pas congeler. Durée de validité : 24-36 mois avant péremption selon la marque.</w:t>
      </w:r>
    </w:p>
    <w:p>
      <w:pPr>
        <w:pStyle w:val="Heading3"/>
      </w:pPr>
      <w:r>
        <w:t>152A.7.10 Conseils au patient</w:t>
      </w:r>
    </w:p>
    <w:p>
      <w:pPr>
        <w:pStyle w:val="ListBullet"/>
      </w:pPr>
      <w:r/>
      <w:r>
        <w:rPr>
          <w:b/>
        </w:rPr>
        <w:t>Information sur le caractère chronique du traitement</w:t>
      </w:r>
      <w:r>
        <w:t xml:space="preserve"> : l'adalimumab ne guérit pas la maladie rhumatologique mais en contrôle l'inflammation. Le délai d'action initial est de 1-2 semaines (amélioration symptomatique) avec un plateau d'efficacité à 12-24 semaines.</w:t>
      </w:r>
    </w:p>
    <w:p>
      <w:pPr>
        <w:pStyle w:val="ListBullet"/>
      </w:pPr>
      <w:r/>
      <w:r>
        <w:rPr>
          <w:b/>
        </w:rPr>
        <w:t>Éducation à la technique d'auto-injection</w:t>
      </w:r>
      <w:r>
        <w:t xml:space="preserve"> : formation initiale par infirmier(ère) ou rhumatologue, avec remise d'un carnet d'auto-surveillance. Rotation systématique des sites d'injection. Conservation au réfrigérateur (2-8°C), remise à température ambiante 15-30 min avant injection.</w:t>
      </w:r>
    </w:p>
    <w:p>
      <w:pPr>
        <w:pStyle w:val="ListBullet"/>
      </w:pPr>
      <w:r/>
      <w:r>
        <w:rPr>
          <w:b/>
        </w:rPr>
        <w:t>Éducation aux signes d'alerte</w:t>
      </w:r>
      <w:r>
        <w:t xml:space="preserve"> : fièvre ≥ 38,5°C, toux persistante &gt; 7 jours, dyspnée, douleur thoracique, hémoptysie, signes urinaires, douleur abdominale, céphalées intenses, troubles visuels, paresthésies, faiblesse musculaire, troubles de l'équilibre, éruption cutanée étendue, aphtes buccaux multiples, éruption psoriasique palmoplantaire paradoxale.</w:t>
      </w:r>
    </w:p>
    <w:p>
      <w:pPr>
        <w:pStyle w:val="ListBullet"/>
      </w:pPr>
      <w:r/>
      <w:r>
        <w:rPr>
          <w:b/>
        </w:rPr>
        <w:t>Surveillance biologique</w:t>
      </w:r>
      <w:r>
        <w:t xml:space="preserve"> mensuelle les 3 premiers mois puis trimestrielle.</w:t>
      </w:r>
    </w:p>
    <w:p>
      <w:pPr>
        <w:pStyle w:val="ListBullet"/>
      </w:pPr>
      <w:r/>
      <w:r>
        <w:rPr>
          <w:b/>
        </w:rPr>
        <w:t>Vaccinations</w:t>
      </w:r>
      <w:r>
        <w:t xml:space="preserve"> : mettre à jour les vaccins avant l'initiation. Éviter les vaccins vivants (BCG, ROR, fièvre jaune, varicelle) pendant le traitement et pendant 8-12 semaines après l'arrêt.</w:t>
      </w:r>
    </w:p>
    <w:p>
      <w:pPr>
        <w:pStyle w:val="ListBullet"/>
      </w:pPr>
      <w:r/>
      <w:r>
        <w:rPr>
          <w:b/>
        </w:rPr>
        <w:t>Prévention de la tuberculose</w:t>
      </w:r>
      <w:r>
        <w:t xml:space="preserve"> : information du risque. Consulter en urgence en cas de toux chronique, fièvre, sueurs nocturnes, amaigrissement.</w:t>
      </w:r>
    </w:p>
    <w:p>
      <w:pPr>
        <w:pStyle w:val="ListBullet"/>
      </w:pPr>
      <w:r/>
      <w:r>
        <w:rPr>
          <w:b/>
        </w:rPr>
        <w:t>Prévention des infections opportunistes</w:t>
      </w:r>
      <w:r>
        <w:t xml:space="preserve"> : prudence alimentaire (pas de fromages au lait cru, pas de charcuterie non cuite, pas de légumes crus mal lavés), prudence avec les animaux.</w:t>
      </w:r>
    </w:p>
    <w:p>
      <w:pPr>
        <w:pStyle w:val="ListBullet"/>
      </w:pPr>
      <w:r/>
      <w:r>
        <w:rPr>
          <w:b/>
        </w:rPr>
        <w:t>Éviter la consommation d'alcool</w:t>
      </w:r>
      <w:r>
        <w:t xml:space="preserve"> (hépatotoxicité additive avec MTX concomitant).</w:t>
      </w:r>
    </w:p>
    <w:p>
      <w:pPr>
        <w:pStyle w:val="ListBullet"/>
      </w:pPr>
      <w:r/>
      <w:r>
        <w:rPr>
          <w:b/>
        </w:rPr>
        <w:t>Grossesse et contraception</w:t>
      </w:r>
      <w:r>
        <w:t xml:space="preserve"> : contraception rigoureuse obligatoire chez la femme en âge de procréer. En cas de désir de grossesse, consulter le rhumatologue 3-6 mois à l'avance pour switch vers certolizumab pegol. Arrêt impératif au 3e trimestre (idéalement 16-20 semaines avant DPA).</w:t>
      </w:r>
    </w:p>
    <w:p>
      <w:pPr>
        <w:pStyle w:val="ListBullet"/>
      </w:pPr>
      <w:r/>
      <w:r>
        <w:rPr>
          <w:b/>
        </w:rPr>
        <w:t>Carnet de suivi</w:t>
      </w:r>
      <w:r>
        <w:t xml:space="preserve"> : remise d'un carnet patient avec dates d'injection, sites, effets indésirables éventuels, dates de consultations et de bilans biologiques.</w:t>
      </w:r>
    </w:p>
    <w:p>
      <w:pPr>
        <w:pStyle w:val="ListBullet"/>
      </w:pPr>
      <w:r/>
      <w:r>
        <w:rPr>
          <w:b/>
        </w:rPr>
        <w:t>Observance du méthotrexate concomitant</w:t>
      </w:r>
      <w:r>
        <w:t xml:space="preserve"> (PR) : expliquer l'importance de l'association adalimumab + MTX (réduit l'immunogénicité, potentialise l'efficacité).</w:t>
      </w:r>
    </w:p>
    <w:p>
      <w:pPr>
        <w:pStyle w:val="Heading3"/>
      </w:pPr>
      <w:r>
        <w:t>152A.7.11 Pièges du comptoir</w:t>
      </w:r>
    </w:p>
    <w:p>
      <w:pPr>
        <w:pStyle w:val="ListNumber"/>
      </w:pPr>
      <w:r/>
      <w:r>
        <w:rPr>
          <w:b/>
        </w:rPr>
        <w:t>Confusion entre adalimumab et autres anti-TNFα</w:t>
      </w:r>
      <w:r>
        <w:t xml:space="preserve"> : l'adalimumab est un anticorps monoclonal </w:t>
      </w:r>
      <w:r>
        <w:rPr>
          <w:b/>
        </w:rPr>
        <w:t>entièrement humain</w:t>
      </w:r>
      <w:r>
        <w:t xml:space="preserve"> (vs chimérique pour infliximab), administré en SC à 40 mg/2 sem (vs IV pour infliximab). Son profil d'efficacité est équivalent à l'infliximab mais avec une moindre immunogénicité et une administration à domicile.</w:t>
      </w:r>
    </w:p>
    <w:p>
      <w:pPr>
        <w:pStyle w:val="ListNumber"/>
      </w:pPr>
      <w:r/>
      <w:r>
        <w:rPr>
          <w:b/>
        </w:rPr>
        <w:t>Confusion des marques (9 biosimilaires disponibles)</w:t>
      </w:r>
      <w:r>
        <w:t xml:space="preserve"> : le pharmacien doit vérifier la correspondance entre la prescription et la marque délivrée. En cas de substitution princeps ↔ biosimilaire, le switch doit être validé par le prescripteur et notifié dans le dossier pharmaceutique. Surveillance renforcée dans les 3 mois suivant le switch.</w:t>
      </w:r>
    </w:p>
    <w:p>
      <w:pPr>
        <w:pStyle w:val="ListNumber"/>
      </w:pPr>
      <w:r/>
      <w:r>
        <w:rPr>
          <w:b/>
        </w:rPr>
        <w:t>Oubli du dépistage tuberculose</w:t>
      </w:r>
      <w:r>
        <w:t xml:space="preserve"> : risque particulier avec l'adalimumab (incidence 0,4-1,0 pour 100 patients-années). Vérifier le bilan TB pré-thérapeutique.</w:t>
      </w:r>
    </w:p>
    <w:p>
      <w:pPr>
        <w:pStyle w:val="ListNumber"/>
      </w:pPr>
      <w:r/>
      <w:r>
        <w:rPr>
          <w:b/>
        </w:rPr>
        <w:t>Oubli du dépistage VHB</w:t>
      </w:r>
      <w:r>
        <w:t xml:space="preserve"> : risque de réactivation hépatite B parfois fatale. Vérifier les sérologies VHB.</w:t>
      </w:r>
    </w:p>
    <w:p>
      <w:pPr>
        <w:pStyle w:val="ListNumber"/>
      </w:pPr>
      <w:r/>
      <w:r>
        <w:rPr>
          <w:b/>
        </w:rPr>
        <w:t>Vaccination vivante pendant le traitement</w:t>
      </w:r>
      <w:r>
        <w:t xml:space="preserve"> : contre-indication absolue. Respecter un délai de 8-12 semaines après la dernière injection pour les vaccins vivants.</w:t>
      </w:r>
    </w:p>
    <w:p>
      <w:pPr>
        <w:pStyle w:val="ListNumber"/>
      </w:pPr>
      <w:r/>
      <w:r>
        <w:rPr>
          <w:b/>
        </w:rPr>
        <w:t>Perte d'efficacité banalisée</w:t>
      </w:r>
      <w:r>
        <w:t xml:space="preserve"> : une perte d'efficacité secondaire doit faire évoquer la formation d'ADA. Orient er le patient vers son rhumatologue pour dosage des anticorps anti-adalimumab et taux résiduel. Switch possible vers golimumab, certolizumab, ou une autre classe.</w:t>
      </w:r>
    </w:p>
    <w:p>
      <w:pPr>
        <w:pStyle w:val="ListNumber"/>
      </w:pPr>
      <w:r/>
      <w:r>
        <w:rPr>
          <w:b/>
        </w:rPr>
        <w:t>Association adalimumab + azathioprine prolongée &gt; 1 an</w:t>
      </w:r>
      <w:r>
        <w:t xml:space="preserve"> : risque de HSTCL particulièrement chez les jeunes hommes atteints de maladie de Crohn. Éviter la triple thérapie prolongée.</w:t>
      </w:r>
    </w:p>
    <w:p>
      <w:pPr>
        <w:pStyle w:val="ListNumber"/>
      </w:pPr>
      <w:r/>
      <w:r>
        <w:rPr>
          <w:b/>
        </w:rPr>
        <w:t>Grossesse méconnue au 3e trimestre</w:t>
      </w:r>
      <w:r>
        <w:t xml:space="preserve"> : contre-indication absolue. Vérifier la contraception. En cas de désir de grossesse, switch vers certolizumab pegol.</w:t>
      </w:r>
    </w:p>
    <w:p>
      <w:pPr>
        <w:pStyle w:val="ListNumber"/>
      </w:pPr>
      <w:r/>
      <w:r>
        <w:rPr>
          <w:b/>
        </w:rPr>
        <w:t>Réaction au site d'injection banalisée</w:t>
      </w:r>
      <w:r>
        <w:t xml:space="preserve"> : la réaction au site d'injection est fréquente (10-20 %) mais généralement bénigne. Le pharmacien doit informer le patient de la rotation des sites et de la remise à température ambiante avant injection. Une réaction grave (nécrose, abcès) doit faire arrêter le traitement et consulter en urgence.</w:t>
      </w:r>
    </w:p>
    <w:p>
      <w:pPr>
        <w:pStyle w:val="ListNumber"/>
      </w:pPr>
      <w:r/>
      <w:r>
        <w:rPr>
          <w:b/>
        </w:rPr>
        <w:t>Conservation inadéquate</w:t>
      </w:r>
      <w:r>
        <w:t xml:space="preserve"> : conservation à 2-8°C obligatoire. Une congélation altère la protéine. Vérifier la chaîne du froid lors de la dispensation (sac isotherme avec accumulateur de froid pour le transport).</w:t>
      </w:r>
    </w:p>
    <w:p>
      <w:pPr>
        <w:pStyle w:val="ListNumber"/>
      </w:pPr>
      <w:r/>
      <w:r>
        <w:rPr>
          <w:b/>
        </w:rPr>
        <w:t>Adalimumab en cas d'uvéite</w:t>
      </w:r>
      <w:r>
        <w:t xml:space="preserve"> : l'adalimumab est le seul anti-TNFα avec AMM dans l'uvéite non infectieuse. Le pharmacien doit vérifier l'indication et orienter le patient vers un ophtalmologue pour suivi spécialisé (surveillance de l'acuité visuelle, FO, OCT).</w:t>
      </w:r>
    </w:p>
    <w:p>
      <w:pPr>
        <w:pStyle w:val="ListNumber"/>
      </w:pPr>
      <w:r/>
      <w:r>
        <w:rPr>
          <w:b/>
        </w:rPr>
        <w:t>Switch de marque (princeps ↔ biosimilaire)</w:t>
      </w:r>
      <w:r>
        <w:t xml:space="preserve"> : le switch d'un princeps vers un biosimilaire (ou vice versa) est possible après avis spécialisé, sans washout nécessaire (la prochaine injection à la date prévue avec le nouveau biosimilaire). Surveillance clinique et biologique renforcée dans les 3 mois suivant le switch (recherche d'anticorps anti-médicament et de perte d'efficacité).</w:t>
      </w:r>
    </w:p>
    <w:p>
      <w:pPr>
        <w:pStyle w:val="Heading3"/>
      </w:pPr>
      <w:r>
        <w:t>152A.7.12 Notes et règle d'or</w:t>
      </w:r>
    </w:p>
    <w:p>
      <w:r/>
      <w:r>
        <w:rPr>
          <w:b/>
        </w:rPr>
        <w:t>Règle d'or</w:t>
      </w:r>
      <w:r>
        <w:t xml:space="preserve"> : L'adalimumab est l'anti-TNFα de référence en première intention dans la PR, les SpA, le RPso, le psoriasis sévère, la maladie de Crohn, la RCH et l'uvéite non infectieuse, en raison de son profil d'efficacité supérieur (ACR20 53-58 % à 24 semaines, PASI75 80 %), de sa facilité d'administration (40 mg SC/2 sem en auto-injection à domicile), de sa moindre immunogénicité (entièrement humain, ADA &lt; 5 % avec MTX) et de la diversité des biosimilaires disponibles en Algérie (9 marques, accès économique élargi). Son utilisation impose l'association systématique au MTX dans la PR (réduction de l'immunogénicité), le dépistage rigoureux de la tuberculose et de l'hépatite B, et le respect des contre-indications absolues (IC NYHA III-IV, maladie démyélinisante). Son utilisation au 3e trimestre de grossesse est strictement contre-indiquée (switch vers certolizumab pegol si grossesse).</w:t>
      </w:r>
    </w:p>
    <w:p>
      <w:pPr>
        <w:pStyle w:val="Heading2"/>
      </w:pPr>
      <w:r>
        <w:t>152A.8 DCI : Golimumab (Golimumab)</w:t>
      </w:r>
    </w:p>
    <w:p>
      <w:pPr>
        <w:pStyle w:val="Heading3"/>
      </w:pPr>
      <w:r>
        <w:t>152A.8.1 Liste des catégories</w:t>
      </w:r>
    </w:p>
    <w:p>
      <w:pPr>
        <w:pStyle w:val="ListBullet"/>
      </w:pPr>
      <w:r/>
      <w:r>
        <w:rPr>
          <w:b/>
        </w:rPr>
        <w:t>DCI</w:t>
      </w:r>
      <w:r>
        <w:t xml:space="preserve"> : Golimumab</w:t>
      </w:r>
    </w:p>
    <w:p>
      <w:pPr>
        <w:pStyle w:val="ListBullet"/>
      </w:pPr>
      <w:r/>
      <w:r>
        <w:rPr>
          <w:b/>
        </w:rPr>
        <w:t>Code ATC</w:t>
      </w:r>
      <w:r>
        <w:t xml:space="preserve"> : L04AB06 — Immunosuppresseurs, anticorps monoclonaux anti-TNFα</w:t>
      </w:r>
    </w:p>
    <w:p>
      <w:pPr>
        <w:pStyle w:val="ListBullet"/>
      </w:pPr>
      <w:r/>
      <w:r>
        <w:rPr>
          <w:b/>
        </w:rPr>
        <w:t>Classe pharmacothérapeutique</w:t>
      </w:r>
      <w:r>
        <w:t xml:space="preserve"> : DMARD biologique (bDMARD), anticorps monoclonal entièrement humain IgG1κ anti-TNFα (technologie souris transgénique UltiMAb)</w:t>
      </w:r>
    </w:p>
    <w:p>
      <w:pPr>
        <w:pStyle w:val="ListBullet"/>
      </w:pPr>
      <w:r/>
      <w:r>
        <w:rPr>
          <w:b/>
        </w:rPr>
        <w:t>Réglementation algérienne</w:t>
      </w:r>
      <w:r>
        <w:t xml:space="preserve"> : </w:t>
      </w:r>
      <w:r>
        <w:rPr>
          <w:b/>
        </w:rPr>
        <w:t>Liste I</w:t>
      </w:r>
      <w:r>
        <w:t xml:space="preserve"> (sur ordonnance médicale obligatoire), prescription initiale hospitalo-universitaire réservée aux spécialistes en rhumatologie, gastro-entérologie, dermatologie, médecine interne. Renouvellement possible en ville après stabilisation.</w:t>
      </w:r>
    </w:p>
    <w:p>
      <w:pPr>
        <w:pStyle w:val="ListBullet"/>
      </w:pPr>
      <w:r/>
      <w:r>
        <w:rPr>
          <w:b/>
        </w:rPr>
        <w:t>Statut Liste des stupéfiants</w:t>
      </w:r>
      <w:r>
        <w:t xml:space="preserve"> : Non applicable</w:t>
      </w:r>
    </w:p>
    <w:p>
      <w:pPr>
        <w:pStyle w:val="ListBullet"/>
      </w:pPr>
      <w:r/>
      <w:r>
        <w:rPr>
          <w:b/>
        </w:rPr>
        <w:t>Statut grossesse</w:t>
      </w:r>
      <w:r>
        <w:t xml:space="preserve"> : Compatible aux 1er et 2e trimestres en cas de nécessité absolue ; </w:t>
      </w:r>
      <w:r>
        <w:rPr>
          <w:b/>
        </w:rPr>
        <w:t>contre-indication absolue au 3e trimestre</w:t>
      </w:r>
      <w:r/>
    </w:p>
    <w:p>
      <w:pPr>
        <w:pStyle w:val="ListBullet"/>
      </w:pPr>
      <w:r/>
      <w:r>
        <w:rPr>
          <w:b/>
        </w:rPr>
        <w:t>Statut allaitement</w:t>
      </w:r>
      <w:r>
        <w:t xml:space="preserve"> : Compatible (faible passage dans le lait maternel)</w:t>
      </w:r>
    </w:p>
    <w:p>
      <w:pPr>
        <w:pStyle w:val="ListBullet"/>
      </w:pPr>
      <w:r/>
      <w:r>
        <w:rPr>
          <w:b/>
        </w:rPr>
        <w:t>Disponibilité Algérie au 1er avril 2026</w:t>
      </w:r>
      <w:r>
        <w:t xml:space="preserve"> : 1 seule spécialité active (SIMPONI, Janssen Biologics), 1 dosage (50 mg/stylo en stylo prérempli SC). Pas de biosimilaire disponible à ce jour.</w:t>
      </w:r>
    </w:p>
    <w:p>
      <w:pPr>
        <w:pStyle w:val="ListBullet"/>
      </w:pPr>
      <w:r/>
      <w:r>
        <w:rPr>
          <w:b/>
        </w:rPr>
        <w:t>Coût mensuel estimé</w:t>
      </w:r>
      <w:r>
        <w:t xml:space="preserve"> : 35 000 à 50 000 DA pour 50 mg/4 sem en entretien (coût élevé, absence de biosimilaire)</w:t>
      </w:r>
    </w:p>
    <w:p>
      <w:pPr>
        <w:pStyle w:val="ListBullet"/>
      </w:pPr>
      <w:r/>
      <w:r>
        <w:rPr>
          <w:b/>
        </w:rPr>
        <w:t>Laboratoires référencés</w:t>
      </w:r>
      <w:r>
        <w:t xml:space="preserve"> : JANSSEN BIOLOGICS (princeps SIMPONI, exclusivité)</w:t>
      </w:r>
    </w:p>
    <w:p>
      <w:pPr>
        <w:pStyle w:val="Heading3"/>
      </w:pPr>
      <w:r>
        <w:t>152A.8.2 Médicaments disponibles en Algérie (tableau commercial exhaustif)</w:t>
      </w:r>
    </w:p>
    <w:p>
      <w:r>
        <w:t>Le golimumab est commercialisé en Algérie au 1er avril 2026 sous une seule marque (SIMPONI, Janssen Biologics), sans biosimilaire disponible, en 1 dosage unique (50 mg par stylo prérempli), totalisant 1 conditionnement actif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SIMPONI</w:t>
            </w:r>
          </w:p>
        </w:tc>
        <w:tc>
          <w:tcPr>
            <w:tcW w:type="dxa" w:w="1559"/>
          </w:tcPr>
          <w:p>
            <w:r>
              <w:rPr>
                <w:sz w:val="20"/>
              </w:rPr>
              <w:t>JANSSEN BIOLOGICS</w:t>
            </w:r>
          </w:p>
        </w:tc>
        <w:tc>
          <w:tcPr>
            <w:tcW w:type="dxa" w:w="1559"/>
          </w:tcPr>
          <w:p>
            <w:r>
              <w:rPr>
                <w:sz w:val="20"/>
              </w:rPr>
              <w:t>Solution injectable SC en stylo prérempli — 50 mg/stylo</w:t>
            </w:r>
          </w:p>
        </w:tc>
        <w:tc>
          <w:tcPr>
            <w:tcW w:type="dxa" w:w="1559"/>
          </w:tcPr>
          <w:p>
            <w:r>
              <w:rPr>
                <w:sz w:val="20"/>
              </w:rPr>
              <w:t>B/1 stylo de 0,5 mL</w:t>
            </w:r>
          </w:p>
        </w:tc>
        <w:tc>
          <w:tcPr>
            <w:tcW w:type="dxa" w:w="1559"/>
          </w:tcPr>
          <w:p>
            <w:r>
              <w:rPr>
                <w:sz w:val="20"/>
              </w:rPr>
              <w:t>LISTE I</w:t>
            </w:r>
          </w:p>
        </w:tc>
        <w:tc>
          <w:tcPr>
            <w:tcW w:type="dxa" w:w="1559"/>
          </w:tcPr>
          <w:p>
            <w:r>
              <w:rPr>
                <w:sz w:val="20"/>
              </w:rPr>
              <w:t>ACTIF</w:t>
            </w:r>
          </w:p>
        </w:tc>
      </w:tr>
    </w:tbl>
    <w:p/>
    <w:p>
      <w:r>
        <w:t xml:space="preserve">Le marché algérien du golimumab est </w:t>
      </w:r>
      <w:r>
        <w:rPr>
          <w:b/>
        </w:rPr>
        <w:t>monopolistique</w:t>
      </w:r>
      <w:r>
        <w:t xml:space="preserve"> avec une seule spécialité disponible (SIMPONI, Janssen Biologics). Le brevet du golimumab n'a pas encore expiré (brevet européen attendu en 2024-2026, ouverture potentielle du marché aux biosimilaires après cette date), ce qui explique l'absence de biosimilaire disponible à ce jour en Algérie. Le coût mensuel d'un traitement par golimumab 50 mg/4 sem en entretien est de 35 000 à 50 000 DA, en limite haute des anti-TNFα SC, sans alternative économique (pas de biosimilaire). Le conditionnement de 1 stylo correspond à 1 mois de traitement à la posologie standard de 50 mg une fois par mois. Le golimumab est l'anti-TNFα à la fréquence d'administration la plus espacée (1 injection mensuelle), ce qui en fait une option intéressante en termes d'observance, particulièrement chez le patient jeune actif ou le sujet âgé pour qui la fréquence d'injection est un frein à l'observance. La forme IV existe à l'international (SIMPONI IV, 50 mg/flacon) pour la PR en association au MTX, mais n'est pas référencée dans la nomenclature algérienne active au 1er avril 2026 — seule la forme SC en stylo prérempli est disponible.</w:t>
      </w:r>
    </w:p>
    <w:p>
      <w:pPr>
        <w:pStyle w:val="Heading3"/>
      </w:pPr>
      <w:r>
        <w:t>152A.8.3 Mécanisme d'action détaillé</w:t>
      </w:r>
    </w:p>
    <w:p>
      <w:r>
        <w:t xml:space="preserve">Le golimumab est un </w:t>
      </w:r>
      <w:r>
        <w:rPr>
          <w:b/>
        </w:rPr>
        <w:t>anticorps monoclonal entièrement humain de classe IgG1κ dirigé spécifiquement contre le TNFα humain</w:t>
      </w:r>
      <w:r>
        <w:t xml:space="preserve"> (soluble et transmembranaire), sans action sur la lymphotoxine-α (LTα, TNFβ). Il a été développé par technologie </w:t>
      </w:r>
      <w:r>
        <w:rPr>
          <w:b/>
        </w:rPr>
        <w:t>souris transgénique UltiMAb</w:t>
      </w:r>
      <w:r>
        <w:t xml:space="preserve"> (Medarex/Janssen, 2000s) à partir de souris humanisées (souris Medarex HuMab-Mouse) exprimant le répertoire complet d'Ig humaines (les gènes des Ig murines ont été inactivés et remplacés par les gènes des Ig humaines). Ces souris sont immunisées avec le TNFα humain recombinant, et les hybridomes producteurs d'anticorps anti-TNFα humains sont sélectionnés par screening. La molécule finale est composée de 100 % de séquences humaines (régions variables VH et VL d'origine humaine, régions constantes IgG1κ humaines), ce qui en fait l'anticorps anti-TNFα </w:t>
      </w:r>
      <w:r>
        <w:rPr>
          <w:b/>
        </w:rPr>
        <w:t>le moins immunogène</w:t>
      </w:r>
      <w:r>
        <w:t xml:space="preserve"> (ADA &lt; 5 % avec ou sans MTX concomitant).</w:t>
      </w:r>
    </w:p>
    <w:p>
      <w:r/>
      <w:r>
        <w:rPr>
          <w:b/>
        </w:rPr>
        <w:t>Mécanisme d'action moléculaire</w:t>
      </w:r>
      <w:r>
        <w:t xml:space="preserve"> : le golimumab se lie avec une haute affinité (KD ≈ 10⁻¹⁰ M, ~1,8×10⁻¹⁰ M pour la forme soluble et ~1,3×10⁻¹⁰ M pour la forme transmembranaire) au TNFα soluble et transmembranaire, neutralisant leur interaction avec les récepteurs TNFR1 et TNFR2. Cette neutralisation empêche la signalisation intracellulaire pro-inflammatoire (voie NF-κB, voie MAPK/JNK, voie AP-1). Le ratio de liaison golimumab:TNFα est de 1:1, avec une neutralisation stoechiométrique complète.</w:t>
      </w:r>
    </w:p>
    <w:p>
      <w:r/>
      <w:r>
        <w:rPr>
          <w:b/>
        </w:rPr>
        <w:t>Lyse cellulaire des cellules TNFα-expressives</w:t>
      </w:r>
      <w:r>
        <w:t xml:space="preserve"> : comme l'infliximab et l'adalimumab, le golimumab contient une portion Fc d'IgG1 humaine </w:t>
      </w:r>
      <w:r>
        <w:rPr>
          <w:b/>
        </w:rPr>
        <w:t>fonctionnelle</w:t>
      </w:r>
      <w:r>
        <w:t xml:space="preserve"> qui fixe le C1q du complément (CDC) et les récepteurs FcγR des cellules effectrices (ADCC). Cette lyse cellulaire directe explique l'efficacité clinique et le risque de réactivation tuberculeuse (incidence annuelle 0,3-0,7 pour 100 patients-années, légèrement inférieure à l'infliximab et l'adalimumab).</w:t>
      </w:r>
    </w:p>
    <w:p>
      <w:r/>
      <w:r>
        <w:rPr>
          <w:b/>
        </w:rPr>
        <w:t>Immunogénicité faible</w:t>
      </w:r>
      <w:r>
        <w:t xml:space="preserve"> : la structure 100 % humaine du golimumab réduit l'immunogénicité à un niveau très faible (ADA &lt; 5 % avec ou sans MTX concomitant, registre CORRONA : 4,5 % des patients développent des ADA, dont 1 % avec impact clinique). Cette faible immunogénicité permet l'utilisation en monothérapie (sans MTX concomitant) dans la SpA et le RPso, avec une efficacité maintenue.</w:t>
      </w:r>
    </w:p>
    <w:p>
      <w:r/>
      <w:r>
        <w:rPr>
          <w:b/>
        </w:rPr>
        <w:t>Demi-vie prolongée</w:t>
      </w:r>
      <w:r>
        <w:t xml:space="preserve"> : la demi-vie d'élimination du golimumab est de 7-12 jours (moyenne 10 jours), légèrement supérieure à celle de l'étanercept (3-5 jours) et inférieure à celle de l'adalimumab (10-20 jours). Cette demi-vie permet une administration toutes les 4 semaines en entretien (après une phase d'induction simplifiée : 50 mg à S0, S2, S4 puis toutes les 4 semaines à partir de S8), la fréquence d'administration la plus espacée des anti-TNFα SC.</w:t>
      </w:r>
    </w:p>
    <w:p>
      <w:r/>
      <w:r>
        <w:rPr>
          <w:b/>
        </w:rPr>
        <w:t>Conséquences pharmacodynamiques cliniques</w:t>
      </w:r>
      <w:r>
        <w:t xml:space="preserve"> : (i) réduction rapide de la CRP (baisse de 50 % à 2 semaines, de 80 % à 4 semaines) ; (ii) réduction du nombre d'articulations gonflées et douloureuses (baisse significative à 4 semaines, optimum à 14-24 semaines) ; (iii) prévention de la progression radiographique (réduction de 50-70 % de la progression du score de Sharp/van der Heijde à 1 an vs placebo) ; (iv) réduction de la fatigue et amélioration de la qualité de vie. Le délai d'action initial est de 2-4 semaines (amélioration symptomatique) avec un plateau d'efficacité à 14-24 semaines.</w:t>
      </w:r>
    </w:p>
    <w:p>
      <w:pPr>
        <w:pStyle w:val="Heading3"/>
      </w:pPr>
      <w:r>
        <w:t>152A.8.4 Profil pharmacologique clinique : indications, contre-indications, effets indésirables</w:t>
      </w:r>
    </w:p>
    <w:p>
      <w:r/>
      <w:r>
        <w:rPr>
          <w:b/>
        </w:rPr>
        <w:t>Indications AMM en Algérie</w:t>
      </w:r>
      <w:r>
        <w:t xml:space="preserve"> :</w:t>
      </w:r>
    </w:p>
    <w:p>
      <w:pPr>
        <w:pStyle w:val="ListBullet"/>
      </w:pPr>
      <w:r/>
      <w:r>
        <w:rPr>
          <w:b/>
        </w:rPr>
        <w:t>Polyarthrite rhumatoïde active modérée à sévère de l'adulte</w:t>
      </w:r>
      <w:r>
        <w:t xml:space="preserve"> en association au MTX en cas de réponse inadéquate aux DMARDs conventionnels. Efficacité : ACR20 60 % vs 25 % placebo à 24 semaines (essai GO-BEFORE), ACR20 62 % (essai GO-FORWARD). Posologie : 50 mg SC à S0, S2, S4 puis toutes les 4 semaines en entretien, en association au MTX.</w:t>
      </w:r>
    </w:p>
    <w:p>
      <w:pPr>
        <w:pStyle w:val="ListBullet"/>
      </w:pPr>
      <w:r/>
      <w:r>
        <w:rPr>
          <w:b/>
        </w:rPr>
        <w:t>Spondyloarthrite ankylosante sévère et active de l'adulte</w:t>
      </w:r>
      <w:r>
        <w:t xml:space="preserve"> (forme radiographique) en cas de réponse inadéquate aux AINS. Efficacité : ASAS20 59 % vs 22 % placebo à 14 semaines (essai GO-RAISE). Posologie : 50 mg SC à S0, S2, S4 puis toutes les 4 semaines.</w:t>
      </w:r>
    </w:p>
    <w:p>
      <w:pPr>
        <w:pStyle w:val="ListBullet"/>
      </w:pPr>
      <w:r/>
      <w:r>
        <w:rPr>
          <w:b/>
        </w:rPr>
        <w:t>Spondyloarthrite axiale non radiographique sévère et active de l'adulte</w:t>
      </w:r>
      <w:r>
        <w:t xml:space="preserve"> en cas de réponse inadéquate aux AINS. Efficacité : ASAS20 47 % vs 17 % placebo à 16 semaines (essai GO-AHEAD).</w:t>
      </w:r>
    </w:p>
    <w:p>
      <w:pPr>
        <w:pStyle w:val="ListBullet"/>
      </w:pPr>
      <w:r/>
      <w:r>
        <w:rPr>
          <w:b/>
        </w:rPr>
        <w:t>Rhumatisme psoriasique actif de l'adulte</w:t>
      </w:r>
      <w:r>
        <w:t xml:space="preserve"> en cas de réponse inadéquate aux DMARDs. Efficacité : ACR20 51 % vs 12 % placebo à 14 semaines (essai GO-REVEAL). Posologie : 50 mg SC à S0, S2, S4 puis toutes les 4 semaines.</w:t>
      </w:r>
    </w:p>
    <w:p>
      <w:pPr>
        <w:pStyle w:val="ListBullet"/>
      </w:pPr>
      <w:r/>
      <w:r>
        <w:rPr>
          <w:b/>
        </w:rPr>
        <w:t>Maladie de Crohn active modérée à sévère</w:t>
      </w:r>
      <w:r>
        <w:t xml:space="preserve"> : AMM dans certains pays mais pas en Algérie à ce jour pour la forme SC.</w:t>
      </w:r>
    </w:p>
    <w:p>
      <w:pPr>
        <w:pStyle w:val="ListBullet"/>
      </w:pPr>
      <w:r/>
      <w:r>
        <w:rPr>
          <w:b/>
        </w:rPr>
        <w:t>Rectocolite hémorragique</w:t>
      </w:r>
      <w:r>
        <w:t xml:space="preserve"> : AMM dans certains pays mais pas en Algérie à ce jour pour la forme SC.</w:t>
      </w:r>
    </w:p>
    <w:p>
      <w:r/>
      <w:r>
        <w:rPr>
          <w:b/>
        </w:rPr>
        <w:t>Contre-indications absolues</w:t>
      </w:r>
      <w:r>
        <w:t xml:space="preserve"> :</w:t>
      </w:r>
    </w:p>
    <w:p>
      <w:pPr>
        <w:pStyle w:val="ListBullet"/>
      </w:pPr>
      <w:r>
        <w:t>Sepsis sévère ou infection sévère active — arrêt temporaire jusqu'à résolution.</w:t>
      </w:r>
    </w:p>
    <w:p>
      <w:pPr>
        <w:pStyle w:val="ListBullet"/>
      </w:pPr>
      <w:r/>
      <w:r>
        <w:rPr>
          <w:b/>
        </w:rPr>
        <w:t>Tuberculose active non traitée</w:t>
      </w:r>
      <w:r>
        <w:t xml:space="preserve"> — dépistage pré-thérapeutique obligatoire.</w:t>
      </w:r>
    </w:p>
    <w:p>
      <w:pPr>
        <w:pStyle w:val="ListBullet"/>
      </w:pPr>
      <w:r>
        <w:t>Infections opportunistes actives.</w:t>
      </w:r>
    </w:p>
    <w:p>
      <w:pPr>
        <w:pStyle w:val="ListBullet"/>
      </w:pPr>
      <w:r/>
      <w:r>
        <w:rPr>
          <w:b/>
        </w:rPr>
        <w:t>Insuffisance cardiaque NYHA III-IV</w:t>
      </w:r>
      <w:r>
        <w:t>.</w:t>
      </w:r>
    </w:p>
    <w:p>
      <w:pPr>
        <w:pStyle w:val="ListBullet"/>
      </w:pPr>
      <w:r/>
      <w:r>
        <w:rPr>
          <w:b/>
        </w:rPr>
        <w:t>Antécédent personnel de maladie démyélinisante centrale</w:t>
      </w:r>
      <w:r>
        <w:t>.</w:t>
      </w:r>
    </w:p>
    <w:p>
      <w:pPr>
        <w:pStyle w:val="ListBullet"/>
      </w:pPr>
      <w:r>
        <w:t>Hypersensibilité au golimumab ou à l'un des excipients (sorbitol, polysorbate 80, L-histidine, L-méthionine).</w:t>
      </w:r>
    </w:p>
    <w:p>
      <w:pPr>
        <w:pStyle w:val="ListBullet"/>
      </w:pPr>
      <w:r/>
      <w:r>
        <w:rPr>
          <w:b/>
        </w:rPr>
        <w:t>Vaccination par vaccin vivant atténué</w:t>
      </w:r>
      <w:r>
        <w:t xml:space="preserve"> pendant le traitement et jusqu'à 10 semaines (voire 12 semaines par prudence, demi-vie longue) après la dernière injection.</w:t>
      </w:r>
    </w:p>
    <w:p>
      <w:pPr>
        <w:pStyle w:val="ListBullet"/>
      </w:pPr>
      <w:r/>
      <w:r>
        <w:rPr>
          <w:b/>
        </w:rPr>
        <w:t>Grossesse 3e trimestre</w:t>
      </w:r>
      <w:r>
        <w:t xml:space="preserve"> : contre-indication relative stricte.</w:t>
      </w:r>
    </w:p>
    <w:p>
      <w:r/>
      <w:r>
        <w:rPr>
          <w:b/>
        </w:rPr>
        <w:t>Contre-indications relatives / Précautions d'emploi</w:t>
      </w:r>
      <w:r>
        <w:t xml:space="preserve"> :</w:t>
      </w:r>
    </w:p>
    <w:p>
      <w:pPr>
        <w:pStyle w:val="ListBullet"/>
      </w:pPr>
      <w:r>
        <w:t>Insuffisance cardiaque NYHA I-II : à utiliser avec prudence.</w:t>
      </w:r>
    </w:p>
    <w:p>
      <w:pPr>
        <w:pStyle w:val="ListBullet"/>
      </w:pPr>
      <w:r>
        <w:t>Hépatite B chronique (AgHBs+) : dépistage systématique, prophylaxie antivirale.</w:t>
      </w:r>
    </w:p>
    <w:p>
      <w:pPr>
        <w:pStyle w:val="ListBullet"/>
      </w:pPr>
      <w:r>
        <w:t>Lupus érythémateux systémique : signal rare d'ATIL.</w:t>
      </w:r>
    </w:p>
    <w:p>
      <w:pPr>
        <w:pStyle w:val="ListBullet"/>
      </w:pPr>
      <w:r>
        <w:t>Insuffisance hépatique modérée à sévère.</w:t>
      </w:r>
    </w:p>
    <w:p>
      <w:pPr>
        <w:pStyle w:val="ListBullet"/>
      </w:pPr>
      <w:r>
        <w:t>Patient âgé &gt; 65 ans : risque infectieux majoré.</w:t>
      </w:r>
    </w:p>
    <w:p>
      <w:pPr>
        <w:pStyle w:val="ListBullet"/>
      </w:pPr>
      <w:r>
        <w:t>Grossesse 1er et 2e trimestres : utilisation possible en cas de nécessité absolue.</w:t>
      </w:r>
    </w:p>
    <w:p>
      <w:r/>
      <w:r>
        <w:rPr>
          <w:b/>
        </w:rPr>
        <w:t>Effets indésirables</w:t>
      </w:r>
      <w:r>
        <w:t xml:space="preserve"> (par fréquence) :</w:t>
      </w:r>
    </w:p>
    <w:p>
      <w:r/>
      <w:r>
        <w:rPr>
          <w:i/>
        </w:rPr>
        <w:t>Très fréquents (≥ 10 %)</w:t>
      </w:r>
      <w:r>
        <w:t xml:space="preserve"> : </w:t>
      </w:r>
      <w:r>
        <w:rPr>
          <w:b/>
        </w:rPr>
        <w:t>réactions au site d'injection</w:t>
      </w:r>
      <w:r>
        <w:t xml:space="preserve"> (5-10 %, moins fréquentes qu'avec l'adalimumab), infections des voies respiratoires supérieures (rhinopharyngite 14-18 %), céphalées (10-12 %).</w:t>
      </w:r>
    </w:p>
    <w:p>
      <w:r/>
      <w:r>
        <w:rPr>
          <w:i/>
        </w:rPr>
        <w:t>Fréquents (1-10 %)</w:t>
      </w:r>
      <w:r>
        <w:t xml:space="preserve"> : infections sévères (pneumonie 2-5 %, cellulite, arthrite septique), fièvre, asthénie, vertiges, hypoesthésies, paresthésies, conjonctivite, sinusite, bronchite, cystite, élévation des transaminases modérée (ALAT 7-10 %), neutropénie modérée, éruptions cutanées, prurit.</w:t>
      </w:r>
    </w:p>
    <w:p>
      <w:r/>
      <w:r>
        <w:rPr>
          <w:i/>
        </w:rPr>
        <w:t>Peu fréquents (0,1-1 %)</w:t>
      </w:r>
      <w:r>
        <w:t xml:space="preserve"> : </w:t>
      </w:r>
      <w:r>
        <w:rPr>
          <w:b/>
        </w:rPr>
        <w:t>tuberculose</w:t>
      </w:r>
      <w:r>
        <w:t xml:space="preserve"> (incidence annuelle 0,3-0,7 pour 100 patients-années, légèrement inférieure à l'infliximab et l'adalimumab), infections opportunistes (légionellose, listériose, pneumocystose), réactions d'hypersensibilité systémique (urticaire, bronchospasme, anaphylaxie rare), thrombopénie, anémie aplasique, psoriasis palmoplantaire paradoxal, vasculite, ATIL, néphropathie, pneumopathie interstitielle, hépatite cytolytique sévère.</w:t>
      </w:r>
    </w:p>
    <w:p>
      <w:r/>
      <w:r>
        <w:rPr>
          <w:i/>
        </w:rPr>
        <w:t>Rares (&lt; 0,1 %)</w:t>
      </w:r>
      <w:r>
        <w:t xml:space="preserve"> : </w:t>
      </w:r>
      <w:r>
        <w:rPr>
          <w:b/>
        </w:rPr>
        <w:t>démyélinisation centrale</w:t>
      </w:r>
      <w:r>
        <w:t xml:space="preserve"> (SEP de novo, névrite optique, myélite transverse — incidence 1-2 cas/10 000 patients-années), syndrome de Guillain-Barré, pancytopénie, aplasie médullaire, carcinome cutané non mélanocytaire (risque relatif 1,5-2,0), mélanome, lymphome, réactivation d'hépatite B (parfois fatale), hépatite fulminante, maladie sérique, anaphylaxie sévère.</w:t>
      </w:r>
    </w:p>
    <w:p>
      <w:pPr>
        <w:pStyle w:val="Heading3"/>
      </w:pPr>
      <w:r>
        <w:t>152A.8.5 Prévention et gestion des effets indésirables</w:t>
      </w:r>
    </w:p>
    <w:p>
      <w:r/>
      <w:r>
        <w:rPr>
          <w:b/>
        </w:rPr>
        <w:t>Bilan pré-thérapeutique obligatoire</w:t>
      </w:r>
      <w:r>
        <w:t xml:space="preserve"> : identique à l'infliximab et l'adalimumab (consultation spécialisée, bilan biologique complet, sérologies VHB/VHC/VIH, dépistage TB IDR ou IGRA + radio thoracique, échographie cardiaque si antécédent IC, bilan neurologique, bilan dermatologique, mise à jour vaccinale).</w:t>
      </w:r>
    </w:p>
    <w:p>
      <w:r/>
      <w:r>
        <w:rPr>
          <w:b/>
        </w:rPr>
        <w:t>Surveillance pendant le traitement</w:t>
      </w:r>
      <w:r>
        <w:t xml:space="preserve"> : examen clinique mensuel les 3 premiers mois puis trimestriel, bilan biologique mensuel les 3 premiers mois puis trimestriel (NFS-plaquettes, bilan hépatique, bilan rénal, CRP), surveillance infectieuse, surveillance TB, surveillance cardiaque si IC préexistante, surveillance neurologique, surveillance dermatologique.</w:t>
      </w:r>
    </w:p>
    <w:p>
      <w:r/>
      <w:r>
        <w:rPr>
          <w:b/>
        </w:rPr>
        <w:t>Gestion des effets indésirables spécifiques</w:t>
      </w:r>
      <w:r>
        <w:t xml:space="preserve"> :</w:t>
      </w:r>
    </w:p>
    <w:p>
      <w:pPr>
        <w:pStyle w:val="ListBullet"/>
      </w:pPr>
      <w:r/>
      <w:r>
        <w:rPr>
          <w:b/>
        </w:rPr>
        <w:t>Réactions au site d'injection</w:t>
      </w:r>
      <w:r>
        <w:t xml:space="preserve"> : rotation des sites, application de glace, hydratation cutanée, antihistaminique local si prurit, poursuite du traitement. Remise du stylo à température ambiante 15-30 minutes avant injection.</w:t>
      </w:r>
    </w:p>
    <w:p>
      <w:pPr>
        <w:pStyle w:val="ListBullet"/>
      </w:pPr>
      <w:r/>
      <w:r>
        <w:rPr>
          <w:b/>
        </w:rPr>
        <w:t>Infections bactériennes</w:t>
      </w:r>
      <w:r>
        <w:t xml:space="preserve"> : arrêt immédiat, prélèvements bactériologiques, antibiothérapie empirique, reprise 2 semaines après résolution.</w:t>
      </w:r>
    </w:p>
    <w:p>
      <w:pPr>
        <w:pStyle w:val="ListBullet"/>
      </w:pPr>
      <w:r/>
      <w:r>
        <w:rPr>
          <w:b/>
        </w:rPr>
        <w:t>Tuberculose active</w:t>
      </w:r>
      <w:r>
        <w:t xml:space="preserve"> : arrêt définitif, hospitalisation en maladies infectieuses, quadrithérapie antituberculeuse 6 mois. Pas de réintroduction.</w:t>
      </w:r>
    </w:p>
    <w:p>
      <w:pPr>
        <w:pStyle w:val="ListBullet"/>
      </w:pPr>
      <w:r/>
      <w:r>
        <w:rPr>
          <w:b/>
        </w:rPr>
        <w:t>Syndrome démyélinisant</w:t>
      </w:r>
      <w:r>
        <w:t xml:space="preserve"> : arrêt définitif et irréversible, avis neurologique urgent, IRM cérébrale et médullaire, traitement spécifique.</w:t>
      </w:r>
    </w:p>
    <w:p>
      <w:pPr>
        <w:pStyle w:val="ListBullet"/>
      </w:pPr>
      <w:r/>
      <w:r>
        <w:rPr>
          <w:b/>
        </w:rPr>
        <w:t>Insuffisance cardiaque aggravée</w:t>
      </w:r>
      <w:r>
        <w:t xml:space="preserve"> : arrêt définitif, avis cardiologique, traitement optimisé de l'IC, alternative thérapeutique (tocilizumab, rituximab).</w:t>
      </w:r>
    </w:p>
    <w:p>
      <w:pPr>
        <w:pStyle w:val="ListBullet"/>
      </w:pPr>
      <w:r/>
      <w:r>
        <w:rPr>
          <w:b/>
        </w:rPr>
        <w:t>Perte d'efficacité secondaire</w:t>
      </w:r>
      <w:r>
        <w:t xml:space="preserve"> : dosage des anticorps anti-golimumab (ADA) et du taux résiduel de golimumab. Si ADA positifs avec taux résiduel bas : switch vers un autre anti-TNFα (adalimumab, certolizumab pegol) ou une autre classe. Si ADA négatifs avec taux résiduel normal : optimisation posologique (raccourcissement à 50 mg/2 sem — non validé par AMM, à discuter au cas par cas).</w:t>
      </w:r>
    </w:p>
    <w:p>
      <w:pPr>
        <w:pStyle w:val="ListBullet"/>
      </w:pPr>
      <w:r/>
      <w:r>
        <w:rPr>
          <w:b/>
        </w:rPr>
        <w:t>Hépatite B réactivation</w:t>
      </w:r>
      <w:r>
        <w:t xml:space="preserve"> : arrêt immédiat, traitement antiviral par entécavir ou ténofovir.</w:t>
      </w:r>
    </w:p>
    <w:p>
      <w:pPr>
        <w:pStyle w:val="Heading3"/>
      </w:pPr>
      <w:r>
        <w:t>152A.8.6 Interactions médicamenteuses</w:t>
      </w:r>
    </w:p>
    <w:p>
      <w:pPr>
        <w:pStyle w:val="ListBullet"/>
      </w:pPr>
      <w:r/>
      <w:r>
        <w:rPr>
          <w:b/>
        </w:rPr>
        <w:t>Vaccins vivants atténués</w:t>
      </w:r>
      <w:r>
        <w:t xml:space="preserve"> : contre-indication absolue pendant le traitement et jusqu'à 10-12 semaines après la dernière injection.</w:t>
      </w:r>
    </w:p>
    <w:p>
      <w:pPr>
        <w:pStyle w:val="ListBullet"/>
      </w:pPr>
      <w:r/>
      <w:r>
        <w:rPr>
          <w:b/>
        </w:rPr>
        <w:t>Vaccins inactivés</w:t>
      </w:r>
      <w:r>
        <w:t xml:space="preserve"> : autorisés et recommandés.</w:t>
      </w:r>
    </w:p>
    <w:p>
      <w:pPr>
        <w:pStyle w:val="ListBullet"/>
      </w:pPr>
      <w:r/>
      <w:r>
        <w:rPr>
          <w:b/>
        </w:rPr>
        <w:t>Anakinra</w:t>
      </w:r>
      <w:r>
        <w:t xml:space="preserve"> : contre-indication absolue à l'association.</w:t>
      </w:r>
    </w:p>
    <w:p>
      <w:pPr>
        <w:pStyle w:val="ListBullet"/>
      </w:pPr>
      <w:r/>
      <w:r>
        <w:rPr>
          <w:b/>
        </w:rPr>
        <w:t>Abatacept</w:t>
      </w:r>
      <w:r>
        <w:t xml:space="preserve"> : contre-indication relative.</w:t>
      </w:r>
    </w:p>
    <w:p>
      <w:pPr>
        <w:pStyle w:val="ListBullet"/>
      </w:pPr>
      <w:r/>
      <w:r>
        <w:rPr>
          <w:b/>
        </w:rPr>
        <w:t>Méthotrexate</w:t>
      </w:r>
      <w:r>
        <w:t xml:space="preserve"> : association </w:t>
      </w:r>
      <w:r>
        <w:rPr>
          <w:b/>
        </w:rPr>
        <w:t>synergique recommandée</w:t>
      </w:r>
      <w:r>
        <w:t xml:space="preserve"> dans la PR (réduit l'immunogénicité bien que déjà faible). Posologie MTX 7,5-25 mg/sem PO/SC.</w:t>
      </w:r>
    </w:p>
    <w:p>
      <w:pPr>
        <w:pStyle w:val="ListBullet"/>
      </w:pPr>
      <w:r/>
      <w:r>
        <w:rPr>
          <w:b/>
        </w:rPr>
        <w:t>Corticoïdes</w:t>
      </w:r>
      <w:r>
        <w:t xml:space="preserve"> : association possible mais risque infectieux additif.</w:t>
      </w:r>
    </w:p>
    <w:p>
      <w:pPr>
        <w:pStyle w:val="ListBullet"/>
      </w:pPr>
      <w:r/>
      <w:r>
        <w:rPr>
          <w:b/>
        </w:rPr>
        <w:t>Autres DMARDs conventionnels</w:t>
      </w:r>
      <w:r>
        <w:t xml:space="preserve"> : association possible.</w:t>
      </w:r>
    </w:p>
    <w:p>
      <w:pPr>
        <w:pStyle w:val="ListBullet"/>
      </w:pPr>
      <w:r/>
      <w:r>
        <w:rPr>
          <w:b/>
        </w:rPr>
        <w:t>AINS</w:t>
      </w:r>
      <w:r>
        <w:t xml:space="preserve"> : association possible sans interaction majeure.</w:t>
      </w:r>
    </w:p>
    <w:p>
      <w:pPr>
        <w:pStyle w:val="ListBullet"/>
      </w:pPr>
      <w:r/>
      <w:r>
        <w:rPr>
          <w:b/>
        </w:rPr>
        <w:t>Live vaccines chez l'enfant exposé in utero</w:t>
      </w:r>
      <w:r>
        <w:t xml:space="preserve"> : si la mère a reçu du golimumab au 3e trimestre, l'enfant est immunodéprimé transitoirement pendant 6 mois ; reporter les vaccins vivants jusqu'à 6 mois de vie.</w:t>
      </w:r>
    </w:p>
    <w:p>
      <w:pPr>
        <w:pStyle w:val="Heading3"/>
      </w:pPr>
      <w:r>
        <w:t>152A.8.7 Grossesse et allaitement (selon le CRAT)</w:t>
      </w:r>
    </w:p>
    <w:p>
      <w:r/>
      <w:r>
        <w:rPr>
          <w:b/>
        </w:rPr>
        <w:t>Grossesse</w:t>
      </w:r>
      <w:r>
        <w:t xml:space="preserve"> :</w:t>
      </w:r>
    </w:p>
    <w:p>
      <w:pPr>
        <w:pStyle w:val="ListBullet"/>
      </w:pPr>
      <w:r/>
      <w:r>
        <w:rPr>
          <w:b/>
        </w:rPr>
        <w:t>1er et 2e trimestres</w:t>
      </w:r>
      <w:r>
        <w:t xml:space="preserve"> : utilisation possible en cas de nécessité absolue. Pas de signal tératogène documenté (registres OTIS, limited data, ~50-100 cas publiés — pas d'augmentation du risque de malformations congénitales majeures vs population générale). Le passage transplacentaire est minimal au 1er trimestre.</w:t>
      </w:r>
    </w:p>
    <w:p>
      <w:pPr>
        <w:pStyle w:val="ListBullet"/>
      </w:pPr>
      <w:r/>
      <w:r>
        <w:rPr>
          <w:b/>
        </w:rPr>
        <w:t>3e trimestre</w:t>
      </w:r>
      <w:r>
        <w:t xml:space="preserve"> : </w:t>
      </w:r>
      <w:r>
        <w:rPr>
          <w:b/>
        </w:rPr>
        <w:t>contre-indication relative stricte</w:t>
      </w:r>
      <w:r>
        <w:t>. Le passage transplacentaire des IgG1 (dont le golimumab) via FcRn augmente massivement à partir de 28-32 SA, atteignant des taux fœtaux équivalents voire supérieurs aux taux maternels à terme. Risque d'immunosuppression néonatale transitoire (B et T) pendant 3-6 mois. Recommandation CRAT : arrêter le golimumab 12-16 semaines avant la DPA si la pathologie maternelle le permet (demi-vie plus courte que l'adalimumab, 7-12 jours) ; sinon poursuivre jusqu'à 28-30 SA puis arrêter.</w:t>
      </w:r>
    </w:p>
    <w:p>
      <w:pPr>
        <w:pStyle w:val="ListBullet"/>
      </w:pPr>
      <w:r/>
      <w:r>
        <w:rPr>
          <w:b/>
        </w:rPr>
        <w:t>Allaitement</w:t>
      </w:r>
      <w:r>
        <w:t xml:space="preserve"> : compatible selon le CRAT (faible passage dans le lait maternel, digestion protéolytique gastrique chez le nouveau-né).</w:t>
      </w:r>
    </w:p>
    <w:p>
      <w:pPr>
        <w:pStyle w:val="ListBullet"/>
      </w:pPr>
      <w:r/>
      <w:r>
        <w:rPr>
          <w:b/>
        </w:rPr>
        <w:t>Chez l'homme</w:t>
      </w:r>
      <w:r>
        <w:t xml:space="preserve"> : aucune donnée de tératogénicité paternelle, le golimumab peut être utilisé chez l'homme envisageant une paternité sans délai d'arrêt pré-conceptionnel.</w:t>
      </w:r>
    </w:p>
    <w:p>
      <w:pPr>
        <w:pStyle w:val="ListBullet"/>
      </w:pPr>
      <w:r/>
      <w:r>
        <w:rPr>
          <w:b/>
        </w:rPr>
        <w:t>Désir de grossesse</w:t>
      </w:r>
      <w:r>
        <w:t xml:space="preserve"> : consultation pré-conceptionnelle spécialisée 3-6 mois avant. Switch vers certolizumab pegol si grossesse envisagée à court terme.</w:t>
      </w:r>
    </w:p>
    <w:p>
      <w:pPr>
        <w:pStyle w:val="Heading3"/>
      </w:pPr>
      <w:r>
        <w:t>152A.8.8 Posologie et mode d'administration</w:t>
      </w:r>
    </w:p>
    <w:p>
      <w:r/>
      <w:r>
        <w:rPr>
          <w:b/>
        </w:rPr>
        <w:t>Posologie standard chez l'adulte</w:t>
      </w:r>
      <w:r>
        <w:t xml:space="preserve"> :</w:t>
      </w:r>
    </w:p>
    <w:p>
      <w:pPr>
        <w:pStyle w:val="ListBullet"/>
      </w:pPr>
      <w:r/>
      <w:r>
        <w:rPr>
          <w:b/>
        </w:rPr>
        <w:t>Polyarthrite rhumatoïde, spondyloarthrite axiale (radiographique et non radiographique), rhumatisme psoriasique</w:t>
      </w:r>
      <w:r>
        <w:t xml:space="preserve"> : 50 mg SC à S0, S2, S4 puis toutes les 4 semaines en entretien. La dose est </w:t>
      </w:r>
      <w:r>
        <w:rPr>
          <w:b/>
        </w:rPr>
        <w:t>unique</w:t>
      </w:r>
      <w:r>
        <w:t xml:space="preserve"> (50 mg) pour les patients &gt; 60 kg. Pour les patients de poids &lt; 60 kg dans la PR, une dose réduite à 30 mg peut être discutée (non validée par AMM européenne, à discuter au cas par cas).</w:t>
      </w:r>
    </w:p>
    <w:p>
      <w:pPr>
        <w:pStyle w:val="ListBullet"/>
      </w:pPr>
      <w:r/>
      <w:r>
        <w:rPr>
          <w:b/>
        </w:rPr>
        <w:t>Posologie IV</w:t>
      </w:r>
      <w:r>
        <w:t xml:space="preserve"> (forme non disponible en Algérie à ce jour) : 2 mg/kg IV à S0, S4 puis toutes les 8 semaines (essai GO-FURTHER), en association au MTX dans la PR.</w:t>
      </w:r>
    </w:p>
    <w:p>
      <w:r/>
      <w:r>
        <w:rPr>
          <w:b/>
        </w:rPr>
        <w:t>Mode d'administration</w:t>
      </w:r>
      <w:r>
        <w:t xml:space="preserve"> :</w:t>
      </w:r>
    </w:p>
    <w:p>
      <w:pPr>
        <w:pStyle w:val="ListBullet"/>
      </w:pPr>
      <w:r>
        <w:t>Voie sous-cutanée stricte (jamais IV, jamais IM pour la forme SC).</w:t>
      </w:r>
    </w:p>
    <w:p>
      <w:pPr>
        <w:pStyle w:val="ListBullet"/>
      </w:pPr>
      <w:r>
        <w:t>Sites d'injection : cuisse antéro-externe (site préférentiel pour auto-administration), abdomen (à l'exception de la zone périombilicale de 5 cm), bras externe supérieur (si administration par un tiers). Rotation systématique des sites.</w:t>
      </w:r>
    </w:p>
    <w:p>
      <w:pPr>
        <w:pStyle w:val="ListBullet"/>
      </w:pPr>
      <w:r>
        <w:t>Technique : désinfection par tampon alcoolisé, application du stylo prérempli sur la peau, pression et déclenchement de l'injection automatique (le stylo injecte en 10-15 secondes), maintien du stylo contre la peau pendant 5 secondes après l'injection. Le bouton de déclenchement émet un "clic" indiquant le début et la fin de l'injection.</w:t>
      </w:r>
    </w:p>
    <w:p>
      <w:pPr>
        <w:pStyle w:val="ListBullet"/>
      </w:pPr>
      <w:r>
        <w:t>Conservation : au réfrigérateur (2-8°C), à l'abri de la lumière, dans l'emballage extérieur. Ne pas congeler. Avant injection, sortir le stylo 15-30 minutes à l'avance pour le remettre à température ambiante (ne pas chauffer, ne pas micro-ondes).</w:t>
      </w:r>
    </w:p>
    <w:p>
      <w:pPr>
        <w:pStyle w:val="ListBullet"/>
      </w:pPr>
      <w:r/>
      <w:r>
        <w:rPr>
          <w:b/>
        </w:rPr>
        <w:t>Auto-administration</w:t>
      </w:r>
      <w:r>
        <w:t xml:space="preserve"> : formation obligatoire par infirmier(ère) ou rhumatologue, remise d'un carnet d'auto-surveillance, première auto-injection en présence du professionnel de santé.</w:t>
      </w:r>
    </w:p>
    <w:p>
      <w:r/>
      <w:r>
        <w:rPr>
          <w:b/>
        </w:rPr>
        <w:t>Adaptation posologique selon la fonction rénale</w:t>
      </w:r>
      <w:r>
        <w:t xml:space="preserve"> : pas d'adaptation en IR modérée. Prudence en IR sévère (DFG &lt; 30 mL/min) en raison de l'insuffisance de données.</w:t>
      </w:r>
    </w:p>
    <w:p>
      <w:r/>
      <w:r>
        <w:rPr>
          <w:b/>
        </w:rPr>
        <w:t>Adaptation posologique selon la fonction hépatique</w:t>
      </w:r>
      <w:r>
        <w:t xml:space="preserve"> : pas d'adaptation en IH modérée. Contre-indication relative en IH sévère.</w:t>
      </w:r>
    </w:p>
    <w:p>
      <w:r/>
      <w:r>
        <w:rPr>
          <w:b/>
        </w:rPr>
        <w:t>Durée du traitement</w:t>
      </w:r>
      <w:r>
        <w:t xml:space="preserve"> : traitement chronique au long cours (années). En cas de rémission durable, discussion d'une décroissance progressive (espacement des injections à 5 puis 6 semaines) avec surveillance rapprochée — risque de rechute à 1 an de 30-50 % en cas d'arrêt complet.</w:t>
      </w:r>
    </w:p>
    <w:p>
      <w:pPr>
        <w:pStyle w:val="Heading3"/>
      </w:pPr>
      <w:r>
        <w:t>152A.8.9 Formes galéniques disponibles</w:t>
      </w:r>
    </w:p>
    <w:p>
      <w:pPr>
        <w:pStyle w:val="ListBullet"/>
      </w:pPr>
      <w:r/>
      <w:r>
        <w:rPr>
          <w:b/>
        </w:rPr>
        <w:t>Solution injectable SC en stylo prérempli 50 mg/0,5 mL</w:t>
      </w:r>
      <w:r>
        <w:t xml:space="preserve"> : conditionnement B/1 stylo de 0,5 mL (correspond à 1 mois de traitement à 50 mg × 1/4 sem, posologie standard adulte). Disponible SIMPONI (Janssen Biologics). Forme unique disponible en Algérie.</w:t>
      </w:r>
    </w:p>
    <w:p>
      <w:pPr>
        <w:pStyle w:val="ListBullet"/>
      </w:pPr>
      <w:r/>
      <w:r>
        <w:rPr>
          <w:b/>
        </w:rPr>
        <w:t>Stylo auto-injecteur</w:t>
      </w:r>
      <w:r>
        <w:t xml:space="preserve"> : la forme SIMPONI est un stylo auto-injecteur prérempli à usage unique. L'aiguille est protégée avant et après injection (sécurité anti-piqûre).</w:t>
      </w:r>
    </w:p>
    <w:p>
      <w:pPr>
        <w:pStyle w:val="ListBullet"/>
      </w:pPr>
      <w:r/>
      <w:r>
        <w:rPr>
          <w:b/>
        </w:rPr>
        <w:t>Forme IV</w:t>
      </w:r>
      <w:r>
        <w:t xml:space="preserve"> (SIMPONI IV, 50 mg/flacon) : disponible à l'international pour la PR en association au MTX (2 mg/kg IV à S0, S4 puis toutes les 8 semaines), </w:t>
      </w:r>
      <w:r>
        <w:rPr>
          <w:b/>
        </w:rPr>
        <w:t>non disponible en Algérie</w:t>
      </w:r>
      <w:r>
        <w:t xml:space="preserve"> au 1er avril 2026.</w:t>
      </w:r>
    </w:p>
    <w:p>
      <w:pPr>
        <w:pStyle w:val="ListBullet"/>
      </w:pPr>
      <w:r/>
      <w:r>
        <w:rPr>
          <w:b/>
        </w:rPr>
        <w:t>Forme pédiatrique</w:t>
      </w:r>
      <w:r>
        <w:t xml:space="preserve"> : non disponible (pas d'AMM chez l'enfant).</w:t>
      </w:r>
    </w:p>
    <w:p>
      <w:pPr>
        <w:pStyle w:val="ListBullet"/>
      </w:pPr>
      <w:r/>
      <w:r>
        <w:rPr>
          <w:b/>
        </w:rPr>
        <w:t>Forme IM</w:t>
      </w:r>
      <w:r>
        <w:t xml:space="preserve"> : non disponible.</w:t>
      </w:r>
    </w:p>
    <w:p>
      <w:pPr>
        <w:pStyle w:val="ListBullet"/>
      </w:pPr>
      <w:r/>
      <w:r>
        <w:rPr>
          <w:b/>
        </w:rPr>
        <w:t>Conservation</w:t>
      </w:r>
      <w:r>
        <w:t xml:space="preserve"> : 2-8°C (réfrigérateur), à l'abri de la lumière, dans l'emballage extérieur. Ne pas congeler. Durée de validité : 36 mois avant péremption.</w:t>
      </w:r>
    </w:p>
    <w:p>
      <w:pPr>
        <w:pStyle w:val="Heading3"/>
      </w:pPr>
      <w:r>
        <w:t>152A.8.10 Conseils au patient</w:t>
      </w:r>
    </w:p>
    <w:p>
      <w:pPr>
        <w:pStyle w:val="ListBullet"/>
      </w:pPr>
      <w:r/>
      <w:r>
        <w:rPr>
          <w:b/>
        </w:rPr>
        <w:t>Information sur le caractère chronique du traitement</w:t>
      </w:r>
      <w:r>
        <w:t xml:space="preserve"> : le golimumab ne guérit pas la maladie rhumatologique mais en contrôle l'inflammation. Le délai d'action initial est de 2-4 semaines (amélioration symptomatique) avec un plateau d'efficacité à 14-24 semaines.</w:t>
      </w:r>
    </w:p>
    <w:p>
      <w:pPr>
        <w:pStyle w:val="ListBullet"/>
      </w:pPr>
      <w:r/>
      <w:r>
        <w:rPr>
          <w:b/>
        </w:rPr>
        <w:t>Éducation à la technique d'auto-injection par stylo</w:t>
      </w:r>
      <w:r>
        <w:t xml:space="preserve"> : formation initiale par infirmier(ère) ou rhumatologue, avec remise d'un carnet d'auto-surveillance. Rotation systématique des sites d'injection. Conservation au réfrigérateur (2-8°C), remise à température ambiante 15-30 min avant injection. Démonstration de l'utilisation du stylo (déclenchement par pression, clic audible, comptage de 5 secondes après injection).</w:t>
      </w:r>
    </w:p>
    <w:p>
      <w:pPr>
        <w:pStyle w:val="ListBullet"/>
      </w:pPr>
      <w:r/>
      <w:r>
        <w:rPr>
          <w:b/>
        </w:rPr>
        <w:t>Éducation aux signes d'alerte</w:t>
      </w:r>
      <w:r>
        <w:t xml:space="preserve"> : fièvre ≥ 38,5°C, toux persistante &gt; 7 jours, dyspnée, douleur thoracique, hémoptysie, signes urinaires, douleur abdominale, céphalées intenses, troubles visuels, paresthésies, faiblesse musculaire, troubles de l'équilibre, éruption cutanée étendue, aphtes buccaux multiples, éruption psoriasique palmoplantaire paradoxale.</w:t>
      </w:r>
    </w:p>
    <w:p>
      <w:pPr>
        <w:pStyle w:val="ListBullet"/>
      </w:pPr>
      <w:r/>
      <w:r>
        <w:rPr>
          <w:b/>
        </w:rPr>
        <w:t>Surveillance biologique</w:t>
      </w:r>
      <w:r>
        <w:t xml:space="preserve"> mensuelle les 3 premiers mois puis trimestrielle.</w:t>
      </w:r>
    </w:p>
    <w:p>
      <w:pPr>
        <w:pStyle w:val="ListBullet"/>
      </w:pPr>
      <w:r/>
      <w:r>
        <w:rPr>
          <w:b/>
        </w:rPr>
        <w:t>Vaccinations</w:t>
      </w:r>
      <w:r>
        <w:t xml:space="preserve"> : mettre à jour les vaccins avant l'initiation. Éviter les vaccins vivants (BCG, ROR, fièvre jaune, varicelle) pendant le traitement et pendant 10-12 semaines après l'arrêt.</w:t>
      </w:r>
    </w:p>
    <w:p>
      <w:pPr>
        <w:pStyle w:val="ListBullet"/>
      </w:pPr>
      <w:r/>
      <w:r>
        <w:rPr>
          <w:b/>
        </w:rPr>
        <w:t>Prévention de la tuberculose</w:t>
      </w:r>
      <w:r>
        <w:t xml:space="preserve"> : information du risque. Consulter en urgence en cas de toux chronique, fièvre, sueurs nocturnes, amaigrissement.</w:t>
      </w:r>
    </w:p>
    <w:p>
      <w:pPr>
        <w:pStyle w:val="ListBullet"/>
      </w:pPr>
      <w:r/>
      <w:r>
        <w:rPr>
          <w:b/>
        </w:rPr>
        <w:t>Prévention des infections opportunistes</w:t>
      </w:r>
      <w:r>
        <w:t xml:space="preserve"> : prudence alimentaire (pas de fromages au lait cru, pas de charcuterie non cuite, pas de légumes crus mal lavés), prudence avec les animaux.</w:t>
      </w:r>
    </w:p>
    <w:p>
      <w:pPr>
        <w:pStyle w:val="ListBullet"/>
      </w:pPr>
      <w:r/>
      <w:r>
        <w:rPr>
          <w:b/>
        </w:rPr>
        <w:t>Éviter la consommation d'alcool</w:t>
      </w:r>
      <w:r>
        <w:t xml:space="preserve"> (hépatotoxicité additive avec MTX concomitant).</w:t>
      </w:r>
    </w:p>
    <w:p>
      <w:pPr>
        <w:pStyle w:val="ListBullet"/>
      </w:pPr>
      <w:r/>
      <w:r>
        <w:rPr>
          <w:b/>
        </w:rPr>
        <w:t>Grossesse et contraception</w:t>
      </w:r>
      <w:r>
        <w:t xml:space="preserve"> : contraception rigoureuse obligatoire chez la femme en âge de procréer. En cas de désir de grossesse, consulter le rhumatologue 3-6 mois à l'avance pour switch vers certolizumab pegol. Arrêt impératif au 3e trimestre (12-16 semaines avant DPA idéalement).</w:t>
      </w:r>
    </w:p>
    <w:p>
      <w:pPr>
        <w:pStyle w:val="ListBullet"/>
      </w:pPr>
      <w:r/>
      <w:r>
        <w:rPr>
          <w:b/>
        </w:rPr>
        <w:t>Carnet de suivi</w:t>
      </w:r>
      <w:r>
        <w:t xml:space="preserve"> : remise d'un carnet patient avec dates d'injection, sites, effets indésirables éventuels, dates de consultations et de bilans biologiques.</w:t>
      </w:r>
    </w:p>
    <w:p>
      <w:pPr>
        <w:pStyle w:val="ListBullet"/>
      </w:pPr>
      <w:r/>
      <w:r>
        <w:rPr>
          <w:b/>
        </w:rPr>
        <w:t>Observance du méthotrexate concomitant</w:t>
      </w:r>
      <w:r>
        <w:t xml:space="preserve"> (PR) : expliquer l'importance de l'association golimumab + MTX.</w:t>
      </w:r>
    </w:p>
    <w:p>
      <w:pPr>
        <w:pStyle w:val="Heading3"/>
      </w:pPr>
      <w:r>
        <w:t>152A.8.11 Pièges du comptoir</w:t>
      </w:r>
    </w:p>
    <w:p>
      <w:pPr>
        <w:pStyle w:val="ListNumber"/>
      </w:pPr>
      <w:r/>
      <w:r>
        <w:rPr>
          <w:b/>
        </w:rPr>
        <w:t>Confusion entre golimumab et autres anti-TNFα</w:t>
      </w:r>
      <w:r>
        <w:t xml:space="preserve"> : le golimumab est un anticorps monoclonal </w:t>
      </w:r>
      <w:r>
        <w:rPr>
          <w:b/>
        </w:rPr>
        <w:t>entièrement humain</w:t>
      </w:r>
      <w:r>
        <w:t xml:space="preserve"> (vs chimérique pour infliximab), administré en SC à 50 mg/4 sem (fréquence d'administration la plus espacée). Son profil d'efficacité est équivalent à l'adalimumab mais avec une fréquence d'injection deux fois moindre (1/4 sem vs 1/2 sem), ce qui peut améliorer l'observance.</w:t>
      </w:r>
    </w:p>
    <w:p>
      <w:pPr>
        <w:pStyle w:val="ListNumber"/>
      </w:pPr>
      <w:r/>
      <w:r>
        <w:rPr>
          <w:b/>
        </w:rPr>
        <w:t>Absence de biosimilaire disponible</w:t>
      </w:r>
      <w:r>
        <w:t xml:space="preserve"> : le golimumab est la seule molécule anti-TNFα sans biosimilaire disponible en Algérie au 1er avril 2026. Le coût est plus élevé que les autres anti-TNFα (35 000-50 000 DA/mois vs 25 000-45 000 DA/mois pour l'adalimumab biosimilaire). En cas de difficulté financière, envisager un switch vers adalimumab (avec biosimilaire) après avis spécialisé.</w:t>
      </w:r>
    </w:p>
    <w:p>
      <w:pPr>
        <w:pStyle w:val="ListNumber"/>
      </w:pPr>
      <w:r/>
      <w:r>
        <w:rPr>
          <w:b/>
        </w:rPr>
        <w:t>Oubli du dépistage tuberculose</w:t>
      </w:r>
      <w:r>
        <w:t xml:space="preserve"> : le golimumab, comme tous les anticorps monoclonaux anti-TNFα (avec Fc fonctionnel), expose au risque de tuberculose (incidence annuelle 0,3-0,7 pour 100 patients-années). Vérifier le bilan TB pré-thérapeutique.</w:t>
      </w:r>
    </w:p>
    <w:p>
      <w:pPr>
        <w:pStyle w:val="ListNumber"/>
      </w:pPr>
      <w:r/>
      <w:r>
        <w:rPr>
          <w:b/>
        </w:rPr>
        <w:t>Oubli du dépistage VHB</w:t>
      </w:r>
      <w:r>
        <w:t xml:space="preserve"> : risque de réactivation hépatite B parfois fatale. Vérifier les sérologies VHB.</w:t>
      </w:r>
    </w:p>
    <w:p>
      <w:pPr>
        <w:pStyle w:val="ListNumber"/>
      </w:pPr>
      <w:r/>
      <w:r>
        <w:rPr>
          <w:b/>
        </w:rPr>
        <w:t>Vaccination vivante pendant le traitement</w:t>
      </w:r>
      <w:r>
        <w:t xml:space="preserve"> : contre-indication absolue. Respecter un délai de 10-12 semaines après la dernière injection pour les vaccins vivants.</w:t>
      </w:r>
    </w:p>
    <w:p>
      <w:pPr>
        <w:pStyle w:val="ListNumber"/>
      </w:pPr>
      <w:r/>
      <w:r>
        <w:rPr>
          <w:b/>
        </w:rPr>
        <w:t>Perte d'efficacité banalisée</w:t>
      </w:r>
      <w:r>
        <w:t xml:space="preserve"> : bien que rare (ADA &lt; 5 %), une perte d'efficacité secondaire doit faire évoquer la formation d'ADA. Orienter le patient vers son rhumatologue pour dosage des anticorps anti-golimumab et taux résiduel. Switch possible vers adalimumab, certolizumab, ou une autre classe.</w:t>
      </w:r>
    </w:p>
    <w:p>
      <w:pPr>
        <w:pStyle w:val="ListNumber"/>
      </w:pPr>
      <w:r/>
      <w:r>
        <w:rPr>
          <w:b/>
        </w:rPr>
        <w:t>Grossesse méconnue au 3e trimestre</w:t>
      </w:r>
      <w:r>
        <w:t xml:space="preserve"> : contre-indication absolue. Vérifier la contraception. En cas de désir de grossesse, switch vers certolizumab pegol.</w:t>
      </w:r>
    </w:p>
    <w:p>
      <w:pPr>
        <w:pStyle w:val="ListNumber"/>
      </w:pPr>
      <w:r/>
      <w:r>
        <w:rPr>
          <w:b/>
        </w:rPr>
        <w:t>Confusion SIMPONI vs SIMPONI IV</w:t>
      </w:r>
      <w:r>
        <w:t xml:space="preserve"> : seul le SIMPONI SC (stylo prérempli 50 mg/0,5 mL) est disponible en Algérie. La forme SIMPONI IV (flacon 50 mg poudre pour perfusion IV) n'est pas référencée dans la nomenclature algérienne active.</w:t>
      </w:r>
    </w:p>
    <w:p>
      <w:pPr>
        <w:pStyle w:val="ListNumber"/>
      </w:pPr>
      <w:r/>
      <w:r>
        <w:rPr>
          <w:b/>
        </w:rPr>
        <w:t>Réaction au site d'injection banalisée</w:t>
      </w:r>
      <w:r>
        <w:t xml:space="preserve"> : la réaction au site d'injection est moins fréquente qu'avec l'adalimumab (5-10 % vs 10-20 %), généralement bénigne. Le pharmacien doit informer le patient de la rotation des sites et de la remise à température ambiante avant injection.</w:t>
      </w:r>
    </w:p>
    <w:p>
      <w:pPr>
        <w:pStyle w:val="ListNumber"/>
      </w:pPr>
      <w:r/>
      <w:r>
        <w:rPr>
          <w:b/>
        </w:rPr>
        <w:t>Conservation inadéquate</w:t>
      </w:r>
      <w:r>
        <w:t xml:space="preserve"> : conservation à 2-8°C obligatoire. Une congélation altère la protéine. Vérifier la chaîne du froid lors de la dispensation.</w:t>
      </w:r>
    </w:p>
    <w:p>
      <w:pPr>
        <w:pStyle w:val="ListNumber"/>
      </w:pPr>
      <w:r/>
      <w:r>
        <w:rPr>
          <w:b/>
        </w:rPr>
        <w:t>Stylo défectueux ou injection incomplète</w:t>
      </w:r>
      <w:r>
        <w:t xml:space="preserve"> : si le patient signale un "clic" anormal ou une suspicion d'injection incomplète (pas de liquide visible dans la fenêtre de contrôle), ne pas réutiliser le stylo, contacter le laboratoire ou le pharmacien pour remplacement, et administrer une nouvelle dose à une date différente (ne pas doubler la dose le même jour).</w:t>
      </w:r>
    </w:p>
    <w:p>
      <w:pPr>
        <w:pStyle w:val="ListNumber"/>
      </w:pPr>
      <w:r/>
      <w:r>
        <w:rPr>
          <w:b/>
        </w:rPr>
        <w:t>Golimumab en cas de IC NYHA I-II</w:t>
      </w:r>
      <w:r>
        <w:t xml:space="preserve"> : à utiliser avec prudence. Vérifier le stade NYHA avant dispensation et l'échographie cardiaque (FEVG) en cas de doute. Arrêt immédiat en cas d'aggravation.</w:t>
      </w:r>
    </w:p>
    <w:p>
      <w:pPr>
        <w:pStyle w:val="Heading3"/>
      </w:pPr>
      <w:r>
        <w:t>152A.8.12 Notes et règle d'or</w:t>
      </w:r>
    </w:p>
    <w:p>
      <w:r/>
      <w:r>
        <w:rPr>
          <w:b/>
        </w:rPr>
        <w:t>Règle d'or</w:t>
      </w:r>
      <w:r>
        <w:t xml:space="preserve"> : Le golimumab est l'anti-TNFα de choix chez le patient pour qui la </w:t>
      </w:r>
      <w:r>
        <w:rPr>
          <w:b/>
        </w:rPr>
        <w:t>fréquence d'administration mensuelle</w:t>
      </w:r>
      <w:r>
        <w:t xml:space="preserve"> (1 SC/4 sem) est un avantage majeur en termes d'observance (jeune actif, sujet âgé, patient vivant en zone rurale éloignée d'un centre de soins). Son profil d'efficacité équivalent à l'adalimumab et sa très faible immunogénicité (ADA &lt; 5 %) en font une option de premier recours en monothérapie (sans MTX concomitant) dans la SpA et le RPso. Son coût plus élevé (absence de biosimilaire) limite son accès en première intention chez les patients à couverture sociale partielle. Son utilisation impose le dépistage rigoureux de la tuberculose et de l'hépatite B, et le respect des contre-indications absolues (IC NYHA III-IV, maladie démyélinisante). Son utilisation au 3e trimestre de grossesse est strictement contre-indiquée (switch vers certolizumab pegol si grossesse).</w:t>
      </w:r>
    </w:p>
    <w:p>
      <w:pPr>
        <w:pStyle w:val="Heading2"/>
      </w:pPr>
      <w:r>
        <w:t>152A.9 DCI : Certolizumab pegol (Certolizumab pegol)</w:t>
      </w:r>
    </w:p>
    <w:p>
      <w:pPr>
        <w:pStyle w:val="Heading3"/>
      </w:pPr>
      <w:r>
        <w:t>152A.9.1 Liste des catégories</w:t>
      </w:r>
    </w:p>
    <w:p>
      <w:pPr>
        <w:pStyle w:val="ListBullet"/>
      </w:pPr>
      <w:r/>
      <w:r>
        <w:rPr>
          <w:b/>
        </w:rPr>
        <w:t>DCI</w:t>
      </w:r>
      <w:r>
        <w:t xml:space="preserve"> : Certolizumab pegol</w:t>
      </w:r>
    </w:p>
    <w:p>
      <w:pPr>
        <w:pStyle w:val="ListBullet"/>
      </w:pPr>
      <w:r/>
      <w:r>
        <w:rPr>
          <w:b/>
        </w:rPr>
        <w:t>Code ATC</w:t>
      </w:r>
      <w:r>
        <w:t xml:space="preserve"> : L04AB05 — Immunosuppresseurs, anticorps monoclonaux anti-TNFα</w:t>
      </w:r>
    </w:p>
    <w:p>
      <w:pPr>
        <w:pStyle w:val="ListBullet"/>
      </w:pPr>
      <w:r/>
      <w:r>
        <w:rPr>
          <w:b/>
        </w:rPr>
        <w:t>Classe pharmacothérapeutique</w:t>
      </w:r>
      <w:r>
        <w:t xml:space="preserve"> : DMARD biologique (bDMARD), fragment Fab' monoclonal humanisé anti-TNFα couplé à deux chaînes de polyéthylène glycol (PEG) 40 kDa</w:t>
      </w:r>
    </w:p>
    <w:p>
      <w:pPr>
        <w:pStyle w:val="ListBullet"/>
      </w:pPr>
      <w:r/>
      <w:r>
        <w:rPr>
          <w:b/>
        </w:rPr>
        <w:t>Réglementation algérienne</w:t>
      </w:r>
      <w:r>
        <w:t xml:space="preserve"> : </w:t>
      </w:r>
      <w:r>
        <w:rPr>
          <w:b/>
        </w:rPr>
        <w:t>Liste I</w:t>
      </w:r>
      <w:r>
        <w:t xml:space="preserve"> (sur ordonnance médicale obligatoire), prescription initiale hospitalo-universitaire réservée aux spécialistes en rhumatologie, gastro-entérologie, dermatologie, médecine interne, gynécologie-obstétrique (grossesse). Renouvellement possible en ville après stabilisation.</w:t>
      </w:r>
    </w:p>
    <w:p>
      <w:pPr>
        <w:pStyle w:val="ListBullet"/>
      </w:pPr>
      <w:r/>
      <w:r>
        <w:rPr>
          <w:b/>
        </w:rPr>
        <w:t>Statut Liste des stupéfiants</w:t>
      </w:r>
      <w:r>
        <w:t xml:space="preserve"> : Non applicable</w:t>
      </w:r>
    </w:p>
    <w:p>
      <w:pPr>
        <w:pStyle w:val="ListBullet"/>
      </w:pPr>
      <w:r/>
      <w:r>
        <w:rPr>
          <w:b/>
        </w:rPr>
        <w:t>Statut grossesse</w:t>
      </w:r>
      <w:r>
        <w:t xml:space="preserve"> : </w:t>
      </w:r>
      <w:r>
        <w:rPr>
          <w:b/>
        </w:rPr>
        <w:t>Compatible pendant TOUTE la grossesse (1er, 2e et 3e trimestres)</w:t>
      </w:r>
      <w:r>
        <w:t xml:space="preserve"> — seul anti-TNFα avec cette propriété (absence de fragment Fc, pas de transfert placentaire passif via FcRn)</w:t>
      </w:r>
    </w:p>
    <w:p>
      <w:pPr>
        <w:pStyle w:val="ListBullet"/>
      </w:pPr>
      <w:r/>
      <w:r>
        <w:rPr>
          <w:b/>
        </w:rPr>
        <w:t>Statut allaitement</w:t>
      </w:r>
      <w:r>
        <w:t xml:space="preserve"> : Compatible (faible passage dans le lait maternel, pegylation limitant la biodisponibilité orale chez le nouveau-né)</w:t>
      </w:r>
    </w:p>
    <w:p>
      <w:pPr>
        <w:pStyle w:val="ListBullet"/>
      </w:pPr>
      <w:r/>
      <w:r>
        <w:rPr>
          <w:b/>
        </w:rPr>
        <w:t>Disponibilité Algérie au 1er avril 2026</w:t>
      </w:r>
      <w:r>
        <w:t xml:space="preserve"> : 1 seule spécialité active (CIMZIA, UCB Pharma), 1 dosage (200 mg/1 mL en seringue préremplie SC). Pas de biosimilaire disponible à ce jour.</w:t>
      </w:r>
    </w:p>
    <w:p>
      <w:pPr>
        <w:pStyle w:val="ListBullet"/>
      </w:pPr>
      <w:r/>
      <w:r>
        <w:rPr>
          <w:b/>
        </w:rPr>
        <w:t>Coût mensuel estimé</w:t>
      </w:r>
      <w:r>
        <w:t xml:space="preserve"> : 25 000 à 35 000 DA pour 200 mg/2 sem en entretien, ou 50 000-70 000 DA pour 400 mg/4 sem en entretien alternatif</w:t>
      </w:r>
    </w:p>
    <w:p>
      <w:pPr>
        <w:pStyle w:val="ListBullet"/>
      </w:pPr>
      <w:r/>
      <w:r>
        <w:rPr>
          <w:b/>
        </w:rPr>
        <w:t>Laboratoires référencés</w:t>
      </w:r>
      <w:r>
        <w:t xml:space="preserve"> : UCB PHARMA SA (princeps CIMZIA, exclusivité)</w:t>
      </w:r>
    </w:p>
    <w:p>
      <w:pPr>
        <w:pStyle w:val="Heading3"/>
      </w:pPr>
      <w:r>
        <w:t>152A.9.2 Médicaments disponibles en Algérie (tableau commercial exhaustif)</w:t>
      </w:r>
    </w:p>
    <w:p>
      <w:r>
        <w:t>Le certolizumab pegol est commercialisé en Algérie au 1er avril 2026 sous une seule marque (CIMZIA, UCB Pharma), sans biosimilaire disponible, en 1 dosage unique (200 mg/1 mL en seringue préremplie), totalisant 1 conditionnement actif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CIMZIA</w:t>
            </w:r>
          </w:p>
        </w:tc>
        <w:tc>
          <w:tcPr>
            <w:tcW w:type="dxa" w:w="1559"/>
          </w:tcPr>
          <w:p>
            <w:r>
              <w:rPr>
                <w:sz w:val="20"/>
              </w:rPr>
              <w:t>UCB PHARMA SA</w:t>
            </w:r>
          </w:p>
        </w:tc>
        <w:tc>
          <w:tcPr>
            <w:tcW w:type="dxa" w:w="1559"/>
          </w:tcPr>
          <w:p>
            <w:r>
              <w:rPr>
                <w:sz w:val="20"/>
              </w:rPr>
              <w:t>Solution injectable SC en seringue préremplie — 200 mg/1 mL</w:t>
            </w:r>
          </w:p>
        </w:tc>
        <w:tc>
          <w:tcPr>
            <w:tcW w:type="dxa" w:w="1559"/>
          </w:tcPr>
          <w:p>
            <w:r>
              <w:rPr>
                <w:sz w:val="20"/>
              </w:rPr>
              <w:t>B/2 seringues préremplies de 1 mL + 2 tampons alcoolisés</w:t>
            </w:r>
          </w:p>
        </w:tc>
        <w:tc>
          <w:tcPr>
            <w:tcW w:type="dxa" w:w="1559"/>
          </w:tcPr>
          <w:p>
            <w:r>
              <w:rPr>
                <w:sz w:val="20"/>
              </w:rPr>
              <w:t>LISTE I</w:t>
            </w:r>
          </w:p>
        </w:tc>
        <w:tc>
          <w:tcPr>
            <w:tcW w:type="dxa" w:w="1559"/>
          </w:tcPr>
          <w:p>
            <w:r>
              <w:rPr>
                <w:sz w:val="20"/>
              </w:rPr>
              <w:t>ACTIF</w:t>
            </w:r>
          </w:p>
        </w:tc>
      </w:tr>
    </w:tbl>
    <w:p/>
    <w:p>
      <w:r>
        <w:t xml:space="preserve">Le marché algérien du certolizumab pegol est </w:t>
      </w:r>
      <w:r>
        <w:rPr>
          <w:b/>
        </w:rPr>
        <w:t>monopolistique</w:t>
      </w:r>
      <w:r>
        <w:t xml:space="preserve"> avec une seule spécialité disponible (CIMZIA, UCB Pharma). Le brevet du certolizumab pegol n'a pas encore expiré (brevet européen attendu en 2024-2026, ouverture potentielle du marché aux biosimilaires après cette date), ce qui explique l'absence de biosimilaire disponible à ce jour en Algérie. Le coût mensuel d'un traitement par certolizumab pegol en entretien est de 25 000-35 000 DA pour la posologie 200 mg/2 sem, ou 50 000-70 000 DA pour la posologie alternative 400 mg/4 sem (4 seringues par mois). Le conditionnement de 2 seringues correspond à 4 semaines de traitement à 200 mg × 1/2 sem (posologie standard entretien), ou à 1 dose d'induction (400 mg = 2 × 200 mg) lors de la phase d'induction. Le certolizumab est l'anti-TNFα de choix chez la femme enceinte nécessitant un traitement actif pendant toute la grossesse, en raison de son absence de fragment Fc (pas de transfert placentaire passif via FcRn, pas d'immunosuppression néonatale). Son profil pharmacologique unique (absence de CDC/ADCC, pegylation, distribution tissulaire supérieure) en fait une option de choix dans certaines indications spécifiques (PR réfractaire, SpA axiale réfractaire, maladie de Crohn, psoriasis) et particulièrement chez la femme en âge de procréer.</w:t>
      </w:r>
    </w:p>
    <w:p>
      <w:pPr>
        <w:pStyle w:val="Heading3"/>
      </w:pPr>
      <w:r>
        <w:t>152A.9.3 Mécanisme d'action détaillé</w:t>
      </w:r>
    </w:p>
    <w:p>
      <w:r>
        <w:t xml:space="preserve">Le certolizumab pegol est un </w:t>
      </w:r>
      <w:r>
        <w:rPr>
          <w:b/>
        </w:rPr>
        <w:t>fragment Fab' monoclonal humanisé anti-TNFα couplé de manière covalente à deux chaînes de polyéthylène glycol (PEG) de 40 kDa</w:t>
      </w:r>
      <w:r>
        <w:t xml:space="preserve"> chacune (technologie de pegylation par branch « 2×40 kDa PEG »). Il ne s'agit pas d'un anticorps monoclonal complet (pas de fragment Fc) ni d'un récepteur soluble, mais d'un fragment Fab' (≈ 50 kDa sans le PEG, ≈ 90 kDa avec le PEG) qui conserve l'affinité de liaison au TNFα tout en bénéficiant des propriétés pharmacocinétiques de la pegylation.</w:t>
      </w:r>
    </w:p>
    <w:p>
      <w:r/>
      <w:r>
        <w:rPr>
          <w:b/>
        </w:rPr>
        <w:t>Structure moléculaire</w:t>
      </w:r>
      <w:r>
        <w:t xml:space="preserve"> : le fragment Fab' est produit par génie génétique en cellules E. coli à partir d'une construction ADN codant pour la chaîne lourde tronquée (VH-CH1-hinge modifié) et la chaîne légère (VL-CL κ) d'un anticorps humanisé anti-TNFα (clone CDP870, dérivé de la technologie phage display avec humanisation par CDR grafting). Les deux chaînes sont assemblées par ponts disulfure, et un résidu cystéine libre en position C-terminale du hinge permet le couplage covalent à deux chaînes de PEG 40 kDa (methoxy-PEG-maleimide, par thiol-maleimide conjugaison). La molécule finale est un fragment Fab' pegylé homogène de 90 kDa.</w:t>
      </w:r>
    </w:p>
    <w:p>
      <w:r/>
      <w:r>
        <w:rPr>
          <w:b/>
        </w:rPr>
        <w:t>Mécanisme d'action moléculaire</w:t>
      </w:r>
      <w:r>
        <w:t xml:space="preserve"> : le certolizumab pegol se lie avec une haute affinité (KD ≈ 10⁻¹⁰ M, ~2,7×10⁻¹⁰ M pour la forme soluble et ~1,8×10⁻¹⁰ M pour la forme transmembranaire) au TNFα soluble et transmembranaire, neutralisant leur interaction avec les récepteurs TNFR1 et TNFR2. Cette neutralisation empêche la signalisation intracellulaire pro-inflammatoire. Le ratio de liaison certolizumab:TNFα est de 1:1, avec une neutralisation stoechiométrique complète.</w:t>
      </w:r>
    </w:p>
    <w:p>
      <w:r/>
      <w:r>
        <w:rPr>
          <w:b/>
        </w:rPr>
        <w:t>Absence de lyse cellulaire</w:t>
      </w:r>
      <w:r>
        <w:t xml:space="preserve"> : contrairement à l'infliximab, l'adalimumab et le golimumab, le certolizumab pegol ne contient </w:t>
      </w:r>
      <w:r>
        <w:rPr>
          <w:b/>
        </w:rPr>
        <w:t>pas de fragment Fc</w:t>
      </w:r>
      <w:r>
        <w:t xml:space="preserve"> (seulement le fragment Fab' pegylé). Cette absence de Fc a deux conséquences majeures : (i) absence de cytotoxicité dépendante du complément (CDC) — pas de fixation du C1q ; (ii) absence de cytotoxicité cellulaire dépendante des anticorps (ADCC) — pas de fixation des FcγR des cellules effectrices. Le certolizumab neutralise le TNFα soluble et transmembranaire sans lyser les cellules qui l'expriment. Cette caractéristique explique l'incidence plus faible de tuberculose observée (0,05-0,1 pour 100 patients-années, comparable à l'étanercept) en raison de la moindre disruption des granulomes tuberculeux latency.</w:t>
      </w:r>
    </w:p>
    <w:p>
      <w:r/>
      <w:r>
        <w:rPr>
          <w:b/>
        </w:rPr>
        <w:t>Absence de transfert placentaire passif</w:t>
      </w:r>
      <w:r>
        <w:t xml:space="preserve"> : le certolizumab pegol est le </w:t>
      </w:r>
      <w:r>
        <w:rPr>
          <w:b/>
        </w:rPr>
        <w:t>seul anti-TNFα sans transfert placentaire passif</w:t>
      </w:r>
      <w:r>
        <w:t xml:space="preserve">. Le transfert transplacentaire des IgG (dont les anticorps monoclonaux IgG1) est assuré par le récepteur néonatal FcRn (Fc receptor of the neonate) exprimé au niveau des cellules trophoblastiques placentaires à partir de 16-20 SA. Le FcRn se lie spécifiquement à la portion Fc des IgG (particulièrement IgG1 et IgG3) et assure le transport actif des IgG maternelles vers la circulation fœtale. Le certolizumab pegol, dépourvu de fragment Fc, </w:t>
      </w:r>
      <w:r>
        <w:rPr>
          <w:b/>
        </w:rPr>
        <w:t>ne se lie pas au FcRn placentaire</w:t>
      </w:r>
      <w:r>
        <w:t xml:space="preserve"> et n'est donc pas transféré activement au fœtus. Les études pharmacocinétiques chez la femme enceinte (essai CRIB, 2018) ont confirmé que les taux de certolizumab pegol dans le sang du cordon ombilical étaient </w:t>
      </w:r>
      <w:r>
        <w:rPr>
          <w:b/>
        </w:rPr>
        <w:t>indétectables ou minimaux</w:t>
      </w:r>
      <w:r>
        <w:t xml:space="preserve"> (&lt; 0,5 μg/mL) à la naissance, indépendamment du trimestre de traitement maternel. C'est le seul anti-TNFα considéré comme </w:t>
      </w:r>
      <w:r>
        <w:rPr>
          <w:b/>
        </w:rPr>
        <w:t>utilisable pendant toute la grossesse, y compris au 3e trimestre</w:t>
      </w:r>
      <w:r>
        <w:t>, sans risque d'immunosuppression néonatale.</w:t>
      </w:r>
    </w:p>
    <w:p>
      <w:r/>
      <w:r>
        <w:rPr>
          <w:b/>
        </w:rPr>
        <w:t>Distribution tissulaire supérieure</w:t>
      </w:r>
      <w:r>
        <w:t xml:space="preserve"> : la taille plus réduite du fragment Fab' pegylé (≈ 90 kDa vs 150 kDa pour une IgG complète) permet une meilleure pénétration dans les tissus enflammés (synoviale, paroi intestinale, peau psoriasique), hypothèse pharmacodynamique avancée pour expliquer l'efficacité du certolizumab dans des indications où la pénétration tissulaire est critique (maladie de Crohn avec atteinte pariétale épaisse, psoriasis avec dermite profonde).</w:t>
      </w:r>
    </w:p>
    <w:p>
      <w:r/>
      <w:r>
        <w:rPr>
          <w:b/>
        </w:rPr>
        <w:t>Pegylation et demi-vie prolongée</w:t>
      </w:r>
      <w:r>
        <w:t xml:space="preserve"> : la pegylation ralentit la filtration glomérulaire (taille hydrodynamique supérieure au seuil de filtration ≈ 70 kDa) et la dégradation protéolytique, conférant au certolizumab pegol une demi-vie d'élimination de </w:t>
      </w:r>
      <w:r>
        <w:rPr>
          <w:b/>
        </w:rPr>
        <w:t>14 jours</w:t>
      </w:r>
      <w:r>
        <w:t xml:space="preserve"> (vs 3-5 jours pour l'étanercept, 7-12 jours pour le golimumab, 10-20 jours pour l'adalimumab). Cette demi-vie permet une administration toutes les 2 semaines en entretien (après phase d'induction S0, S2, S4).</w:t>
      </w:r>
    </w:p>
    <w:p>
      <w:r/>
      <w:r>
        <w:rPr>
          <w:b/>
        </w:rPr>
        <w:t>Immunogénicité faible-moderée</w:t>
      </w:r>
      <w:r>
        <w:t xml:space="preserve"> : le fragment Fab' sans Fc est moins immunogène qu'un anticorps chimérique (infliximab) mais peut induire des anticorps anti-médicament (ADA) chez 7-12 % des patients sans MTX concomitant (≤ 5 % avec MTX). Un signal émergent d'</w:t>
      </w:r>
      <w:r>
        <w:rPr>
          <w:b/>
        </w:rPr>
        <w:t>anticorps anti-PEG</w:t>
      </w:r>
      <w:r>
        <w:t xml:space="preserve"> (rare, &lt; 5 %) a été rapporté, susceptible de réduire l'efficacité à long terme et d'augmenter le risque de réactions d'hypersensibilité.</w:t>
      </w:r>
    </w:p>
    <w:p>
      <w:r/>
      <w:r>
        <w:rPr>
          <w:b/>
        </w:rPr>
        <w:t>Conséquences pharmacodynamiques cliniques</w:t>
      </w:r>
      <w:r>
        <w:t xml:space="preserve"> : (i) réduction rapide de la CRP (baisse de 50 % à 2 semaines, de 80 % à 4 semaines) ; (ii) réduction du nombre d'articulations gonflées et douloureuses (baisse significative à 2 semaines, optimum à 12-24 semaines) ; (iii) prévention de la progression radiographique (réduction de 50-70 % de la progression du score de Sharp/van der Heijde à 1 an vs placebo) ; (iv) réduction de la fatigue et amélioration de la qualité de vie. Le délai d'action initial est de 2-4 semaines (amélioration symptomatique) avec un plateau d'efficacité à 12-24 semaines.</w:t>
      </w:r>
    </w:p>
    <w:p>
      <w:pPr>
        <w:pStyle w:val="Heading3"/>
      </w:pPr>
      <w:r>
        <w:t>152A.9.4 Profil pharmacologique clinique : indications, contre-indications, effets indésirables</w:t>
      </w:r>
    </w:p>
    <w:p>
      <w:r/>
      <w:r>
        <w:rPr>
          <w:b/>
        </w:rPr>
        <w:t>Indications AMM en Algérie</w:t>
      </w:r>
      <w:r>
        <w:t xml:space="preserve"> :</w:t>
      </w:r>
    </w:p>
    <w:p>
      <w:pPr>
        <w:pStyle w:val="ListBullet"/>
      </w:pPr>
      <w:r/>
      <w:r>
        <w:rPr>
          <w:b/>
        </w:rPr>
        <w:t>Polyarthrite rhumatoïde active modérée à sévère de l'adulte</w:t>
      </w:r>
      <w:r>
        <w:t xml:space="preserve"> en cas de réponse inadéquate aux DMARDs conventionnels. Efficacité : ACR20 58-68 % à 24 semaines vs 14 % placebo (essais RAPID 1 et RAPID 2), en association au MTX. Posologie : 400 mg SC (2 × 200 mg) à S0, S2, S4 puis 200 mg toutes les 2 semaines en entretien (ou 400 mg toutes les 4 semaines en alternative).</w:t>
      </w:r>
    </w:p>
    <w:p>
      <w:pPr>
        <w:pStyle w:val="ListBullet"/>
      </w:pPr>
      <w:r/>
      <w:r>
        <w:rPr>
          <w:b/>
        </w:rPr>
        <w:t>Spondyloarthrite axiale sévère et active de l'adulte</w:t>
      </w:r>
      <w:r>
        <w:t xml:space="preserve"> (radiographique et non radiographique) en cas de réponse inadéquate aux AINS. Efficacité : ASAS20 58 % vs 21 % placebo à 12 semaines (essai RAPID-axSpA). Posologie : 400 mg SC à S0, S2, S4 puis 200 mg toutes les 2 semaines en entretien.</w:t>
      </w:r>
    </w:p>
    <w:p>
      <w:pPr>
        <w:pStyle w:val="ListBullet"/>
      </w:pPr>
      <w:r/>
      <w:r>
        <w:rPr>
          <w:b/>
        </w:rPr>
        <w:t>Rhumatisme psoriasique actif de l'adulte</w:t>
      </w:r>
      <w:r>
        <w:t xml:space="preserve"> en cas de réponse inadéquate aux DMARDs. Efficacité : ACR20 58 % à 24 semaines (essai RAPID-PsA). Posologie : 400 mg SC à S0, S2, S4 puis 200 mg toutes les 2 semaines en entretien.</w:t>
      </w:r>
    </w:p>
    <w:p>
      <w:pPr>
        <w:pStyle w:val="ListBullet"/>
      </w:pPr>
      <w:r/>
      <w:r>
        <w:rPr>
          <w:b/>
        </w:rPr>
        <w:t>Psoriasis en plaques modéré à sévère de l'adulte</w:t>
      </w:r>
      <w:r>
        <w:t xml:space="preserve"> en cas de réponse inadéquate aux traitements systémiques conventionnels. Efficacité : PASI75 75 % vs 4 % placebo à 12 semaines (essai CIMPACT). Posologie : 400 mg SC à S0, S2, S4 puis 200 mg toutes les 2 semaines en entretien (ou 400 mg toutes les 4 semaines en alternative).</w:t>
      </w:r>
    </w:p>
    <w:p>
      <w:pPr>
        <w:pStyle w:val="ListBullet"/>
      </w:pPr>
      <w:r/>
      <w:r>
        <w:rPr>
          <w:b/>
        </w:rPr>
        <w:t>Maladie de Crohn active modérée à sévère de l'adulte</w:t>
      </w:r>
      <w:r>
        <w:t xml:space="preserve"> en cas de réponse inadéquate aux traitements conventionnels. Efficacité : réponse à 6 semaines 60 % vs 40 % placebo (essais PRECiSE 1 et 2). Posologie : 400 mg SC à S0, S2, S4 puis 400 mg toutes les 4 semaines en entretien.</w:t>
      </w:r>
    </w:p>
    <w:p>
      <w:pPr>
        <w:pStyle w:val="ListBullet"/>
      </w:pPr>
      <w:r/>
      <w:r>
        <w:rPr>
          <w:b/>
        </w:rPr>
        <w:t>Spondyloarthrite axiale non radiographique</w:t>
      </w:r>
      <w:r>
        <w:t xml:space="preserve"> : AMM dans cette indication.</w:t>
      </w:r>
    </w:p>
    <w:p>
      <w:r/>
      <w:r>
        <w:rPr>
          <w:b/>
        </w:rPr>
        <w:t>Contre-indications absolues</w:t>
      </w:r>
      <w:r>
        <w:t xml:space="preserve"> :</w:t>
      </w:r>
    </w:p>
    <w:p>
      <w:pPr>
        <w:pStyle w:val="ListBullet"/>
      </w:pPr>
      <w:r>
        <w:t>Sepsis sévère ou infection sévère active — arrêt temporaire jusqu'à résolution.</w:t>
      </w:r>
    </w:p>
    <w:p>
      <w:pPr>
        <w:pStyle w:val="ListBullet"/>
      </w:pPr>
      <w:r/>
      <w:r>
        <w:rPr>
          <w:b/>
        </w:rPr>
        <w:t>Tuberculose active non traitée</w:t>
      </w:r>
      <w:r>
        <w:t xml:space="preserve"> — dépistage pré-thérapeutique obligatoire (l'incidence est plus faible que pour les anticorps monoclonaux complets mais pas nulle).</w:t>
      </w:r>
    </w:p>
    <w:p>
      <w:pPr>
        <w:pStyle w:val="ListBullet"/>
      </w:pPr>
      <w:r>
        <w:t>Infections opportunistes actives.</w:t>
      </w:r>
    </w:p>
    <w:p>
      <w:pPr>
        <w:pStyle w:val="ListBullet"/>
      </w:pPr>
      <w:r/>
      <w:r>
        <w:rPr>
          <w:b/>
        </w:rPr>
        <w:t>Insuffisance cardiaque NYHA III-IV</w:t>
      </w:r>
      <w:r>
        <w:t xml:space="preserve"> (signal émergent, prudence NYHA I-II).</w:t>
      </w:r>
    </w:p>
    <w:p>
      <w:pPr>
        <w:pStyle w:val="ListBullet"/>
      </w:pPr>
      <w:r/>
      <w:r>
        <w:rPr>
          <w:b/>
        </w:rPr>
        <w:t>Antécédent personnel de maladie démyélinisante centrale</w:t>
      </w:r>
      <w:r>
        <w:t>.</w:t>
      </w:r>
    </w:p>
    <w:p>
      <w:pPr>
        <w:pStyle w:val="ListBullet"/>
      </w:pPr>
      <w:r>
        <w:t>Hypersensibilité au certolizumab pegol, au PEG ou à l'un des excipients (acide citrique, citrate de sodium, saccharose, polysorbate).</w:t>
      </w:r>
    </w:p>
    <w:p>
      <w:pPr>
        <w:pStyle w:val="ListBullet"/>
      </w:pPr>
      <w:r/>
      <w:r>
        <w:rPr>
          <w:b/>
        </w:rPr>
        <w:t>Vaccination par vaccin vivant atténué</w:t>
      </w:r>
      <w:r>
        <w:t xml:space="preserve"> pendant le traitement et jusqu'à 10 semaines (demi-vie longue de 14 jours) après la dernière injection.</w:t>
      </w:r>
    </w:p>
    <w:p>
      <w:pPr>
        <w:pStyle w:val="ListBullet"/>
      </w:pPr>
      <w:r>
        <w:t>Hypersensibilité connue aux composés PEG (rare mais signalée — signal émergent d'anticorps anti-PEG avec réactions d'hypersensibilité).</w:t>
      </w:r>
    </w:p>
    <w:p>
      <w:r/>
      <w:r>
        <w:rPr>
          <w:b/>
        </w:rPr>
        <w:t>Contre-indications relatives / Précautions d'emploi</w:t>
      </w:r>
      <w:r>
        <w:t xml:space="preserve"> :</w:t>
      </w:r>
    </w:p>
    <w:p>
      <w:pPr>
        <w:pStyle w:val="ListBullet"/>
      </w:pPr>
      <w:r>
        <w:t>Insuffisance cardiaque NYHA I-II : à utiliser avec prudence.</w:t>
      </w:r>
    </w:p>
    <w:p>
      <w:pPr>
        <w:pStyle w:val="ListBullet"/>
      </w:pPr>
      <w:r>
        <w:t>Hépatite B chronique (AgHBs+) : dépistage systématique, prophylaxie antivirale.</w:t>
      </w:r>
    </w:p>
    <w:p>
      <w:pPr>
        <w:pStyle w:val="ListBullet"/>
      </w:pPr>
      <w:r>
        <w:t>Lupus érythémateux systémique : signal rare d'ATIL.</w:t>
      </w:r>
    </w:p>
    <w:p>
      <w:pPr>
        <w:pStyle w:val="ListBullet"/>
      </w:pPr>
      <w:r>
        <w:t>Insuffisance hépatique modérée à sévère.</w:t>
      </w:r>
    </w:p>
    <w:p>
      <w:pPr>
        <w:pStyle w:val="ListBullet"/>
      </w:pPr>
      <w:r>
        <w:t>Patient âgé &gt; 65 ans : risque infectieux majoré.</w:t>
      </w:r>
    </w:p>
    <w:p>
      <w:pPr>
        <w:pStyle w:val="ListBullet"/>
      </w:pPr>
      <w:r/>
      <w:r>
        <w:rPr>
          <w:b/>
        </w:rPr>
        <w:t>Grossesse tous trimestres</w:t>
      </w:r>
      <w:r>
        <w:t xml:space="preserve"> : utilisation possible, le certolizumab est l'anti-TNFα de choix chez la femme enceinte (absence de transfert placentaire passif).</w:t>
      </w:r>
    </w:p>
    <w:p>
      <w:r/>
      <w:r>
        <w:rPr>
          <w:b/>
        </w:rPr>
        <w:t>Effets indésirables</w:t>
      </w:r>
      <w:r>
        <w:t xml:space="preserve"> (par fréquence) :</w:t>
      </w:r>
    </w:p>
    <w:p>
      <w:r/>
      <w:r>
        <w:rPr>
          <w:i/>
        </w:rPr>
        <w:t>Très fréquents (≥ 10 %)</w:t>
      </w:r>
      <w:r>
        <w:t xml:space="preserve"> : </w:t>
      </w:r>
      <w:r>
        <w:rPr>
          <w:b/>
        </w:rPr>
        <w:t>réactions au site d'injection</w:t>
      </w:r>
      <w:r>
        <w:t xml:space="preserve"> (10-15 %, plus fréquentes qu'avec l'adalimumab en raison de la double injection lors de l'induction 400 mg = 2 × 200 mg), infections des voies respiratoires supérieures (rhinopharyngite 14-18 %), céphalées (10-12 %), </w:t>
      </w:r>
      <w:r>
        <w:rPr>
          <w:b/>
        </w:rPr>
        <w:t>réactions au site d'injection plus marquées en raison du volume plus important (2 mL vs 0,8 mL pour l'adalimumab)</w:t>
      </w:r>
      <w:r>
        <w:t>.</w:t>
      </w:r>
    </w:p>
    <w:p>
      <w:r/>
      <w:r>
        <w:rPr>
          <w:i/>
        </w:rPr>
        <w:t>Fréquents (1-10 %)</w:t>
      </w:r>
      <w:r>
        <w:t xml:space="preserve"> : infections sévères (pneumonie 2-5 %, cellulite, arthrite septique), fièvre, asthénie, vertiges, hypoesthésies, paresthésies, conjonctivite, sinusite, bronchite, cystite, élévation des transaminases modérée, neutropénie modérée, éruptions cutanées, prurit, urticaire.</w:t>
      </w:r>
    </w:p>
    <w:p>
      <w:r/>
      <w:r>
        <w:rPr>
          <w:i/>
        </w:rPr>
        <w:t>Peu fréquents (0,1-1 %)</w:t>
      </w:r>
      <w:r>
        <w:t xml:space="preserve"> : </w:t>
      </w:r>
      <w:r>
        <w:rPr>
          <w:b/>
        </w:rPr>
        <w:t>tuberculose</w:t>
      </w:r>
      <w:r>
        <w:t xml:space="preserve"> (incidence annuelle 0,05-0,1 pour 100 patients-années, plus faible que pour les anticorps monoclonaux complets), infections opportunistes (légionellose, listériose, pneumocystose), réactions d'hypersensibilité systémique (urticaire, bronchospasme, anaphylaxie rare), thrombopénie, anémie aplasique, psoriasis palmoplantaire paradoxal, vasculite, ATIL, néphropathie, pneumopathie interstitielle, hépatite cytolytique sévère, </w:t>
      </w:r>
      <w:r>
        <w:rPr>
          <w:b/>
        </w:rPr>
        <w:t>anticorps anti-PEG</w:t>
      </w:r>
      <w:r>
        <w:t xml:space="preserve"> avec perte d'efficacité secondaire.</w:t>
      </w:r>
    </w:p>
    <w:p>
      <w:r/>
      <w:r>
        <w:rPr>
          <w:i/>
        </w:rPr>
        <w:t>Rares (&lt; 0,1 %)</w:t>
      </w:r>
      <w:r>
        <w:t xml:space="preserve"> : </w:t>
      </w:r>
      <w:r>
        <w:rPr>
          <w:b/>
        </w:rPr>
        <w:t>démyélinisation centrale</w:t>
      </w:r>
      <w:r>
        <w:t xml:space="preserve"> (SEP de novo, névrite optique, myélite transverse — incidence comparable aux autres anti-TNFα), syndrome de Guillain-Barré, pancytopénie, aplasie médullaire, carcinome cutané non mélanocytaire, mélanome, lymphome, réactivation d'hépatite B, hépatite fulminante, maladie séreuse, anaphylaxie sévère.</w:t>
      </w:r>
    </w:p>
    <w:p>
      <w:pPr>
        <w:pStyle w:val="Heading3"/>
      </w:pPr>
      <w:r>
        <w:t>152A.9.5 Prévention et gestion des effets indésirables</w:t>
      </w:r>
    </w:p>
    <w:p>
      <w:r/>
      <w:r>
        <w:rPr>
          <w:b/>
        </w:rPr>
        <w:t>Bilan pré-thérapeutique obligatoire</w:t>
      </w:r>
      <w:r>
        <w:t xml:space="preserve"> : identique aux autres anti-TNFα (consultation spécialisée, bilan biologique complet, sérologies VHB/VHC/VIH, dépistage TB IDR ou IGRA + radio thoracique, échographie cardiaque si antécédent IC, bilan neurologique, bilan dermatologique, mise à jour vaccinale). Le dépistage TB reste obligatoire malgré l'incidence plus faible qu'avec les anticorps monoclonaux complets.</w:t>
      </w:r>
    </w:p>
    <w:p>
      <w:r/>
      <w:r>
        <w:rPr>
          <w:b/>
        </w:rPr>
        <w:t>Surveillance pendant le traitement</w:t>
      </w:r>
      <w:r>
        <w:t xml:space="preserve"> : examen clinique mensuel les 3 premiers mois puis trimestriel, bilan biologique mensuel les 3 premiers mois puis trimestriel (NFS-plaquettes, bilan hépatique, bilan rénal, CRP), surveillance infectieuse, surveillance TB, surveillance cardiaque si IC préexistante, surveillance neurologique, surveillance dermatologique. </w:t>
      </w:r>
      <w:r>
        <w:rPr>
          <w:b/>
        </w:rPr>
        <w:t>Surveillance spécifique</w:t>
      </w:r>
      <w:r>
        <w:t xml:space="preserve"> : recherche d'anticorps anti-PEG en cas de perte d'efficacité secondaire ou de réactions d'hypersensibilité répétées.</w:t>
      </w:r>
    </w:p>
    <w:p>
      <w:r/>
      <w:r>
        <w:rPr>
          <w:b/>
        </w:rPr>
        <w:t>Gestion des effets indésirables spécifiques</w:t>
      </w:r>
      <w:r>
        <w:t xml:space="preserve"> :</w:t>
      </w:r>
    </w:p>
    <w:p>
      <w:pPr>
        <w:pStyle w:val="ListBullet"/>
      </w:pPr>
      <w:r/>
      <w:r>
        <w:rPr>
          <w:b/>
        </w:rPr>
        <w:t>Réactions au site d'injection</w:t>
      </w:r>
      <w:r>
        <w:t xml:space="preserve"> : rotation des sites d'injection (les 2 injections de la phase d'induction 400 mg doivent être faites à 2 sites différents, par exemple les 2 cuisses ou cuisse + abdomen), application de glace, hydratation cutanée, antihistaminique local si prurit. Le volume plus important (2 mL vs 0,8 mL pour l'adalimumab) peut provoquer une douleur plus marquée à l'injection — informer le patient et prévoir un antalgique (paracétamol 1 g PO 30 min avant injection) en cas de besoin.</w:t>
      </w:r>
    </w:p>
    <w:p>
      <w:pPr>
        <w:pStyle w:val="ListBullet"/>
      </w:pPr>
      <w:r/>
      <w:r>
        <w:rPr>
          <w:b/>
        </w:rPr>
        <w:t>Infections bactériennes</w:t>
      </w:r>
      <w:r>
        <w:t xml:space="preserve"> : arrêt immédiat, prélèvements bactériologiques, antibiothérapie empirique, reprise 2 semaines après résolution.</w:t>
      </w:r>
    </w:p>
    <w:p>
      <w:pPr>
        <w:pStyle w:val="ListBullet"/>
      </w:pPr>
      <w:r/>
      <w:r>
        <w:rPr>
          <w:b/>
        </w:rPr>
        <w:t>Tuberculose active</w:t>
      </w:r>
      <w:r>
        <w:t xml:space="preserve"> : arrêt définitif, hospitalisation en maladies infectieuses, quadrithérapie antituberculeuse 6 mois. Pas de réintroduction.</w:t>
      </w:r>
    </w:p>
    <w:p>
      <w:pPr>
        <w:pStyle w:val="ListBullet"/>
      </w:pPr>
      <w:r/>
      <w:r>
        <w:rPr>
          <w:b/>
        </w:rPr>
        <w:t>Syndrome démyélinisant</w:t>
      </w:r>
      <w:r>
        <w:t xml:space="preserve"> : arrêt définitif et irréversible, avis neurologique urgent, IRM cérébrale et médullaire, traitement spécifique.</w:t>
      </w:r>
    </w:p>
    <w:p>
      <w:pPr>
        <w:pStyle w:val="ListBullet"/>
      </w:pPr>
      <w:r/>
      <w:r>
        <w:rPr>
          <w:b/>
        </w:rPr>
        <w:t>Insuffisance cardiaque aggravée</w:t>
      </w:r>
      <w:r>
        <w:t xml:space="preserve"> : arrêt définitif, avis cardiologique, traitement optimisé de l'IC, alternative thérapeutique (tocilizumab, rituximab).</w:t>
      </w:r>
    </w:p>
    <w:p>
      <w:pPr>
        <w:pStyle w:val="ListBullet"/>
      </w:pPr>
      <w:r/>
      <w:r>
        <w:rPr>
          <w:b/>
        </w:rPr>
        <w:t>Perte d'efficacité secondaire</w:t>
      </w:r>
      <w:r>
        <w:t xml:space="preserve"> : dosage des anticorps anti-certolizumab (ADA) et du taux résiduel de certolizumab. Si ADA positifs avec taux résiduel bas : switch vers un autre anti-TNFα ou une autre classe. Si ADA négatifs avec taux résiduel normal : optimisation posologique (raccourcissement à 200 mg/sem ou 400 mg/2 sem). Si suspicion d'anticorps anti-PEG : switch vers un autre anti-TNFα (sans PEG).</w:t>
      </w:r>
    </w:p>
    <w:p>
      <w:pPr>
        <w:pStyle w:val="ListBullet"/>
      </w:pPr>
      <w:r/>
      <w:r>
        <w:rPr>
          <w:b/>
        </w:rPr>
        <w:t>Hépatite B réactivation</w:t>
      </w:r>
      <w:r>
        <w:t xml:space="preserve"> : arrêt immédiat, traitement antiviral par entécavir ou ténofovir.</w:t>
      </w:r>
    </w:p>
    <w:p>
      <w:pPr>
        <w:pStyle w:val="ListBullet"/>
      </w:pPr>
      <w:r/>
      <w:r>
        <w:rPr>
          <w:b/>
        </w:rPr>
        <w:t>Réactions d'hypersensibilité au PEG</w:t>
      </w:r>
      <w:r>
        <w:t xml:space="preserve"> : arrêt définitif, pas de réintroduction (risque d'anaphylaxie sévère à la réintroduction). Switch vers un autre anti-TNFα sans PEG (étanercept, adalimumab, golimumab, infliximab).</w:t>
      </w:r>
    </w:p>
    <w:p>
      <w:pPr>
        <w:pStyle w:val="Heading3"/>
      </w:pPr>
      <w:r>
        <w:t>152A.9.6 Interactions médicamenteuses</w:t>
      </w:r>
    </w:p>
    <w:p>
      <w:pPr>
        <w:pStyle w:val="ListBullet"/>
      </w:pPr>
      <w:r/>
      <w:r>
        <w:rPr>
          <w:b/>
        </w:rPr>
        <w:t>Vaccins vivants atténués</w:t>
      </w:r>
      <w:r>
        <w:t xml:space="preserve"> : contre-indication pendant le traitement et jusqu'à 10 semaines après la dernière injection. Le risque chez le nouveau-né exposé in utero est </w:t>
      </w:r>
      <w:r>
        <w:rPr>
          <w:b/>
        </w:rPr>
        <w:t>nul</w:t>
      </w:r>
      <w:r>
        <w:t xml:space="preserve"> (absence de transfert placentaire passif), donc les vaccins vivants (BCG, ROR) sont autorisés chez le nouveau-né selon le calendrier vaccinal normal.</w:t>
      </w:r>
    </w:p>
    <w:p>
      <w:pPr>
        <w:pStyle w:val="ListBullet"/>
      </w:pPr>
      <w:r/>
      <w:r>
        <w:rPr>
          <w:b/>
        </w:rPr>
        <w:t>Vaccins inactivés</w:t>
      </w:r>
      <w:r>
        <w:t xml:space="preserve"> : autorisés et recommandés.</w:t>
      </w:r>
    </w:p>
    <w:p>
      <w:pPr>
        <w:pStyle w:val="ListBullet"/>
      </w:pPr>
      <w:r/>
      <w:r>
        <w:rPr>
          <w:b/>
        </w:rPr>
        <w:t>Anakinra</w:t>
      </w:r>
      <w:r>
        <w:t xml:space="preserve"> : contre-indication à l'association.</w:t>
      </w:r>
    </w:p>
    <w:p>
      <w:pPr>
        <w:pStyle w:val="ListBullet"/>
      </w:pPr>
      <w:r/>
      <w:r>
        <w:rPr>
          <w:b/>
        </w:rPr>
        <w:t>Abatacept</w:t>
      </w:r>
      <w:r>
        <w:t xml:space="preserve"> : contre-indication relative.</w:t>
      </w:r>
    </w:p>
    <w:p>
      <w:pPr>
        <w:pStyle w:val="ListBullet"/>
      </w:pPr>
      <w:r/>
      <w:r>
        <w:rPr>
          <w:b/>
        </w:rPr>
        <w:t>Méthotrexate</w:t>
      </w:r>
      <w:r>
        <w:t xml:space="preserve"> : association synergique recommandée dans la PR (réduit l'immunogénicité, potentialise l'efficacité). Posologie MTX 7,5-25 mg/sem PO/SC.</w:t>
      </w:r>
    </w:p>
    <w:p>
      <w:pPr>
        <w:pStyle w:val="ListBullet"/>
      </w:pPr>
      <w:r/>
      <w:r>
        <w:rPr>
          <w:b/>
        </w:rPr>
        <w:t>Azathioprine, 6-mercaptopurine</w:t>
      </w:r>
      <w:r>
        <w:t xml:space="preserve"> : association possible dans la maladie de Crohn. Prudence chez les patients préalablement traités par azathioprine : risque accru de HSTCL.</w:t>
      </w:r>
    </w:p>
    <w:p>
      <w:pPr>
        <w:pStyle w:val="ListBullet"/>
      </w:pPr>
      <w:r/>
      <w:r>
        <w:rPr>
          <w:b/>
        </w:rPr>
        <w:t>Corticoïdes</w:t>
      </w:r>
      <w:r>
        <w:t xml:space="preserve"> : association possible mais risque infectieux additif.</w:t>
      </w:r>
    </w:p>
    <w:p>
      <w:pPr>
        <w:pStyle w:val="ListBullet"/>
      </w:pPr>
      <w:r/>
      <w:r>
        <w:rPr>
          <w:b/>
        </w:rPr>
        <w:t>Autres DMARDs conventionnels</w:t>
      </w:r>
      <w:r>
        <w:t xml:space="preserve"> : association possible.</w:t>
      </w:r>
    </w:p>
    <w:p>
      <w:pPr>
        <w:pStyle w:val="ListBullet"/>
      </w:pPr>
      <w:r/>
      <w:r>
        <w:rPr>
          <w:b/>
        </w:rPr>
        <w:t>AINS</w:t>
      </w:r>
      <w:r>
        <w:t xml:space="preserve"> : association possible sans interaction majeure.</w:t>
      </w:r>
    </w:p>
    <w:p>
      <w:pPr>
        <w:pStyle w:val="ListBullet"/>
      </w:pPr>
      <w:r/>
      <w:r>
        <w:rPr>
          <w:b/>
        </w:rPr>
        <w:t>Live vaccines chez l'enfant exposé in utero</w:t>
      </w:r>
      <w:r>
        <w:t xml:space="preserve"> : </w:t>
      </w:r>
      <w:r>
        <w:rPr>
          <w:b/>
        </w:rPr>
        <w:t>autorisés selon le calendrier vaccinal normal</w:t>
      </w:r>
      <w:r>
        <w:t xml:space="preserve"> (avantage majeur du certolizumab chez la femme enceinte, absence d'immunosuppression néonatale).</w:t>
      </w:r>
    </w:p>
    <w:p>
      <w:pPr>
        <w:pStyle w:val="Heading3"/>
      </w:pPr>
      <w:r>
        <w:t>152A.9.7 Grossesse et allaitement (selon le CRAT)</w:t>
      </w:r>
    </w:p>
    <w:p>
      <w:r/>
      <w:r>
        <w:rPr>
          <w:b/>
        </w:rPr>
        <w:t>Grossesse — particularité unique du certolizumab pegol</w:t>
      </w:r>
      <w:r>
        <w:t xml:space="preserve"> :</w:t>
      </w:r>
    </w:p>
    <w:p>
      <w:pPr>
        <w:pStyle w:val="ListBullet"/>
      </w:pPr>
      <w:r/>
      <w:r>
        <w:rPr>
          <w:b/>
        </w:rPr>
        <w:t>1er trimestre</w:t>
      </w:r>
      <w:r>
        <w:t xml:space="preserve"> : utilisation possible et </w:t>
      </w:r>
      <w:r>
        <w:rPr>
          <w:b/>
        </w:rPr>
        <w:t>recommandée en cas de nécessité de biothérapie pendant la grossesse</w:t>
      </w:r>
      <w:r>
        <w:t>. Pas de signal tératogène documenté (registres OTIS, ~150-200 cas publiés : pas d'augmentation du risque de malformations congénitales majeures vs population générale, ~2-3 %). Absence de transfert placentaire passif (pas de Fc, pas de liaison au FcRn placentaire).</w:t>
      </w:r>
    </w:p>
    <w:p>
      <w:pPr>
        <w:pStyle w:val="ListBullet"/>
      </w:pPr>
      <w:r/>
      <w:r>
        <w:rPr>
          <w:b/>
        </w:rPr>
        <w:t>2e trimestre</w:t>
      </w:r>
      <w:r>
        <w:t xml:space="preserve"> : utilisation possible et recommandée en cas de nécessité. Absence de transfert placentaire.</w:t>
      </w:r>
    </w:p>
    <w:p>
      <w:pPr>
        <w:pStyle w:val="ListBullet"/>
      </w:pPr>
      <w:r/>
      <w:r>
        <w:rPr>
          <w:b/>
        </w:rPr>
        <w:t>3e trimestre</w:t>
      </w:r>
      <w:r>
        <w:t xml:space="preserve"> : </w:t>
      </w:r>
      <w:r>
        <w:rPr>
          <w:b/>
        </w:rPr>
        <w:t>utilisable — seule particularité du certolizumab pegol vs tous les autres anti-TNFα</w:t>
      </w:r>
      <w:r>
        <w:t xml:space="preserve">. Le certolizumab pegol est le </w:t>
      </w:r>
      <w:r>
        <w:rPr>
          <w:b/>
        </w:rPr>
        <w:t>seul anti-TNFα autorisé pendant le 3e trimestre</w:t>
      </w:r>
      <w:r>
        <w:t xml:space="preserve"> de grossesse. Les études pharmacocinétiques (essai CRIB, 2018) ont confirmé que les taux de certolizumab pegol dans le sang du cordon ombilical étaient </w:t>
      </w:r>
      <w:r>
        <w:rPr>
          <w:b/>
        </w:rPr>
        <w:t>indétectables ou minimaux</w:t>
      </w:r>
      <w:r>
        <w:t xml:space="preserve"> (&lt; 0,5 μg/mL) à la naissance, indépendamment du trimestre de traitement maternel. Pas d'immunosuppression néonatale, pas de contre-indication des vaccins vivants chez le nouveau-né (BCG, ROR selon le calendrier vaccinal normal).</w:t>
      </w:r>
    </w:p>
    <w:p>
      <w:pPr>
        <w:pStyle w:val="ListBullet"/>
      </w:pPr>
      <w:r/>
      <w:r>
        <w:rPr>
          <w:b/>
        </w:rPr>
        <w:t>Allaitement</w:t>
      </w:r>
      <w:r>
        <w:t xml:space="preserve"> : compatible selon le CRAT (faible passage dans le lait maternel, pegylation limitant la biodisponibilité orale chez le nouveau-né). L'allaitement peut être poursuivi ou initié sous certolizumab pegol.</w:t>
      </w:r>
    </w:p>
    <w:p>
      <w:pPr>
        <w:pStyle w:val="ListBullet"/>
      </w:pPr>
      <w:r/>
      <w:r>
        <w:rPr>
          <w:b/>
        </w:rPr>
        <w:t>Chez l'homme</w:t>
      </w:r>
      <w:r>
        <w:t xml:space="preserve"> : aucune donnée de tératogénicité paternelle, le certolizumab pegol peut être utilisé chez l'homme envisageant une paternité sans délai d'arrêt pré-conceptionnel.</w:t>
      </w:r>
    </w:p>
    <w:p>
      <w:pPr>
        <w:pStyle w:val="ListBullet"/>
      </w:pPr>
      <w:r/>
      <w:r>
        <w:rPr>
          <w:b/>
        </w:rPr>
        <w:t>Désir de grossesse</w:t>
      </w:r>
      <w:r>
        <w:t xml:space="preserve"> : consultation pré-conceptionnelle spécialisée 3-6 mois avant. </w:t>
      </w:r>
      <w:r>
        <w:rPr>
          <w:b/>
        </w:rPr>
        <w:t>Le certolizumab pegol est l'anti-TNFα de choix chez la femme en âge de procréer envisageant une grossesse</w:t>
      </w:r>
      <w:r>
        <w:t>, en raison de son utilisation possible pendant toute la grossesse y compris au 3e trimestre. Switch depuis un autre anti-TNFα (étanercept, adalimumab, infliximab, golimumab) vers certolizumab pegol 3-6 mois avant la conception recommandé.</w:t>
      </w:r>
    </w:p>
    <w:p>
      <w:pPr>
        <w:pStyle w:val="Heading3"/>
      </w:pPr>
      <w:r>
        <w:t>152A.9.8 Posologie et mode d'administration</w:t>
      </w:r>
    </w:p>
    <w:p>
      <w:r/>
      <w:r>
        <w:rPr>
          <w:b/>
        </w:rPr>
        <w:t>Posologie standard chez l'adulte</w:t>
      </w:r>
      <w:r>
        <w:t xml:space="preserve"> :</w:t>
      </w:r>
    </w:p>
    <w:p>
      <w:pPr>
        <w:pStyle w:val="ListBullet"/>
      </w:pPr>
      <w:r/>
      <w:r>
        <w:rPr>
          <w:b/>
        </w:rPr>
        <w:t>Polyarthrite rhumatoïde, spondyloarthrite axiale, rhumatisme psoriasique, psoriasis en plaques</w:t>
      </w:r>
      <w:r>
        <w:t xml:space="preserve"> :</w:t>
      </w:r>
    </w:p>
    <w:p>
      <w:pPr>
        <w:pStyle w:val="ListBullet"/>
      </w:pPr>
      <w:r/>
      <w:r>
        <w:rPr>
          <w:b/>
        </w:rPr>
        <w:t>Phase d'induction</w:t>
      </w:r>
      <w:r>
        <w:t xml:space="preserve"> : 400 mg SC (2 × 200 mg) à S0, S2, S4 (3 injections doubles, soit 6 seringues au total pour la phase d'induction).</w:t>
      </w:r>
    </w:p>
    <w:p>
      <w:pPr>
        <w:pStyle w:val="ListBullet"/>
      </w:pPr>
      <w:r/>
      <w:r>
        <w:rPr>
          <w:b/>
        </w:rPr>
        <w:t>Phase d'entretien</w:t>
      </w:r>
      <w:r>
        <w:t xml:space="preserve"> : 200 mg SC toutes les 2 semaines à partir de S6 (1 injection simple), OU 400 mg SC (2 × 200 mg) toutes les 4 semaines à partir de S6 (1 injection double par mois, alternative pour améliorer l'observance).</w:t>
      </w:r>
    </w:p>
    <w:p>
      <w:pPr>
        <w:pStyle w:val="ListBullet"/>
      </w:pPr>
      <w:r/>
      <w:r>
        <w:rPr>
          <w:b/>
        </w:rPr>
        <w:t>Maladie de Crohn</w:t>
      </w:r>
      <w:r>
        <w:t xml:space="preserve"> :</w:t>
      </w:r>
    </w:p>
    <w:p>
      <w:pPr>
        <w:pStyle w:val="ListBullet"/>
      </w:pPr>
      <w:r/>
      <w:r>
        <w:rPr>
          <w:b/>
        </w:rPr>
        <w:t>Phase d'induction</w:t>
      </w:r>
      <w:r>
        <w:t xml:space="preserve"> : 400 mg SC (2 × 200 mg) à S0, S2, S4.</w:t>
      </w:r>
    </w:p>
    <w:p>
      <w:pPr>
        <w:pStyle w:val="ListBullet"/>
      </w:pPr>
      <w:r/>
      <w:r>
        <w:rPr>
          <w:b/>
        </w:rPr>
        <w:t>Phase d'entretien</w:t>
      </w:r>
      <w:r>
        <w:t xml:space="preserve"> : 400 mg SC toutes les 4 semaines à partir de S6.</w:t>
      </w:r>
    </w:p>
    <w:p>
      <w:pPr>
        <w:pStyle w:val="ListBullet"/>
      </w:pPr>
      <w:r/>
      <w:r>
        <w:rPr>
          <w:b/>
        </w:rPr>
        <w:t>Adaptation au poids</w:t>
      </w:r>
      <w:r>
        <w:t xml:space="preserve"> : pas d'adaptation posologique selon le poids chez l'adulte.</w:t>
      </w:r>
    </w:p>
    <w:p>
      <w:r/>
      <w:r>
        <w:rPr>
          <w:b/>
        </w:rPr>
        <w:t>Mode d'administration</w:t>
      </w:r>
      <w:r>
        <w:t xml:space="preserve"> :</w:t>
      </w:r>
    </w:p>
    <w:p>
      <w:pPr>
        <w:pStyle w:val="ListBullet"/>
      </w:pPr>
      <w:r>
        <w:t>Voie sous-cutanée stricte (jamais IV, jamais IM).</w:t>
      </w:r>
    </w:p>
    <w:p>
      <w:pPr>
        <w:pStyle w:val="ListBullet"/>
      </w:pPr>
      <w:r>
        <w:t>Sites d'injection : cuisse antéro-externe (site préférentiel pour auto-administration), abdomen (à l'exception de la zone périombilicale de 5 cm), bras externe supérieur (si administration par un tiers). Rotation systématique des sites.</w:t>
      </w:r>
    </w:p>
    <w:p>
      <w:pPr>
        <w:pStyle w:val="ListBullet"/>
      </w:pPr>
      <w:r>
        <w:t xml:space="preserve">Technique de la double injection (phase d'induction 400 mg) : les 2 seringues de 200 mg doivent être injectées à </w:t>
      </w:r>
      <w:r>
        <w:rPr>
          <w:b/>
        </w:rPr>
        <w:t>2 sites différents</w:t>
      </w:r>
      <w:r>
        <w:t xml:space="preserve"> (par exemple cuisse droite + cuisse gauche, ou cuisse + abdomen) pour éviter une surconcentration locale et réduire les réactions au site d'injection.</w:t>
      </w:r>
    </w:p>
    <w:p>
      <w:pPr>
        <w:pStyle w:val="ListBullet"/>
      </w:pPr>
      <w:r>
        <w:t>Technique d'injection : désinfection par tampon alcoolisé, pincer le pli cutané, injecter lentement (15-20 secondes, le volume de 1 mL est plus important que les 0,8 mL de l'adalimumab), relâcher le pli, ne pas masser.</w:t>
      </w:r>
    </w:p>
    <w:p>
      <w:pPr>
        <w:pStyle w:val="ListBullet"/>
      </w:pPr>
      <w:r>
        <w:t>Conservation : au réfrigérateur (2-8°C), à l'abri de la lumière, dans l'emballage extérieur. Ne pas congeler. Avant injection, sortir la seringue 15-30 minutes à l'avance pour la remettre à température ambiante.</w:t>
      </w:r>
    </w:p>
    <w:p>
      <w:pPr>
        <w:pStyle w:val="ListBullet"/>
      </w:pPr>
      <w:r/>
      <w:r>
        <w:rPr>
          <w:b/>
        </w:rPr>
        <w:t>Auto-administration</w:t>
      </w:r>
      <w:r>
        <w:t xml:space="preserve"> : formation obligatoire par infirmier(ère) ou rhumatologue, remise d'un carnet d'auto-surveillance.</w:t>
      </w:r>
    </w:p>
    <w:p>
      <w:r/>
      <w:r>
        <w:rPr>
          <w:b/>
        </w:rPr>
        <w:t>Adaptation posologique selon la fonction rénale</w:t>
      </w:r>
      <w:r>
        <w:t xml:space="preserve"> : pas d'adaptation en IR modérée. Prudence en IR sévère (DFG &lt; 30 mL/min) en raison de l'insuffisance de données (pegylation et clairance rénale potentiellement modifiée).</w:t>
      </w:r>
    </w:p>
    <w:p>
      <w:r/>
      <w:r>
        <w:rPr>
          <w:b/>
        </w:rPr>
        <w:t>Adaptation posologique selon la fonction hépatique</w:t>
      </w:r>
      <w:r>
        <w:t xml:space="preserve"> : pas d'adaptation en IH modérée. Contre-indication relative en IH sévère.</w:t>
      </w:r>
    </w:p>
    <w:p>
      <w:r/>
      <w:r>
        <w:rPr>
          <w:b/>
        </w:rPr>
        <w:t>Durée du traitement</w:t>
      </w:r>
      <w:r>
        <w:t xml:space="preserve"> : traitement chronique au long cours (années). En cas de rémission durable, discussion d'une décroissance progressive (espacement des injections à 3 puis 4 semaines pour la posologie 200 mg/2 sem) avec surveillance rapprochée — risque de rechute à 1 an de 30-50 % en cas d'arrêt complet.</w:t>
      </w:r>
    </w:p>
    <w:p>
      <w:pPr>
        <w:pStyle w:val="Heading3"/>
      </w:pPr>
      <w:r>
        <w:t>152A.9.9 Formes galéniques disponibles</w:t>
      </w:r>
    </w:p>
    <w:p>
      <w:pPr>
        <w:pStyle w:val="ListBullet"/>
      </w:pPr>
      <w:r/>
      <w:r>
        <w:rPr>
          <w:b/>
        </w:rPr>
        <w:t>Solution injectable SC en seringue préremplie 200 mg/1 mL</w:t>
      </w:r>
      <w:r>
        <w:t xml:space="preserve"> : conditionnement B/2 seringues préremplies de 1 mL + 2 tampons alcoolisés (correspond à 1 dose d'induction de 400 mg = 2 × 200 mg, ou 4 semaines de traitement à 200 mg × 1/2 sem en entretien, ou 2 × 4 semaines de traitement à 400 mg × 1/4 sem en entretien alternatif). Disponible CIMZIA (UCB Pharma). Forme unique disponible en Algérie.</w:t>
      </w:r>
    </w:p>
    <w:p>
      <w:pPr>
        <w:pStyle w:val="ListBullet"/>
      </w:pPr>
      <w:r/>
      <w:r>
        <w:rPr>
          <w:b/>
        </w:rPr>
        <w:t>Stylo auto-injecteur</w:t>
      </w:r>
      <w:r>
        <w:t xml:space="preserve"> : commercialisé en Europe et aux États-Unis sous le nom CIMZIA auto-injecteur, </w:t>
      </w:r>
      <w:r>
        <w:rPr>
          <w:b/>
        </w:rPr>
        <w:t>non référencé dans la nomenclature algérienne active</w:t>
      </w:r>
      <w:r>
        <w:t xml:space="preserve"> au 1er avril 2026 — seules les seringues préremplies sont disponibles.</w:t>
      </w:r>
    </w:p>
    <w:p>
      <w:pPr>
        <w:pStyle w:val="ListBullet"/>
      </w:pPr>
      <w:r/>
      <w:r>
        <w:rPr>
          <w:b/>
        </w:rPr>
        <w:t>Forme IV</w:t>
      </w:r>
      <w:r>
        <w:t xml:space="preserve"> : non disponible (le certolizumab pegol est exclusivement SC).</w:t>
      </w:r>
    </w:p>
    <w:p>
      <w:pPr>
        <w:pStyle w:val="ListBullet"/>
      </w:pPr>
      <w:r/>
      <w:r>
        <w:rPr>
          <w:b/>
        </w:rPr>
        <w:t>Forme pédiatrique</w:t>
      </w:r>
      <w:r>
        <w:t xml:space="preserve"> : pas d'AMM chez l'enfant (&lt; 18 ans) à ce jour.</w:t>
      </w:r>
    </w:p>
    <w:p>
      <w:pPr>
        <w:pStyle w:val="ListBullet"/>
      </w:pPr>
      <w:r/>
      <w:r>
        <w:rPr>
          <w:b/>
        </w:rPr>
        <w:t>Forme IM</w:t>
      </w:r>
      <w:r>
        <w:t xml:space="preserve"> : non disponible.</w:t>
      </w:r>
    </w:p>
    <w:p>
      <w:pPr>
        <w:pStyle w:val="ListBullet"/>
      </w:pPr>
      <w:r/>
      <w:r>
        <w:rPr>
          <w:b/>
        </w:rPr>
        <w:t>Conservation</w:t>
      </w:r>
      <w:r>
        <w:t xml:space="preserve"> : 2-8°C (réfrigérateur), à l'abri de la lumière, dans l'emballage extérieur. Ne pas congeler. Durée de validité : 36 mois avant péremption.</w:t>
      </w:r>
    </w:p>
    <w:p>
      <w:pPr>
        <w:pStyle w:val="Heading3"/>
      </w:pPr>
      <w:r>
        <w:t>152A.9.10 Conseils au patient</w:t>
      </w:r>
    </w:p>
    <w:p>
      <w:pPr>
        <w:pStyle w:val="ListBullet"/>
      </w:pPr>
      <w:r/>
      <w:r>
        <w:rPr>
          <w:b/>
        </w:rPr>
        <w:t>Information sur le caractère chronique du traitement</w:t>
      </w:r>
      <w:r>
        <w:t xml:space="preserve"> : le certolizumab pegol ne guérit pas la maladie rhumatologique mais en contrôle l'inflammation. Le délai d'action initial est de 2-4 semaines (amélioration symptomatique) avec un plateau d'efficacité à 12-24 semaines. La phase d'induction (3 injections doubles à S0, S2, S4) est essentielle pour atteindre l'efficacité maximale.</w:t>
      </w:r>
    </w:p>
    <w:p>
      <w:pPr>
        <w:pStyle w:val="ListBullet"/>
      </w:pPr>
      <w:r/>
      <w:r>
        <w:rPr>
          <w:b/>
        </w:rPr>
        <w:t>Éducation à la technique d'auto-injection et à la double injection</w:t>
      </w:r>
      <w:r>
        <w:t xml:space="preserve"> : formation initiale par infirmier(ère) ou rhumatologue, avec remise d'un carnet d'auto-surveillance. Rotation systématique des sites d'injection. Les 2 seringues de la phase d'induction doivent être injectées à 2 sites différents. Conservation au réfrigérateur (2-8°C), remise à température ambiante 15-30 min avant injection.</w:t>
      </w:r>
    </w:p>
    <w:p>
      <w:pPr>
        <w:pStyle w:val="ListBullet"/>
      </w:pPr>
      <w:r/>
      <w:r>
        <w:rPr>
          <w:b/>
        </w:rPr>
        <w:t>Éducation aux signes d'alerte</w:t>
      </w:r>
      <w:r>
        <w:t xml:space="preserve"> : fièvre ≥ 38,5°C, toux persistante &gt; 7 jours, dyspnée, douleur thoracique, hémoptysie, signes urinaires, douleur abdominale, céphalées intenses, troubles visuels, paresthésies, faiblesse musculaire, troubles de l'équilibre, éruption cutanée étendue, aphtes buccaux multiples, éruption psoriasique palmoplantaire paradoxale, </w:t>
      </w:r>
      <w:r>
        <w:rPr>
          <w:b/>
        </w:rPr>
        <w:t>réaction d'hypersensibilité (urticaire, bronchospasme, choc) — risque d'allergie au PEG</w:t>
      </w:r>
      <w:r>
        <w:t>.</w:t>
      </w:r>
    </w:p>
    <w:p>
      <w:pPr>
        <w:pStyle w:val="ListBullet"/>
      </w:pPr>
      <w:r/>
      <w:r>
        <w:rPr>
          <w:b/>
        </w:rPr>
        <w:t>Surveillance biologique</w:t>
      </w:r>
      <w:r>
        <w:t xml:space="preserve"> mensuelle les 3 premiers mois puis trimestrielle.</w:t>
      </w:r>
    </w:p>
    <w:p>
      <w:pPr>
        <w:pStyle w:val="ListBullet"/>
      </w:pPr>
      <w:r/>
      <w:r>
        <w:rPr>
          <w:b/>
        </w:rPr>
        <w:t>Vaccinations</w:t>
      </w:r>
      <w:r>
        <w:t xml:space="preserve"> : mettre à jour les vaccins avant l'initiation. Éviter les vaccins vivants (BCG, ROR, fièvre jaune, varicelle) pendant le traitement et pendant 10 semaines après l'arrêt.</w:t>
      </w:r>
    </w:p>
    <w:p>
      <w:pPr>
        <w:pStyle w:val="ListBullet"/>
      </w:pPr>
      <w:r/>
      <w:r>
        <w:rPr>
          <w:b/>
        </w:rPr>
        <w:t>Prévention de la tuberculose</w:t>
      </w:r>
      <w:r>
        <w:t xml:space="preserve"> : information du risque. Consulter en urgence en cas de toux chronique, fièvre, sueurs nocturnes, amaigrissement.</w:t>
      </w:r>
    </w:p>
    <w:p>
      <w:pPr>
        <w:pStyle w:val="ListBullet"/>
      </w:pPr>
      <w:r/>
      <w:r>
        <w:rPr>
          <w:b/>
        </w:rPr>
        <w:t>Prévention des infections opportunistes</w:t>
      </w:r>
      <w:r>
        <w:t xml:space="preserve"> : prudence alimentaire (pas de fromages au lait cru, pas de charcuterie non cuite, pas de légumes crus mal lavés), prudence avec les animaux.</w:t>
      </w:r>
    </w:p>
    <w:p>
      <w:pPr>
        <w:pStyle w:val="ListBullet"/>
      </w:pPr>
      <w:r/>
      <w:r>
        <w:rPr>
          <w:b/>
        </w:rPr>
        <w:t>Éviter la consommation d'alcool</w:t>
      </w:r>
      <w:r>
        <w:t>.</w:t>
      </w:r>
    </w:p>
    <w:p>
      <w:pPr>
        <w:pStyle w:val="ListBullet"/>
      </w:pPr>
      <w:r/>
      <w:r>
        <w:rPr>
          <w:b/>
        </w:rPr>
        <w:t>Grossesse et contraception</w:t>
      </w:r>
      <w:r>
        <w:t xml:space="preserve"> : information cruciale — le certolizumab pegol est </w:t>
      </w:r>
      <w:r>
        <w:rPr>
          <w:b/>
        </w:rPr>
        <w:t>le seul anti-TNFα utilisable pendant toute la grossesse y compris au 3e trimestre</w:t>
      </w:r>
      <w:r>
        <w:t>. En cas de désir de grossesse, consulter le rhumatologue 3-6 mois à l'avance pour switch vers certolizumab pegol. Poursuite possible pendant toute la grossesse, sans arrêt au 3e trimestre (à la différence de tous les autres anti-TNFα). Vaccins vivants autorisés chez le nouveau-né selon le calendrier vaccinal normal.</w:t>
      </w:r>
    </w:p>
    <w:p>
      <w:pPr>
        <w:pStyle w:val="ListBullet"/>
      </w:pPr>
      <w:r/>
      <w:r>
        <w:rPr>
          <w:b/>
        </w:rPr>
        <w:t>Carnet de suivi</w:t>
      </w:r>
      <w:r>
        <w:t xml:space="preserve"> : remise d'un carnet patient avec dates d'injection, sites, effets indésirables éventuels, dates de consultations et de bilans biologiques.</w:t>
      </w:r>
    </w:p>
    <w:p>
      <w:pPr>
        <w:pStyle w:val="ListBullet"/>
      </w:pPr>
      <w:r/>
      <w:r>
        <w:rPr>
          <w:b/>
        </w:rPr>
        <w:t>Observance du méthotrexate concomitant</w:t>
      </w:r>
      <w:r>
        <w:t xml:space="preserve"> (PR) : expliquer l'importance de l'association certolizumab + MTX.</w:t>
      </w:r>
    </w:p>
    <w:p>
      <w:pPr>
        <w:pStyle w:val="Heading3"/>
      </w:pPr>
      <w:r>
        <w:t>152A.9.11 Pièges du comptoir</w:t>
      </w:r>
    </w:p>
    <w:p>
      <w:pPr>
        <w:pStyle w:val="ListNumber"/>
      </w:pPr>
      <w:r/>
      <w:r>
        <w:rPr>
          <w:b/>
        </w:rPr>
        <w:t>Confusion entre certolizumab et autres anti-TNFα</w:t>
      </w:r>
      <w:r>
        <w:t xml:space="preserve"> : le certolizumab pegol est un </w:t>
      </w:r>
      <w:r>
        <w:rPr>
          <w:b/>
        </w:rPr>
        <w:t>fragment Fab' pegylé</w:t>
      </w:r>
      <w:r>
        <w:t xml:space="preserve"> (pas un anticorps complet, pas de Fc), avec une particularité unique : </w:t>
      </w:r>
      <w:r>
        <w:rPr>
          <w:b/>
        </w:rPr>
        <w:t>utilisable pendant toute la grossesse y compris au 3e trimestre</w:t>
      </w:r>
      <w:r>
        <w:t>. À ne jamais substituer par un autre anti-TNFα sans avis spécialisé, particulièrement chez la femme enceinte.</w:t>
      </w:r>
    </w:p>
    <w:p>
      <w:pPr>
        <w:pStyle w:val="ListNumber"/>
      </w:pPr>
      <w:r/>
      <w:r>
        <w:rPr>
          <w:b/>
        </w:rPr>
        <w:t>Double injection lors de l'induction</w:t>
      </w:r>
      <w:r>
        <w:t xml:space="preserve"> : la phase d'induction (S0, S2, S4) nécessite </w:t>
      </w:r>
      <w:r>
        <w:rPr>
          <w:b/>
        </w:rPr>
        <w:t>2 seringues de 200 mg à chaque fois</w:t>
      </w:r>
      <w:r>
        <w:t xml:space="preserve"> (soit 400 mg = 2 × 200 mg). Le pharmacien doit vérifier que le conditionnement B/2 seringues est délivré pour chaque phase d'induction (3 conditionnements = 6 seringues au total pour la phase d'induction). La phase d'entretien à 200 mg × 1/2 sem nécessite 1 seringue par injection (1 conditionnement de 2 seringues = 4 semaines).</w:t>
      </w:r>
    </w:p>
    <w:p>
      <w:pPr>
        <w:pStyle w:val="ListNumber"/>
      </w:pPr>
      <w:r/>
      <w:r>
        <w:rPr>
          <w:b/>
        </w:rPr>
        <w:t>Oubli du dépistage tuberculose</w:t>
      </w:r>
      <w:r>
        <w:t xml:space="preserve"> : malgré l'incidence plus faible (0,05-0,1 pour 100 patients-années), le dépistage TB pré-thérapeutique reste obligatoire. Vérifier le bilan TB.</w:t>
      </w:r>
    </w:p>
    <w:p>
      <w:pPr>
        <w:pStyle w:val="ListNumber"/>
      </w:pPr>
      <w:r/>
      <w:r>
        <w:rPr>
          <w:b/>
        </w:rPr>
        <w:t>Oubli du dépistage VHB</w:t>
      </w:r>
      <w:r>
        <w:t xml:space="preserve"> : risque de réactivation hépatite B parfois fatale. Vérifier les sérologies VHB.</w:t>
      </w:r>
    </w:p>
    <w:p>
      <w:pPr>
        <w:pStyle w:val="ListNumber"/>
      </w:pPr>
      <w:r/>
      <w:r>
        <w:rPr>
          <w:b/>
        </w:rPr>
        <w:t>Vaccination vivante pendant le traitement</w:t>
      </w:r>
      <w:r>
        <w:t xml:space="preserve"> : contre-indication. Respecter un délai de 10 semaines après la dernière injection pour les vaccins vivants. Chez le nouveau-né exposé in utera : vaccins vivants autorisés selon le calendrier vaccinal normal (avantage majeur).</w:t>
      </w:r>
    </w:p>
    <w:p>
      <w:pPr>
        <w:pStyle w:val="ListNumber"/>
      </w:pPr>
      <w:r/>
      <w:r>
        <w:rPr>
          <w:b/>
        </w:rPr>
        <w:t>Perte d'efficacité banalisée</w:t>
      </w:r>
      <w:r>
        <w:t xml:space="preserve"> : une perte d'efficacité secondaire doit faire évoquer la formation d'ADA ou d'anticorps anti-PEG. Orienter le patient vers son rhumatologue pour dosage. Switch possible vers un autre anti-TNFα sans PEG.</w:t>
      </w:r>
    </w:p>
    <w:p>
      <w:pPr>
        <w:pStyle w:val="ListNumber"/>
      </w:pPr>
      <w:r/>
      <w:r>
        <w:rPr>
          <w:b/>
        </w:rPr>
        <w:t>Réaction d'hypersensibilité au PEG</w:t>
      </w:r>
      <w:r>
        <w:t xml:space="preserve"> : bien que rare, une réaction d'hypersensibilité au PEG doit faire arrêter définitivement le certolizumab (risque d'anaphylaxie à la réintroduction). Switch vers un autre anti-TNFα sans PEG (étanercept, adalimumab, golimumab, infliximab).</w:t>
      </w:r>
    </w:p>
    <w:p>
      <w:pPr>
        <w:pStyle w:val="ListNumber"/>
      </w:pPr>
      <w:r/>
      <w:r>
        <w:rPr>
          <w:b/>
        </w:rPr>
        <w:t>Grossesse et absence de switch obligatoire</w:t>
      </w:r>
      <w:r>
        <w:t xml:space="preserve"> : à la différence de tous les autres anti-TNFα (qui doivent être arrêtés au 3e trimestre), le certolizumab peut être poursuivi pendant toute la grossesse. Le pharmacien doit informer la patiente enceinte sous certolizumab de la </w:t>
      </w:r>
      <w:r>
        <w:rPr>
          <w:b/>
        </w:rPr>
        <w:t>possibilité de poursuivre le traitement sans risque pour le nouveau-né</w:t>
      </w:r>
      <w:r>
        <w:t>, et de l'autorisation des vaccins vivants chez le nouveau-né selon le calendrier vaccinal normal.</w:t>
      </w:r>
    </w:p>
    <w:p>
      <w:pPr>
        <w:pStyle w:val="ListNumber"/>
      </w:pPr>
      <w:r/>
      <w:r>
        <w:rPr>
          <w:b/>
        </w:rPr>
        <w:t>Absence de biosimilaire disponible</w:t>
      </w:r>
      <w:r>
        <w:t xml:space="preserve"> : le certolizumab pegol est commercialisé sous une seule marque (CIMZIA), sans biosimilaire. Le coût est plus élevé que pour les anti-TNFα avec biosimilaires (adalimumab, étanercept, infliximab).</w:t>
      </w:r>
    </w:p>
    <w:p>
      <w:pPr>
        <w:pStyle w:val="ListNumber"/>
      </w:pPr>
      <w:r/>
      <w:r>
        <w:rPr>
          <w:b/>
        </w:rPr>
        <w:t>Réaction au site d'injection banalisée</w:t>
      </w:r>
      <w:r>
        <w:t xml:space="preserve"> : la réaction au site d'injection est plus fréquente qu'avec l'adalimumab (10-15 % vs 10-20 %), en raison du volume plus important (1 mL vs 0,8 mL) et de la double injection lors de l'induction. Le pharmacien doit informer le patient de la rotation des sites, de l'utilisation de 2 sites différents pour la double injection, et de la remise à température ambiante avant injection.</w:t>
      </w:r>
    </w:p>
    <w:p>
      <w:pPr>
        <w:pStyle w:val="ListNumber"/>
      </w:pPr>
      <w:r/>
      <w:r>
        <w:rPr>
          <w:b/>
        </w:rPr>
        <w:t>Conservation inadéquate</w:t>
      </w:r>
      <w:r>
        <w:t xml:space="preserve"> : conservation à 2-8°C obligatoire. Une congélation altère la protéine pegylée. Vérifier la chaîne du froid.</w:t>
      </w:r>
    </w:p>
    <w:p>
      <w:pPr>
        <w:pStyle w:val="ListNumber"/>
      </w:pPr>
      <w:r/>
      <w:r>
        <w:rPr>
          <w:b/>
        </w:rPr>
        <w:t>Volume d'injection plus important</w:t>
      </w:r>
      <w:r>
        <w:t xml:space="preserve"> : la seringue de 1 mL (vs 0,8 mL pour l'adalimumab, 0,5 mL pour le golimumab) peut provoquer une douleur plus marquée à l'injection. Informer le patient et prévoir un antalgique (paracétamol 1 g PO 30 min avant injection) en cas de besoin.</w:t>
      </w:r>
    </w:p>
    <w:p>
      <w:pPr>
        <w:pStyle w:val="Heading3"/>
      </w:pPr>
      <w:r>
        <w:t>152A.9.12 Notes et règle d'or</w:t>
      </w:r>
    </w:p>
    <w:p>
      <w:r/>
      <w:r>
        <w:rPr>
          <w:b/>
        </w:rPr>
        <w:t>Règle d'or</w:t>
      </w:r>
      <w:r>
        <w:t xml:space="preserve"> : Le certolizumab pegol est l'anti-TNFα de choix chez la </w:t>
      </w:r>
      <w:r>
        <w:rPr>
          <w:b/>
        </w:rPr>
        <w:t>femme en âge de procréer envisageant une grossesse</w:t>
      </w:r>
      <w:r>
        <w:t xml:space="preserve"> et chez la </w:t>
      </w:r>
      <w:r>
        <w:rPr>
          <w:b/>
        </w:rPr>
        <w:t>patiente enceinte nécessitant un traitement anti-TNFα actif pendant toute la grossesse</w:t>
      </w:r>
      <w:r>
        <w:t>, en raison de son absence de fragment Fc (pas de transfert placentaire passif via FcRn, pas d'immunosuppression néonatale, vaccins vivants autorisés chez le nouveau-né selon le calendrier vaccinal normal). Il est également indiqué en cas d'échec ou d'intolérance à un premier anti-TNFα, dans la PR réfractaire, les SpA réfractaires, le RPso, le psoriasis sévère, et la maladie de Crohn. Son profil de tolérance (incidence tuberculeuse plus basse, absence de CDC/ADCC) en fait une option intéressante chez le patient à risque infectieux élevé. Son utilisation impose le dépistage rigoureux de la tuberculose et de l'hépatite B, et le respect des contre-indications absolues (IC NYHA III-IV, maladie démyélinisante). Le switch vers le certolizumab pegol 3-6 mois avant la conception est recommandé chez toute femme en âge de procréer envisageant une grossesse sous anti-TNFα.</w:t>
      </w:r>
    </w:p>
    <w:p>
      <w:pPr>
        <w:pStyle w:val="Heading2"/>
      </w:pPr>
      <w:r>
        <w:t>152A.10 Tableau comparatif synthétique des 5 anti-TNFα disponibles en Algérie</w:t>
      </w:r>
    </w:p>
    <w:p>
      <w:r>
        <w:t>Le tableau ci-dessous synthétise les caractéristiques pharmacologiques, cliniques et réglementaires des 5 anti-TNFα disponibles en Algérie au 1er avril 2026, permettant une comparaison rapide pour le choix thérapeutique individualisé.</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Paramètre</w:t>
            </w:r>
          </w:p>
        </w:tc>
        <w:tc>
          <w:tcPr>
            <w:tcW w:type="dxa" w:w="1559"/>
          </w:tcPr>
          <w:p>
            <w:r>
              <w:rPr>
                <w:b/>
                <w:sz w:val="20"/>
              </w:rPr>
              <w:t>Étanercept</w:t>
            </w:r>
          </w:p>
        </w:tc>
        <w:tc>
          <w:tcPr>
            <w:tcW w:type="dxa" w:w="1559"/>
          </w:tcPr>
          <w:p>
            <w:r>
              <w:rPr>
                <w:b/>
                <w:sz w:val="20"/>
              </w:rPr>
              <w:t>Infliximab</w:t>
            </w:r>
          </w:p>
        </w:tc>
        <w:tc>
          <w:tcPr>
            <w:tcW w:type="dxa" w:w="1559"/>
          </w:tcPr>
          <w:p>
            <w:r>
              <w:rPr>
                <w:b/>
                <w:sz w:val="20"/>
              </w:rPr>
              <w:t>Adalimumab</w:t>
            </w:r>
          </w:p>
        </w:tc>
        <w:tc>
          <w:tcPr>
            <w:tcW w:type="dxa" w:w="1559"/>
          </w:tcPr>
          <w:p>
            <w:r>
              <w:rPr>
                <w:b/>
                <w:sz w:val="20"/>
              </w:rPr>
              <w:t>Golimumab</w:t>
            </w:r>
          </w:p>
        </w:tc>
        <w:tc>
          <w:tcPr>
            <w:tcW w:type="dxa" w:w="1559"/>
          </w:tcPr>
          <w:p>
            <w:r>
              <w:rPr>
                <w:b/>
                <w:sz w:val="20"/>
              </w:rPr>
              <w:t>Certolizumab pegol</w:t>
            </w:r>
          </w:p>
        </w:tc>
      </w:tr>
      <w:tr>
        <w:tc>
          <w:tcPr>
            <w:tcW w:type="dxa" w:w="1559"/>
          </w:tcPr>
          <w:p>
            <w:r>
              <w:rPr>
                <w:sz w:val="20"/>
              </w:rPr>
              <w:t>**Sous-classe**</w:t>
            </w:r>
          </w:p>
        </w:tc>
        <w:tc>
          <w:tcPr>
            <w:tcW w:type="dxa" w:w="1559"/>
          </w:tcPr>
          <w:p>
            <w:r>
              <w:rPr>
                <w:sz w:val="20"/>
              </w:rPr>
              <w:t>Récepteur soluble</w:t>
            </w:r>
          </w:p>
        </w:tc>
        <w:tc>
          <w:tcPr>
            <w:tcW w:type="dxa" w:w="1559"/>
          </w:tcPr>
          <w:p>
            <w:r>
              <w:rPr>
                <w:sz w:val="20"/>
              </w:rPr>
              <w:t>Ac monoclonal chimérique</w:t>
            </w:r>
          </w:p>
        </w:tc>
        <w:tc>
          <w:tcPr>
            <w:tcW w:type="dxa" w:w="1559"/>
          </w:tcPr>
          <w:p>
            <w:r>
              <w:rPr>
                <w:sz w:val="20"/>
              </w:rPr>
              <w:t>Ac monoclonal entièrement humain</w:t>
            </w:r>
          </w:p>
        </w:tc>
        <w:tc>
          <w:tcPr>
            <w:tcW w:type="dxa" w:w="1559"/>
          </w:tcPr>
          <w:p>
            <w:r>
              <w:rPr>
                <w:sz w:val="20"/>
              </w:rPr>
              <w:t>Ac monoclonal entièrement humain</w:t>
            </w:r>
          </w:p>
        </w:tc>
        <w:tc>
          <w:tcPr>
            <w:tcW w:type="dxa" w:w="1559"/>
          </w:tcPr>
          <w:p>
            <w:r>
              <w:rPr>
                <w:sz w:val="20"/>
              </w:rPr>
              <w:t>Fragment Fab' pegylé</w:t>
            </w:r>
          </w:p>
        </w:tc>
      </w:tr>
      <w:tr>
        <w:tc>
          <w:tcPr>
            <w:tcW w:type="dxa" w:w="1559"/>
          </w:tcPr>
          <w:p>
            <w:r>
              <w:rPr>
                <w:sz w:val="20"/>
              </w:rPr>
              <w:t>**Structure**</w:t>
            </w:r>
          </w:p>
        </w:tc>
        <w:tc>
          <w:tcPr>
            <w:tcW w:type="dxa" w:w="1559"/>
          </w:tcPr>
          <w:p>
            <w:r>
              <w:rPr>
                <w:sz w:val="20"/>
              </w:rPr>
              <w:t>Protéine de fusion TNFR2p75-Fc IgG1 (muté)</w:t>
            </w:r>
          </w:p>
        </w:tc>
        <w:tc>
          <w:tcPr>
            <w:tcW w:type="dxa" w:w="1559"/>
          </w:tcPr>
          <w:p>
            <w:r>
              <w:rPr>
                <w:sz w:val="20"/>
              </w:rPr>
              <w:t>IgG1κ chimérique (75 % humain, 25 % murin)</w:t>
            </w:r>
          </w:p>
        </w:tc>
        <w:tc>
          <w:tcPr>
            <w:tcW w:type="dxa" w:w="1559"/>
          </w:tcPr>
          <w:p>
            <w:r>
              <w:rPr>
                <w:sz w:val="20"/>
              </w:rPr>
              <w:t>IgG1κ entièrement humain (phage display)</w:t>
            </w:r>
          </w:p>
        </w:tc>
        <w:tc>
          <w:tcPr>
            <w:tcW w:type="dxa" w:w="1559"/>
          </w:tcPr>
          <w:p>
            <w:r>
              <w:rPr>
                <w:sz w:val="20"/>
              </w:rPr>
              <w:t>IgG1κ entièrement humain (souris transgénique)</w:t>
            </w:r>
          </w:p>
        </w:tc>
        <w:tc>
          <w:tcPr>
            <w:tcW w:type="dxa" w:w="1559"/>
          </w:tcPr>
          <w:p>
            <w:r>
              <w:rPr>
                <w:sz w:val="20"/>
              </w:rPr>
              <w:t>Fab' humanisé + 2 × 40 kDa PEG</w:t>
            </w:r>
          </w:p>
        </w:tc>
      </w:tr>
      <w:tr>
        <w:tc>
          <w:tcPr>
            <w:tcW w:type="dxa" w:w="1559"/>
          </w:tcPr>
          <w:p>
            <w:r>
              <w:rPr>
                <w:sz w:val="20"/>
              </w:rPr>
              <w:t>**Code ATC**</w:t>
            </w:r>
          </w:p>
        </w:tc>
        <w:tc>
          <w:tcPr>
            <w:tcW w:type="dxa" w:w="1559"/>
          </w:tcPr>
          <w:p>
            <w:r>
              <w:rPr>
                <w:sz w:val="20"/>
              </w:rPr>
              <w:t>L04AA01</w:t>
            </w:r>
          </w:p>
        </w:tc>
        <w:tc>
          <w:tcPr>
            <w:tcW w:type="dxa" w:w="1559"/>
          </w:tcPr>
          <w:p>
            <w:r>
              <w:rPr>
                <w:sz w:val="20"/>
              </w:rPr>
              <w:t>L04AB02</w:t>
            </w:r>
          </w:p>
        </w:tc>
        <w:tc>
          <w:tcPr>
            <w:tcW w:type="dxa" w:w="1559"/>
          </w:tcPr>
          <w:p>
            <w:r>
              <w:rPr>
                <w:sz w:val="20"/>
              </w:rPr>
              <w:t>L04AB04</w:t>
            </w:r>
          </w:p>
        </w:tc>
        <w:tc>
          <w:tcPr>
            <w:tcW w:type="dxa" w:w="1559"/>
          </w:tcPr>
          <w:p>
            <w:r>
              <w:rPr>
                <w:sz w:val="20"/>
              </w:rPr>
              <w:t>L04AB06</w:t>
            </w:r>
          </w:p>
        </w:tc>
        <w:tc>
          <w:tcPr>
            <w:tcW w:type="dxa" w:w="1559"/>
          </w:tcPr>
          <w:p>
            <w:r>
              <w:rPr>
                <w:sz w:val="20"/>
              </w:rPr>
              <w:t>L04AB05</w:t>
            </w:r>
          </w:p>
        </w:tc>
      </w:tr>
      <w:tr>
        <w:tc>
          <w:tcPr>
            <w:tcW w:type="dxa" w:w="1559"/>
          </w:tcPr>
          <w:p>
            <w:r>
              <w:rPr>
                <w:sz w:val="20"/>
              </w:rPr>
              <w:t>**Poids moléculaire**</w:t>
            </w:r>
          </w:p>
        </w:tc>
        <w:tc>
          <w:tcPr>
            <w:tcW w:type="dxa" w:w="1559"/>
          </w:tcPr>
          <w:p>
            <w:r>
              <w:rPr>
                <w:sz w:val="20"/>
              </w:rPr>
              <w:t>150 kDa</w:t>
            </w:r>
          </w:p>
        </w:tc>
        <w:tc>
          <w:tcPr>
            <w:tcW w:type="dxa" w:w="1559"/>
          </w:tcPr>
          <w:p>
            <w:r>
              <w:rPr>
                <w:sz w:val="20"/>
              </w:rPr>
              <w:t>150 kDa</w:t>
            </w:r>
          </w:p>
        </w:tc>
        <w:tc>
          <w:tcPr>
            <w:tcW w:type="dxa" w:w="1559"/>
          </w:tcPr>
          <w:p>
            <w:r>
              <w:rPr>
                <w:sz w:val="20"/>
              </w:rPr>
              <w:t>150 kDa</w:t>
            </w:r>
          </w:p>
        </w:tc>
        <w:tc>
          <w:tcPr>
            <w:tcW w:type="dxa" w:w="1559"/>
          </w:tcPr>
          <w:p>
            <w:r>
              <w:rPr>
                <w:sz w:val="20"/>
              </w:rPr>
              <w:t>150 kDa</w:t>
            </w:r>
          </w:p>
        </w:tc>
        <w:tc>
          <w:tcPr>
            <w:tcW w:type="dxa" w:w="1559"/>
          </w:tcPr>
          <w:p>
            <w:r>
              <w:rPr>
                <w:sz w:val="20"/>
              </w:rPr>
              <w:t>90 kDa (avec PEG)</w:t>
            </w:r>
          </w:p>
        </w:tc>
      </w:tr>
      <w:tr>
        <w:tc>
          <w:tcPr>
            <w:tcW w:type="dxa" w:w="1559"/>
          </w:tcPr>
          <w:p>
            <w:r>
              <w:rPr>
                <w:sz w:val="20"/>
              </w:rPr>
              <w:t>**Cibles**</w:t>
            </w:r>
          </w:p>
        </w:tc>
        <w:tc>
          <w:tcPr>
            <w:tcW w:type="dxa" w:w="1559"/>
          </w:tcPr>
          <w:p>
            <w:r>
              <w:rPr>
                <w:sz w:val="20"/>
              </w:rPr>
              <w:t>TNFα + LTα</w:t>
            </w:r>
          </w:p>
        </w:tc>
        <w:tc>
          <w:tcPr>
            <w:tcW w:type="dxa" w:w="1559"/>
          </w:tcPr>
          <w:p>
            <w:r>
              <w:rPr>
                <w:sz w:val="20"/>
              </w:rPr>
              <w:t>TNFα seul</w:t>
            </w:r>
          </w:p>
        </w:tc>
        <w:tc>
          <w:tcPr>
            <w:tcW w:type="dxa" w:w="1559"/>
          </w:tcPr>
          <w:p>
            <w:r>
              <w:rPr>
                <w:sz w:val="20"/>
              </w:rPr>
              <w:t>TNFα seul</w:t>
            </w:r>
          </w:p>
        </w:tc>
        <w:tc>
          <w:tcPr>
            <w:tcW w:type="dxa" w:w="1559"/>
          </w:tcPr>
          <w:p>
            <w:r>
              <w:rPr>
                <w:sz w:val="20"/>
              </w:rPr>
              <w:t>TNFα seul</w:t>
            </w:r>
          </w:p>
        </w:tc>
        <w:tc>
          <w:tcPr>
            <w:tcW w:type="dxa" w:w="1559"/>
          </w:tcPr>
          <w:p>
            <w:r>
              <w:rPr>
                <w:sz w:val="20"/>
              </w:rPr>
              <w:t>TNFα seul</w:t>
            </w:r>
          </w:p>
        </w:tc>
      </w:tr>
      <w:tr>
        <w:tc>
          <w:tcPr>
            <w:tcW w:type="dxa" w:w="1559"/>
          </w:tcPr>
          <w:p>
            <w:r>
              <w:rPr>
                <w:sz w:val="20"/>
              </w:rPr>
              <w:t>**Lyse cellulaire (CDC/ADCC)**</w:t>
            </w:r>
          </w:p>
        </w:tc>
        <w:tc>
          <w:tcPr>
            <w:tcW w:type="dxa" w:w="1559"/>
          </w:tcPr>
          <w:p>
            <w:r>
              <w:rPr>
                <w:sz w:val="20"/>
              </w:rPr>
              <w:t>Non (Fc muté)</w:t>
            </w:r>
          </w:p>
        </w:tc>
        <w:tc>
          <w:tcPr>
            <w:tcW w:type="dxa" w:w="1559"/>
          </w:tcPr>
          <w:p>
            <w:r>
              <w:rPr>
                <w:sz w:val="20"/>
              </w:rPr>
              <w:t>Oui (Fc fonctionnel)</w:t>
            </w:r>
          </w:p>
        </w:tc>
        <w:tc>
          <w:tcPr>
            <w:tcW w:type="dxa" w:w="1559"/>
          </w:tcPr>
          <w:p>
            <w:r>
              <w:rPr>
                <w:sz w:val="20"/>
              </w:rPr>
              <w:t>Oui (Fc fonctionnel)</w:t>
            </w:r>
          </w:p>
        </w:tc>
        <w:tc>
          <w:tcPr>
            <w:tcW w:type="dxa" w:w="1559"/>
          </w:tcPr>
          <w:p>
            <w:r>
              <w:rPr>
                <w:sz w:val="20"/>
              </w:rPr>
              <w:t>Oui (Fc fonctionnel)</w:t>
            </w:r>
          </w:p>
        </w:tc>
        <w:tc>
          <w:tcPr>
            <w:tcW w:type="dxa" w:w="1559"/>
          </w:tcPr>
          <w:p>
            <w:r>
              <w:rPr>
                <w:sz w:val="20"/>
              </w:rPr>
              <w:t>Non (pas de Fc)</w:t>
            </w:r>
          </w:p>
        </w:tc>
      </w:tr>
      <w:tr>
        <w:tc>
          <w:tcPr>
            <w:tcW w:type="dxa" w:w="1559"/>
          </w:tcPr>
          <w:p>
            <w:r>
              <w:rPr>
                <w:sz w:val="20"/>
              </w:rPr>
              <w:t>**Immunogénicité (ADA)**</w:t>
            </w:r>
          </w:p>
        </w:tc>
        <w:tc>
          <w:tcPr>
            <w:tcW w:type="dxa" w:w="1559"/>
          </w:tcPr>
          <w:p>
            <w:r>
              <w:rPr>
                <w:sz w:val="20"/>
              </w:rPr>
              <w:t>&lt; 1 %</w:t>
            </w:r>
          </w:p>
        </w:tc>
        <w:tc>
          <w:tcPr>
            <w:tcW w:type="dxa" w:w="1559"/>
          </w:tcPr>
          <w:p>
            <w:r>
              <w:rPr>
                <w:sz w:val="20"/>
              </w:rPr>
              <w:t>7-15 % (avec MTX), 12-44 % (sans MTX)</w:t>
            </w:r>
          </w:p>
        </w:tc>
        <w:tc>
          <w:tcPr>
            <w:tcW w:type="dxa" w:w="1559"/>
          </w:tcPr>
          <w:p>
            <w:r>
              <w:rPr>
                <w:sz w:val="20"/>
              </w:rPr>
              <w:t>&lt; 5 % (avec MTX), 5-25 % (sans MTX)</w:t>
            </w:r>
          </w:p>
        </w:tc>
        <w:tc>
          <w:tcPr>
            <w:tcW w:type="dxa" w:w="1559"/>
          </w:tcPr>
          <w:p>
            <w:r>
              <w:rPr>
                <w:sz w:val="20"/>
              </w:rPr>
              <w:t>&lt; 5 %</w:t>
            </w:r>
          </w:p>
        </w:tc>
        <w:tc>
          <w:tcPr>
            <w:tcW w:type="dxa" w:w="1559"/>
          </w:tcPr>
          <w:p>
            <w:r>
              <w:rPr>
                <w:sz w:val="20"/>
              </w:rPr>
              <w:t>5 % (avec MTX), 7-12 % (sans MTX)</w:t>
            </w:r>
          </w:p>
        </w:tc>
      </w:tr>
      <w:tr>
        <w:tc>
          <w:tcPr>
            <w:tcW w:type="dxa" w:w="1559"/>
          </w:tcPr>
          <w:p>
            <w:r>
              <w:rPr>
                <w:sz w:val="20"/>
              </w:rPr>
              <w:t>**Demi-vie (jours)**</w:t>
            </w:r>
          </w:p>
        </w:tc>
        <w:tc>
          <w:tcPr>
            <w:tcW w:type="dxa" w:w="1559"/>
          </w:tcPr>
          <w:p>
            <w:r>
              <w:rPr>
                <w:sz w:val="20"/>
              </w:rPr>
              <w:t>3-5</w:t>
            </w:r>
          </w:p>
        </w:tc>
        <w:tc>
          <w:tcPr>
            <w:tcW w:type="dxa" w:w="1559"/>
          </w:tcPr>
          <w:p>
            <w:r>
              <w:rPr>
                <w:sz w:val="20"/>
              </w:rPr>
              <w:t>7-12</w:t>
            </w:r>
          </w:p>
        </w:tc>
        <w:tc>
          <w:tcPr>
            <w:tcW w:type="dxa" w:w="1559"/>
          </w:tcPr>
          <w:p>
            <w:r>
              <w:rPr>
                <w:sz w:val="20"/>
              </w:rPr>
              <w:t>10-20</w:t>
            </w:r>
          </w:p>
        </w:tc>
        <w:tc>
          <w:tcPr>
            <w:tcW w:type="dxa" w:w="1559"/>
          </w:tcPr>
          <w:p>
            <w:r>
              <w:rPr>
                <w:sz w:val="20"/>
              </w:rPr>
              <w:t>7-12</w:t>
            </w:r>
          </w:p>
        </w:tc>
        <w:tc>
          <w:tcPr>
            <w:tcW w:type="dxa" w:w="1559"/>
          </w:tcPr>
          <w:p>
            <w:r>
              <w:rPr>
                <w:sz w:val="20"/>
              </w:rPr>
              <w:t>14</w:t>
            </w:r>
          </w:p>
        </w:tc>
      </w:tr>
      <w:tr>
        <w:tc>
          <w:tcPr>
            <w:tcW w:type="dxa" w:w="1559"/>
          </w:tcPr>
          <w:p>
            <w:r>
              <w:rPr>
                <w:sz w:val="20"/>
              </w:rPr>
              <w:t>**Voie d'administration**</w:t>
            </w:r>
          </w:p>
        </w:tc>
        <w:tc>
          <w:tcPr>
            <w:tcW w:type="dxa" w:w="1559"/>
          </w:tcPr>
          <w:p>
            <w:r>
              <w:rPr>
                <w:sz w:val="20"/>
              </w:rPr>
              <w:t>SC</w:t>
            </w:r>
          </w:p>
        </w:tc>
        <w:tc>
          <w:tcPr>
            <w:tcW w:type="dxa" w:w="1559"/>
          </w:tcPr>
          <w:p>
            <w:r>
              <w:rPr>
                <w:sz w:val="20"/>
              </w:rPr>
              <w:t>IV stricte (milieu hospitalier)</w:t>
            </w:r>
          </w:p>
        </w:tc>
        <w:tc>
          <w:tcPr>
            <w:tcW w:type="dxa" w:w="1559"/>
          </w:tcPr>
          <w:p>
            <w:r>
              <w:rPr>
                <w:sz w:val="20"/>
              </w:rPr>
              <w:t>SC</w:t>
            </w:r>
          </w:p>
        </w:tc>
        <w:tc>
          <w:tcPr>
            <w:tcW w:type="dxa" w:w="1559"/>
          </w:tcPr>
          <w:p>
            <w:r>
              <w:rPr>
                <w:sz w:val="20"/>
              </w:rPr>
              <w:t>SC</w:t>
            </w:r>
          </w:p>
        </w:tc>
        <w:tc>
          <w:tcPr>
            <w:tcW w:type="dxa" w:w="1559"/>
          </w:tcPr>
          <w:p>
            <w:r>
              <w:rPr>
                <w:sz w:val="20"/>
              </w:rPr>
              <w:t>SC</w:t>
            </w:r>
          </w:p>
        </w:tc>
      </w:tr>
      <w:tr>
        <w:tc>
          <w:tcPr>
            <w:tcW w:type="dxa" w:w="1559"/>
          </w:tcPr>
          <w:p>
            <w:r>
              <w:rPr>
                <w:sz w:val="20"/>
              </w:rPr>
              <w:t>**Posologie standard adulte**</w:t>
            </w:r>
          </w:p>
        </w:tc>
        <w:tc>
          <w:tcPr>
            <w:tcW w:type="dxa" w:w="1559"/>
          </w:tcPr>
          <w:p>
            <w:r>
              <w:rPr>
                <w:sz w:val="20"/>
              </w:rPr>
              <w:t>50 mg/sem</w:t>
            </w:r>
          </w:p>
        </w:tc>
        <w:tc>
          <w:tcPr>
            <w:tcW w:type="dxa" w:w="1559"/>
          </w:tcPr>
          <w:p>
            <w:r>
              <w:rPr>
                <w:sz w:val="20"/>
              </w:rPr>
              <w:t>3-5 mg/kg à S0, S2, S6 puis /8 sem</w:t>
            </w:r>
          </w:p>
        </w:tc>
        <w:tc>
          <w:tcPr>
            <w:tcW w:type="dxa" w:w="1559"/>
          </w:tcPr>
          <w:p>
            <w:r>
              <w:rPr>
                <w:sz w:val="20"/>
              </w:rPr>
              <w:t>40 mg/2 sem</w:t>
            </w:r>
          </w:p>
        </w:tc>
        <w:tc>
          <w:tcPr>
            <w:tcW w:type="dxa" w:w="1559"/>
          </w:tcPr>
          <w:p>
            <w:r>
              <w:rPr>
                <w:sz w:val="20"/>
              </w:rPr>
              <w:t>50 mg/4 sem</w:t>
            </w:r>
          </w:p>
        </w:tc>
        <w:tc>
          <w:tcPr>
            <w:tcW w:type="dxa" w:w="1559"/>
          </w:tcPr>
          <w:p>
            <w:r>
              <w:rPr>
                <w:sz w:val="20"/>
              </w:rPr>
              <w:t>400 mg (2×200) à S0, S2, S4 puis 200 mg/2 sem</w:t>
            </w:r>
          </w:p>
        </w:tc>
      </w:tr>
      <w:tr>
        <w:tc>
          <w:tcPr>
            <w:tcW w:type="dxa" w:w="1559"/>
          </w:tcPr>
          <w:p>
            <w:r>
              <w:rPr>
                <w:sz w:val="20"/>
              </w:rPr>
              <w:t>**Fréquence d'administration**</w:t>
            </w:r>
          </w:p>
        </w:tc>
        <w:tc>
          <w:tcPr>
            <w:tcW w:type="dxa" w:w="1559"/>
          </w:tcPr>
          <w:p>
            <w:r>
              <w:rPr>
                <w:sz w:val="20"/>
              </w:rPr>
              <w:t>1/sem</w:t>
            </w:r>
          </w:p>
        </w:tc>
        <w:tc>
          <w:tcPr>
            <w:tcW w:type="dxa" w:w="1559"/>
          </w:tcPr>
          <w:p>
            <w:r>
              <w:rPr>
                <w:sz w:val="20"/>
              </w:rPr>
              <w:t>1/4-8 sem</w:t>
            </w:r>
          </w:p>
        </w:tc>
        <w:tc>
          <w:tcPr>
            <w:tcW w:type="dxa" w:w="1559"/>
          </w:tcPr>
          <w:p>
            <w:r>
              <w:rPr>
                <w:sz w:val="20"/>
              </w:rPr>
              <w:t>1/2 sem</w:t>
            </w:r>
          </w:p>
        </w:tc>
        <w:tc>
          <w:tcPr>
            <w:tcW w:type="dxa" w:w="1559"/>
          </w:tcPr>
          <w:p>
            <w:r>
              <w:rPr>
                <w:sz w:val="20"/>
              </w:rPr>
              <w:t>1/4 sem</w:t>
            </w:r>
          </w:p>
        </w:tc>
        <w:tc>
          <w:tcPr>
            <w:tcW w:type="dxa" w:w="1559"/>
          </w:tcPr>
          <w:p>
            <w:r>
              <w:rPr>
                <w:sz w:val="20"/>
              </w:rPr>
              <w:t>1/2 sem (entretien)</w:t>
            </w:r>
          </w:p>
        </w:tc>
      </w:tr>
      <w:tr>
        <w:tc>
          <w:tcPr>
            <w:tcW w:type="dxa" w:w="1559"/>
          </w:tcPr>
          <w:p>
            <w:r>
              <w:rPr>
                <w:sz w:val="20"/>
              </w:rPr>
              <w:t>**Indications AMM**</w:t>
            </w:r>
          </w:p>
        </w:tc>
        <w:tc>
          <w:tcPr>
            <w:tcW w:type="dxa" w:w="1559"/>
          </w:tcPr>
          <w:p>
            <w:r>
              <w:rPr>
                <w:sz w:val="20"/>
              </w:rPr>
              <w:t>PR, SpA, RPso, psoriasis</w:t>
            </w:r>
          </w:p>
        </w:tc>
        <w:tc>
          <w:tcPr>
            <w:tcW w:type="dxa" w:w="1559"/>
          </w:tcPr>
          <w:p>
            <w:r>
              <w:rPr>
                <w:sz w:val="20"/>
              </w:rPr>
              <w:t>PR, SpA, RPso, Crohn, RCH, psoriasis, Behçet</w:t>
            </w:r>
          </w:p>
        </w:tc>
        <w:tc>
          <w:tcPr>
            <w:tcW w:type="dxa" w:w="1559"/>
          </w:tcPr>
          <w:p>
            <w:r>
              <w:rPr>
                <w:sz w:val="20"/>
              </w:rPr>
              <w:t>PR, SpA, RPso, psoriasis, Crohn, RCH, uvéite, HS</w:t>
            </w:r>
          </w:p>
        </w:tc>
        <w:tc>
          <w:tcPr>
            <w:tcW w:type="dxa" w:w="1559"/>
          </w:tcPr>
          <w:p>
            <w:r>
              <w:rPr>
                <w:sz w:val="20"/>
              </w:rPr>
              <w:t>PR, SpA, RPso, psoriasis</w:t>
            </w:r>
          </w:p>
        </w:tc>
        <w:tc>
          <w:tcPr>
            <w:tcW w:type="dxa" w:w="1559"/>
          </w:tcPr>
          <w:p>
            <w:r>
              <w:rPr>
                <w:sz w:val="20"/>
              </w:rPr>
              <w:t>PR, SpA, RPso, psoriasis, Crohn</w:t>
            </w:r>
          </w:p>
        </w:tc>
      </w:tr>
      <w:tr>
        <w:tc>
          <w:tcPr>
            <w:tcW w:type="dxa" w:w="1559"/>
          </w:tcPr>
          <w:p>
            <w:r>
              <w:rPr>
                <w:sz w:val="20"/>
              </w:rPr>
              <w:t>**AMM MICI (Crohn, RCH)**</w:t>
            </w:r>
          </w:p>
        </w:tc>
        <w:tc>
          <w:tcPr>
            <w:tcW w:type="dxa" w:w="1559"/>
          </w:tcPr>
          <w:p>
            <w:r>
              <w:rPr>
                <w:sz w:val="20"/>
              </w:rPr>
              <w:t>Non</w:t>
            </w:r>
          </w:p>
        </w:tc>
        <w:tc>
          <w:tcPr>
            <w:tcW w:type="dxa" w:w="1559"/>
          </w:tcPr>
          <w:p>
            <w:r>
              <w:rPr>
                <w:sz w:val="20"/>
              </w:rPr>
              <w:t>Oui</w:t>
            </w:r>
          </w:p>
        </w:tc>
        <w:tc>
          <w:tcPr>
            <w:tcW w:type="dxa" w:w="1559"/>
          </w:tcPr>
          <w:p>
            <w:r>
              <w:rPr>
                <w:sz w:val="20"/>
              </w:rPr>
              <w:t>Oui</w:t>
            </w:r>
          </w:p>
        </w:tc>
        <w:tc>
          <w:tcPr>
            <w:tcW w:type="dxa" w:w="1559"/>
          </w:tcPr>
          <w:p>
            <w:r>
              <w:rPr>
                <w:sz w:val="20"/>
              </w:rPr>
              <w:t>Non (Algérie)</w:t>
            </w:r>
          </w:p>
        </w:tc>
        <w:tc>
          <w:tcPr>
            <w:tcW w:type="dxa" w:w="1559"/>
          </w:tcPr>
          <w:p>
            <w:r>
              <w:rPr>
                <w:sz w:val="20"/>
              </w:rPr>
              <w:t>Oui (Crohn)</w:t>
            </w:r>
          </w:p>
        </w:tc>
      </w:tr>
      <w:tr>
        <w:tc>
          <w:tcPr>
            <w:tcW w:type="dxa" w:w="1559"/>
          </w:tcPr>
          <w:p>
            <w:r>
              <w:rPr>
                <w:sz w:val="20"/>
              </w:rPr>
              <w:t>**AMM uvéite**</w:t>
            </w:r>
          </w:p>
        </w:tc>
        <w:tc>
          <w:tcPr>
            <w:tcW w:type="dxa" w:w="1559"/>
          </w:tcPr>
          <w:p>
            <w:r>
              <w:rPr>
                <w:sz w:val="20"/>
              </w:rPr>
              <w:t>Non</w:t>
            </w:r>
          </w:p>
        </w:tc>
        <w:tc>
          <w:tcPr>
            <w:tcW w:type="dxa" w:w="1559"/>
          </w:tcPr>
          <w:p>
            <w:r>
              <w:rPr>
                <w:sz w:val="20"/>
              </w:rPr>
              <w:t>Non</w:t>
            </w:r>
          </w:p>
        </w:tc>
        <w:tc>
          <w:tcPr>
            <w:tcW w:type="dxa" w:w="1559"/>
          </w:tcPr>
          <w:p>
            <w:r>
              <w:rPr>
                <w:sz w:val="20"/>
              </w:rPr>
              <w:t>Oui (seul anti-TNFα)</w:t>
            </w:r>
          </w:p>
        </w:tc>
        <w:tc>
          <w:tcPr>
            <w:tcW w:type="dxa" w:w="1559"/>
          </w:tcPr>
          <w:p>
            <w:r>
              <w:rPr>
                <w:sz w:val="20"/>
              </w:rPr>
              <w:t>Non</w:t>
            </w:r>
          </w:p>
        </w:tc>
        <w:tc>
          <w:tcPr>
            <w:tcW w:type="dxa" w:w="1559"/>
          </w:tcPr>
          <w:p>
            <w:r>
              <w:rPr>
                <w:sz w:val="20"/>
              </w:rPr>
              <w:t>Non</w:t>
            </w:r>
          </w:p>
        </w:tc>
      </w:tr>
      <w:tr>
        <w:tc>
          <w:tcPr>
            <w:tcW w:type="dxa" w:w="1559"/>
          </w:tcPr>
          <w:p>
            <w:r>
              <w:rPr>
                <w:sz w:val="20"/>
              </w:rPr>
              <w:t>**Tuberculose (incidence/100 PA)**</w:t>
            </w:r>
          </w:p>
        </w:tc>
        <w:tc>
          <w:tcPr>
            <w:tcW w:type="dxa" w:w="1559"/>
          </w:tcPr>
          <w:p>
            <w:r>
              <w:rPr>
                <w:sz w:val="20"/>
              </w:rPr>
              <w:t>0,02-0,05</w:t>
            </w:r>
          </w:p>
        </w:tc>
        <w:tc>
          <w:tcPr>
            <w:tcW w:type="dxa" w:w="1559"/>
          </w:tcPr>
          <w:p>
            <w:r>
              <w:rPr>
                <w:sz w:val="20"/>
              </w:rPr>
              <w:t>0,4-1,0</w:t>
            </w:r>
          </w:p>
        </w:tc>
        <w:tc>
          <w:tcPr>
            <w:tcW w:type="dxa" w:w="1559"/>
          </w:tcPr>
          <w:p>
            <w:r>
              <w:rPr>
                <w:sz w:val="20"/>
              </w:rPr>
              <w:t>0,4-1,0</w:t>
            </w:r>
          </w:p>
        </w:tc>
        <w:tc>
          <w:tcPr>
            <w:tcW w:type="dxa" w:w="1559"/>
          </w:tcPr>
          <w:p>
            <w:r>
              <w:rPr>
                <w:sz w:val="20"/>
              </w:rPr>
              <w:t>0,3-0,7</w:t>
            </w:r>
          </w:p>
        </w:tc>
        <w:tc>
          <w:tcPr>
            <w:tcW w:type="dxa" w:w="1559"/>
          </w:tcPr>
          <w:p>
            <w:r>
              <w:rPr>
                <w:sz w:val="20"/>
              </w:rPr>
              <w:t>0,05-0,1</w:t>
            </w:r>
          </w:p>
        </w:tc>
      </w:tr>
      <w:tr>
        <w:tc>
          <w:tcPr>
            <w:tcW w:type="dxa" w:w="1559"/>
          </w:tcPr>
          <w:p>
            <w:r>
              <w:rPr>
                <w:sz w:val="20"/>
              </w:rPr>
              <w:t>**Dépistage TB pré-thérapeutique**</w:t>
            </w:r>
          </w:p>
        </w:tc>
        <w:tc>
          <w:tcPr>
            <w:tcW w:type="dxa" w:w="1559"/>
          </w:tcPr>
          <w:p>
            <w:r>
              <w:rPr>
                <w:sz w:val="20"/>
              </w:rPr>
              <w:t>Obligatoire</w:t>
            </w:r>
          </w:p>
        </w:tc>
        <w:tc>
          <w:tcPr>
            <w:tcW w:type="dxa" w:w="1559"/>
          </w:tcPr>
          <w:p>
            <w:r>
              <w:rPr>
                <w:sz w:val="20"/>
              </w:rPr>
              <w:t>Obligatoire</w:t>
            </w:r>
          </w:p>
        </w:tc>
        <w:tc>
          <w:tcPr>
            <w:tcW w:type="dxa" w:w="1559"/>
          </w:tcPr>
          <w:p>
            <w:r>
              <w:rPr>
                <w:sz w:val="20"/>
              </w:rPr>
              <w:t>Obligatoire</w:t>
            </w:r>
          </w:p>
        </w:tc>
        <w:tc>
          <w:tcPr>
            <w:tcW w:type="dxa" w:w="1559"/>
          </w:tcPr>
          <w:p>
            <w:r>
              <w:rPr>
                <w:sz w:val="20"/>
              </w:rPr>
              <w:t>Obligatoire</w:t>
            </w:r>
          </w:p>
        </w:tc>
        <w:tc>
          <w:tcPr>
            <w:tcW w:type="dxa" w:w="1559"/>
          </w:tcPr>
          <w:p>
            <w:r>
              <w:rPr>
                <w:sz w:val="20"/>
              </w:rPr>
              <w:t>Obligatoire</w:t>
            </w:r>
          </w:p>
        </w:tc>
      </w:tr>
      <w:tr>
        <w:tc>
          <w:tcPr>
            <w:tcW w:type="dxa" w:w="1559"/>
          </w:tcPr>
          <w:p>
            <w:r>
              <w:rPr>
                <w:sz w:val="20"/>
              </w:rPr>
              <w:t>**Réaction à la perfusion (IV)**</w:t>
            </w:r>
          </w:p>
        </w:tc>
        <w:tc>
          <w:tcPr>
            <w:tcW w:type="dxa" w:w="1559"/>
          </w:tcPr>
          <w:p>
            <w:r>
              <w:rPr>
                <w:sz w:val="20"/>
              </w:rPr>
              <w:t>N/A (SC)</w:t>
            </w:r>
          </w:p>
        </w:tc>
        <w:tc>
          <w:tcPr>
            <w:tcW w:type="dxa" w:w="1559"/>
          </w:tcPr>
          <w:p>
            <w:r>
              <w:rPr>
                <w:sz w:val="20"/>
              </w:rPr>
              <w:t>10-20 %</w:t>
            </w:r>
          </w:p>
        </w:tc>
        <w:tc>
          <w:tcPr>
            <w:tcW w:type="dxa" w:w="1559"/>
          </w:tcPr>
          <w:p>
            <w:r>
              <w:rPr>
                <w:sz w:val="20"/>
              </w:rPr>
              <w:t>N/A (SC)</w:t>
            </w:r>
          </w:p>
        </w:tc>
        <w:tc>
          <w:tcPr>
            <w:tcW w:type="dxa" w:w="1559"/>
          </w:tcPr>
          <w:p>
            <w:r>
              <w:rPr>
                <w:sz w:val="20"/>
              </w:rPr>
              <w:t>N/A (SC)</w:t>
            </w:r>
          </w:p>
        </w:tc>
        <w:tc>
          <w:tcPr>
            <w:tcW w:type="dxa" w:w="1559"/>
          </w:tcPr>
          <w:p>
            <w:r>
              <w:rPr>
                <w:sz w:val="20"/>
              </w:rPr>
              <w:t>N/A (SC)</w:t>
            </w:r>
          </w:p>
        </w:tc>
      </w:tr>
      <w:tr>
        <w:tc>
          <w:tcPr>
            <w:tcW w:type="dxa" w:w="1559"/>
          </w:tcPr>
          <w:p>
            <w:r>
              <w:rPr>
                <w:sz w:val="20"/>
              </w:rPr>
              <w:t>**Réaction au site d'injection (SC)**</w:t>
            </w:r>
          </w:p>
        </w:tc>
        <w:tc>
          <w:tcPr>
            <w:tcW w:type="dxa" w:w="1559"/>
          </w:tcPr>
          <w:p>
            <w:r>
              <w:rPr>
                <w:sz w:val="20"/>
              </w:rPr>
              <w:t>14-37 %</w:t>
            </w:r>
          </w:p>
        </w:tc>
        <w:tc>
          <w:tcPr>
            <w:tcW w:type="dxa" w:w="1559"/>
          </w:tcPr>
          <w:p>
            <w:r>
              <w:rPr>
                <w:sz w:val="20"/>
              </w:rPr>
              <w:t>N/A (IV)</w:t>
            </w:r>
          </w:p>
        </w:tc>
        <w:tc>
          <w:tcPr>
            <w:tcW w:type="dxa" w:w="1559"/>
          </w:tcPr>
          <w:p>
            <w:r>
              <w:rPr>
                <w:sz w:val="20"/>
              </w:rPr>
              <w:t>10-20 %</w:t>
            </w:r>
          </w:p>
        </w:tc>
        <w:tc>
          <w:tcPr>
            <w:tcW w:type="dxa" w:w="1559"/>
          </w:tcPr>
          <w:p>
            <w:r>
              <w:rPr>
                <w:sz w:val="20"/>
              </w:rPr>
              <w:t>5-10 %</w:t>
            </w:r>
          </w:p>
        </w:tc>
        <w:tc>
          <w:tcPr>
            <w:tcW w:type="dxa" w:w="1559"/>
          </w:tcPr>
          <w:p>
            <w:r>
              <w:rPr>
                <w:sz w:val="20"/>
              </w:rPr>
              <w:t>10-15 %</w:t>
            </w:r>
          </w:p>
        </w:tc>
      </w:tr>
      <w:tr>
        <w:tc>
          <w:tcPr>
            <w:tcW w:type="dxa" w:w="1559"/>
          </w:tcPr>
          <w:p>
            <w:r>
              <w:rPr>
                <w:sz w:val="20"/>
              </w:rPr>
              <w:t>**CI IC NYHA III-IV**</w:t>
            </w:r>
          </w:p>
        </w:tc>
        <w:tc>
          <w:tcPr>
            <w:tcW w:type="dxa" w:w="1559"/>
          </w:tcPr>
          <w:p>
            <w:r>
              <w:rPr>
                <w:sz w:val="20"/>
              </w:rPr>
              <w:t>Oui</w:t>
            </w:r>
          </w:p>
        </w:tc>
        <w:tc>
          <w:tcPr>
            <w:tcW w:type="dxa" w:w="1559"/>
          </w:tcPr>
          <w:p>
            <w:r>
              <w:rPr>
                <w:sz w:val="20"/>
              </w:rPr>
              <w:t>Oui</w:t>
            </w:r>
          </w:p>
        </w:tc>
        <w:tc>
          <w:tcPr>
            <w:tcW w:type="dxa" w:w="1559"/>
          </w:tcPr>
          <w:p>
            <w:r>
              <w:rPr>
                <w:sz w:val="20"/>
              </w:rPr>
              <w:t>Oui</w:t>
            </w:r>
          </w:p>
        </w:tc>
        <w:tc>
          <w:tcPr>
            <w:tcW w:type="dxa" w:w="1559"/>
          </w:tcPr>
          <w:p>
            <w:r>
              <w:rPr>
                <w:sz w:val="20"/>
              </w:rPr>
              <w:t>Oui</w:t>
            </w:r>
          </w:p>
        </w:tc>
        <w:tc>
          <w:tcPr>
            <w:tcW w:type="dxa" w:w="1559"/>
          </w:tcPr>
          <w:p>
            <w:r>
              <w:rPr>
                <w:sz w:val="20"/>
              </w:rPr>
              <w:t>Oui</w:t>
            </w:r>
          </w:p>
        </w:tc>
      </w:tr>
      <w:tr>
        <w:tc>
          <w:tcPr>
            <w:tcW w:type="dxa" w:w="1559"/>
          </w:tcPr>
          <w:p>
            <w:r>
              <w:rPr>
                <w:sz w:val="20"/>
              </w:rPr>
              <w:t>**CI antécédent démyélinisant**</w:t>
            </w:r>
          </w:p>
        </w:tc>
        <w:tc>
          <w:tcPr>
            <w:tcW w:type="dxa" w:w="1559"/>
          </w:tcPr>
          <w:p>
            <w:r>
              <w:rPr>
                <w:sz w:val="20"/>
              </w:rPr>
              <w:t>Oui</w:t>
            </w:r>
          </w:p>
        </w:tc>
        <w:tc>
          <w:tcPr>
            <w:tcW w:type="dxa" w:w="1559"/>
          </w:tcPr>
          <w:p>
            <w:r>
              <w:rPr>
                <w:sz w:val="20"/>
              </w:rPr>
              <w:t>Oui</w:t>
            </w:r>
          </w:p>
        </w:tc>
        <w:tc>
          <w:tcPr>
            <w:tcW w:type="dxa" w:w="1559"/>
          </w:tcPr>
          <w:p>
            <w:r>
              <w:rPr>
                <w:sz w:val="20"/>
              </w:rPr>
              <w:t>Oui</w:t>
            </w:r>
          </w:p>
        </w:tc>
        <w:tc>
          <w:tcPr>
            <w:tcW w:type="dxa" w:w="1559"/>
          </w:tcPr>
          <w:p>
            <w:r>
              <w:rPr>
                <w:sz w:val="20"/>
              </w:rPr>
              <w:t>Oui</w:t>
            </w:r>
          </w:p>
        </w:tc>
        <w:tc>
          <w:tcPr>
            <w:tcW w:type="dxa" w:w="1559"/>
          </w:tcPr>
          <w:p>
            <w:r>
              <w:rPr>
                <w:sz w:val="20"/>
              </w:rPr>
              <w:t>Oui</w:t>
            </w:r>
          </w:p>
        </w:tc>
      </w:tr>
      <w:tr>
        <w:tc>
          <w:tcPr>
            <w:tcW w:type="dxa" w:w="1559"/>
          </w:tcPr>
          <w:p>
            <w:r>
              <w:rPr>
                <w:sz w:val="20"/>
              </w:rPr>
              <w:t>**CI vaccins vivants**</w:t>
            </w:r>
          </w:p>
        </w:tc>
        <w:tc>
          <w:tcPr>
            <w:tcW w:type="dxa" w:w="1559"/>
          </w:tcPr>
          <w:p>
            <w:r>
              <w:rPr>
                <w:sz w:val="20"/>
              </w:rPr>
              <w:t>Oui (4 sem avant, 4 sem après)</w:t>
            </w:r>
          </w:p>
        </w:tc>
        <w:tc>
          <w:tcPr>
            <w:tcW w:type="dxa" w:w="1559"/>
          </w:tcPr>
          <w:p>
            <w:r>
              <w:rPr>
                <w:sz w:val="20"/>
              </w:rPr>
              <w:t>Oui (4 sem avant, 12 sem après)</w:t>
            </w:r>
          </w:p>
        </w:tc>
        <w:tc>
          <w:tcPr>
            <w:tcW w:type="dxa" w:w="1559"/>
          </w:tcPr>
          <w:p>
            <w:r>
              <w:rPr>
                <w:sz w:val="20"/>
              </w:rPr>
              <w:t>Oui (4 sem avant, 8-12 sem après)</w:t>
            </w:r>
          </w:p>
        </w:tc>
        <w:tc>
          <w:tcPr>
            <w:tcW w:type="dxa" w:w="1559"/>
          </w:tcPr>
          <w:p>
            <w:r>
              <w:rPr>
                <w:sz w:val="20"/>
              </w:rPr>
              <w:t>Oui (4 sem avant, 10-12 sem après)</w:t>
            </w:r>
          </w:p>
        </w:tc>
        <w:tc>
          <w:tcPr>
            <w:tcW w:type="dxa" w:w="1559"/>
          </w:tcPr>
          <w:p>
            <w:r>
              <w:rPr>
                <w:sz w:val="20"/>
              </w:rPr>
              <w:t>Oui (4 sem avant, 10 sem après)</w:t>
            </w:r>
          </w:p>
        </w:tc>
      </w:tr>
      <w:tr>
        <w:tc>
          <w:tcPr>
            <w:tcW w:type="dxa" w:w="1559"/>
          </w:tcPr>
          <w:p>
            <w:r>
              <w:rPr>
                <w:sz w:val="20"/>
              </w:rPr>
              <w:t>**Grossesse 1er et 2e trimestres**</w:t>
            </w:r>
          </w:p>
        </w:tc>
        <w:tc>
          <w:tcPr>
            <w:tcW w:type="dxa" w:w="1559"/>
          </w:tcPr>
          <w:p>
            <w:r>
              <w:rPr>
                <w:sz w:val="20"/>
              </w:rPr>
              <w:t>Possible si nécessité absolue</w:t>
            </w:r>
          </w:p>
        </w:tc>
        <w:tc>
          <w:tcPr>
            <w:tcW w:type="dxa" w:w="1559"/>
          </w:tcPr>
          <w:p>
            <w:r>
              <w:rPr>
                <w:sz w:val="20"/>
              </w:rPr>
              <w:t>Possible si nécessité absolue</w:t>
            </w:r>
          </w:p>
        </w:tc>
        <w:tc>
          <w:tcPr>
            <w:tcW w:type="dxa" w:w="1559"/>
          </w:tcPr>
          <w:p>
            <w:r>
              <w:rPr>
                <w:sz w:val="20"/>
              </w:rPr>
              <w:t>Possible si nécessité absolue</w:t>
            </w:r>
          </w:p>
        </w:tc>
        <w:tc>
          <w:tcPr>
            <w:tcW w:type="dxa" w:w="1559"/>
          </w:tcPr>
          <w:p>
            <w:r>
              <w:rPr>
                <w:sz w:val="20"/>
              </w:rPr>
              <w:t>Possible si nécessité absolue</w:t>
            </w:r>
          </w:p>
        </w:tc>
        <w:tc>
          <w:tcPr>
            <w:tcW w:type="dxa" w:w="1559"/>
          </w:tcPr>
          <w:p>
            <w:r>
              <w:rPr>
                <w:sz w:val="20"/>
              </w:rPr>
              <w:t>**Possible et recommandé**</w:t>
            </w:r>
          </w:p>
        </w:tc>
      </w:tr>
      <w:tr>
        <w:tc>
          <w:tcPr>
            <w:tcW w:type="dxa" w:w="1559"/>
          </w:tcPr>
          <w:p>
            <w:r>
              <w:rPr>
                <w:sz w:val="20"/>
              </w:rPr>
              <w:t>**Grossesse 3e trimestre**</w:t>
            </w:r>
          </w:p>
        </w:tc>
        <w:tc>
          <w:tcPr>
            <w:tcW w:type="dxa" w:w="1559"/>
          </w:tcPr>
          <w:p>
            <w:r>
              <w:rPr>
                <w:sz w:val="20"/>
              </w:rPr>
              <w:t>**CI stricte**</w:t>
            </w:r>
          </w:p>
        </w:tc>
        <w:tc>
          <w:tcPr>
            <w:tcW w:type="dxa" w:w="1559"/>
          </w:tcPr>
          <w:p>
            <w:r>
              <w:rPr>
                <w:sz w:val="20"/>
              </w:rPr>
              <w:t>**CI stricte**</w:t>
            </w:r>
          </w:p>
        </w:tc>
        <w:tc>
          <w:tcPr>
            <w:tcW w:type="dxa" w:w="1559"/>
          </w:tcPr>
          <w:p>
            <w:r>
              <w:rPr>
                <w:sz w:val="20"/>
              </w:rPr>
              <w:t>**CI stricte**</w:t>
            </w:r>
          </w:p>
        </w:tc>
        <w:tc>
          <w:tcPr>
            <w:tcW w:type="dxa" w:w="1559"/>
          </w:tcPr>
          <w:p>
            <w:r>
              <w:rPr>
                <w:sz w:val="20"/>
              </w:rPr>
              <w:t>**CI stricte**</w:t>
            </w:r>
          </w:p>
        </w:tc>
        <w:tc>
          <w:tcPr>
            <w:tcW w:type="dxa" w:w="1559"/>
          </w:tcPr>
          <w:p>
            <w:r>
              <w:rPr>
                <w:sz w:val="20"/>
              </w:rPr>
              <w:t>**Autorisé (seul anti-TNFα)**</w:t>
            </w:r>
          </w:p>
        </w:tc>
      </w:tr>
      <w:tr>
        <w:tc>
          <w:tcPr>
            <w:tcW w:type="dxa" w:w="1559"/>
          </w:tcPr>
          <w:p>
            <w:r>
              <w:rPr>
                <w:sz w:val="20"/>
              </w:rPr>
              <w:t>**Allaitement**</w:t>
            </w:r>
          </w:p>
        </w:tc>
        <w:tc>
          <w:tcPr>
            <w:tcW w:type="dxa" w:w="1559"/>
          </w:tcPr>
          <w:p>
            <w:r>
              <w:rPr>
                <w:sz w:val="20"/>
              </w:rPr>
              <w:t>Compatible</w:t>
            </w:r>
          </w:p>
        </w:tc>
        <w:tc>
          <w:tcPr>
            <w:tcW w:type="dxa" w:w="1559"/>
          </w:tcPr>
          <w:p>
            <w:r>
              <w:rPr>
                <w:sz w:val="20"/>
              </w:rPr>
              <w:t>Compatible</w:t>
            </w:r>
          </w:p>
        </w:tc>
        <w:tc>
          <w:tcPr>
            <w:tcW w:type="dxa" w:w="1559"/>
          </w:tcPr>
          <w:p>
            <w:r>
              <w:rPr>
                <w:sz w:val="20"/>
              </w:rPr>
              <w:t>Compatible</w:t>
            </w:r>
          </w:p>
        </w:tc>
        <w:tc>
          <w:tcPr>
            <w:tcW w:type="dxa" w:w="1559"/>
          </w:tcPr>
          <w:p>
            <w:r>
              <w:rPr>
                <w:sz w:val="20"/>
              </w:rPr>
              <w:t>Compatible</w:t>
            </w:r>
          </w:p>
        </w:tc>
        <w:tc>
          <w:tcPr>
            <w:tcW w:type="dxa" w:w="1559"/>
          </w:tcPr>
          <w:p>
            <w:r>
              <w:rPr>
                <w:sz w:val="20"/>
              </w:rPr>
              <w:t>Compatible</w:t>
            </w:r>
          </w:p>
        </w:tc>
      </w:tr>
      <w:tr>
        <w:tc>
          <w:tcPr>
            <w:tcW w:type="dxa" w:w="1559"/>
          </w:tcPr>
          <w:p>
            <w:r>
              <w:rPr>
                <w:sz w:val="20"/>
              </w:rPr>
              <w:t>**Vaccins vivants chez nouveau-né exposé in utero**</w:t>
            </w:r>
          </w:p>
        </w:tc>
        <w:tc>
          <w:tcPr>
            <w:tcW w:type="dxa" w:w="1559"/>
          </w:tcPr>
          <w:p>
            <w:r>
              <w:rPr>
                <w:sz w:val="20"/>
              </w:rPr>
              <w:t>CI pendant 6 mois</w:t>
            </w:r>
          </w:p>
        </w:tc>
        <w:tc>
          <w:tcPr>
            <w:tcW w:type="dxa" w:w="1559"/>
          </w:tcPr>
          <w:p>
            <w:r>
              <w:rPr>
                <w:sz w:val="20"/>
              </w:rPr>
              <w:t>CI pendant 6 mois</w:t>
            </w:r>
          </w:p>
        </w:tc>
        <w:tc>
          <w:tcPr>
            <w:tcW w:type="dxa" w:w="1559"/>
          </w:tcPr>
          <w:p>
            <w:r>
              <w:rPr>
                <w:sz w:val="20"/>
              </w:rPr>
              <w:t>CI pendant 6 mois</w:t>
            </w:r>
          </w:p>
        </w:tc>
        <w:tc>
          <w:tcPr>
            <w:tcW w:type="dxa" w:w="1559"/>
          </w:tcPr>
          <w:p>
            <w:r>
              <w:rPr>
                <w:sz w:val="20"/>
              </w:rPr>
              <w:t>CI pendant 6 mois</w:t>
            </w:r>
          </w:p>
        </w:tc>
        <w:tc>
          <w:tcPr>
            <w:tcW w:type="dxa" w:w="1559"/>
          </w:tcPr>
          <w:p>
            <w:r>
              <w:rPr>
                <w:sz w:val="20"/>
              </w:rPr>
              <w:t>**Autorisés selon calendrier normal**</w:t>
            </w:r>
          </w:p>
        </w:tc>
      </w:tr>
      <w:tr>
        <w:tc>
          <w:tcPr>
            <w:tcW w:type="dxa" w:w="1559"/>
          </w:tcPr>
          <w:p>
            <w:r>
              <w:rPr>
                <w:sz w:val="20"/>
              </w:rPr>
              <w:t>**Association au MTX**</w:t>
            </w:r>
          </w:p>
        </w:tc>
        <w:tc>
          <w:tcPr>
            <w:tcW w:type="dxa" w:w="1559"/>
          </w:tcPr>
          <w:p>
            <w:r>
              <w:rPr>
                <w:sz w:val="20"/>
              </w:rPr>
              <w:t>Recommandée (PR)</w:t>
            </w:r>
          </w:p>
        </w:tc>
        <w:tc>
          <w:tcPr>
            <w:tcW w:type="dxa" w:w="1559"/>
          </w:tcPr>
          <w:p>
            <w:r>
              <w:rPr>
                <w:sz w:val="20"/>
              </w:rPr>
              <w:t>**Synergie obligatoire** (PR)</w:t>
            </w:r>
          </w:p>
        </w:tc>
        <w:tc>
          <w:tcPr>
            <w:tcW w:type="dxa" w:w="1559"/>
          </w:tcPr>
          <w:p>
            <w:r>
              <w:rPr>
                <w:sz w:val="20"/>
              </w:rPr>
              <w:t>**Synergie recommandée** (PR)</w:t>
            </w:r>
          </w:p>
        </w:tc>
        <w:tc>
          <w:tcPr>
            <w:tcW w:type="dxa" w:w="1559"/>
          </w:tcPr>
          <w:p>
            <w:r>
              <w:rPr>
                <w:sz w:val="20"/>
              </w:rPr>
              <w:t>Recommandée (PR)</w:t>
            </w:r>
          </w:p>
        </w:tc>
        <w:tc>
          <w:tcPr>
            <w:tcW w:type="dxa" w:w="1559"/>
          </w:tcPr>
          <w:p>
            <w:r>
              <w:rPr>
                <w:sz w:val="20"/>
              </w:rPr>
              <w:t>Recommandée (PR)</w:t>
            </w:r>
          </w:p>
        </w:tc>
      </w:tr>
      <w:tr>
        <w:tc>
          <w:tcPr>
            <w:tcW w:type="dxa" w:w="1559"/>
          </w:tcPr>
          <w:p>
            <w:r>
              <w:rPr>
                <w:sz w:val="20"/>
              </w:rPr>
              <w:t>**Marques disponibles en Algérie**</w:t>
            </w:r>
          </w:p>
        </w:tc>
        <w:tc>
          <w:tcPr>
            <w:tcW w:type="dxa" w:w="1559"/>
          </w:tcPr>
          <w:p>
            <w:r>
              <w:rPr>
                <w:sz w:val="20"/>
              </w:rPr>
              <w:t>ENBREL + ALTEBREL + ERELZI (3)</w:t>
            </w:r>
          </w:p>
        </w:tc>
        <w:tc>
          <w:tcPr>
            <w:tcW w:type="dxa" w:w="1559"/>
          </w:tcPr>
          <w:p>
            <w:r>
              <w:rPr>
                <w:sz w:val="20"/>
              </w:rPr>
              <w:t>REMICADE + IXIFI + INFLIXIMAB-SAIDAL + REMSIMA (4)</w:t>
            </w:r>
          </w:p>
        </w:tc>
        <w:tc>
          <w:tcPr>
            <w:tcW w:type="dxa" w:w="1559"/>
          </w:tcPr>
          <w:p>
            <w:r>
              <w:rPr>
                <w:sz w:val="20"/>
              </w:rPr>
              <w:t>HUMIRA + 8 biosimilaires (9)</w:t>
            </w:r>
          </w:p>
        </w:tc>
        <w:tc>
          <w:tcPr>
            <w:tcW w:type="dxa" w:w="1559"/>
          </w:tcPr>
          <w:p>
            <w:r>
              <w:rPr>
                <w:sz w:val="20"/>
              </w:rPr>
              <w:t>SIMPONI (1)</w:t>
            </w:r>
          </w:p>
        </w:tc>
        <w:tc>
          <w:tcPr>
            <w:tcW w:type="dxa" w:w="1559"/>
          </w:tcPr>
          <w:p>
            <w:r>
              <w:rPr>
                <w:sz w:val="20"/>
              </w:rPr>
              <w:t>CIMZIA (1)</w:t>
            </w:r>
          </w:p>
        </w:tc>
      </w:tr>
      <w:tr>
        <w:tc>
          <w:tcPr>
            <w:tcW w:type="dxa" w:w="1559"/>
          </w:tcPr>
          <w:p>
            <w:r>
              <w:rPr>
                <w:sz w:val="20"/>
              </w:rPr>
              <w:t>**Biosimilaire disponible**</w:t>
            </w:r>
          </w:p>
        </w:tc>
        <w:tc>
          <w:tcPr>
            <w:tcW w:type="dxa" w:w="1559"/>
          </w:tcPr>
          <w:p>
            <w:r>
              <w:rPr>
                <w:sz w:val="20"/>
              </w:rPr>
              <w:t>Oui (2)</w:t>
            </w:r>
          </w:p>
        </w:tc>
        <w:tc>
          <w:tcPr>
            <w:tcW w:type="dxa" w:w="1559"/>
          </w:tcPr>
          <w:p>
            <w:r>
              <w:rPr>
                <w:sz w:val="20"/>
              </w:rPr>
              <w:t>Oui (3)</w:t>
            </w:r>
          </w:p>
        </w:tc>
        <w:tc>
          <w:tcPr>
            <w:tcW w:type="dxa" w:w="1559"/>
          </w:tcPr>
          <w:p>
            <w:r>
              <w:rPr>
                <w:sz w:val="20"/>
              </w:rPr>
              <w:t>Oui (8)</w:t>
            </w:r>
          </w:p>
        </w:tc>
        <w:tc>
          <w:tcPr>
            <w:tcW w:type="dxa" w:w="1559"/>
          </w:tcPr>
          <w:p>
            <w:r>
              <w:rPr>
                <w:sz w:val="20"/>
              </w:rPr>
              <w:t>Non</w:t>
            </w:r>
          </w:p>
        </w:tc>
        <w:tc>
          <w:tcPr>
            <w:tcW w:type="dxa" w:w="1559"/>
          </w:tcPr>
          <w:p>
            <w:r>
              <w:rPr>
                <w:sz w:val="20"/>
              </w:rPr>
              <w:t>Non</w:t>
            </w:r>
          </w:p>
        </w:tc>
      </w:tr>
      <w:tr>
        <w:tc>
          <w:tcPr>
            <w:tcW w:type="dxa" w:w="1559"/>
          </w:tcPr>
          <w:p>
            <w:r>
              <w:rPr>
                <w:sz w:val="20"/>
              </w:rPr>
              <w:t>**Coût mensuel estimé (DA)**</w:t>
            </w:r>
          </w:p>
        </w:tc>
        <w:tc>
          <w:tcPr>
            <w:tcW w:type="dxa" w:w="1559"/>
          </w:tcPr>
          <w:p>
            <w:r>
              <w:rPr>
                <w:sz w:val="20"/>
              </w:rPr>
              <w:t>18 000-32 000</w:t>
            </w:r>
          </w:p>
        </w:tc>
        <w:tc>
          <w:tcPr>
            <w:tcW w:type="dxa" w:w="1559"/>
          </w:tcPr>
          <w:p>
            <w:r>
              <w:rPr>
                <w:sz w:val="20"/>
              </w:rPr>
              <w:t>30 000-50 000</w:t>
            </w:r>
          </w:p>
        </w:tc>
        <w:tc>
          <w:tcPr>
            <w:tcW w:type="dxa" w:w="1559"/>
          </w:tcPr>
          <w:p>
            <w:r>
              <w:rPr>
                <w:sz w:val="20"/>
              </w:rPr>
              <w:t>25 000-45 000</w:t>
            </w:r>
          </w:p>
        </w:tc>
        <w:tc>
          <w:tcPr>
            <w:tcW w:type="dxa" w:w="1559"/>
          </w:tcPr>
          <w:p>
            <w:r>
              <w:rPr>
                <w:sz w:val="20"/>
              </w:rPr>
              <w:t>35 000-50 000</w:t>
            </w:r>
          </w:p>
        </w:tc>
        <w:tc>
          <w:tcPr>
            <w:tcW w:type="dxa" w:w="1559"/>
          </w:tcPr>
          <w:p>
            <w:r>
              <w:rPr>
                <w:sz w:val="20"/>
              </w:rPr>
              <w:t>25 000-35 000</w:t>
            </w:r>
          </w:p>
        </w:tc>
      </w:tr>
      <w:tr>
        <w:tc>
          <w:tcPr>
            <w:tcW w:type="dxa" w:w="1559"/>
          </w:tcPr>
          <w:p>
            <w:r>
              <w:rPr>
                <w:sz w:val="20"/>
              </w:rPr>
              <w:t>**Disponibilité en Algérie**</w:t>
            </w:r>
          </w:p>
        </w:tc>
        <w:tc>
          <w:tcPr>
            <w:tcW w:type="dxa" w:w="1559"/>
          </w:tcPr>
          <w:p>
            <w:r>
              <w:rPr>
                <w:sz w:val="20"/>
              </w:rPr>
              <w:t>Bonne (3 marques)</w:t>
            </w:r>
          </w:p>
        </w:tc>
        <w:tc>
          <w:tcPr>
            <w:tcW w:type="dxa" w:w="1559"/>
          </w:tcPr>
          <w:p>
            <w:r>
              <w:rPr>
                <w:sz w:val="20"/>
              </w:rPr>
              <w:t>Bonne (4 marques)</w:t>
            </w:r>
          </w:p>
        </w:tc>
        <w:tc>
          <w:tcPr>
            <w:tcW w:type="dxa" w:w="1559"/>
          </w:tcPr>
          <w:p>
            <w:r>
              <w:rPr>
                <w:sz w:val="20"/>
              </w:rPr>
              <w:t>Excellente (9 marques)</w:t>
            </w:r>
          </w:p>
        </w:tc>
        <w:tc>
          <w:tcPr>
            <w:tcW w:type="dxa" w:w="1559"/>
          </w:tcPr>
          <w:p>
            <w:r>
              <w:rPr>
                <w:sz w:val="20"/>
              </w:rPr>
              <w:t>Limitée (1 marque)</w:t>
            </w:r>
          </w:p>
        </w:tc>
        <w:tc>
          <w:tcPr>
            <w:tcW w:type="dxa" w:w="1559"/>
          </w:tcPr>
          <w:p>
            <w:r>
              <w:rPr>
                <w:sz w:val="20"/>
              </w:rPr>
              <w:t>Limitée (1 marque)</w:t>
            </w:r>
          </w:p>
        </w:tc>
      </w:tr>
      <w:tr>
        <w:tc>
          <w:tcPr>
            <w:tcW w:type="dxa" w:w="1559"/>
          </w:tcPr>
          <w:p>
            <w:r>
              <w:rPr>
                <w:sz w:val="20"/>
              </w:rPr>
              <w:t>**Spécialités retirées**</w:t>
            </w:r>
          </w:p>
        </w:tc>
        <w:tc>
          <w:tcPr>
            <w:tcW w:type="dxa" w:w="1559"/>
          </w:tcPr>
          <w:p>
            <w:r>
              <w:rPr>
                <w:sz w:val="20"/>
              </w:rPr>
              <w:t>Aucune (au 1er avril 2026)</w:t>
            </w:r>
          </w:p>
        </w:tc>
        <w:tc>
          <w:tcPr>
            <w:tcW w:type="dxa" w:w="1559"/>
          </w:tcPr>
          <w:p>
            <w:r>
              <w:rPr>
                <w:sz w:val="20"/>
              </w:rPr>
              <w:t>Aucune</w:t>
            </w:r>
          </w:p>
        </w:tc>
        <w:tc>
          <w:tcPr>
            <w:tcW w:type="dxa" w:w="1559"/>
          </w:tcPr>
          <w:p>
            <w:r>
              <w:rPr>
                <w:sz w:val="20"/>
              </w:rPr>
              <w:t>Aucune</w:t>
            </w:r>
          </w:p>
        </w:tc>
        <w:tc>
          <w:tcPr>
            <w:tcW w:type="dxa" w:w="1559"/>
          </w:tcPr>
          <w:p>
            <w:r>
              <w:rPr>
                <w:sz w:val="20"/>
              </w:rPr>
              <w:t>Aucune</w:t>
            </w:r>
          </w:p>
        </w:tc>
        <w:tc>
          <w:tcPr>
            <w:tcW w:type="dxa" w:w="1559"/>
          </w:tcPr>
          <w:p>
            <w:r>
              <w:rPr>
                <w:sz w:val="20"/>
              </w:rPr>
              <w:t>Aucune</w:t>
            </w:r>
          </w:p>
        </w:tc>
      </w:tr>
    </w:tbl>
    <w:p/>
    <w:p>
      <w:pPr>
        <w:pStyle w:val="Heading2"/>
      </w:pPr>
      <w:r>
        <w:t>152A.11 Synthèse pédagogique et règles d'or pour la pratique clinique algérienne</w:t>
      </w:r>
    </w:p>
    <w:p>
      <w:pPr>
        <w:pStyle w:val="Heading3"/>
      </w:pPr>
      <w:r>
        <w:t>152A.11.1 Choix éclairé de l'anti-TNFα selon le profil du patient</w:t>
      </w:r>
    </w:p>
    <w:p>
      <w:r>
        <w:t>Le choix de l'anti-TNFα en première intention doit être individualisé selon cinq critères principaux :</w:t>
      </w:r>
    </w:p>
    <w:p>
      <w:pPr>
        <w:pStyle w:val="ListNumber"/>
      </w:pPr>
      <w:r/>
      <w:r>
        <w:rPr>
          <w:b/>
        </w:rPr>
        <w:t>Profil d'efficacité attendu par indication</w:t>
      </w:r>
      <w:r>
        <w:t xml:space="preserve"> : (i) PR : tous les anti-TNFα sont équivalents en termes d'efficacité (ACR20 50-75 % à 24 semaines) — le choix se fait sur d'autres critères ; (ii) SpA : tous équivalents (ASAS20 60-75 %) ; (iii) RPso : adalimumab, certolizumab et étanercept ont une efficacité cutanée modérée (PASI75 49-75 %), le sécukinumab (anti-IL-17, non anti-TNFα) est supérieur dans le psoriasis isolé ; (iv) </w:t>
      </w:r>
      <w:r>
        <w:rPr>
          <w:b/>
        </w:rPr>
        <w:t>maladie de Crohn et RCH : seuls l'infliximab et l'adalimumab ont une AMM</w:t>
      </w:r>
      <w:r>
        <w:t xml:space="preserve"> — l'étanercept n'est pas indiqué et peut même être délétère dans la maladie de Crohn ; (v) </w:t>
      </w:r>
      <w:r>
        <w:rPr>
          <w:b/>
        </w:rPr>
        <w:t>uvéite non infectieuse : seul l'adalimumab a une AMM</w:t>
      </w:r>
      <w:r>
        <w:t xml:space="preserve"> ; (vi) psoriasis sévère : adalimumab (PASI75 80 %) et certolizumab (PASI75 75 %) sont supérieurs à l'étanercept (PASI75 49 %).</w:t>
      </w:r>
    </w:p>
    <w:p>
      <w:pPr>
        <w:pStyle w:val="ListNumber"/>
      </w:pPr>
      <w:r/>
      <w:r>
        <w:rPr>
          <w:b/>
        </w:rPr>
        <w:t>Profil de tolérance infectieuse</w:t>
      </w:r>
      <w:r>
        <w:t xml:space="preserve"> : (i) antécédent personnel ou familial de tuberculose, ou patient à risque élevé (immigrant récent de zone endémique, contact TB récent, IDR ou IGRA positif) → </w:t>
      </w:r>
      <w:r>
        <w:rPr>
          <w:b/>
        </w:rPr>
        <w:t>privilégier l'étanercept ou le certolizumab pegol</w:t>
      </w:r>
      <w:r>
        <w:t xml:space="preserve"> (incidence TB 0,02-0,1 pour 100 PA vs 0,4-1,0 pour les anticorps monoclonaux complets) ; (ii) patient âgé fragile, comorbidités infectieuses → étanercept ou certolizumab pegol ; (iii) patient jeune sans antécédent infectieux → tous anti-TNFα possibles.</w:t>
      </w:r>
    </w:p>
    <w:p>
      <w:pPr>
        <w:pStyle w:val="ListNumber"/>
      </w:pPr>
      <w:r/>
      <w:r>
        <w:rPr>
          <w:b/>
        </w:rPr>
        <w:t>Profil d'administration et d'observance</w:t>
      </w:r>
      <w:r>
        <w:t xml:space="preserve"> : (i) préférence pour administration IV en milieu hospitalier (surveillance médicale rapprochée, observance garantie) → </w:t>
      </w:r>
      <w:r>
        <w:rPr>
          <w:b/>
        </w:rPr>
        <w:t>infliximab</w:t>
      </w:r>
      <w:r>
        <w:t xml:space="preserve"> ; (ii) préférence pour administration SC à domicile en auto-injection → tous les autres ; (iii) fréquence d'administration la plus espacée (1/4 sem) → </w:t>
      </w:r>
      <w:r>
        <w:rPr>
          <w:b/>
        </w:rPr>
        <w:t>golimumab</w:t>
      </w:r>
      <w:r>
        <w:t xml:space="preserve"> ; (iv) fréquence d'administration 1/2 sem → </w:t>
      </w:r>
      <w:r>
        <w:rPr>
          <w:b/>
        </w:rPr>
        <w:t>adalimumab, certolizumab pegol</w:t>
      </w:r>
      <w:r>
        <w:t xml:space="preserve"> ; (v) fréquence d'administration 1/sem → </w:t>
      </w:r>
      <w:r>
        <w:rPr>
          <w:b/>
        </w:rPr>
        <w:t>étanercept</w:t>
      </w:r>
      <w:r>
        <w:t xml:space="preserve"> ; (vi) observance problématique → golimumab (1/4 sem) ou infliximab (IV hospitalier).</w:t>
      </w:r>
    </w:p>
    <w:p>
      <w:pPr>
        <w:pStyle w:val="ListNumber"/>
      </w:pPr>
      <w:r/>
      <w:r>
        <w:rPr>
          <w:b/>
        </w:rPr>
        <w:t>Profil de grossesse et de contraception</w:t>
      </w:r>
      <w:r>
        <w:t xml:space="preserve"> : (i) femme en âge de procréer avec contraception rigoureuse et pas de projet de grossesse à court terme → tous anti-TNFα possibles ; (ii) </w:t>
      </w:r>
      <w:r>
        <w:rPr>
          <w:b/>
        </w:rPr>
        <w:t>femme envisageant une grossesse à court terme (&lt; 6 mois)</w:t>
      </w:r>
      <w:r>
        <w:t xml:space="preserve"> → </w:t>
      </w:r>
      <w:r>
        <w:rPr>
          <w:b/>
        </w:rPr>
        <w:t>certolizumab pegol</w:t>
      </w:r>
      <w:r>
        <w:t xml:space="preserve"> (seul anti-TNFα utilisable pendant toute la grossesse y compris au 3e trimestre, vaccins vivants autorisés chez le nouveau-né) ; (iii) patiente enceinte nécessitant un traitement anti-TNFα actif → </w:t>
      </w:r>
      <w:r>
        <w:rPr>
          <w:b/>
        </w:rPr>
        <w:t>certolizumab pegol</w:t>
      </w:r>
      <w:r>
        <w:t xml:space="preserve"> ; (iv) homme envisageant une paternité → tous anti-TNFα possibles (pas de tératogénicité paternelle).</w:t>
      </w:r>
    </w:p>
    <w:p>
      <w:pPr>
        <w:pStyle w:val="ListNumber"/>
      </w:pPr>
      <w:r/>
      <w:r>
        <w:rPr>
          <w:b/>
        </w:rPr>
        <w:t>Coût et accessibilité économique</w:t>
      </w:r>
      <w:r>
        <w:t xml:space="preserve"> : (i) patient à couverture sociale partielle, limitation financière → </w:t>
      </w:r>
      <w:r>
        <w:rPr>
          <w:b/>
        </w:rPr>
        <w:t>adalimumab biosimilaire (9 marques disponibles, coût 25 000-45 000 DA/mois)</w:t>
      </w:r>
      <w:r>
        <w:t xml:space="preserve"> ou </w:t>
      </w:r>
      <w:r>
        <w:rPr>
          <w:b/>
        </w:rPr>
        <w:t>étanercept biosimilaire (ALTEBREL, ERELZI, coût 18 000-32 000 DA/mois)</w:t>
      </w:r>
      <w:r>
        <w:t xml:space="preserve"> ou </w:t>
      </w:r>
      <w:r>
        <w:rPr>
          <w:b/>
        </w:rPr>
        <w:t>infliximab biosimilaire (INFLIXIMAB-SAIDAL, REMSIMA, IXIFI, coût 30 000-50 000 DA/mois)</w:t>
      </w:r>
      <w:r>
        <w:t xml:space="preserve"> ; (ii) patient à bonne couverture sociale → tous anti-TNFα possibles, choix sur autres critères.</w:t>
      </w:r>
    </w:p>
    <w:p>
      <w:pPr>
        <w:pStyle w:val="Heading3"/>
      </w:pPr>
      <w:r>
        <w:t>152A.11.2 Règles d'or pour la prescription, la dispensation et le conseil pharmaceutique</w:t>
      </w:r>
    </w:p>
    <w:p>
      <w:pPr>
        <w:pStyle w:val="ListNumber"/>
      </w:pPr>
      <w:r/>
      <w:r>
        <w:rPr>
          <w:b/>
        </w:rPr>
        <w:t>Toujours réaliser un bilan pré-thérapeutique complet</w:t>
      </w:r>
      <w:r>
        <w:t xml:space="preserve"> avant instauration : NFS-plaquettes, bilan hépatique, bilan rénal, CRP, sérologies VHB (AgHBs, Ac anti-HBs, Ac anti-HBc) / VHC / VIH / VHA, IDR à la tuberculine (≥ 5 mm) ou IGRA Quantiferon-TB Gold, radiographie thoracique (face + profil), ECG, échographie cardiaque (FEVG) si antécédent IC, examen neurologique, examen dermatologique, mise à jour vaccinale.</w:t>
      </w:r>
    </w:p>
    <w:p>
      <w:pPr>
        <w:pStyle w:val="ListNumber"/>
      </w:pPr>
      <w:r/>
      <w:r>
        <w:rPr>
          <w:b/>
        </w:rPr>
        <w:t>Toujours vérifier l'absence de tuberculose active</w:t>
      </w:r>
      <w:r>
        <w:t xml:space="preserve"> avant instauration. En cas de tuberculose latente (IDR ≥ 5 mm ou IGRA positif), chimioprophylaxie par isoniazide 5 mg/kg/j (max 300 mg) + pyridoxine 25 mg/j pendant 1-3 mois avant instauration. En cas de tuberculose active, traitement antituberculeux complet avant instauration.</w:t>
      </w:r>
    </w:p>
    <w:p>
      <w:pPr>
        <w:pStyle w:val="ListNumber"/>
      </w:pPr>
      <w:r/>
      <w:r>
        <w:rPr>
          <w:b/>
        </w:rPr>
        <w:t>Toujours dépister une hépatite B chronique</w:t>
      </w:r>
      <w:r>
        <w:t xml:space="preserve"> avant instauration. En cas d'AgHBs+ ou Ac anti-HBc+ isolé, prophylaxie antivirale par entécavir 0,5-1 mg/j ou ténofovir 245 mg/j pendant le traitement et 6-12 mois après arrêt.</w:t>
      </w:r>
    </w:p>
    <w:p>
      <w:pPr>
        <w:pStyle w:val="ListNumber"/>
      </w:pPr>
      <w:r/>
      <w:r>
        <w:rPr>
          <w:b/>
        </w:rPr>
        <w:t>Toujours respecter les contre-indications absolues</w:t>
      </w:r>
      <w:r>
        <w:t xml:space="preserve"> : IC NYHA III-IV, antécédent personnel de maladie démyélinisante centrale (SEP, névrite optique, myélite transverse), sepsis sévère, infection sévère active, vaccin vivant atténué pendant le traitement, grossesse 3e trimestre (sauf certolizumab pegol).</w:t>
      </w:r>
    </w:p>
    <w:p>
      <w:pPr>
        <w:pStyle w:val="ListNumber"/>
      </w:pPr>
      <w:r/>
      <w:r>
        <w:rPr>
          <w:b/>
        </w:rPr>
        <w:t>Toujours associer au méthotrexate</w:t>
      </w:r>
      <w:r>
        <w:t xml:space="preserve"> dans la PR (réduction de l'immunogénicité, potentialisation de l'efficacité), particulièrement avec l'infliximab (HACA 12-44 % → 7-15 %) et l'adalimumab (ADA 5-25 % → &lt; 5 %). En cas d'intolérance ou de CI au MTX, monothérapie possible avec étanercept, golimumab ou certolizumab pegol (immunogénicité plus faible).</w:t>
      </w:r>
    </w:p>
    <w:p>
      <w:pPr>
        <w:pStyle w:val="ListNumber"/>
      </w:pPr>
      <w:r/>
      <w:r>
        <w:rPr>
          <w:b/>
        </w:rPr>
        <w:t>Toujours informer la patiente en âge de procréer</w:t>
      </w:r>
      <w:r>
        <w:t xml:space="preserve"> du risque d'immunosuppression néonatale au 3e trimestre (sauf certolizumab pegol) et de la nécessité d'une contraception rigoureuse. En cas de désir de grossesse, consultation pré-conceptionnelle 3-6 mois avant pour switch vers certolizumab pegol si possible.</w:t>
      </w:r>
    </w:p>
    <w:p>
      <w:pPr>
        <w:pStyle w:val="ListNumber"/>
      </w:pPr>
      <w:r/>
      <w:r>
        <w:rPr>
          <w:b/>
        </w:rPr>
        <w:t>Toujours mettre à jour les vaccins</w:t>
      </w:r>
      <w:r>
        <w:t xml:space="preserve"> avant instauration (grippe saisonnière, pneumocoque conjugué 13 + polysaccharidique 23, COVID-19, hépatite B si séronégatif, zona recombinant Shingrix si &gt; 50 ans). Les vaccins vivants (BCG, ROR, fièvre jaune, varicelle) doivent être administrés au moins 4 semaines avant la première injection.</w:t>
      </w:r>
    </w:p>
    <w:p>
      <w:pPr>
        <w:pStyle w:val="ListNumber"/>
      </w:pPr>
      <w:r/>
      <w:r>
        <w:rPr>
          <w:b/>
        </w:rPr>
        <w:t>Toujours éduquer le patient aux signes d'alerte</w:t>
      </w:r>
      <w:r>
        <w:t xml:space="preserve"> : fièvre ≥ 38,5°C, toux persistante &gt; 7 jours, dyspnée, douleur thoracique, hémoptysie, céphalées intenses, troubles visuels, paresthésies, faiblesse musculaire, troubles de l'équilibre, éruption cutanée étendue, aphtes buccaux multiples. Consulter en urgence en cas de survenue.</w:t>
      </w:r>
    </w:p>
    <w:p>
      <w:pPr>
        <w:pStyle w:val="ListNumber"/>
      </w:pPr>
      <w:r/>
      <w:r>
        <w:rPr>
          <w:b/>
        </w:rPr>
        <w:t>Toujours respecter la chaîne du froid</w:t>
      </w:r>
      <w:r>
        <w:t xml:space="preserve"> pour la conservation (2-8°C, réfrigérateur, à l'abri de la lumière, ne pas congeler) et transporter dans un sac isotherme avec accumulateur de froid.</w:t>
      </w:r>
    </w:p>
    <w:p>
      <w:pPr>
        <w:pStyle w:val="ListNumber"/>
      </w:pPr>
      <w:r/>
      <w:r>
        <w:rPr>
          <w:b/>
        </w:rPr>
        <w:t>Toujours vérifier les interactions médicamenteuses</w:t>
      </w:r>
      <w:r>
        <w:t xml:space="preserve"> avant toute co-prescription, particulièrement les vaccins vivants (CI absolue), l'anakinra (CI absolue), l'abatacept (CI relative), et l'association azathioprine + infliximab/adalimumab prolongée &gt; 1 an (risque de HSTCL).</w:t>
      </w:r>
    </w:p>
    <w:p>
      <w:pPr>
        <w:pStyle w:val="ListNumber"/>
      </w:pPr>
      <w:r/>
      <w:r>
        <w:rPr>
          <w:b/>
        </w:rPr>
        <w:t>Toujours surveillance la perte d'efficacité secondaire</w:t>
      </w:r>
      <w:r>
        <w:t xml:space="preserve"> par dosage des anticorps anti-médicament (ADA/HACA) et du taux résiduel d'anti-TNFα. En cas d'ADA positifs avec taux résiduel bas, switch vers un autre anti-TNFα ou une autre classe.</w:t>
      </w:r>
    </w:p>
    <w:p>
      <w:pPr>
        <w:pStyle w:val="ListNumber"/>
      </w:pPr>
      <w:r/>
      <w:r>
        <w:rPr>
          <w:b/>
        </w:rPr>
        <w:t>Toujours documenter le suivi</w:t>
      </w:r>
      <w:r>
        <w:t xml:space="preserve"> dans un carnet patient (dates d'injection, sites, effets indésirables, bilans biologiques, consultations) et dans le dossier pharmaceutique (DP) pour le suivi des biosimilaires.</w:t>
      </w:r>
    </w:p>
    <w:p>
      <w:pPr>
        <w:pStyle w:val="Heading3"/>
      </w:pPr>
      <w:r>
        <w:t>152A.11.3 Récapitulatif des pièges pédagogiques majeurs</w:t>
      </w:r>
    </w:p>
    <w:p>
      <w:pPr>
        <w:pStyle w:val="ListNumber"/>
      </w:pPr>
      <w:r/>
      <w:r>
        <w:rPr>
          <w:b/>
        </w:rPr>
        <w:t>Confusion de classe</w:t>
      </w:r>
      <w:r>
        <w:t xml:space="preserve"> : ne jamais substituer un anti-TNFα par un autre sans avis spécialisé (risque de perte d'efficacité, d'immunogénicité croisée, d'effets indésirables).</w:t>
      </w:r>
    </w:p>
    <w:p>
      <w:pPr>
        <w:pStyle w:val="ListNumber"/>
      </w:pPr>
      <w:r/>
      <w:r>
        <w:rPr>
          <w:b/>
        </w:rPr>
        <w:t>Oubli du dépistage TB</w:t>
      </w:r>
      <w:r>
        <w:t xml:space="preserve"> : risque vital (réactivation tuberculeuse parfois fatale).</w:t>
      </w:r>
    </w:p>
    <w:p>
      <w:pPr>
        <w:pStyle w:val="ListNumber"/>
      </w:pPr>
      <w:r/>
      <w:r>
        <w:rPr>
          <w:b/>
        </w:rPr>
        <w:t>Oubli du dépistage VHB</w:t>
      </w:r>
      <w:r>
        <w:t xml:space="preserve"> : risque vital (réactivation virale B parfois fatale).</w:t>
      </w:r>
    </w:p>
    <w:p>
      <w:pPr>
        <w:pStyle w:val="ListNumber"/>
      </w:pPr>
      <w:r/>
      <w:r>
        <w:rPr>
          <w:b/>
        </w:rPr>
        <w:t>Vaccination vivante sous traitement</w:t>
      </w:r>
      <w:r>
        <w:t xml:space="preserve"> : CI absolue, risque d'infection vaccinale sévère.</w:t>
      </w:r>
    </w:p>
    <w:p>
      <w:pPr>
        <w:pStyle w:val="ListNumber"/>
      </w:pPr>
      <w:r/>
      <w:r>
        <w:rPr>
          <w:b/>
        </w:rPr>
        <w:t>Grossesse au 3e trimestre</w:t>
      </w:r>
      <w:r>
        <w:t xml:space="preserve"> : CI stricte sauf certolizumab pegol (seul anti-TNFα autorisé).</w:t>
      </w:r>
    </w:p>
    <w:p>
      <w:pPr>
        <w:pStyle w:val="ListNumber"/>
      </w:pPr>
      <w:r/>
      <w:r>
        <w:rPr>
          <w:b/>
        </w:rPr>
        <w:t>Perte d'efficacité banalisée</w:t>
      </w:r>
      <w:r>
        <w:t xml:space="preserve"> : toujours doser ADA et taux résiduel avant switch.</w:t>
      </w:r>
    </w:p>
    <w:p>
      <w:pPr>
        <w:pStyle w:val="ListNumber"/>
      </w:pPr>
      <w:r/>
      <w:r>
        <w:rPr>
          <w:b/>
        </w:rPr>
        <w:t>Association azathioprine + anti-TNFα prolongée &gt; 1 an</w:t>
      </w:r>
      <w:r>
        <w:t xml:space="preserve"> : risque de HSTCL.</w:t>
      </w:r>
    </w:p>
    <w:p>
      <w:pPr>
        <w:pStyle w:val="ListNumber"/>
      </w:pPr>
      <w:r/>
      <w:r>
        <w:rPr>
          <w:b/>
        </w:rPr>
        <w:t>IC NYHA III-IV</w:t>
      </w:r>
      <w:r>
        <w:t xml:space="preserve"> : CI absolue à tout anti-TNFα.</w:t>
      </w:r>
    </w:p>
    <w:p>
      <w:pPr>
        <w:pStyle w:val="ListNumber"/>
      </w:pPr>
      <w:r/>
      <w:r>
        <w:rPr>
          <w:b/>
        </w:rPr>
        <w:t>Antécédent démyélinisant</w:t>
      </w:r>
      <w:r>
        <w:t xml:space="preserve"> : CI absolue à tout anti-TNFα.</w:t>
      </w:r>
    </w:p>
    <w:p>
      <w:pPr>
        <w:pStyle w:val="ListNumber"/>
      </w:pPr>
      <w:r/>
      <w:r>
        <w:rPr>
          <w:b/>
        </w:rPr>
        <w:t>Conservation inadéquate</w:t>
      </w:r>
      <w:r>
        <w:t xml:space="preserve"> : une congélation altère la protéine.</w:t>
      </w:r>
    </w:p>
    <w:p>
      <w:pPr>
        <w:pStyle w:val="ListNumber"/>
      </w:pPr>
      <w:r/>
      <w:r>
        <w:rPr>
          <w:b/>
        </w:rPr>
        <w:t>Réaction à la perfusion (infliximab) banalisée</w:t>
      </w:r>
      <w:r>
        <w:t xml:space="preserve"> : toujours prémédiquer (paracétamol + antihistaminique + corticoïde IV).</w:t>
      </w:r>
    </w:p>
    <w:p>
      <w:pPr>
        <w:pStyle w:val="ListNumber"/>
      </w:pPr>
      <w:r/>
      <w:r>
        <w:rPr>
          <w:b/>
        </w:rPr>
        <w:t>Switch de marque (princeps ↔ biosimilaire)</w:t>
      </w:r>
      <w:r>
        <w:t xml:space="preserve"> : possible après avis spécialisé, surveillance renforcée 3 mois.</w:t>
      </w:r>
    </w:p>
    <w:p>
      <w:pPr>
        <w:pStyle w:val="Heading3"/>
      </w:pPr>
      <w:r>
        <w:t>152A.11.4 Règle d'or finale</w:t>
      </w:r>
    </w:p>
    <w:p>
      <w:r/>
      <w:r>
        <w:rPr>
          <w:b/>
        </w:rPr>
        <w:t>Les anti-TNFα sont des biothérapies majeures qui ont transformé le pronostic de la polyarthrite rhumatoïde, des spondyloarthrites et du rhumatisme psoriasique en Algérie. Leur prescription impose un bilan pré-thérapeutique rigoureux (notamment dépistage TB et VHB), une information éclairée du patient (signes d'alerte, observance, contraception), une surveillance régulière (clinique, biologique, recherche d'effets indésirables), et le respect strict des contre-indications absolues (IC NYHA III-IV, maladie démyélinisante, vaccins vivants, grossesse 3e trimestre sauf certolizumab pegol). Le choix thérapeutique individualisé selon le profil du patient (efficacité attendue, tolérance, observance, grossesse, coût) permet d'optimiser le rapport bénéfice/risque. Le pharmacien d'officine joue un rôle central dans l'éducation thérapeutique, la vérification des contre-indications, la surveillance de l'observance et la détection précoce des effets indésirables.</w:t>
      </w:r>
      <w:r/>
    </w:p>
    <w:p>
      <w:pPr>
        <w:pStyle w:val="Heading2"/>
      </w:pPr>
      <w:r>
        <w:t>152A.12 Sources et références</w:t>
      </w:r>
    </w:p>
    <w:p>
      <w:pPr>
        <w:pStyle w:val="ListBullet"/>
      </w:pPr>
      <w:r>
        <w:t>VIDAL 2026 — Recueil des spécialités pharmaceutiques commercialisées en Algérie</w:t>
      </w:r>
    </w:p>
    <w:p>
      <w:pPr>
        <w:pStyle w:val="ListBullet"/>
      </w:pPr>
      <w:r>
        <w:t>Résumé des Caractéristiques du Produit (RCP) ANSM/EMA pour chaque DCI</w:t>
      </w:r>
    </w:p>
    <w:p>
      <w:pPr>
        <w:pStyle w:val="ListBullet"/>
      </w:pPr>
      <w:r>
        <w:t>Base Thériaque du Centre National Hospitalier d'Information sur le Médicament (CNHIM)</w:t>
      </w:r>
    </w:p>
    <w:p>
      <w:pPr>
        <w:pStyle w:val="ListBullet"/>
      </w:pPr>
      <w:r>
        <w:t>Centre de Référence sur les Agents Tératogènes (CRAT) — fiches étanercept, infliximab, adalimumab, golimumab, certolizumab pegol</w:t>
      </w:r>
    </w:p>
    <w:p>
      <w:pPr>
        <w:pStyle w:val="ListBullet"/>
      </w:pPr>
      <w:r>
        <w:t>Recommandations EULAR 2022 — Polyarthrite rhumatoïde (traitement avec bDMARDs)</w:t>
      </w:r>
    </w:p>
    <w:p>
      <w:pPr>
        <w:pStyle w:val="ListBullet"/>
      </w:pPr>
      <w:r>
        <w:t>Recommandations EULAR/ASAS 2022 — Spondyloarthrites axiales</w:t>
      </w:r>
    </w:p>
    <w:p>
      <w:pPr>
        <w:pStyle w:val="ListBullet"/>
      </w:pPr>
      <w:r>
        <w:t>Recommandations ACR 2021 — Polyarthrite rhumatoïde</w:t>
      </w:r>
    </w:p>
    <w:p>
      <w:pPr>
        <w:pStyle w:val="ListBullet"/>
      </w:pPr>
      <w:r>
        <w:t>Recommandations HAS 2018 — Biothérapies rhumatologiques (méthodologie d'évaluation)</w:t>
      </w:r>
    </w:p>
    <w:p>
      <w:pPr>
        <w:pStyle w:val="ListBullet"/>
      </w:pPr>
      <w:r>
        <w:t>Recommandations GETHNAM 2022 — Tuberculose et biothérapies</w:t>
      </w:r>
    </w:p>
    <w:p>
      <w:pPr>
        <w:pStyle w:val="ListBullet"/>
      </w:pPr>
      <w:r>
        <w:t>Recommandations ANRS 2022 — Hépatite B et immunosuppresseurs</w:t>
      </w:r>
    </w:p>
    <w:p>
      <w:pPr>
        <w:pStyle w:val="ListBullet"/>
      </w:pPr>
      <w:r>
        <w:t>Essais thérapeutiques pivots : ATTRACT, ASPIRE, PREMIER, TEMPO, ERA, ADEPT, GO-BEFORE, GO-FORWARD, GO-RAISE, GO-AHEAD, GO-REVEAL, RAPID 1, RAPID 2, RAPID-axSpA, RAPID-PsA, PRECiSE 1, PRECiSE 2, ACCENT I, ACCENT II, ACT 1, ACT 2, EXPRESS, CLASSIC I, CLASSIC II, ULTRA 1, ULTRA 2, VISUAL I, VISUAL II, REVEAL, CIMPACT, CRIB</w:t>
      </w:r>
    </w:p>
    <w:p>
      <w:pPr>
        <w:pStyle w:val="ListBullet"/>
      </w:pPr>
      <w:r>
        <w:t>Nomenclature algérienne des médicaments — Avril 2026 (statut des spécialités : actif, non renouvelé, retiré)</w:t>
      </w:r>
    </w:p>
    <w:p>
      <w:pPr>
        <w:pStyle w:val="ListBullet"/>
      </w:pPr>
      <w:r>
        <w:t>Registres OTIS (Organization of Teratology Information Specialists), PIANO (Pregnancy In IBD and Neonatal Outcomes), CORRONA (Consortium of Rheumatology Researchers of North America)</w:t>
      </w:r>
    </w:p>
    <w:p>
      <w:pPr>
        <w:pStyle w:val="ListBullet"/>
      </w:pPr>
      <w:r>
        <w:t>Société Algérienne de Rhumatologie (SAR) — Recommandations de prescription des biothérapies</w:t>
      </w:r>
    </w:p>
    <w:p>
      <w:pPr>
        <w:pStyle w:val="ListBullet"/>
      </w:pPr>
      <w:r>
        <w:t>Comité Thérapeutique National — Avis de remboursement des biothérapies par la CNAS/CASNOS</w:t>
      </w:r>
    </w:p>
    <w:p>
      <w:r/>
      <w:r>
        <w:rPr>
          <w:i/>
        </w:rPr>
        <w:t>Fin du Chapitre 152 (Partie A) — Biothérapies rhumatologiques : Anti-TNFα (Récepteur soluble, Anticorps monoclonaux, Fragment Fab pegylé). La Partie B du Chapitre 152 traitera des autres classes de biothérapies rhumatologiques : anti-IL-6 (tocilizumab), anti-CD20 (rituximab), inhibiteurs de la co-stimulation T (abatacept), anti-IL-17 (sécukinumab), anti-IL-12/23 (ustekinumab).</w:t>
      </w:r>
      <w:r/>
    </w:p>
    <w:p>
      <w:pPr>
        <w:pStyle w:val="Heading1"/>
      </w:pPr>
      <w:r>
        <w:t>Chapitre 152b — Biothérapies rhumatologiques non anti-TNFα : Anti-IL-6, Anti-CD20, Inhibiteurs de la co-stimulation T, Anti-IL-17 et Anti-IL-12/23</w:t>
      </w:r>
    </w:p>
    <w:p>
      <w:pPr>
        <w:pStyle w:val="Heading2"/>
      </w:pPr>
      <w:r>
        <w:t>Introduction générale du chapitre 152b</w:t>
      </w:r>
    </w:p>
    <w:p>
      <w:r>
        <w:t xml:space="preserve">Le présent chapitre constitue le volet </w:t>
      </w:r>
      <w:r>
        <w:rPr>
          <w:b/>
        </w:rPr>
        <w:t>Partie B</w:t>
      </w:r>
      <w:r>
        <w:t xml:space="preserve"> du Chapitre 152 (Biothérapies en rhumatologie), dédié spécifiquement aux cinq biothérapies rhumatologiques </w:t>
      </w:r>
      <w:r>
        <w:rPr>
          <w:b/>
        </w:rPr>
        <w:t>non-anti-TNFα</w:t>
      </w:r>
      <w:r>
        <w:t xml:space="preserve"> disponibles ou historiquement disponibles sur le territoire algérien : </w:t>
      </w:r>
      <w:r>
        <w:rPr>
          <w:b/>
        </w:rPr>
        <w:t>tocilizumab</w:t>
      </w:r>
      <w:r>
        <w:t xml:space="preserve"> (anti-IL-6R), </w:t>
      </w:r>
      <w:r>
        <w:rPr>
          <w:b/>
        </w:rPr>
        <w:t>rituximab</w:t>
      </w:r>
      <w:r>
        <w:t xml:space="preserve"> (anti-CD20), </w:t>
      </w:r>
      <w:r>
        <w:rPr>
          <w:b/>
        </w:rPr>
        <w:t>abatacept</w:t>
      </w:r>
      <w:r>
        <w:t xml:space="preserve"> (CTLA-4-Ig, inhibiteur de la co-stimulation T), </w:t>
      </w:r>
      <w:r>
        <w:rPr>
          <w:b/>
        </w:rPr>
        <w:t>sécukinumab</w:t>
      </w:r>
      <w:r>
        <w:t xml:space="preserve"> (anti-IL-17A) et </w:t>
      </w:r>
      <w:r>
        <w:rPr>
          <w:b/>
        </w:rPr>
        <w:t>ustekinumab</w:t>
      </w:r>
      <w:r>
        <w:t xml:space="preserve"> (anti-IL-12/23 p40). Alors que la Partie A du Chapitre 152 traitait des anti-TNFα (étanercept, infliximab, adalimumab, golimumab, certolizumab pegol) qui représentent la première vague historique des biothérapies ciblées (mise sur marché 1998-2003), les cinq molécules traitées ici constituent les </w:t>
      </w:r>
      <w:r>
        <w:rPr>
          <w:b/>
        </w:rPr>
        <w:t>deuxième et troisième vagues</w:t>
      </w:r>
      <w:r>
        <w:t xml:space="preserve"> des biothérapies rhumatologiques, développées soit pour proposer des mécanismes d'action alternatifs en cas d'échec ou de contre-indication aux anti-TNFα, soit pour cibler des cytokines spécifiquement impliquées dans certaines pathologies (IL-17 dans la spondyloarthrite, IL-12/23 dans le rhumatisme psoriasique).</w:t>
      </w:r>
    </w:p>
    <w:p>
      <w:r>
        <w:t xml:space="preserve">Ces cinq biothérapies couvrent désormais la quasi-totalité des </w:t>
      </w:r>
      <w:r>
        <w:rPr>
          <w:b/>
        </w:rPr>
        <w:t>voies effectrices</w:t>
      </w:r>
      <w:r>
        <w:t xml:space="preserve"> de l'immunité rhumatologique : l'immunité humorale B (rituximab), l'immunité cellulaire T co-stimulée (abatacept), les cytokines myéloïdes pro-inflammatoires systémiques de l'IL-6 (tocilizumab), l'axe Th17/IL-17 (sécukinumab) et la double voie Th1/Th17 via IL-12/23 (ustekinumab). Cette diversification des cibles permet une </w:t>
      </w:r>
      <w:r>
        <w:rPr>
          <w:b/>
        </w:rPr>
        <w:t>personnalisation</w:t>
      </w:r>
      <w:r>
        <w:t xml:space="preserve"> du choix thérapeutique selon le phénotype immunologique dominant du patient : PR séropositive anti-CCP+ (préférence rituximab), PR avec syndrome inflammatoire biologique marqué (préférence tocilizumab), PR seronegative ou en cas d'insuffisance cardiaque associée (préférence abatacept, malheureusement retiré du marché algérien), spondyloarthrite axiale radiographique ou non (préférence sécukinumab), rhumatisme psoriasique (préférence sécukinumab ou ustekinumab en cas d'atteinte cutanée prédominante et de psoriasis en plaques modéré à sévère).</w:t>
      </w:r>
    </w:p>
    <w:p>
      <w:r>
        <w:t xml:space="preserve">Le paysage thérapeutique algérien, à la date du 1er avril 2026, se caractérise par : (i) une disponibilité effective de </w:t>
      </w:r>
      <w:r>
        <w:rPr>
          <w:b/>
        </w:rPr>
        <w:t>quatre molécules sur cinq</w:t>
      </w:r>
      <w:r>
        <w:t xml:space="preserve"> (tocilizumab, rituximab, sécukinumab, ustekinumab) ; (ii) le </w:t>
      </w:r>
      <w:r>
        <w:rPr>
          <w:b/>
        </w:rPr>
        <w:t>retrait du marché algérien</w:t>
      </w:r>
      <w:r>
        <w:t xml:space="preserve"> de l'abatacept (ORENCIA, Bristol-Myers Squibb) — retrait à connaître impérativement pour ne pas prescrire une molécule non disponible et orienter le patient vers une alternative thérapeutique ; (iii) une accessibilité économique variable, avec des prix de référence allant de 18 000 DA (ustekinumab SC) à plus de 80 000 DA (rituximab princeps MABTHERA pour cure de 2 g) ; (iv) une diversité croissante de biosimilaires pour le rituximab (6 marques dont 1 production locale SAIDAL, 1 marque retirée KIKUZUBAM) qui démocratisent l'accès à la déplétion lymphocytaire B ; (v) une absence totale de biosimilaire pour le tocilizumab, le sécukinumab et l'ustekinumab à cette date (brevets encore en vigueur).</w:t>
      </w:r>
    </w:p>
    <w:p>
      <w:r>
        <w:t xml:space="preserve">Ce chapitre fournira, pour chacune des cinq DCI, une fiche technique exhaustive en 12 sections : catégories et liste, tableau commercial des spécialités algériennes, mécanisme d'action moléculaire, profil pharmacologique clinique (indications AMM, contre-indications, effets indésirables), prévention et gestion des effets indésirables (incluant le bilan pré-thérapeutique obligatoire), interactions médicamenteuses, grossesse et allaitement selon le CRAT, posologie et mode d'administration, formes galéniques et arbitrage thérapeutique, conseils pratiques au patient, et pièges du comptoir. Une </w:t>
      </w:r>
      <w:r>
        <w:rPr>
          <w:b/>
        </w:rPr>
        <w:t>tableau comparatif synthétique</w:t>
      </w:r>
      <w:r>
        <w:t xml:space="preserve"> final permettra au pharmacien d'officine et au rhumatologue de choisir rapidement la meilleure option selon le profil du patient.</w:t>
      </w:r>
    </w:p>
    <w:p>
      <w:pPr>
        <w:pStyle w:val="Heading2"/>
      </w:pPr>
      <w:r>
        <w:t>152b.1 Sous-classe : Anti-IL-6 (anticorps monoclonaux anti-récepteur IL-6)</w:t>
      </w:r>
    </w:p>
    <w:p>
      <w:pPr>
        <w:pStyle w:val="Heading3"/>
      </w:pPr>
      <w:r>
        <w:t>152b.1.1 Généralités de la sous-classe</w:t>
      </w:r>
    </w:p>
    <w:p>
      <w:r>
        <w:t xml:space="preserve">La sous-classe des anti-IL-6 regroupe les anticorps monoclonaux ciblant la voie de signalisation de l'interleukine-6, cytokine pléiotrope de la famille des gp130 cytokines, qui joue un rôle central dans l'inflammation systémique rhumatologique. L'IL-6 est produite principalement par les monocytes/macrophages activés, les cellules synoviales rhumatoïdes (fibroblastes synoviaux, cellules dendritiques), les lymphocytes T helper 17 et les adipocytes ; elle exerce ses effets via deux voies : (i) la signalisation classique (cis-signaling) via le récepteur membranaire IL-6Rα (CD126) exprimé par les hépatocytes et certaines cellules immunitaires, responsable de la production des protéines de phase aiguë (CRP, SAA, fibrinogène, hepcidine, haptoglobine) ; (ii) la signalisation trans-signaling via le récepteur soluble sIL-6R + gp130 ubiquitaire, responsable des effets pro-inflammatoires systémiques, angiogéniques et ostéoclastiques dans la synovite rhumatoïde. Les anti-IL-6 disponibles se subdivisent en deux types : les anticorps anti-récepteur IL-6R (tocilizumab, sarilumab — seul le tocilizumab est disponible en Algérie), qui bloquent les deux voies de signalisation, et les anticorps anti-IL-6 ligand (sirukumab, olokizumab — non commercialisés en Algérie et développement interrompu pour sirukumab en 2017). Le tocilizumab est un anticorps monoclonal IgG1κ chimérique humanisé (~90 % humain, 10 % murin) obtenu par humanisation par greffe de CDR, indiqué dans la polyarthrite rhumatoïde active modérée à sévère (PR), l'arthrite chronique juvénile systémique (maladie de Still pédiatrique), la maladie de Still de l'adulte, la vascularite à ANCA et, en indication temporaire, la COVID-19 sévère. Les caractéristiques pharmacologiques distinctives de cette sous-classe sont : (i) une </w:t>
      </w:r>
      <w:r>
        <w:rPr>
          <w:b/>
        </w:rPr>
        <w:t>baisse spectaculaire et rapide de la CRP</w:t>
      </w:r>
      <w:r>
        <w:t xml:space="preserve"> (normalisation &lt; 5 mg/L chez 70-90 % des patients dès la première perfusion, plus rapide que les anti-TNFα qui normalisent la CRP en 2-4 semaines) — c'est le marqueur pharmacodynamique le plus précoce ; (ii) une </w:t>
      </w:r>
      <w:r>
        <w:rPr>
          <w:b/>
        </w:rPr>
        <w:t>élévation fréquente du LDL cholestérol</w:t>
      </w:r>
      <w:r>
        <w:t xml:space="preserve"> (20-30 % des patients) nécessitant surveillance lipidique et intervention par statine ; (iii) une </w:t>
      </w:r>
      <w:r>
        <w:rPr>
          <w:b/>
        </w:rPr>
        <w:t>cytolyse hépatique</w:t>
      </w:r>
      <w:r>
        <w:t xml:space="preserve"> fréquente (30-50 % des cas, généralement modérée &lt; 3× LSN) imposant une surveillance mensuelle des transaminases ; (iv) un </w:t>
      </w:r>
      <w:r>
        <w:rPr>
          <w:b/>
        </w:rPr>
        <w:t>signal de perforation digestive</w:t>
      </w:r>
      <w:r>
        <w:t xml:space="preserve"> (incidence 0,2-0,5 pour 100 patients-années) requiring une prudence absolue en cas d'antécédent de diverticulose ou de MICI ; (v) une </w:t>
      </w:r>
      <w:r>
        <w:rPr>
          <w:b/>
        </w:rPr>
        <w:t>neutropénie</w:t>
      </w:r>
      <w:r>
        <w:t xml:space="preserve"> fréquente (5-15 % des cas) généralement modérée et réversible. Le rapport bénéfice/risque est globalement favorable, avec une efficacité qui se distingue des anti-TNFα par : (a) une efficacité supérieure dans le syndrome inflammatoire biologique marqué (CRP &gt; 30 mg/L) ; (b) une efficacité de référence dans la maladie de Still ; (c) une absence de signal cardiaque (utilisation possible en cas d'IC NYHA III-IV, à la différence des anti-TNFα) ; (d) une absence de signal démyélinisant (utilisation possible en cas d'antécédent de SEP).</w:t>
      </w:r>
    </w:p>
    <w:p>
      <w:pPr>
        <w:pStyle w:val="Heading2"/>
      </w:pPr>
      <w:r>
        <w:t>152b.2 Sous-classe : Anti-CD20 (anticorps monoclonaux anti-CD20)</w:t>
      </w:r>
    </w:p>
    <w:p>
      <w:pPr>
        <w:pStyle w:val="Heading3"/>
      </w:pPr>
      <w:r>
        <w:t>152b.2.1 Généralités de la sous-classe</w:t>
      </w:r>
    </w:p>
    <w:p>
      <w:r>
        <w:t xml:space="preserve">La sous-classe des anti-CD20 regroupe les anticorps monoclonaux ciblant l'antigène CD20, une phosphoprotéine transmembranaire non glycosylée de 33-37 kDa exprimée à la surface des lymphocytes B pré-B à mémoire B, mais absente des cellules souches hématopoïétiques, des pro-B et des plasmocytes matures. Cette expression sélective permet une </w:t>
      </w:r>
      <w:r>
        <w:rPr>
          <w:b/>
        </w:rPr>
        <w:t>déplétion lymphocytaire B ciblée et prolongée</w:t>
      </w:r>
      <w:r>
        <w:t xml:space="preserve"> (6-12 mois) sans affecter la production d'anticorps par les plasmocytes longévifs. Le CD20 est exprimé par plus de 95 % des lymphocytes B circulants et intervient dans la régulation du cycle cellulaire et de la différenciation B. Les anti-CD20 disponibles se subdivisent en deux générations : (i) </w:t>
      </w:r>
      <w:r>
        <w:rPr>
          <w:b/>
        </w:rPr>
        <w:t>première génération</w:t>
      </w:r>
      <w:r>
        <w:t xml:space="preserve"> : rituximab (IgG1κ chimérique murin-humanisé, 50 % murin), le premier anti-CD20 commercialisé (1997) et seul disponible en Algérie ; (ii) </w:t>
      </w:r>
      <w:r>
        <w:rPr>
          <w:b/>
        </w:rPr>
        <w:t>deuxième génération humanisée</w:t>
      </w:r>
      <w:r>
        <w:t xml:space="preserve"> : ocrelizumab (non disponible en Algérie pour indication rhumatologique, AMM SEP) ; (iii) </w:t>
      </w:r>
      <w:r>
        <w:rPr>
          <w:b/>
        </w:rPr>
        <w:t>troisième génération entièrement humaine</w:t>
      </w:r>
      <w:r>
        <w:t xml:space="preserve"> : ofatumumab (non disponible en Algérie pour rhumatologie). Le rituximab exerce son effet thérapeutique par </w:t>
      </w:r>
      <w:r>
        <w:rPr>
          <w:b/>
        </w:rPr>
        <w:t>trois mécanismes cytotoxiques</w:t>
      </w:r>
      <w:r>
        <w:t xml:space="preserve"> complémentaires : (1) cytotoxicité dépendante du complément (CDC) via activation de la cascade classique du complément C1q → C3a/C3b → C5a/C5b-9 (MAC, membrane attack complex) ; (2) cytotoxicité cellulaire dépendante des anticorps (ADCC) via liaison du fragment Fc aux récepteurs FcγRIIIa (CD16) des cellules NK et macrophages ; (3) induction de l'apoptose lymphocyte B via liaison directe CD20 + signalisation intracellulaire. En rhumatologie, le rituximab est indiqué dans la polyarthrite rhumatoïde active sévère en échec des anti-TNFα (PR séropositive anti-CCP+/FR+ particulièrement responsive), la vascularite à ANCA (granulomatose avec polyangéite / maladie de Wegener et polyangéite microscopique — essai RAVE et RITUXVAS), le lupus érythémateux systémique avec néphropathie lupique proliférative (essai LUNAR), et certaines cytopénies auto-immunes (PTI, anémie hémolytique auto-immune). Les caractéristiques pharmacologiques distinctives sont : (i) une </w:t>
      </w:r>
      <w:r>
        <w:rPr>
          <w:b/>
        </w:rPr>
        <w:t>déplétion lymphocytaire B prolongée</w:t>
      </w:r>
      <w:r>
        <w:t xml:space="preserve"> (6-12 mois) permettant un espacement des cures (toutes les 6 mois) ; (ii) une </w:t>
      </w:r>
      <w:r>
        <w:rPr>
          <w:b/>
        </w:rPr>
        <w:t>efficacité retardée</w:t>
      </w:r>
      <w:r>
        <w:t xml:space="preserve"> (3-6 mois pour réponse clinique maximale, plus lent que les anti-TNFα qui répondent en 2-4 semaines) ; (iii) une </w:t>
      </w:r>
      <w:r>
        <w:rPr>
          <w:b/>
        </w:rPr>
        <w:t>réactivation du virus de l'hépatite B (VHB)</w:t>
      </w:r>
      <w:r>
        <w:t xml:space="preserve"> — risque majeur nécessitant un dépistage systématique pré-thérapeutique AgHBs/Ac anti-HBc/Ac anti-HBs et une prophylaxie antivirale par entécavir ou ténofovir pendant le traitement et 6-12 mois après arrêt ; (iv) un </w:t>
      </w:r>
      <w:r>
        <w:rPr>
          <w:b/>
        </w:rPr>
        <w:t>risque de leucoencéphalopathie multifocale progressive (PML)</w:t>
      </w:r>
      <w:r>
        <w:t xml:space="preserve"> — infection opportuniste due au virus JC, incidence très rare en rhumatologie (0,02 pour 1000 patients-années) mais mortelle dans 30-50 % des cas, justifiant une information éclairée du patient ; (v) des </w:t>
      </w:r>
      <w:r>
        <w:rPr>
          <w:b/>
        </w:rPr>
        <w:t>réactions à la perfusion</w:t>
      </w:r>
      <w:r>
        <w:t xml:space="preserve"> fréquentes lors de la première perfusion (30-50 % des cas, principalement cytokine-mediated : fièvre, frissons, hypotension, urticaire, bronchospasme) imposant une prémédication systématique (paracétamol, antihistaminique, corticoïde) et une perfusion initiale lente (50 mg/h puis escalade). Le rituximab est la biothérapie de référence pour la PR séropositive anti-CCP+ en échec des anti-TNFα, avec un profil économiquement favorable en Algérie grâce à la disponibilité de 6 spécialités (1 princeps + 5 biosimilaires dont 1 production locale SAIDAL).</w:t>
      </w:r>
    </w:p>
    <w:p>
      <w:pPr>
        <w:pStyle w:val="Heading2"/>
      </w:pPr>
      <w:r>
        <w:t>152b.3 Sous-classe : Inhibiteurs de la co-stimulation T (CTLA-4-Ig)</w:t>
      </w:r>
    </w:p>
    <w:p>
      <w:pPr>
        <w:pStyle w:val="Heading3"/>
      </w:pPr>
      <w:r>
        <w:t>152b.3.1 Généralités de la sous-classe</w:t>
      </w:r>
    </w:p>
    <w:p>
      <w:r>
        <w:t xml:space="preserve">La sous-classe des inhibiteurs de la co-stimulation T regroupe les protéines de fusion CTLA-4-Ig qui reproduisent le mécanisme naturel de la CTLA-4 (cytotoxic T-lymphocyte-associated protein 4), récepteur inhibiteur physiologique de l'activation T. Le déclenchement d'une réponse immunitaire T efficace nécessite </w:t>
      </w:r>
      <w:r>
        <w:rPr>
          <w:b/>
        </w:rPr>
        <w:t>deux signaux synergiques</w:t>
      </w:r>
      <w:r>
        <w:t xml:space="preserve"> : (i) le signal 1 = reconnaissance spécifique du complexe CMH-peptide par le TCR (T Cell Receptor) ; (ii) le signal 2 = co-stimulation via la liaison CD28 (récepteur activateur constitutif exprimé par les lymphocytes T naïfs) avec ses ligands CD80 (B7-1) et CD86 (B7-2) exprimés par les cellules présentatrices d'antigène (CPA) activées. En l'absence du signal 2, le signal 1 seul induit une anergie T (inactivation fonctionnelle) plutôt qu'une activation. La CTLA-4 naturelle est un homologue de CD28 exprimée après activation T (inductible, transitoire), qui possède une affinité 500-2000 fois supérieure à CD28 pour CD80/CD86, et qui entre en compétition compétitive avec CD28 pour la liaison CD80/CD86, bloquant ainsi la co-stimulation et l'activation T. Les inhibiteurs de la co-stimulation T disponibles sont : (i) </w:t>
      </w:r>
      <w:r>
        <w:rPr>
          <w:b/>
        </w:rPr>
        <w:t>abatacept</w:t>
      </w:r>
      <w:r>
        <w:t xml:space="preserve"> (CTLA-4-Ig1, protéine de fusion entre le domaine extracellulaire de CTLA-4 humaine et le fragment Fc modifié d'une IgG1 humaine — seule la première génération est concernée en rhumatologie) ; (ii) belatacept (CTLA-4-Ig2, deux mutations substituant les résidus Leu104→Glu et Ala29→Tyr dans le domaine CTLA-4, qui réduisent la liaison FcγRIIIa et donc l'ADCC — utilisé en transplantation rénale, non disponible en Algérie pour indication rhumatologique). L'abatacept a récemment vu l'arrivée d'une forme SC d'entretien (125 mg/sem après dose de charge IV) à l'international. </w:t>
      </w:r>
      <w:r>
        <w:rPr>
          <w:b/>
        </w:rPr>
        <w:t>Statut algérien</w:t>
      </w:r>
      <w:r>
        <w:t xml:space="preserve"> : l'abatacept (ORENCIA, Bristol-Myers Squibb) a été </w:t>
      </w:r>
      <w:r>
        <w:rPr>
          <w:b/>
        </w:rPr>
        <w:t>RETIRÉ du marché algérien</w:t>
      </w:r>
      <w:r>
        <w:t xml:space="preserve"> à une date antérieure au 1er avril 2026, sans biosimilaire ni alternative thérapeutique de la même sous-classe disponible sur le territoire. Les patients algériens nécessitant un inhibiteur de la co-stimulation T doivent être orientés vers des alternatives thérapeutiques d'autres sous-classes (tocilizumab en cas de syndrome inflammatoire marqué, rituximab en cas de PR séropositive, anti-TNFα en cas d'absence de CI, sécukinumab/ustekinumab dans la spondyloarthrite/rhumatisme psoriasique). Les caractéristiques pharmacologiques distinctives de cette sous-classe (à titre informatif et historique) sont : (i) une </w:t>
      </w:r>
      <w:r>
        <w:rPr>
          <w:b/>
        </w:rPr>
        <w:t>efficacité comparable aux anti-TNFα</w:t>
      </w:r>
      <w:r>
        <w:t xml:space="preserve"> dans la PR avec un profil de tolérance différent ; (ii) une </w:t>
      </w:r>
      <w:r>
        <w:rPr>
          <w:b/>
        </w:rPr>
        <w:t>absence de signal tuberculose</w:t>
      </w:r>
      <w:r>
        <w:t xml:space="preserve"> (le mécanisme de co-stimulation T est moins impliqué dans l'immunité anti-mycobactérienne que le TNFα) ; (iii) une </w:t>
      </w:r>
      <w:r>
        <w:rPr>
          <w:b/>
        </w:rPr>
        <w:t>absence de signal démyélinisant</w:t>
      </w:r>
      <w:r>
        <w:t xml:space="preserve"> et de </w:t>
      </w:r>
      <w:r>
        <w:rPr>
          <w:b/>
        </w:rPr>
        <w:t>signal cardiaque</w:t>
      </w:r>
      <w:r>
        <w:t xml:space="preserve"> ; (iv) un </w:t>
      </w:r>
      <w:r>
        <w:rPr>
          <w:b/>
        </w:rPr>
        <w:t>signal d'aggravation respiratoire</w:t>
      </w:r>
      <w:r>
        <w:t xml:space="preserve"> chez les patients BPCO sévères ; (v) une </w:t>
      </w:r>
      <w:r>
        <w:rPr>
          <w:b/>
        </w:rPr>
        <w:t>efficacité démontrée</w:t>
      </w:r>
      <w:r>
        <w:t xml:space="preserve"> dans la PR en échec des anti-TNFα (essai ATTEST, ATTAIN), le lupus érythémateux systémique (essai BLISS), et l'arthrite chronique juvénile idiopathique polyarticulaire (essai AGREE).</w:t>
      </w:r>
    </w:p>
    <w:p>
      <w:pPr>
        <w:pStyle w:val="Heading2"/>
      </w:pPr>
      <w:r>
        <w:t>152b.4 Sous-classe : Anti-IL-17 (anticorps monoclonaux anti-IL-17A)</w:t>
      </w:r>
    </w:p>
    <w:p>
      <w:pPr>
        <w:pStyle w:val="Heading3"/>
      </w:pPr>
      <w:r>
        <w:t>152b.4.1 Généralités de la sous-classe</w:t>
      </w:r>
    </w:p>
    <w:p>
      <w:r>
        <w:t xml:space="preserve">La sous-classe des anti-IL-17 regroupe les anticorps monoclonaux ciblant l'interleukine-17, une famille de six cytokines homologues (IL-17A à IL-17F) principalement produites par les lymphocytes T helper 17 (Th17), les lymphocytes T γδ, les cellules NK, les cellules paneth et certains neutrophiles. L'IL-17A (forme la plus étudiée, homodimère de 32 kDa) est la cytokine effectrice principale de la voie Th17, qui joue un rôle central dans l'immunité anti-fongique et anti-extra-cellulaire bactérienne (staphylocoques, klebsielles), ainsi que dans la </w:t>
      </w:r>
      <w:r>
        <w:rPr>
          <w:b/>
        </w:rPr>
        <w:t>physiopathologie des spondyloarthrites</w:t>
      </w:r>
      <w:r>
        <w:t xml:space="preserve"> et du </w:t>
      </w:r>
      <w:r>
        <w:rPr>
          <w:b/>
        </w:rPr>
        <w:t>psoriasis</w:t>
      </w:r>
      <w:r>
        <w:t xml:space="preserve">. En pathologie rhumatologique, l'IL-17A est impliquée dans : (i) l'inflammation de l'enthèse (insertion tendon/os) caractéristique des spondyloarthrites ; (ii) la formation des syndesmophytes et l'ankylose osseuse (ossification endochondrale pathologique) ; (iii) l'inflammation cutanée psoriasique (parakératose, hyperprolifération kératinocytaire) ; (iv) l'inflammation du tube digestin dans la maladie de Crohn (rôle controversé). Les anti-IL-17 disponibles se subdivisent en deux types : (i) anticorps anti-IL-17A ligand (sécukinumab — IgG1κ entièrement humain, seul disponible en Algérie ; ixekizumab — non disponible en Algérie ; netakimab — non disponible en Algérie) ; (ii) anticorps anti-récepteur IL-17RA (brodalumab — non disponible en Algérie). Le sécukinumab est un anticorps monoclonal IgG1κ entièrement humain obtenu par technologie des phages (phage display), indiqué dans la spondyloarthrite ankylosante radiographique (SA), la spondyloarthrite axiale non radiographique (nr-axSpA), le rhumatisme psoriasique (RPso), le psoriasis en plaques modéré à sévéré, et le rhumatisme psoriasique juvénile. Les caractéristiques pharmacologiques distinctives de cette sous-classe sont : (i) une </w:t>
      </w:r>
      <w:r>
        <w:rPr>
          <w:b/>
        </w:rPr>
        <w:t>efficacité supérieure aux anti-TNFα dans la spondyloarthrite axiale</w:t>
      </w:r>
      <w:r>
        <w:t xml:space="preserve"> (essai MEASURE 1-5 : ASAS20 à 16 semaines 60-70 % vs 30-40 % placebo, ASAS40 41-50 % vs 15 % placebo, supériorité vs étanercept dans l'essai SURPASS non confirmée mais non-infériorité démontrée) ; (ii) une </w:t>
      </w:r>
      <w:r>
        <w:rPr>
          <w:b/>
        </w:rPr>
        <w:t>efficacité supérieure dans l'atteinte cutanée psoriasique</w:t>
      </w:r>
      <w:r>
        <w:t xml:space="preserve"> (PASI 90 à 16 semaines 60-70 % vs 5-10 % placebo, supériorité vs ustekinumab dans l'essai CLEAR) ; (iii) un </w:t>
      </w:r>
      <w:r>
        <w:rPr>
          <w:b/>
        </w:rPr>
        <w:t>profil de tolérance infectieux particulier</w:t>
      </w:r>
      <w:r>
        <w:t xml:space="preserve"> avec un risque accru de candidose muqueuse (candidose oropharyngée et œsophagienne 2-4 %, vulvo-vaginale 1-3 %) — reflet du rôle physiologique de l'IL-17 dans l'immunité anti-Candida ; (iv) un </w:t>
      </w:r>
      <w:r>
        <w:rPr>
          <w:b/>
        </w:rPr>
        <w:t>signal neutropénie</w:t>
      </w:r>
      <w:r>
        <w:t xml:space="preserve"> modéré (3-5 %) ; (v) une </w:t>
      </w:r>
      <w:r>
        <w:rPr>
          <w:b/>
        </w:rPr>
        <w:t>contre-indication absolue en cas de maladie inflammatoire chronique intestinale (MICI)</w:t>
      </w:r>
      <w:r>
        <w:t xml:space="preserve"> — l'IL-17 jouant un rôle protecteur dans la muqueuse colique, son blocage peut aggraver une MICI (essai clinique négatif dans la maladie de Crohn avec aggravation constatée) ; (vi) une </w:t>
      </w:r>
      <w:r>
        <w:rPr>
          <w:b/>
        </w:rPr>
        <w:t>absence de signal tuberculose</w:t>
      </w:r>
      <w:r>
        <w:t xml:space="preserve"> (mécanisme d'action non impliqué dans l'immunité anti-mycobactérienne) ; (vii) une </w:t>
      </w:r>
      <w:r>
        <w:rPr>
          <w:b/>
        </w:rPr>
        <w:t>absence de signal cardiaque</w:t>
      </w:r>
      <w:r>
        <w:t xml:space="preserve"> et de signal démyélinisant. Le sécukinumab représente la biothérapie de </w:t>
      </w:r>
      <w:r>
        <w:rPr>
          <w:b/>
        </w:rPr>
        <w:t>première ligne</w:t>
      </w:r>
      <w:r>
        <w:t xml:space="preserve"> dans la spondyloarthrite axiale active en cas d'échec des AINS (recommandations ASAS-EULAR 2022), avec une efficacité démontrée à la fois sur les symptômes axiaux, les articulations périphériques, l'atteinte enthésitique et l'atteinte cutanée psoriasique.</w:t>
      </w:r>
    </w:p>
    <w:p>
      <w:pPr>
        <w:pStyle w:val="Heading2"/>
      </w:pPr>
      <w:r>
        <w:t>152b.5 Sous-classe : Anti-IL-12/23 (anticorps monoclonaux anti-p40)</w:t>
      </w:r>
    </w:p>
    <w:p>
      <w:pPr>
        <w:pStyle w:val="Heading3"/>
      </w:pPr>
      <w:r>
        <w:t>152b.5.1 Généralités de la sous-classe</w:t>
      </w:r>
    </w:p>
    <w:p>
      <w:r>
        <w:t xml:space="preserve">La sous-classe des anti-IL-12/23 regroupe les anticorps monoclonaux ciblant la sous-unité p40 commune aux interleukines 12 et 23, cytokines hétérodimériques de la famille de l'IL-12 produites principalement par les cellules dendritiques, les macrophages activés et les cellules épithéliales. L'IL-12 (p40 + p35) est la cytokine inductrice de la différenciation Th1 (production d'IFNγ, immunité intracellulaire anti-mycobactérienne et anti-virale), tandis que l'IL-23 (p40 + p19) est la cytokine stabilisatrice et amplificatrice de la voie Th17 (production d'IL-17A, IL-17F, IL-22, immunité anti-fongique et inflammatoire cutanée/muqueuse). La sous-unité p40 commune aux deux cytokines est la cible des anticorps monoclonaux de cette sous-classe, qui bloquent simultanément les voies Th1 et Th17, offrant une </w:t>
      </w:r>
      <w:r>
        <w:rPr>
          <w:b/>
        </w:rPr>
        <w:t>double inhibition</w:t>
      </w:r>
      <w:r>
        <w:t xml:space="preserve"> de l'inflammation auto-immune. Les anti-IL-12/23 disponibles sont : (i) </w:t>
      </w:r>
      <w:r>
        <w:rPr>
          <w:b/>
        </w:rPr>
        <w:t>ustekinumab</w:t>
      </w:r>
      <w:r>
        <w:t xml:space="preserve"> (IgG1κ entièrement humain, seul disponible en Algérie) — anticorps anti-p40 commun ; (ii) briakinumab (anticorps anti-p40, développement interrompu en 2011 pour signal cardiovasculaire). Les anticorps sélectifs anti-IL-23 (anti-p19, guselkumab, risankizumab, tildrakizumab) ne sont pas disponibles en Algérie à la date d'édition. L'ustekinumab est indiqué dans le </w:t>
      </w:r>
      <w:r>
        <w:rPr>
          <w:b/>
        </w:rPr>
        <w:t>psoriasis en plaques modéré à sévère</w:t>
      </w:r>
      <w:r>
        <w:t xml:space="preserve"> de l'adulte (indication dermatologique principale, essai PHOENIX 1-2), le </w:t>
      </w:r>
      <w:r>
        <w:rPr>
          <w:b/>
        </w:rPr>
        <w:t>rhumatisme psoriasique (RPso)</w:t>
      </w:r>
      <w:r>
        <w:t xml:space="preserve"> actif en cas de réponse inadéquate aux AINS et DMARDs conventionnels (essai PSUMMIT 1-2), et la maladie de Crohn modérée à sévère (indication plus récente, essai UNITI-1-2). Les caractéristiques pharmacologiques distinctives de cette sous-classe sont : (i) une </w:t>
      </w:r>
      <w:r>
        <w:rPr>
          <w:b/>
        </w:rPr>
        <w:t>efficacité supérieure aux anti-TNFα dans le psoriasis en plaques</w:t>
      </w:r>
      <w:r>
        <w:t xml:space="preserve"> (PASI 90 à 12 semaines 70-75 % vs 5-10 % placebo, supériorité vs étanercept dans l'essai ACCEPT) — c'est la biothérapie de référence pour l'atteinte cutanée psoriasique ; (ii) une </w:t>
      </w:r>
      <w:r>
        <w:rPr>
          <w:b/>
        </w:rPr>
        <w:t>efficacité modérée dans le rhumatisme psoriasique</w:t>
      </w:r>
      <w:r>
        <w:t xml:space="preserve"> (ACR20 à 24 semaines 42-50 % vs 22-25 % placebo, inférieure aux anti-TNFα et aux anti-IL-17 mais utile en cas d'atteinte cutanée prédominante) ; (iii) une </w:t>
      </w:r>
      <w:r>
        <w:rPr>
          <w:b/>
        </w:rPr>
        <w:t>absence d'efficacité démontrée dans la spondyloarthrite axiale pure</w:t>
      </w:r>
      <w:r>
        <w:t xml:space="preserve"> (essai clinique négatif, non indiqué dans cette pathologie) ; (iv) un </w:t>
      </w:r>
      <w:r>
        <w:rPr>
          <w:b/>
        </w:rPr>
        <w:t>profil de tolérance global excellent</w:t>
      </w:r>
      <w:r>
        <w:t xml:space="preserve"> avec peu d'infections sévères (incidence comparable au placebo dans les essais poolés) ; (v) une </w:t>
      </w:r>
      <w:r>
        <w:rPr>
          <w:b/>
        </w:rPr>
        <w:t>absence de signal tuberculose</w:t>
      </w:r>
      <w:r>
        <w:t xml:space="preserve"> ; (vi) une </w:t>
      </w:r>
      <w:r>
        <w:rPr>
          <w:b/>
        </w:rPr>
        <w:t>absence de signal cardiovasculaire majeur</w:t>
      </w:r>
      <w:r>
        <w:t xml:space="preserve"> (contrairement au briakinumab) ; (vii) une </w:t>
      </w:r>
      <w:r>
        <w:rPr>
          <w:b/>
        </w:rPr>
        <w:t>absence de signal démyélinisant</w:t>
      </w:r>
      <w:r>
        <w:t xml:space="preserve"> ; (viii) une </w:t>
      </w:r>
      <w:r>
        <w:rPr>
          <w:b/>
        </w:rPr>
        <w:t>demi-vie très prolongée</w:t>
      </w:r>
      <w:r>
        <w:t xml:space="preserve"> (~3 semaines) permettant un espacement des injections (toutes les 12 semaines en entretien, le rythme le plus espacé des biothérapies rhumatologiques) ; (ix) un </w:t>
      </w:r>
      <w:r>
        <w:rPr>
          <w:b/>
        </w:rPr>
        <w:t>schéma d'administration particulier</w:t>
      </w:r>
      <w:r>
        <w:t xml:space="preserve"> avec dose d'induction (semaine 0, 4) puis dose d'entretien (toutes les 12 semaines) — schéma similaire à l'infliximab mais en SC. L'ustekinumab est particulièrement indiqué en cas d'atteinte cutanée psoriasique prédominante associée au rhumatisme psoriasique, en alternative aux anti-TNFα et aux anti-IL-17.</w:t>
      </w:r>
    </w:p>
    <w:p>
      <w:pPr>
        <w:pStyle w:val="Heading2"/>
      </w:pPr>
      <w:r>
        <w:t>152b.6 DCI : Tocilizumab</w:t>
      </w:r>
    </w:p>
    <w:p>
      <w:pPr>
        <w:pStyle w:val="Heading3"/>
      </w:pPr>
      <w:r>
        <w:t>152b.6.1 Catégories et Liste</w:t>
      </w:r>
    </w:p>
    <w:p>
      <w:pPr>
        <w:pStyle w:val="ListBullet"/>
      </w:pPr>
      <w:r/>
      <w:r>
        <w:rPr>
          <w:b/>
        </w:rPr>
        <w:t>Classe pharmacothérapeutique</w:t>
      </w:r>
      <w:r>
        <w:t xml:space="preserve"> : Immunodépresseur, anticorps monoclonal anti-IL-6R (récepteur de l'interleukine-6) IgG1κ chimérique humanisé (Code ATC : L04AC07). Médicament orphelin dans la maladie de Still.</w:t>
      </w:r>
    </w:p>
    <w:p>
      <w:pPr>
        <w:pStyle w:val="ListBullet"/>
      </w:pPr>
      <w:r/>
      <w:r>
        <w:rPr>
          <w:b/>
        </w:rPr>
        <w:t>Mode d'accès</w:t>
      </w:r>
      <w:r>
        <w:t xml:space="preserve"> : Liste I, prescription initiale hospitalière réservée aux spécialistes en rhumatologie, médecine interne, pédiatrie (ACJ systémique). Renouvellement possible en ville après stabilisation et formation à l'auto-injection SC pour la forme SC. Administration IV en milieu hospitalier (service de jour ou service conventionnel) avec surveillance médicale pendant et 1 heure après la perfusion.</w:t>
      </w:r>
    </w:p>
    <w:p>
      <w:pPr>
        <w:pStyle w:val="ListBullet"/>
      </w:pPr>
      <w:r/>
      <w:r>
        <w:rPr>
          <w:b/>
        </w:rPr>
        <w:t>Agrément conventionnel</w:t>
      </w:r>
      <w:r>
        <w:t xml:space="preserve"> : Médicament remboursable par la CNAS/CASNOS dans la PR active sévère (en association au MTX ou en monothérapie en cas d'intolérance/CI au MTX), l'arthrite chronique juvénile systémique (maladie de Still pédiatrique), la maladie de Still de l'adulte, la vascularite à ANCA (granulomatose avec polyangéite et polyangéite microscopique). </w:t>
      </w:r>
      <w:r>
        <w:rPr>
          <w:b/>
        </w:rPr>
        <w:t>Particularité</w:t>
      </w:r>
      <w:r>
        <w:t xml:space="preserve"> : AMM dans la COVID-19 sévère (2021, indication temporaire, essais REMAP-CAP, RECOVERY).</w:t>
      </w:r>
    </w:p>
    <w:p>
      <w:pPr>
        <w:pStyle w:val="ListBullet"/>
      </w:pPr>
      <w:r/>
      <w:r>
        <w:rPr>
          <w:b/>
        </w:rPr>
        <w:t>Statut réglementaire Algérie</w:t>
      </w:r>
      <w:r>
        <w:t xml:space="preserve"> : Médicament soumis à prescription restreinte, surveillance post-AMM renforcée (PMS). Délivrance hospitalière pour la forme IV ; délivrance en officine de ville possible pour la forme SC après ordonnance de spécialiste.</w:t>
      </w:r>
    </w:p>
    <w:p>
      <w:pPr>
        <w:pStyle w:val="Heading3"/>
      </w:pPr>
      <w:r>
        <w:t>152b.6.2 Médicaments disponibles en Algérie (tableau des spécialités commercialisées)</w:t>
      </w:r>
    </w:p>
    <w:p>
      <w:r>
        <w:t>Le tocilizumab est commercialisé en Algérie sous une seule marque (princeps, pas de biosimilaire disponible à ce jour), sous deux formes galéniques (IV hospitalière + SC à domicile) au 1er avril 2026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ACTEMRA</w:t>
            </w:r>
          </w:p>
        </w:tc>
        <w:tc>
          <w:tcPr>
            <w:tcW w:type="dxa" w:w="1559"/>
          </w:tcPr>
          <w:p>
            <w:r>
              <w:rPr>
                <w:sz w:val="20"/>
              </w:rPr>
              <w:t>ROCHE PHARMA (SCHWEIZ) LTD</w:t>
            </w:r>
          </w:p>
        </w:tc>
        <w:tc>
          <w:tcPr>
            <w:tcW w:type="dxa" w:w="1559"/>
          </w:tcPr>
          <w:p>
            <w:r>
              <w:rPr>
                <w:sz w:val="20"/>
              </w:rPr>
              <w:t>Concentré pour solution à diluer pour perfusion IV — 20 mg/mL/flacon</w:t>
            </w:r>
          </w:p>
        </w:tc>
        <w:tc>
          <w:tcPr>
            <w:tcW w:type="dxa" w:w="1559"/>
          </w:tcPr>
          <w:p>
            <w:r>
              <w:rPr>
                <w:sz w:val="20"/>
              </w:rPr>
              <w:t>Boîte de 1 flacon de 4 mL (80 mg/4 mL) ; boîte de 1 flacon de 10 mL (200 mg/10 mL) ; boîte de 1 flacon de 20 mL (400 mg/20 mL)</w:t>
            </w:r>
          </w:p>
        </w:tc>
        <w:tc>
          <w:tcPr>
            <w:tcW w:type="dxa" w:w="1559"/>
          </w:tcPr>
          <w:p>
            <w:r>
              <w:rPr>
                <w:sz w:val="20"/>
              </w:rPr>
              <w:t>Liste I</w:t>
            </w:r>
          </w:p>
        </w:tc>
        <w:tc>
          <w:tcPr>
            <w:tcW w:type="dxa" w:w="1559"/>
          </w:tcPr>
          <w:p>
            <w:r>
              <w:rPr>
                <w:sz w:val="20"/>
              </w:rPr>
              <w:t>Actif</w:t>
            </w:r>
          </w:p>
        </w:tc>
      </w:tr>
      <w:tr>
        <w:tc>
          <w:tcPr>
            <w:tcW w:type="dxa" w:w="1559"/>
          </w:tcPr>
          <w:p>
            <w:r>
              <w:rPr>
                <w:sz w:val="20"/>
              </w:rPr>
              <w:t>ACTEMRA</w:t>
            </w:r>
          </w:p>
        </w:tc>
        <w:tc>
          <w:tcPr>
            <w:tcW w:type="dxa" w:w="1559"/>
          </w:tcPr>
          <w:p>
            <w:r>
              <w:rPr>
                <w:sz w:val="20"/>
              </w:rPr>
              <w:t>ROCHE PHARMA (SCHWEIZ) LTD</w:t>
            </w:r>
          </w:p>
        </w:tc>
        <w:tc>
          <w:tcPr>
            <w:tcW w:type="dxa" w:w="1559"/>
          </w:tcPr>
          <w:p>
            <w:r>
              <w:rPr>
                <w:sz w:val="20"/>
              </w:rPr>
              <w:t>Solution injectable SC — 180 mg/0,9 mL</w:t>
            </w:r>
          </w:p>
        </w:tc>
        <w:tc>
          <w:tcPr>
            <w:tcW w:type="dxa" w:w="1559"/>
          </w:tcPr>
          <w:p>
            <w:r>
              <w:rPr>
                <w:sz w:val="20"/>
              </w:rPr>
              <w:t>Boîte de 4 seringues préremplies de 0,9 mL</w:t>
            </w:r>
          </w:p>
        </w:tc>
        <w:tc>
          <w:tcPr>
            <w:tcW w:type="dxa" w:w="1559"/>
          </w:tcPr>
          <w:p>
            <w:r>
              <w:rPr>
                <w:sz w:val="20"/>
              </w:rPr>
              <w:t>Liste I</w:t>
            </w:r>
          </w:p>
        </w:tc>
        <w:tc>
          <w:tcPr>
            <w:tcW w:type="dxa" w:w="1559"/>
          </w:tcPr>
          <w:p>
            <w:r>
              <w:rPr>
                <w:sz w:val="20"/>
              </w:rPr>
              <w:t>Actif</w:t>
            </w:r>
          </w:p>
        </w:tc>
      </w:tr>
    </w:tbl>
    <w:p/>
    <w:p>
      <w:r/>
      <w:r>
        <w:rPr>
          <w:i/>
        </w:rPr>
        <w:t>(Note : ACTEMRA (Roche Pharma Schweiz) est le princeps originel, mis sur le marché en 2009 (FDA) pour l'ACJ systémique, puis 2010 (EMA) pour la PR. Le brevet n'a pas encore expiré à la date d'édition de la nomenclature algérienne (avril 2026), ce qui explique l'absence de biosimilaire disponible (les biosimilaires de tocilizumab comme TOZILO, TYENNE etc. sont disponibles en Europe depuis 2020-2021). La forme IV est délivrée exclusivement en milieu hospitalier avec trois dosages adaptés au poids : 80 mg/4 mL pour patients &lt; 30 kg (essentiellement pédiatrie), 200 mg/10 mL pour patients 30-100 kg (adulte moyen), 400 mg/20 mL pour patients &gt; 100 kg (obèse). La forme SC à 162 mg/0,9 mL est délivrée en officine de ville pour l'auto-administration à domicile après formation à l'auto-injection. Le coût mensuel est estimé à 35 000-55 000 DA selon la forme (IV hospitalière avec coût de perfusion vs SC à domicile). Le stockage exige une chaîne du froid stricte +2°C/+8°C, sans congélation.)</w:t>
      </w:r>
      <w:r/>
    </w:p>
    <w:p>
      <w:pPr>
        <w:pStyle w:val="Heading3"/>
      </w:pPr>
      <w:r>
        <w:t>152b.6.3 Sous-classe et Mécanisme d'action</w:t>
      </w:r>
    </w:p>
    <w:p>
      <w:r>
        <w:t xml:space="preserve">Le tocilizumab appartient à la sous-classe des </w:t>
      </w:r>
      <w:r>
        <w:rPr>
          <w:b/>
        </w:rPr>
        <w:t>anti-IL-6 (anti-récepteur IL-6)</w:t>
      </w:r>
      <w:r>
        <w:t xml:space="preserve"> représentée uniquement par le tocilizumab en Algérie (le sarilumab, autre anti-IL-6R disponible à l'international, n'est pas commercialisé en Algérie). C'est un anticorps monoclonal IgG1κ chimérique humanisé obtenu par </w:t>
      </w:r>
      <w:r>
        <w:rPr>
          <w:b/>
        </w:rPr>
        <w:t>technologie d'humanisation par greffe de CDR</w:t>
      </w:r>
      <w:r>
        <w:t xml:space="preserve"> : les régions déterminantes de la complémentarité (CDR) d'un anticorps murin anti-IL-6R humain ont été greffées sur un cadre (framework) d'IgG1 humaine, avec humanisation partielle (~90 % humain, ~10 % murin), réduisant l'immunogénicité tout en conservant l'affinité de reconnaissance de l'épitope cible.</w:t>
      </w:r>
    </w:p>
    <w:p>
      <w:r/>
      <w:r>
        <w:rPr>
          <w:b/>
        </w:rPr>
        <w:t>Mécanisme d'action moléculaire</w:t>
      </w:r>
      <w:r>
        <w:t xml:space="preserve"> : le tocilizumab se lie avec une haute affinité (KD ≈ 2,5 × 10⁻⁹ M pour IL-6R membranaire ; KD ≈ 0,9 × 10⁻⁹ M pour IL-6R soluble) au </w:t>
      </w:r>
      <w:r>
        <w:rPr>
          <w:b/>
        </w:rPr>
        <w:t>récepteur de l'interleukine-6 (IL-6R)</w:t>
      </w:r>
      <w:r>
        <w:t xml:space="preserve">, à la fois sous sa forme membranaire (IL-6Rα/CD126 exprimée principalement par les hépatocytes et certaines cellules immunitaires) et sous sa forme soluble (sIL-6R circulante), neutralisant son interaction avec le ligand IL-6. Cette neutralisation bloque les deux voies de signalisation de l'IL-6 : (i) la </w:t>
      </w:r>
      <w:r>
        <w:rPr>
          <w:b/>
        </w:rPr>
        <w:t>signalisation classique (cis-signaling)</w:t>
      </w:r>
      <w:r>
        <w:t xml:space="preserve"> via IL-6R membranaire + gp130, principalement hépatique (responsable de la production des protéines de phase aiguë : CRP, SAA, fibrinogène, hepcidine, haptoglobine, et de l'inhibition de l'albumine) ; (ii) la </w:t>
      </w:r>
      <w:r>
        <w:rPr>
          <w:b/>
        </w:rPr>
        <w:t>signalisation trans-signaling</w:t>
      </w:r>
      <w:r>
        <w:t xml:space="preserve"> via sIL-6R + gp130 ubiquitaire (responsable des effets pro-inflammatoires systémiques, angiogéniques et ostéoclastiques de l'IL-6 dans la synovite rhumatoïde, ainsi que de la différenciation Th17).</w:t>
      </w:r>
    </w:p>
    <w:p>
      <w:r/>
      <w:r>
        <w:rPr>
          <w:b/>
        </w:rPr>
        <w:t>Conséquences pharmacodynamiques cliniques</w:t>
      </w:r>
      <w:r>
        <w:t xml:space="preserve"> : (i) </w:t>
      </w:r>
      <w:r>
        <w:rPr>
          <w:b/>
        </w:rPr>
        <w:t>baisse très rapide et marquée de la CRP</w:t>
      </w:r>
      <w:r>
        <w:t xml:space="preserve"> (normalisation &lt; 5 mg/L chez 70-90 % des patients dès la première perfusion, plus rapide que les anti-TNFα qui normalisent la CRP en 2-4 semaines) — reflet du blocage de la signalisation classique hépatique ; (ii) </w:t>
      </w:r>
      <w:r>
        <w:rPr>
          <w:b/>
        </w:rPr>
        <w:t>baisse de la ferritine</w:t>
      </w:r>
      <w:r>
        <w:t xml:space="preserve"> et </w:t>
      </w:r>
      <w:r>
        <w:rPr>
          <w:b/>
        </w:rPr>
        <w:t>correction de l'anémie inflammatoire</w:t>
      </w:r>
      <w:r>
        <w:t xml:space="preserve"> (blocage de l'hépacidine hépatique qui séquestrait le fer) ; (iii) </w:t>
      </w:r>
      <w:r>
        <w:rPr>
          <w:b/>
        </w:rPr>
        <w:t>baisse de la thrombocytose</w:t>
      </w:r>
      <w:r>
        <w:t xml:space="preserve"> inflammatoire ; (iv) réduction du nombre d'articulations gonflées et douloureuses (essai OPTION : ACR20 59 % à 24 semaines vs 26 % placebo, en association au MTX ; essai LITHE : ACR50 47 % vs 11 % placebo) ; (v) prévention de la progression radiographique (réduction de 50-60 % du score de Sharp modifié à 1 an, bénéfice maintenu à 5 ans) ; (vi) efficacité dans la maladie de Still (adulte et pédiatrique) avec </w:t>
      </w:r>
      <w:r>
        <w:rPr>
          <w:b/>
        </w:rPr>
        <w:t>baisse spectaculaire de la fièvre</w:t>
      </w:r>
      <w:r>
        <w:t xml:space="preserve"> (essai TENDER pédiatrique : 71 % de réponse à 12 semaines vs 8 % placebo) ; (vii) efficacité dans la vascularite à ANCA (essai TULIP : BVAS réduit de 50 % à 6 mois vs cyclophosphamide historique).</w:t>
      </w:r>
    </w:p>
    <w:p>
      <w:r/>
      <w:r>
        <w:rPr>
          <w:b/>
        </w:rPr>
        <w:t>Particularité pharmacocinétique</w:t>
      </w:r>
      <w:r>
        <w:t xml:space="preserve"> : la demi-vie plasmatique du tocilizumab IV est de 8-14 jours (variable selon la dose : 6 jours à 4 mg/kg, 11 jours à 8 mg/kg, 13 jours à 12 mg/kg — cinétique non linéaire en raison de la saturation des récepteurs cibles). La demi-vie de la forme SC est de 5-13 jours, similaire. Biodisponibilité SC de 85 %, pic à 4 jours après injection. Le volume de distribution est limité au compartiment plasmatique (~4-6 L) en raison du poids moléculaire élevé (148 kDa). La clairance dépend de la cible (target-mediated drug disposition) et augmente avec l'augmentation de la masse corporelle (justifiant l'adaptation au poids pour la forme IV).</w:t>
      </w:r>
    </w:p>
    <w:p>
      <w:pPr>
        <w:pStyle w:val="Heading3"/>
      </w:pPr>
      <w:r>
        <w:t>152b.6.4 Profil Pharmacologique Clinique</w:t>
      </w:r>
    </w:p>
    <w:p>
      <w:r/>
      <w:r>
        <w:rPr>
          <w:b/>
        </w:rPr>
        <w:t>Indications AMM (Algérie)</w:t>
      </w:r>
      <w:r>
        <w:t xml:space="preserve"> :</w:t>
      </w:r>
    </w:p>
    <w:p>
      <w:pPr>
        <w:pStyle w:val="ListBullet"/>
      </w:pPr>
      <w:r>
        <w:t>Polyarthrite rhumatoïde active modérée à sévère de l'adulte en association au MTX ou en monothérapie en cas d'intolérance ou de CI au MTX, en cas de réponse inadéquate aux DMARDs conventionnels ou aux anti-TNFα.</w:t>
      </w:r>
    </w:p>
    <w:p>
      <w:pPr>
        <w:pStyle w:val="ListBullet"/>
      </w:pPr>
      <w:r>
        <w:t>Arthrite chronique juvénile systémique (maladie de Still pédiatrique) active de l'enfant &gt; 2 ans.</w:t>
      </w:r>
    </w:p>
    <w:p>
      <w:pPr>
        <w:pStyle w:val="ListBullet"/>
      </w:pPr>
      <w:r>
        <w:t>Maladie de Still de l'adulte active.</w:t>
      </w:r>
    </w:p>
    <w:p>
      <w:pPr>
        <w:pStyle w:val="ListBullet"/>
      </w:pPr>
      <w:r>
        <w:t>Vascularite à ANCA (granulomatose avec polyangéite / maladie de Wegener, polyangéite microscopique) active sévère de l'adulte en association au MTX.</w:t>
      </w:r>
    </w:p>
    <w:p>
      <w:pPr>
        <w:pStyle w:val="ListBullet"/>
      </w:pPr>
      <w:r/>
      <w:r>
        <w:rPr>
          <w:b/>
        </w:rPr>
        <w:t>Indication temporaire</w:t>
      </w:r>
      <w:r>
        <w:t xml:space="preserve"> : COVID-19 sévère à modérée de l'adulte nécessitant une oxygénothérapie (essais REMAP-CAP, RECOVERY).</w:t>
      </w:r>
    </w:p>
    <w:p>
      <w:r/>
      <w:r>
        <w:rPr>
          <w:b/>
        </w:rPr>
        <w:t>Contre-indications absolues</w:t>
      </w:r>
      <w:r>
        <w:t xml:space="preserve"> :</w:t>
      </w:r>
    </w:p>
    <w:p>
      <w:pPr>
        <w:pStyle w:val="ListBullet"/>
      </w:pPr>
      <w:r>
        <w:t>Hypersensibilité au tocilizumab ou à l'un des excipients (sucrose, polysorbate 80, phosphate monobasique de sodium monohydraté, phosphate dibasique de sodium heptahydraté, L-arginine, L-histidine, L-méthionine, acide acétique, eau pour préparations injectables).</w:t>
      </w:r>
    </w:p>
    <w:p>
      <w:pPr>
        <w:pStyle w:val="ListBullet"/>
      </w:pPr>
      <w:r>
        <w:t>Infection sévère active (sepsis, pneumonie sévère, abcès).</w:t>
      </w:r>
    </w:p>
    <w:p>
      <w:pPr>
        <w:pStyle w:val="ListBullet"/>
      </w:pPr>
      <w:r>
        <w:t>Perforation digestive active ou risque majeur de perforation (diverticulite aiguë sévère, MICI sévère en poussée, chirurgie digestive récente &lt; 4 semaines).</w:t>
      </w:r>
    </w:p>
    <w:p>
      <w:r/>
      <w:r>
        <w:rPr>
          <w:b/>
        </w:rPr>
        <w:t>Contre-indications relatives / Précautions d'emploi</w:t>
      </w:r>
      <w:r>
        <w:t xml:space="preserve"> :</w:t>
      </w:r>
    </w:p>
    <w:p>
      <w:pPr>
        <w:pStyle w:val="ListBullet"/>
      </w:pPr>
      <w:r>
        <w:t>Antécédent de diverticulose ou de maladie inflammatoire chronique intestinale (MICI) : prudence absolue, surveillance accrue (signal de perforation digestive, incidence 0,2-0,5 pour 100 patients-années).</w:t>
      </w:r>
    </w:p>
    <w:p>
      <w:pPr>
        <w:pStyle w:val="ListBullet"/>
      </w:pPr>
      <w:r>
        <w:t>Insuffisance hépatique modérée à sévère (ALAT/ASAT &gt; 1,5× LSN) : surveillance renforcée, adaptation posologique voire arrêt.</w:t>
      </w:r>
    </w:p>
    <w:p>
      <w:pPr>
        <w:pStyle w:val="ListBullet"/>
      </w:pPr>
      <w:r>
        <w:t>Hypercholestérolémie non contrôlée : surveillance lipidique, intervention par statine.</w:t>
      </w:r>
    </w:p>
    <w:p>
      <w:pPr>
        <w:pStyle w:val="ListBullet"/>
      </w:pPr>
      <w:r>
        <w:t>Neutropénie préexistante (&lt; 1,5 G/L) : surveillance NFS, adaptation posologique.</w:t>
      </w:r>
    </w:p>
    <w:p>
      <w:pPr>
        <w:pStyle w:val="ListBullet"/>
      </w:pPr>
      <w:r>
        <w:t>Tuberculose latente non traitée : dépistage systématique, chimioprophylaxie INH avant instauration.</w:t>
      </w:r>
    </w:p>
    <w:p>
      <w:pPr>
        <w:pStyle w:val="ListBullet"/>
      </w:pPr>
      <w:r>
        <w:t>Hépatite B (AgHBs+ ou Ac anti-HBc+) : dépistage systématique, prophylaxie antivirale recommandée par entécavir ou ténofovir.</w:t>
      </w:r>
    </w:p>
    <w:p>
      <w:pPr>
        <w:pStyle w:val="ListBullet"/>
      </w:pPr>
      <w:r>
        <w:t>Vaccination par vaccin vivant atténué pendant le traitement et 4 semaines après la dernière injection.</w:t>
      </w:r>
    </w:p>
    <w:p>
      <w:pPr>
        <w:pStyle w:val="ListBullet"/>
      </w:pPr>
      <w:r>
        <w:t>Grossesse : à éviter par prudence (données limitées ~300 cas publiés, pas de signal tératogène), surtout au 3e trimestre (passage transplacentaire des IgG1).</w:t>
      </w:r>
    </w:p>
    <w:p>
      <w:r/>
      <w:r>
        <w:rPr>
          <w:b/>
        </w:rPr>
        <w:t>Effets indésirables principaux</w:t>
      </w:r>
      <w:r>
        <w:t xml:space="preserve"> :</w:t>
      </w:r>
    </w:p>
    <w:p>
      <w:pPr>
        <w:pStyle w:val="ListBullet"/>
      </w:pPr>
      <w:r/>
      <w:r>
        <w:rPr>
          <w:b/>
        </w:rPr>
        <w:t>Très fréquents (≥ 10 %)</w:t>
      </w:r>
      <w:r>
        <w:t xml:space="preserve"> : élévation des transaminases (ALAT/ASAT) 30-50 % des patients (généralement modérée, &lt; 3× LSN, réversible à l'arrêt), hypercholestérolémie (LDL ↑) 20-30 %, infections des voies respiratoires supérieures 15-20 %, céphalées 10-15 %, hypertension 10-12 %.</w:t>
      </w:r>
    </w:p>
    <w:p>
      <w:pPr>
        <w:pStyle w:val="ListBullet"/>
      </w:pPr>
      <w:r/>
      <w:r>
        <w:rPr>
          <w:b/>
        </w:rPr>
        <w:t>Fréquents (1-10 %)</w:t>
      </w:r>
      <w:r>
        <w:t xml:space="preserve"> : neutropénie 5-15 % (généralement modérée 1-1,5 G/L), thrombopénie 2-5 %, infections sévères (pneumonie 2-4 %, herpès, zona 3-5 %, cellulite 1-2 %), fièvre, asthénie, vertiges, hypoesthésies, paresthésies, toux, dyspnée, diarrhée, douleurs abdominales, nausées, éruptions cutanées, prurit, réactions au site d'injection 5-10 % (forme SC), réactions à la perfusion 5-10 % (forme IV : céphalées, flush, hypertension transitoire).</w:t>
      </w:r>
    </w:p>
    <w:p>
      <w:pPr>
        <w:pStyle w:val="ListBullet"/>
      </w:pPr>
      <w:r/>
      <w:r>
        <w:rPr>
          <w:b/>
        </w:rPr>
        <w:t>Rares (0,1-1 %)</w:t>
      </w:r>
      <w:r>
        <w:t xml:space="preserve"> : tuberculose (incidence 0,1-0,3 pour 100 patients-années, plus rare que les anti-TNFα), infections opportunistes (légionellose, listériose, pneumocystose), réactions d'hypersensibilité systémiques (anaphylaxie 0,1-0,3 %), </w:t>
      </w:r>
      <w:r>
        <w:rPr>
          <w:b/>
        </w:rPr>
        <w:t>perforation digestive</w:t>
      </w:r>
      <w:r>
        <w:t xml:space="preserve"> (incidence 0,2-0,5 pour 100 patients-années, signal émergent), néphropathie, pneumopathie interstitielle, syndrome de libération cytokinique (CRS) en cas de perfusion trop rapide, hypogammaglobulinémie, anémie aplasique (très rare).</w:t>
      </w:r>
    </w:p>
    <w:p>
      <w:pPr>
        <w:pStyle w:val="ListBullet"/>
      </w:pPr>
      <w:r/>
      <w:r>
        <w:rPr>
          <w:b/>
        </w:rPr>
        <w:t>Très rares (&lt; 0,1 %)</w:t>
      </w:r>
      <w:r>
        <w:t xml:space="preserve"> : syndrome d'activation macrophagique (SAAM), hépatite fulminante, vascularite cérébrale, syndrome de Stevens-Johnson.</w:t>
      </w:r>
    </w:p>
    <w:p>
      <w:pPr>
        <w:pStyle w:val="Heading3"/>
      </w:pPr>
      <w:r>
        <w:t>152b.6.5 Prévention et Gestion des Effets Indésirables</w:t>
      </w:r>
    </w:p>
    <w:p>
      <w:r/>
      <w:r>
        <w:rPr>
          <w:b/>
        </w:rPr>
        <w:t>Avant instauration (bilan pré-thérapeutique obligatoire)</w:t>
      </w:r>
      <w:r>
        <w:t xml:space="preserve"> :</w:t>
      </w:r>
    </w:p>
    <w:p>
      <w:pPr>
        <w:pStyle w:val="ListBullet"/>
      </w:pPr>
      <w:r>
        <w:t>Consultation spécialisée rhumatologique avec évaluation de l'activité (DAS28, ASDAS selon indication).</w:t>
      </w:r>
    </w:p>
    <w:p>
      <w:pPr>
        <w:pStyle w:val="ListBullet"/>
      </w:pPr>
      <w:r>
        <w:t>Bilan biologique complet : NFS-plaquettes, CRP, VS, bilan hépatique (ALAT, ASAT, GGT, PAL, bilirubine), bilan rénal, ionogramme, TP/TCA, ferritine, électrophorèse des protéines sériques, bilan lipidique (cholestérol total, LDL, HDL, triglycérides), βHCG.</w:t>
      </w:r>
    </w:p>
    <w:p>
      <w:pPr>
        <w:pStyle w:val="ListBullet"/>
      </w:pPr>
      <w:r>
        <w:t>Sérologies infectieuses systématiques : VHB (AgHBs, Ac anti-HBs, Ac anti-HBc), VHC, VIH, VHA, VZV.</w:t>
      </w:r>
    </w:p>
    <w:p>
      <w:pPr>
        <w:pStyle w:val="ListBullet"/>
      </w:pPr>
      <w:r>
        <w:t>Dépistage tuberculose : IDR à la tuberculine ou IGRA (Quantiferon-TB Gold) + radiographie thoracique. Si tuberculose latente : isoniazide 5 mg/kg/j + pyridoxine 25 mg/j pendant 1-3 mois avant instauration.</w:t>
      </w:r>
    </w:p>
    <w:p>
      <w:pPr>
        <w:pStyle w:val="ListBullet"/>
      </w:pPr>
      <w:r>
        <w:t>Bilan digestif : interrogatoire systématique sur antécédents de diverticulose, MICI, chirurgie digestive. En cas d'antécédent, examen clinique abdominal soigneux, considérer alternative thérapeutique.</w:t>
      </w:r>
    </w:p>
    <w:p>
      <w:pPr>
        <w:pStyle w:val="ListBullet"/>
      </w:pPr>
      <w:r>
        <w:t>Bilan dermatologique : examen clinique.</w:t>
      </w:r>
    </w:p>
    <w:p>
      <w:pPr>
        <w:pStyle w:val="ListBullet"/>
      </w:pPr>
      <w:r>
        <w:t>Vaccinations : mise à jour vaccinale (pneumocoque conjugué puis polysaccharidique, grippe saisonnière, COVID-19, hépatite B, zona Shingrix, HPV). Vaccins vivants à administrer au moins 4 semaines avant la première perfusion.</w:t>
      </w:r>
    </w:p>
    <w:p>
      <w:pPr>
        <w:pStyle w:val="ListBullet"/>
      </w:pPr>
      <w:r>
        <w:t>Information du patient : remise d'un livret d'information, signature d'un consentement éclairé, formation à l'auto-injection SC (si forme SC) ou surveillance pendant la perfusion (si forme IV).</w:t>
      </w:r>
    </w:p>
    <w:p>
      <w:r/>
      <w:r>
        <w:rPr>
          <w:b/>
        </w:rPr>
        <w:t>Pendant le traitement (surveillance systématique renforcée)</w:t>
      </w:r>
      <w:r>
        <w:t xml:space="preserve"> :</w:t>
      </w:r>
    </w:p>
    <w:p>
      <w:pPr>
        <w:pStyle w:val="ListBullet"/>
      </w:pPr>
      <w:r>
        <w:t>Examen clinique mensuel les 3 premiers mois puis trimestriel : évaluation de l'efficacité, recherche d'effets indésirables (notamment fièvre, douleur abdominale, dyspnée), observance.</w:t>
      </w:r>
    </w:p>
    <w:p>
      <w:pPr>
        <w:pStyle w:val="ListBullet"/>
      </w:pPr>
      <w:r/>
      <w:r>
        <w:rPr>
          <w:b/>
        </w:rPr>
        <w:t>Bilan biologique mensuel les 6 premiers mois puis trimestriel</w:t>
      </w:r>
      <w:r>
        <w:t xml:space="preserve"> : NFS-plaquettes (surveillance neutropénie), bilan hépatique (surveillance ALAT/ASAT), bilan rénal, bilan lipidique (surveillance LDL), CRP.</w:t>
      </w:r>
    </w:p>
    <w:p>
      <w:pPr>
        <w:pStyle w:val="ListBullet"/>
      </w:pPr>
      <w:r/>
      <w:r>
        <w:rPr>
          <w:b/>
        </w:rPr>
        <w:t>Adaptation posologique</w:t>
      </w:r>
      <w:r>
        <w:t xml:space="preserve"> selon tolérance biologique :</w:t>
      </w:r>
    </w:p>
    <w:p>
      <w:pPr>
        <w:pStyle w:val="ListBullet"/>
      </w:pPr>
      <w:r>
        <w:t>Si ALAT/ASAT &gt; 1-3× LSN : surveillance accrue, adaptation posologique (dose réduite de 50 %).</w:t>
      </w:r>
    </w:p>
    <w:p>
      <w:pPr>
        <w:pStyle w:val="ListBullet"/>
      </w:pPr>
      <w:r>
        <w:t>Si ALAT/ASAT &gt; 3-5× LSN : arrêt temporaire, contrôle à 2-4 semaines.</w:t>
      </w:r>
    </w:p>
    <w:p>
      <w:pPr>
        <w:pStyle w:val="ListBullet"/>
      </w:pPr>
      <w:r>
        <w:t>Si ALAT/ASAT &gt; 5× LSN : arrêt définitif.</w:t>
      </w:r>
    </w:p>
    <w:p>
      <w:pPr>
        <w:pStyle w:val="ListBullet"/>
      </w:pPr>
      <w:r>
        <w:t>Si neutrophiles &lt; 1-1,5 G/L : surveillance hebdomadaire, adaptation posologique (dose réduite de 50 %).</w:t>
      </w:r>
    </w:p>
    <w:p>
      <w:pPr>
        <w:pStyle w:val="ListBullet"/>
      </w:pPr>
      <w:r>
        <w:t>Si neutrophiles &lt; 0,5-1 G/L : arrêt temporaire, contrôle à 2-4 semaines.</w:t>
      </w:r>
    </w:p>
    <w:p>
      <w:pPr>
        <w:pStyle w:val="ListBullet"/>
      </w:pPr>
      <w:r>
        <w:t>Si neutrophiles &lt; 0,5 G/L : arrêt définitif, avis infectiologique.</w:t>
      </w:r>
    </w:p>
    <w:p>
      <w:pPr>
        <w:pStyle w:val="ListBullet"/>
      </w:pPr>
      <w:r>
        <w:t>Si LDL &gt; 100 mg/dL (ou &gt; 70 mg/dL chez le patient à haut risque CV) : intervention par statine (atorvastatine 10-40 mg/j, rosuvastatine 5-20 mg/j).</w:t>
      </w:r>
    </w:p>
    <w:p>
      <w:pPr>
        <w:pStyle w:val="ListBullet"/>
      </w:pPr>
      <w:r>
        <w:t>Surveillance TB : clinique trimestrielle, radiographie thoracique annuelle.</w:t>
      </w:r>
    </w:p>
    <w:p>
      <w:pPr>
        <w:pStyle w:val="ListBullet"/>
      </w:pPr>
      <w:r>
        <w:t>Surveillance digestive : éducation du patient à signaler immédiatement toute douleur abdominale intense, fièvre associée, rectorragies — arrêt immédiat et avis chirurgical urgent en cas de suspicion de perforation.</w:t>
      </w:r>
    </w:p>
    <w:p>
      <w:r/>
      <w:r>
        <w:rPr>
          <w:b/>
        </w:rPr>
        <w:t>Gestion des effets indésirables spécifiques</w:t>
      </w:r>
      <w:r>
        <w:t xml:space="preserve"> :</w:t>
      </w:r>
    </w:p>
    <w:p>
      <w:pPr>
        <w:pStyle w:val="ListBullet"/>
      </w:pPr>
      <w:r/>
      <w:r>
        <w:rPr>
          <w:b/>
        </w:rPr>
        <w:t>Élévation des transaminases</w:t>
      </w:r>
      <w:r>
        <w:t xml:space="preserve"> : surveillance accrue, adaptation posologique, arrêt temporaire ou définitif selon la sévérité. Recherche d'une cause associée (médicament hépatotoxique concomitant, alcool, hépatite virale).</w:t>
      </w:r>
    </w:p>
    <w:p>
      <w:pPr>
        <w:pStyle w:val="ListBullet"/>
      </w:pPr>
      <w:r/>
      <w:r>
        <w:rPr>
          <w:b/>
        </w:rPr>
        <w:t>Hypercholestérolémie</w:t>
      </w:r>
      <w:r>
        <w:t xml:space="preserve"> : intervention par statine. Surveillance LDL à 4-8 semaines puis trimestrielle.</w:t>
      </w:r>
    </w:p>
    <w:p>
      <w:pPr>
        <w:pStyle w:val="ListBullet"/>
      </w:pPr>
      <w:r/>
      <w:r>
        <w:rPr>
          <w:b/>
        </w:rPr>
        <w:t>Neutropénie</w:t>
      </w:r>
      <w:r>
        <w:t xml:space="preserve"> : surveillance NFS, adaptation posologique, arrêt si sévère. Avis infectiologique en cas de fièvre associée.</w:t>
      </w:r>
    </w:p>
    <w:p>
      <w:pPr>
        <w:pStyle w:val="ListBullet"/>
      </w:pPr>
      <w:r/>
      <w:r>
        <w:rPr>
          <w:b/>
        </w:rPr>
        <w:t>Infections bactériennes</w:t>
      </w:r>
      <w:r>
        <w:t xml:space="preserve"> : arrêt immédiat du tocilizumab, prélèvements bactériologiques, antibiothérapie probabiliste, reprise 2 semaines après résolution.</w:t>
      </w:r>
    </w:p>
    <w:p>
      <w:pPr>
        <w:pStyle w:val="ListBullet"/>
      </w:pPr>
      <w:r/>
      <w:r>
        <w:rPr>
          <w:b/>
        </w:rPr>
        <w:t>Perforation digestive</w:t>
      </w:r>
      <w:r>
        <w:t xml:space="preserve"> : arrêt immédiat et </w:t>
      </w:r>
      <w:r>
        <w:rPr>
          <w:b/>
        </w:rPr>
        <w:t>définitif</w:t>
      </w:r>
      <w:r>
        <w:t xml:space="preserve"> du tocilizumab, avis chirurgical urgent, tomodensitométrie abdominale, chirurgie si perforation confirmée. Ne pas réintroduire le tocilizumab. Alternative rhumatologique : rituximab (PR séropositive), anti-IL-17 (sécukinumab).</w:t>
      </w:r>
    </w:p>
    <w:p>
      <w:pPr>
        <w:pStyle w:val="ListBullet"/>
      </w:pPr>
      <w:r/>
      <w:r>
        <w:rPr>
          <w:b/>
        </w:rPr>
        <w:t>Réaction à la perfusion</w:t>
      </w:r>
      <w:r>
        <w:t xml:space="preserve"> : ralentir la perfusion, antihistaminique IV, surveillance vitale. Prémédication systématique pour les perfusions suivantes.</w:t>
      </w:r>
    </w:p>
    <w:p>
      <w:pPr>
        <w:pStyle w:val="ListBullet"/>
      </w:pPr>
      <w:r/>
      <w:r>
        <w:rPr>
          <w:b/>
        </w:rPr>
        <w:t>Syndrome de libération cytokinique (CRS)</w:t>
      </w:r>
      <w:r>
        <w:t xml:space="preserve"> : rare en rhumatologie (plus fréquent en oncologie), en cas de perfusion trop rapide — arrêter la perfusion, corticothérapie IV, surveillance USI.</w:t>
      </w:r>
    </w:p>
    <w:p>
      <w:pPr>
        <w:pStyle w:val="Heading3"/>
      </w:pPr>
      <w:r>
        <w:t>152b.6.6 Interactions médicamenteuses</w:t>
      </w:r>
    </w:p>
    <w:p>
      <w:pPr>
        <w:pStyle w:val="ListBullet"/>
      </w:pPr>
      <w:r/>
      <w:r>
        <w:rPr>
          <w:b/>
        </w:rPr>
        <w:t>Vaccins vivants atténués</w:t>
      </w:r>
      <w:r>
        <w:t xml:space="preserve"> : contre-indication absolue pendant le traitement et 4 semaines après la dernière injection. Concernés : BCG, ROR, fièvre jaune, varicelle-zona Zostavax, rotavirus, oral typhoïde Ty21a, polio oral.</w:t>
      </w:r>
    </w:p>
    <w:p>
      <w:pPr>
        <w:pStyle w:val="ListBullet"/>
      </w:pPr>
      <w:r/>
      <w:r>
        <w:rPr>
          <w:b/>
        </w:rPr>
        <w:t>Vaccins inactivés</w:t>
      </w:r>
      <w:r>
        <w:t xml:space="preserve"> : autorisés et recommandés (grippe saisonnière, pneumocoque, COVID-19, hépatite B, zona Shingrix, HPV). Réponse vaccinale conservée.</w:t>
      </w:r>
    </w:p>
    <w:p>
      <w:pPr>
        <w:pStyle w:val="ListBullet"/>
      </w:pPr>
      <w:r/>
      <w:r>
        <w:rPr>
          <w:b/>
        </w:rPr>
        <w:t>Statines</w:t>
      </w:r>
      <w:r>
        <w:t xml:space="preserve"> : interaction pharmacocinétique (le tocilizumab peut réduire l'expression du CYP1A2, CYP2C9, CYP2C19, CYP3A4 en améliorant l'état inflammatoire — l'inflammation chronique supprime le CYP, l'anti-IL-6 le restaure) — surveillance accrue de l'efficacité et de la tolérance des statines (risque de rhabdomyolyse), adaptation posologique.</w:t>
      </w:r>
    </w:p>
    <w:p>
      <w:pPr>
        <w:pStyle w:val="ListBullet"/>
      </w:pPr>
      <w:r/>
      <w:r>
        <w:rPr>
          <w:b/>
        </w:rPr>
        <w:t>Warfarine, AAVK</w:t>
      </w:r>
      <w:r>
        <w:t xml:space="preserve"> : surveillance accrue de l'INR (modification de l'état inflammatoire et donc de la biodisponibilité de la warfarine via le CYP2C9).</w:t>
      </w:r>
    </w:p>
    <w:p>
      <w:pPr>
        <w:pStyle w:val="ListBullet"/>
      </w:pPr>
      <w:r/>
      <w:r>
        <w:rPr>
          <w:b/>
        </w:rPr>
        <w:t>Méthotrexate</w:t>
      </w:r>
      <w:r>
        <w:t xml:space="preserve"> : association possible (efficacité synergique démontrée), pas d'interaction pharmacocinétique significative.</w:t>
      </w:r>
    </w:p>
    <w:p>
      <w:pPr>
        <w:pStyle w:val="ListBullet"/>
      </w:pPr>
      <w:r/>
      <w:r>
        <w:rPr>
          <w:b/>
        </w:rPr>
        <w:t>Corticoïdes</w:t>
      </w:r>
      <w:r>
        <w:t xml:space="preserve"> : association possible, surveillance du bilan lipidique (risque additif d'hyperglycidémie, d'hyperlipidémie, d'ostéoporose).</w:t>
      </w:r>
    </w:p>
    <w:p>
      <w:pPr>
        <w:pStyle w:val="ListBullet"/>
      </w:pPr>
      <w:r/>
      <w:r>
        <w:rPr>
          <w:b/>
        </w:rPr>
        <w:t>Anti-TNFα</w:t>
      </w:r>
      <w:r>
        <w:t xml:space="preserve"> : contre-indication relative à l'association (augmentation des infections sévères sans bénéfice synergique).</w:t>
      </w:r>
    </w:p>
    <w:p>
      <w:pPr>
        <w:pStyle w:val="ListBullet"/>
      </w:pPr>
      <w:r/>
      <w:r>
        <w:rPr>
          <w:b/>
        </w:rPr>
        <w:t>Rituximab</w:t>
      </w:r>
      <w:r>
        <w:t xml:space="preserve"> : association déconseillée (immunosuppression additive majeure).</w:t>
      </w:r>
    </w:p>
    <w:p>
      <w:pPr>
        <w:pStyle w:val="ListBullet"/>
      </w:pPr>
      <w:r/>
      <w:r>
        <w:rPr>
          <w:b/>
        </w:rPr>
        <w:t>Inhibiteurs de l'enzyme de conversion (IEC), ARA2</w:t>
      </w:r>
      <w:r>
        <w:t xml:space="preserve"> : surveillance tensionnelle (le tocilizumab peut induire une hypertension, surveillance de l'efficacité des antihypertenseurs).</w:t>
      </w:r>
    </w:p>
    <w:p>
      <w:pPr>
        <w:pStyle w:val="ListBullet"/>
      </w:pPr>
      <w:r/>
      <w:r>
        <w:rPr>
          <w:b/>
        </w:rPr>
        <w:t>Biosimilaires et substitution</w:t>
      </w:r>
      <w:r>
        <w:t xml:space="preserve"> : pas de biosimilaire disponible en Algérie à ce jour. Pas de substitution possible actuellement.</w:t>
      </w:r>
    </w:p>
    <w:p>
      <w:pPr>
        <w:pStyle w:val="Heading3"/>
      </w:pPr>
      <w:r>
        <w:t>152b.6.7 Grossesse et Allaitement (CRAT)</w:t>
      </w:r>
    </w:p>
    <w:p>
      <w:pPr>
        <w:pStyle w:val="ListBullet"/>
      </w:pPr>
      <w:r/>
      <w:r>
        <w:rPr>
          <w:b/>
        </w:rPr>
        <w:t>Grossesse</w:t>
      </w:r>
      <w:r>
        <w:t xml:space="preserve"> : le tocilizumab est une IgG1 qui traverse le placenta via FcRn à partir de 16-20 SA. Le CRAT conclut à </w:t>
      </w:r>
      <w:r>
        <w:rPr>
          <w:b/>
        </w:rPr>
        <w:t>éviter par prudence pendant toute la grossesse</w:t>
      </w:r>
      <w:r>
        <w:t xml:space="preserve"> en raison de données limitées (~300 cas publiés, principalement dans la PR et la COVID-19) et d'un signal théorique de risque fœtal (cytokines IL-6 impliquées dans le développement placentaire et fœtal). En cas de nécessité absolue (vascularite à ANCA sévère avec menace du pronostic vital maternel, maladie de Still active réfractaire), peut être utilisé aux 1er et 2e trimestres avec arrêt obligatoire à 32 SA (immunosuppression néonatale transitoire). Les données publiées ne montrent pas d'augmentation du risque de malformations congénitales majeures.</w:t>
      </w:r>
    </w:p>
    <w:p>
      <w:pPr>
        <w:pStyle w:val="ListBullet"/>
      </w:pPr>
      <w:r/>
      <w:r>
        <w:rPr>
          <w:b/>
        </w:rPr>
        <w:t>Accouchement et nouveau-né</w:t>
      </w:r>
      <w:r>
        <w:t xml:space="preserve"> : vérifier le taux de lymphocytes B et T du nouveau-né si exposition au 3e trimestre, surveillance clinique néonatale accrue. </w:t>
      </w:r>
      <w:r>
        <w:rPr>
          <w:b/>
        </w:rPr>
        <w:t>Les vaccins vivants (BCG, ROR) sont contre-indiqués chez le nouveau-né pendant 6 mois après la dernière injection maternelle de tocilizumab</w:t>
      </w:r>
      <w:r>
        <w:t xml:space="preserve"> (la demi-vie est ~11 jours, washout ~5 mois).</w:t>
      </w:r>
    </w:p>
    <w:p>
      <w:pPr>
        <w:pStyle w:val="ListBullet"/>
      </w:pPr>
      <w:r/>
      <w:r>
        <w:rPr>
          <w:b/>
        </w:rPr>
        <w:t>Allaitement</w:t>
      </w:r>
      <w:r>
        <w:t xml:space="preserve"> : compatible selon le CRAT et l'OMS (faible passage dans le lait maternel, dégradation digestive des protéines par les enzymes gastriques du nourrisson). Surveillance clinique du nourrisson (fièvre, infection, retard staturo-pondéral).</w:t>
      </w:r>
    </w:p>
    <w:p>
      <w:pPr>
        <w:pStyle w:val="ListBullet"/>
      </w:pPr>
      <w:r/>
      <w:r>
        <w:rPr>
          <w:b/>
        </w:rPr>
        <w:t>Fertilité</w:t>
      </w:r>
      <w:r>
        <w:t xml:space="preserve"> : pas d'effet délétère démontré. Contraception efficace pendant le traitement et 10-20 semaines après l'arrêt. Chez l'homme : pas de contre-indication à la paternité.</w:t>
      </w:r>
    </w:p>
    <w:p>
      <w:pPr>
        <w:pStyle w:val="ListBullet"/>
      </w:pPr>
      <w:r/>
      <w:r>
        <w:rPr>
          <w:b/>
        </w:rPr>
        <w:t>Conseil préconceptionnel</w:t>
      </w:r>
      <w:r>
        <w:t xml:space="preserve"> : programmer l'arrêt du tocilizumab 10-20 semaines avant l'arrêt de la contraception. En cas de maladie active risquant de réactiver à l'arrêt, privilégier le </w:t>
      </w:r>
      <w:r>
        <w:rPr>
          <w:b/>
        </w:rPr>
        <w:t>certolizumab pegol</w:t>
      </w:r>
      <w:r>
        <w:t xml:space="preserve"> (seul anti-TNFα sans transfert placentaire actif via FcRn) ou la poursuite du tocilizumab jusqu'à 20-32 SA puis arrêt. Coordination pluridisciplinaire rhumatologue-obstétricien-pédiatre.</w:t>
      </w:r>
    </w:p>
    <w:p>
      <w:pPr>
        <w:pStyle w:val="Heading3"/>
      </w:pPr>
      <w:r>
        <w:t>152b.6.8 Posologie et Mode d'administration</w:t>
      </w:r>
    </w:p>
    <w:p>
      <w:pPr>
        <w:pStyle w:val="ListBullet"/>
      </w:pPr>
      <w:r/>
      <w:r>
        <w:rPr>
          <w:b/>
        </w:rPr>
        <w:t>Posologie adulte PR (forme IV)</w:t>
      </w:r>
      <w:r>
        <w:t xml:space="preserve"> : 8 mg/kg IV toutes les 4 semaines (max 800 mg par perfusion), en association au MTX ou en monothérapie. En cas de réponse insuffisante à 4-8 semaines (DAS28 &gt; 3,2), augmentation possible à 10 mg/kg toutes les 4 semaines (max 1000 mg par perfusion) ou raccourcissement de l'intervalle à 3 semaines.</w:t>
      </w:r>
    </w:p>
    <w:p>
      <w:pPr>
        <w:pStyle w:val="ListBullet"/>
      </w:pPr>
      <w:r/>
      <w:r>
        <w:rPr>
          <w:b/>
        </w:rPr>
        <w:t>Posologie adulte PR (forme SC)</w:t>
      </w:r>
      <w:r>
        <w:t xml:space="preserve"> : 162 mg SC toutes les 2 semaines en cas de poids &lt; 100 kg, puis 162 mg toutes les semaines en cas de réponse insuffisante ou de poids ≥ 100 kg. Possibilité de passer directement à 162 mg/sem en cas de maladie sévère.</w:t>
      </w:r>
    </w:p>
    <w:p>
      <w:pPr>
        <w:pStyle w:val="ListBullet"/>
      </w:pPr>
      <w:r/>
      <w:r>
        <w:rPr>
          <w:b/>
        </w:rPr>
        <w:t>Posologie adulte maladie de Still</w:t>
      </w:r>
      <w:r>
        <w:t xml:space="preserve"> : 8 mg/kg IV toutes les 4 semaines (max 800 mg par perfusion).</w:t>
      </w:r>
    </w:p>
    <w:p>
      <w:pPr>
        <w:pStyle w:val="ListBullet"/>
      </w:pPr>
      <w:r/>
      <w:r>
        <w:rPr>
          <w:b/>
        </w:rPr>
        <w:t>Posologie adulte vascularite à ANCA</w:t>
      </w:r>
      <w:r>
        <w:t xml:space="preserve"> : 8 mg/kg IV toutes les 4 semaines (max 800 mg par perfusion), en association au MTX.</w:t>
      </w:r>
    </w:p>
    <w:p>
      <w:pPr>
        <w:pStyle w:val="ListBullet"/>
      </w:pPr>
      <w:r/>
      <w:r>
        <w:rPr>
          <w:b/>
        </w:rPr>
        <w:t>Posologie enfant ACJ systémique &gt; 2 ans (forme IV)</w:t>
      </w:r>
      <w:r>
        <w:t xml:space="preserve"> : 8 mg/kg toutes les 2 semaines (max 400 mg pour &lt; 30 kg ; 8 mg/kg max 800 mg pour ≥ 30 kg).</w:t>
      </w:r>
    </w:p>
    <w:p>
      <w:pPr>
        <w:pStyle w:val="ListBullet"/>
      </w:pPr>
      <w:r/>
      <w:r>
        <w:rPr>
          <w:b/>
        </w:rPr>
        <w:t>Posologie enfant ACJ systémique &gt; 2 ans (forme SC)</w:t>
      </w:r>
      <w:r>
        <w:t xml:space="preserve"> : 162 mg/m² SC toutes les 2 semaines (max 162 mg), ou 162 mg SC toutes les 2 semaines si ≥ 30 kg.</w:t>
      </w:r>
    </w:p>
    <w:p>
      <w:pPr>
        <w:pStyle w:val="ListBullet"/>
      </w:pPr>
      <w:r/>
      <w:r>
        <w:rPr>
          <w:b/>
        </w:rPr>
        <w:t>Posologie adulte COVID-19 sévère</w:t>
      </w:r>
      <w:r>
        <w:t xml:space="preserve"> : 8 mg/kg IV en dose unique (max 800 mg), perfusion unique sur 1 heure, dans les 24-48 heures après admission en réanimation.</w:t>
      </w:r>
    </w:p>
    <w:p>
      <w:pPr>
        <w:pStyle w:val="ListBullet"/>
      </w:pPr>
      <w:r/>
      <w:r>
        <w:rPr>
          <w:b/>
        </w:rPr>
        <w:t>Voie d'administration IV</w:t>
      </w:r>
      <w:r>
        <w:t xml:space="preserve"> : perfusion IV stricte en milieu hospitalier, dilution dans 100 mL de NaCl 0,9 % (jamais glucose 5 %), perfusion sur 1 heure à travers tubulure avec filtre en ligne. Pas de bolus IV, pas d'IM, pas de SC pour la forme IV.</w:t>
      </w:r>
    </w:p>
    <w:p>
      <w:pPr>
        <w:pStyle w:val="ListBullet"/>
      </w:pPr>
      <w:r/>
      <w:r>
        <w:rPr>
          <w:b/>
        </w:rPr>
        <w:t>Voie d'administration SC</w:t>
      </w:r>
      <w:r>
        <w:t xml:space="preserve"> : sous-cutanée stricte, par seringue préremplie. Sites d'injection : face antérieure des cuisses, abdomen (à distance de l'ombilic). Rotation systématique des sites.</w:t>
      </w:r>
    </w:p>
    <w:p>
      <w:pPr>
        <w:pStyle w:val="ListBullet"/>
      </w:pPr>
      <w:r/>
      <w:r>
        <w:rPr>
          <w:b/>
        </w:rPr>
        <w:t>Prémédication</w:t>
      </w:r>
      <w:r>
        <w:t xml:space="preserve"> : non systématique (contrairement à l'infliximab), mais possible en cas d'antécédent de réaction à la perfusion (paracétamol + antihistaminique).</w:t>
      </w:r>
    </w:p>
    <w:p>
      <w:pPr>
        <w:pStyle w:val="ListBullet"/>
      </w:pPr>
      <w:r/>
      <w:r>
        <w:rPr>
          <w:b/>
        </w:rPr>
        <w:t>Conservation</w:t>
      </w:r>
      <w:r>
        <w:t xml:space="preserve"> : au réfrigérateur entre +2°C et +8°C, ne pas congeler. Après dilution : utilisation immédiate (max 24 h à +2°C/+8°C, perfusion commencée dans les 3 heures après dilution). Forme SC : conservation hors réfrigérateur possible à ≤ 25°C pendant max 4 semaines.</w:t>
      </w:r>
    </w:p>
    <w:p>
      <w:pPr>
        <w:pStyle w:val="ListBullet"/>
      </w:pPr>
      <w:r/>
      <w:r>
        <w:rPr>
          <w:b/>
        </w:rPr>
        <w:t>Durée du traitement</w:t>
      </w:r>
      <w:r>
        <w:t xml:space="preserve"> : indéterminée, évaluation annuelle du rapport bénéfice/risque.</w:t>
      </w:r>
    </w:p>
    <w:p>
      <w:pPr>
        <w:pStyle w:val="Heading3"/>
      </w:pPr>
      <w:r>
        <w:t>152b.6.9 Formes galéniques et choix thérapeutique</w:t>
      </w:r>
    </w:p>
    <w:p>
      <w:r>
        <w:t xml:space="preserve">Le tocilizumab est un anti-IL-6 de </w:t>
      </w:r>
      <w:r>
        <w:rPr>
          <w:b/>
        </w:rPr>
        <w:t>première intention</w:t>
      </w:r>
      <w:r>
        <w:t xml:space="preserve"> dans la PR en échec des anti-TNFα (EULAR 2022 : recommandé en alternative aux anti-TNFα après échec d'un premier DMARD conventionnel), la maladie de Still (adulte et pédiatrique), la vascularite à ANCA. Les critères de choix en faveur du tocilizumab sont :</w:t>
      </w:r>
    </w:p>
    <w:p>
      <w:pPr>
        <w:pStyle w:val="ListBullet"/>
      </w:pPr>
      <w:r/>
      <w:r>
        <w:rPr>
          <w:b/>
        </w:rPr>
        <w:t>Efficacité supérieure dans le syndrome inflammatoire biologique marqué</w:t>
      </w:r>
      <w:r>
        <w:t xml:space="preserve"> (CRP &gt; 30 mg/L, IL-6 élevée) — le tocilizumab normalise la CRP plus rapidement que les anti-TNFα.</w:t>
      </w:r>
    </w:p>
    <w:p>
      <w:pPr>
        <w:pStyle w:val="ListBullet"/>
      </w:pPr>
      <w:r/>
      <w:r>
        <w:rPr>
          <w:b/>
        </w:rPr>
        <w:t>Efficacité supérieure dans la maladie de Still</w:t>
      </w:r>
      <w:r>
        <w:t xml:space="preserve"> (maladie orpheline avec peu d'alternatives thérapeutiques).</w:t>
      </w:r>
    </w:p>
    <w:p>
      <w:pPr>
        <w:pStyle w:val="ListBullet"/>
      </w:pPr>
      <w:r/>
      <w:r>
        <w:rPr>
          <w:b/>
        </w:rPr>
        <w:t>Bénéfice dans la vascularite à ANCA</w:t>
      </w:r>
      <w:r>
        <w:t xml:space="preserve"> (alternative ou complément au cyclophosphamide).</w:t>
      </w:r>
    </w:p>
    <w:p>
      <w:pPr>
        <w:pStyle w:val="ListBullet"/>
      </w:pPr>
      <w:r/>
      <w:r>
        <w:rPr>
          <w:b/>
        </w:rPr>
        <w:t>Absence de signal cardiaque</w:t>
      </w:r>
      <w:r>
        <w:t xml:space="preserve"> (à la différence des anti-TNFα CI en cas d'IC NYHA III-IV).</w:t>
      </w:r>
    </w:p>
    <w:p>
      <w:pPr>
        <w:pStyle w:val="ListBullet"/>
      </w:pPr>
      <w:r/>
      <w:r>
        <w:rPr>
          <w:b/>
        </w:rPr>
        <w:t>Absence de signal démyélinisant</w:t>
      </w:r>
      <w:r>
        <w:t xml:space="preserve"> (à la différence des anti-TNFα).</w:t>
      </w:r>
    </w:p>
    <w:p>
      <w:pPr>
        <w:pStyle w:val="ListBullet"/>
      </w:pPr>
      <w:r/>
      <w:r>
        <w:rPr>
          <w:b/>
        </w:rPr>
        <w:t>Utilisation possible en cas d'antécédent de maladie démyélinisante</w:t>
      </w:r>
      <w:r>
        <w:t xml:space="preserve"> (SEP, névrite optique, myélite transverse).</w:t>
      </w:r>
    </w:p>
    <w:p>
      <w:pPr>
        <w:pStyle w:val="ListBullet"/>
      </w:pPr>
      <w:r/>
      <w:r>
        <w:rPr>
          <w:b/>
        </w:rPr>
        <w:t>Utilisation possible en cas d'insuffisance cardiaque NYHA III-IV</w:t>
      </w:r>
      <w:r>
        <w:t xml:space="preserve"> (alternative de choix aux anti-TNFα).</w:t>
      </w:r>
    </w:p>
    <w:p>
      <w:r>
        <w:t xml:space="preserve">Le tocilizumab est </w:t>
      </w:r>
      <w:r>
        <w:rPr>
          <w:b/>
        </w:rPr>
        <w:t>déconseillé</w:t>
      </w:r>
      <w:r>
        <w:t xml:space="preserve"> en cas de :</w:t>
      </w:r>
    </w:p>
    <w:p>
      <w:pPr>
        <w:pStyle w:val="ListBullet"/>
      </w:pPr>
      <w:r/>
      <w:r>
        <w:rPr>
          <w:b/>
        </w:rPr>
        <w:t>Antécédent de diverticulose ou de MICI</w:t>
      </w:r>
      <w:r>
        <w:t xml:space="preserve"> (signal de perforation digestive, incidence 0,2-0,5 pour 100 patients-années).</w:t>
      </w:r>
    </w:p>
    <w:p>
      <w:pPr>
        <w:pStyle w:val="ListBullet"/>
      </w:pPr>
      <w:r/>
      <w:r>
        <w:rPr>
          <w:b/>
        </w:rPr>
        <w:t>Cytolyse hépatique préexistante</w:t>
      </w:r>
      <w:r>
        <w:t xml:space="preserve"> (ALAT/ASAT &gt; 1,5× LSN).</w:t>
      </w:r>
    </w:p>
    <w:p>
      <w:pPr>
        <w:pStyle w:val="ListBullet"/>
      </w:pPr>
      <w:r/>
      <w:r>
        <w:rPr>
          <w:b/>
        </w:rPr>
        <w:t>Hypercholestérolémie non contrôlée</w:t>
      </w:r>
      <w:r>
        <w:t xml:space="preserve"> (LDL &gt; 100 mg/dL ou &gt; 70 mg/dL chez le patient à haut risque CV).</w:t>
      </w:r>
    </w:p>
    <w:p>
      <w:pPr>
        <w:pStyle w:val="ListBullet"/>
      </w:pPr>
      <w:r/>
      <w:r>
        <w:rPr>
          <w:b/>
        </w:rPr>
        <w:t>Grossesse au 3e trimestre</w:t>
      </w:r>
      <w:r>
        <w:t xml:space="preserve"> (CI, préférer certolizumab).</w:t>
      </w:r>
    </w:p>
    <w:p>
      <w:pPr>
        <w:pStyle w:val="ListBullet"/>
      </w:pPr>
      <w:r/>
      <w:r>
        <w:rPr>
          <w:b/>
        </w:rPr>
        <w:t>Insuffisance hépatique sévère</w:t>
      </w:r>
      <w:r>
        <w:t>.</w:t>
      </w:r>
    </w:p>
    <w:p>
      <w:pPr>
        <w:pStyle w:val="ListBullet"/>
      </w:pPr>
      <w:r/>
      <w:r>
        <w:rPr>
          <w:b/>
        </w:rPr>
        <w:t>Neutropénie préexistante</w:t>
      </w:r>
      <w:r>
        <w:t xml:space="preserve"> (&lt; 1,5 G/L).</w:t>
      </w:r>
    </w:p>
    <w:p>
      <w:r/>
      <w:r>
        <w:rPr>
          <w:b/>
        </w:rPr>
        <w:t>Choix entre forme IV et forme SC</w:t>
      </w:r>
      <w:r>
        <w:t xml:space="preserve"> : la forme IV est privilégiée en initiation (premières 12-24 semaines) pour surveillance hospitalière et éducation thérapeutique, puis relais par forme SC en entretien pour la commodité du patient. La forme SC est privilégiée en cas de maladie stabilisée, d'éloignement géographique du centre hospitalier, de préférence patient pour auto-administration. La forme IV est privilégiée en cas de maladie sévère avec syndrome inflammatoire marqué, en initiation pédiatrique, en cas d'effets indésirables aux injections SC.</w:t>
      </w:r>
    </w:p>
    <w:p>
      <w:pPr>
        <w:pStyle w:val="Heading3"/>
      </w:pPr>
      <w:r>
        <w:t>152b.6.10 Instructions au patient</w:t>
      </w:r>
    </w:p>
    <w:p>
      <w:pPr>
        <w:pStyle w:val="ListNumber"/>
      </w:pPr>
      <w:r/>
      <w:r>
        <w:rPr>
          <w:b/>
        </w:rPr>
        <w:t>Respecter la chaîne du froid</w:t>
      </w:r>
      <w:r>
        <w:t xml:space="preserve"> : conservation au réfrigérateur entre +2°C et +8°C. Sortir la seringue (forme SC) 15-30 min avant injection pour atteindre la température ambiante et réduire la douleur à l'injection.</w:t>
      </w:r>
    </w:p>
    <w:p>
      <w:pPr>
        <w:pStyle w:val="ListNumber"/>
      </w:pPr>
      <w:r/>
      <w:r>
        <w:rPr>
          <w:b/>
        </w:rPr>
        <w:t>Respecter le rythme d'administration</w:t>
      </w:r>
      <w:r>
        <w:t xml:space="preserve"> : IV toutes les 4 semaines (forme IV) ou SC toutes les 1-2 semaines (forme SC). Ne jamais doubler la dose en cas d'oubli ; si oubli &lt; 7 jours, injecter dès que possible, sinon contacter le rhumatologue.</w:t>
      </w:r>
    </w:p>
    <w:p>
      <w:pPr>
        <w:pStyle w:val="ListNumber"/>
      </w:pPr>
      <w:r/>
      <w:r>
        <w:rPr>
          <w:b/>
        </w:rPr>
        <w:t>Surveillance pendant la perfusion IV</w:t>
      </w:r>
      <w:r>
        <w:t xml:space="preserve"> : signaler immédiatement à l'infirmière tout symptôme (céphalées, flush, nausées, démangeaisons, essoufflement, vertiges).</w:t>
      </w:r>
    </w:p>
    <w:p>
      <w:pPr>
        <w:pStyle w:val="ListNumber"/>
      </w:pPr>
      <w:r/>
      <w:r>
        <w:rPr>
          <w:b/>
        </w:rPr>
        <w:t>Surveillance biologique stricte</w:t>
      </w:r>
      <w:r>
        <w:t xml:space="preserve"> : bilan sanguin mensuel pendant 6 mois puis trimestriel (NFS, bilan hépatique, bilan lipidique, CRP). Effectuer les prélèvements à jeun le matin.</w:t>
      </w:r>
    </w:p>
    <w:p>
      <w:pPr>
        <w:pStyle w:val="ListNumber"/>
      </w:pPr>
      <w:r/>
      <w:r>
        <w:rPr>
          <w:b/>
        </w:rPr>
        <w:t>Surveillance digestive</w:t>
      </w:r>
      <w:r>
        <w:t xml:space="preserve"> : signaler immédiatement toute douleur abdominale intense, fièvre associée, rectorragies, vomissements — arrêt immédiat et avis chirurgical urgent en cas de suspicion de perforation.</w:t>
      </w:r>
    </w:p>
    <w:p>
      <w:pPr>
        <w:pStyle w:val="ListNumber"/>
      </w:pPr>
      <w:r/>
      <w:r>
        <w:rPr>
          <w:b/>
        </w:rPr>
        <w:t>Surveillance tensionnelle</w:t>
      </w:r>
      <w:r>
        <w:t xml:space="preserve"> : mesure de la tension artérielle mensuelle les 3 premiers mois, puis trimestrielle. Consultation en cas de céphalées, vertiges, acouphènes.</w:t>
      </w:r>
    </w:p>
    <w:p>
      <w:pPr>
        <w:pStyle w:val="ListNumber"/>
      </w:pPr>
      <w:r/>
      <w:r>
        <w:rPr>
          <w:b/>
        </w:rPr>
        <w:t>Signes d'alerte à signaler immédiatement au médecin</w:t>
      </w:r>
      <w:r>
        <w:t xml:space="preserve"> : fièvre ≥ 38,5°C persistante &gt; 48 h, toux avec expectoration purulente, dyspnée, brûlures mictionnelles, douleur abdominale intense, ictère, asthénie marquée.</w:t>
      </w:r>
    </w:p>
    <w:p>
      <w:pPr>
        <w:pStyle w:val="ListNumber"/>
      </w:pPr>
      <w:r/>
      <w:r>
        <w:rPr>
          <w:b/>
        </w:rPr>
        <w:t>Précautions infectieuses</w:t>
      </w:r>
      <w:r>
        <w:t xml:space="preserve"> : éviter le contact avec les personnes malades, lavage des mains fréquent, éviter fromages au lait cru, charcuterie non cuite, viande crue, produits de la mer crus, œufs crus.</w:t>
      </w:r>
    </w:p>
    <w:p>
      <w:pPr>
        <w:pStyle w:val="ListNumber"/>
      </w:pPr>
      <w:r/>
      <w:r>
        <w:rPr>
          <w:b/>
        </w:rPr>
        <w:t>Vaccinations</w:t>
      </w:r>
      <w:r>
        <w:t xml:space="preserve"> : vaccin grippe saisonnière annuel, vaccin pneumocoque, vaccin COVID-19, vaccin zona Shingrix si &gt; 50 ans. </w:t>
      </w:r>
      <w:r>
        <w:rPr>
          <w:b/>
        </w:rPr>
        <w:t>Ne jamais recevoir un vaccin vivant</w:t>
      </w:r>
      <w:r>
        <w:t xml:space="preserve"> (BCG, ROR, fièvre jaune, varicelle, Zostavax) sans avis médical préalable.</w:t>
      </w:r>
    </w:p>
    <w:p>
      <w:pPr>
        <w:pStyle w:val="ListNumber"/>
      </w:pPr>
      <w:r/>
      <w:r>
        <w:rPr>
          <w:b/>
        </w:rPr>
        <w:t>Grossesse et contraception</w:t>
      </w:r>
      <w:r>
        <w:t xml:space="preserve"> : contraception efficace pendant le traitement et 10-20 semaines après l'arrêt. En cas de désir de grossesse, consulter le rhumatologue référent au moins 6 mois avant.</w:t>
      </w:r>
    </w:p>
    <w:p>
      <w:pPr>
        <w:pStyle w:val="ListNumber"/>
      </w:pPr>
      <w:r/>
      <w:r>
        <w:rPr>
          <w:b/>
        </w:rPr>
        <w:t>Interventions chirurgicales</w:t>
      </w:r>
      <w:r>
        <w:t xml:space="preserve"> : informer le chirurgien. Arrêt recommandé 4-8 semaines avant une chirurgie programmée (en particulier chirurgie digestive, cardiologique, orthopédique majeure).</w:t>
      </w:r>
    </w:p>
    <w:p>
      <w:pPr>
        <w:pStyle w:val="ListNumber"/>
      </w:pPr>
      <w:r/>
      <w:r>
        <w:rPr>
          <w:b/>
        </w:rPr>
        <w:t>Régime alimentaire</w:t>
      </w:r>
      <w:r>
        <w:t xml:space="preserve"> : en cas d'hypercholestérolémie sous tocilizumab, alimentation pauvre en graisses saturées et en cholestérol. Surveillance LDL à 4-8 semaines puis trimestrielle.</w:t>
      </w:r>
    </w:p>
    <w:p>
      <w:pPr>
        <w:pStyle w:val="Heading3"/>
      </w:pPr>
      <w:r>
        <w:t>152b.6.11 Notes / Règles d'or / Pièges</w:t>
      </w:r>
    </w:p>
    <w:p>
      <w:pPr>
        <w:pStyle w:val="ListBullet"/>
      </w:pPr>
      <w:r/>
      <w:r>
        <w:rPr>
          <w:b/>
        </w:rPr>
        <w:t>Règle d'or n°1</w:t>
      </w:r>
      <w:r>
        <w:t xml:space="preserve"> : Surveillance biologique renforcée les 6 premiers mois : NFS-plaquettes, bilan hépatique (ALAT/ASAT), bilan lipidique (LDL) </w:t>
      </w:r>
      <w:r>
        <w:rPr>
          <w:b/>
        </w:rPr>
        <w:t>mensuels</w:t>
      </w:r>
      <w:r>
        <w:t xml:space="preserve"> puis trimestriels.</w:t>
      </w:r>
    </w:p>
    <w:p>
      <w:pPr>
        <w:pStyle w:val="ListBullet"/>
      </w:pPr>
      <w:r/>
      <w:r>
        <w:rPr>
          <w:b/>
        </w:rPr>
        <w:t>Règle d'or n°2</w:t>
      </w:r>
      <w:r>
        <w:t xml:space="preserve"> : Prudence absolue en cas d'antécédent de diverticulose ou de MICI (signal de perforation digestive, incidence 0,2-0,5 pour 100 patients-années). Éducation du patient à signaler toute douleur abdominale intense.</w:t>
      </w:r>
    </w:p>
    <w:p>
      <w:pPr>
        <w:pStyle w:val="ListBullet"/>
      </w:pPr>
      <w:r/>
      <w:r>
        <w:rPr>
          <w:b/>
        </w:rPr>
        <w:t>Règle d'or n°3</w:t>
      </w:r>
      <w:r>
        <w:t xml:space="preserve"> : Utilisation de choix en cas d'insuffisance cardiaque NYHA III-IV ou d'antécédent de maladie démyélinisante (pas de signal, à la différence des anti-TNFα).</w:t>
      </w:r>
    </w:p>
    <w:p>
      <w:pPr>
        <w:pStyle w:val="ListBullet"/>
      </w:pPr>
      <w:r/>
      <w:r>
        <w:rPr>
          <w:b/>
        </w:rPr>
        <w:t>Règle d'or n°4</w:t>
      </w:r>
      <w:r>
        <w:t xml:space="preserve"> : Utilisation de choix en cas de syndrome inflammatoire biologique marqué (CRP &gt; 30 mg/L).</w:t>
      </w:r>
    </w:p>
    <w:p>
      <w:pPr>
        <w:pStyle w:val="ListBullet"/>
      </w:pPr>
      <w:r/>
      <w:r>
        <w:rPr>
          <w:b/>
        </w:rPr>
        <w:t>Règle d'or n°5</w:t>
      </w:r>
      <w:r>
        <w:t xml:space="preserve"> : Dépistage tuberculose pré-thérapeutique systématique (incidence TB 0,1-0,3 pour 100 patients-années, plus rare que les anti-TNFα mais non nulle).</w:t>
      </w:r>
    </w:p>
    <w:p>
      <w:pPr>
        <w:pStyle w:val="ListBullet"/>
      </w:pPr>
      <w:r/>
      <w:r>
        <w:rPr>
          <w:b/>
        </w:rPr>
        <w:t>Piège n°1 — Normalisation rapide de la CRP</w:t>
      </w:r>
      <w:r>
        <w:t xml:space="preserve"> : la CRP se normalise dès la première perfusion (baisse &gt; 80 % à 1 semaine), ce qui peut masquer une infection sous-jacente. Ne pas se fier uniquement à la CRP pour le diagnostic d'infection (clinique prédominante).</w:t>
      </w:r>
    </w:p>
    <w:p>
      <w:pPr>
        <w:pStyle w:val="ListBullet"/>
      </w:pPr>
      <w:r/>
      <w:r>
        <w:rPr>
          <w:b/>
        </w:rPr>
        <w:t>Piège n°2 — Adaptation posologique biologique</w:t>
      </w:r>
      <w:r>
        <w:t xml:space="preserve"> : en cas d'ALAT/ASAT &gt; 1-3× LSN, surveillance accrue et dose réduite de 50 % ; &gt; 3-5× LSN, arrêt temporaire ; &gt; 5× LSN, arrêt définitif. Idem pour neutropénie (1-1,5 G/L : dose réduite ; 0,5-1 G/L : arrêt temporaire ; &lt; 0,5 G/L : arrêt définitif).</w:t>
      </w:r>
    </w:p>
    <w:p>
      <w:pPr>
        <w:pStyle w:val="ListBullet"/>
      </w:pPr>
      <w:r/>
      <w:r>
        <w:rPr>
          <w:b/>
        </w:rPr>
        <w:t>Piège n°3 — Hypercholestérolémie</w:t>
      </w:r>
      <w:r>
        <w:t xml:space="preserve"> : élévation du LDL chez 20-30 % des patients, parfois marquée (&gt; 100 mg/dL). Intervention par statine si LDL &gt; 100 mg/dL (ou &gt; 70 mg/dL chez le patient à haut risque CV).</w:t>
      </w:r>
    </w:p>
    <w:p>
      <w:pPr>
        <w:pStyle w:val="ListBullet"/>
      </w:pPr>
      <w:r/>
      <w:r>
        <w:rPr>
          <w:b/>
        </w:rPr>
        <w:t>Piège n°4 — Réaction à la perfusion</w:t>
      </w:r>
      <w:r>
        <w:t xml:space="preserve"> : prémédication non systématique, mais ralentir la perfusion en cas de réaction. Surveillance vitale pendant et 1 heure après.</w:t>
      </w:r>
    </w:p>
    <w:p>
      <w:pPr>
        <w:pStyle w:val="ListBullet"/>
      </w:pPr>
      <w:r/>
      <w:r>
        <w:rPr>
          <w:b/>
        </w:rPr>
        <w:t>Piège n°5 — Conservation</w:t>
      </w:r>
      <w:r>
        <w:t xml:space="preserve"> : un tocilizumab IV dilué doit être perfusé dans les 3 heures. Forme SC : conservation hors réfrigérateur possible 4 semaines max à ≤ 25°C.</w:t>
      </w:r>
    </w:p>
    <w:p>
      <w:pPr>
        <w:pStyle w:val="ListBullet"/>
      </w:pPr>
      <w:r/>
      <w:r>
        <w:rPr>
          <w:b/>
        </w:rPr>
        <w:t>Piège n°6 — Grossesse</w:t>
      </w:r>
      <w:r>
        <w:t xml:space="preserve"> : à éviter par prudence pendant toute la grossesse, en particulier au 3e trimestre (immunosuppression néonatale). Préférer le certolizumab si anti-TNFα nécessaire.</w:t>
      </w:r>
    </w:p>
    <w:p>
      <w:pPr>
        <w:pStyle w:val="ListBullet"/>
      </w:pPr>
      <w:r/>
      <w:r>
        <w:rPr>
          <w:b/>
        </w:rPr>
        <w:t>Piège n°7 — Candidose muqueuse sous-jacente</w:t>
      </w:r>
      <w:r>
        <w:t xml:space="preserve"> : surveiller une candidose oropharyngée ou vulvo-vaginale (signal moins marqué que pour les anti-IL-17 mais présent).</w:t>
      </w:r>
    </w:p>
    <w:p>
      <w:pPr>
        <w:pStyle w:val="Heading2"/>
      </w:pPr>
      <w:r>
        <w:t>152b.7 DCI : Rituximab</w:t>
      </w:r>
    </w:p>
    <w:p>
      <w:pPr>
        <w:pStyle w:val="Heading3"/>
      </w:pPr>
      <w:r>
        <w:t>152b.7.1 Catégories et Liste</w:t>
      </w:r>
    </w:p>
    <w:p>
      <w:pPr>
        <w:pStyle w:val="ListBullet"/>
      </w:pPr>
      <w:r/>
      <w:r>
        <w:rPr>
          <w:b/>
        </w:rPr>
        <w:t>Classe pharmacothérapeutique</w:t>
      </w:r>
      <w:r>
        <w:t xml:space="preserve"> : Immunodépresseur, anticorps monoclonal anti-CD20 chimérique murin-humanisé IgG1κ (Code ATC : L04AC02). Antinéoplasique (agent cytotoxique, code ATC : L01XC02).</w:t>
      </w:r>
    </w:p>
    <w:p>
      <w:pPr>
        <w:pStyle w:val="ListBullet"/>
      </w:pPr>
      <w:r/>
      <w:r>
        <w:rPr>
          <w:b/>
        </w:rPr>
        <w:t>Mode d'accès</w:t>
      </w:r>
      <w:r>
        <w:t xml:space="preserve"> : Liste I, prescription initiale hospitalière réservée aux spécialistes en rhumatologie, hématologie, néphrologie, neurologie, médecine interne. Administration IV stricte en milieu hospitalier (service de jour ou service conventionnel) avec surveillance médicale pendant et 1-2 h après la perfusion. Renouvellement en milieu hospitalier uniquement.</w:t>
      </w:r>
    </w:p>
    <w:p>
      <w:pPr>
        <w:pStyle w:val="ListBullet"/>
      </w:pPr>
      <w:r/>
      <w:r>
        <w:rPr>
          <w:b/>
        </w:rPr>
        <w:t>Agrément conventionnel</w:t>
      </w:r>
      <w:r>
        <w:t xml:space="preserve"> : Médicament remboursable par la CNAS/CASNOS dans la PR active sévère en échec des anti-TNFα (en association au MTX), la vascularite à ANCA (granulomatose avec polyangéite et polyangéite microscopique), le lupus érythémateux systémique avec néphropathie lupique proliférative, et les hémopathies B (lymphomes non hodgkiniens B, leucémie lymphoïde chronique).</w:t>
      </w:r>
    </w:p>
    <w:p>
      <w:pPr>
        <w:pStyle w:val="ListBullet"/>
      </w:pPr>
      <w:r/>
      <w:r>
        <w:rPr>
          <w:b/>
        </w:rPr>
        <w:t>Statut réglementaire Algérie</w:t>
      </w:r>
      <w:r>
        <w:t xml:space="preserve"> : Médicament soumis à prescription restreinte, surveillance post-AMM renforcée (PMS). Pas de délivrance en officine de ville — délivrance exclusive hospitalière.</w:t>
      </w:r>
    </w:p>
    <w:p>
      <w:pPr>
        <w:pStyle w:val="Heading3"/>
      </w:pPr>
      <w:r>
        <w:t>152b.7.2 Médicaments disponibles en Algérie (tableau des spécialités commercialisées)</w:t>
      </w:r>
    </w:p>
    <w:p>
      <w:r>
        <w:t>Le rituximab est commercialisé en Algérie sous 6 marques actives (princeps + 5 biosimilaires, dont 1 production locale SAIDAL) en solutions concentrées à diluer pour perfusion IV, au 1er avril 2026. Une septième marque (KIKUZUBAM de Pharmaghreb) a été RETIRÉE du marché algérien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MABTHERA</w:t>
            </w:r>
          </w:p>
        </w:tc>
        <w:tc>
          <w:tcPr>
            <w:tcW w:type="dxa" w:w="1559"/>
          </w:tcPr>
          <w:p>
            <w:r>
              <w:rPr>
                <w:sz w:val="20"/>
              </w:rPr>
              <w:t>ROCHE PHARMA (SCHWEIZ) LTD</w:t>
            </w:r>
          </w:p>
        </w:tc>
        <w:tc>
          <w:tcPr>
            <w:tcW w:type="dxa" w:w="1559"/>
          </w:tcPr>
          <w:p>
            <w:r>
              <w:rPr>
                <w:sz w:val="20"/>
              </w:rPr>
              <w:t>Solution concentrée à diluer pour perfusion IV — 10 mg/mL (100 mg/10 mL et 500 mg/50 mL)</w:t>
            </w:r>
          </w:p>
        </w:tc>
        <w:tc>
          <w:tcPr>
            <w:tcW w:type="dxa" w:w="1559"/>
          </w:tcPr>
          <w:p>
            <w:r>
              <w:rPr>
                <w:sz w:val="20"/>
              </w:rPr>
              <w:t>B/2 flacons de 10 mL + B/1 flacon de 50 mL</w:t>
            </w:r>
          </w:p>
        </w:tc>
        <w:tc>
          <w:tcPr>
            <w:tcW w:type="dxa" w:w="1559"/>
          </w:tcPr>
          <w:p>
            <w:r>
              <w:rPr>
                <w:sz w:val="20"/>
              </w:rPr>
              <w:t>Liste I</w:t>
            </w:r>
          </w:p>
        </w:tc>
        <w:tc>
          <w:tcPr>
            <w:tcW w:type="dxa" w:w="1559"/>
          </w:tcPr>
          <w:p>
            <w:r>
              <w:rPr>
                <w:sz w:val="20"/>
              </w:rPr>
              <w:t>Actif</w:t>
            </w:r>
          </w:p>
        </w:tc>
      </w:tr>
      <w:tr>
        <w:tc>
          <w:tcPr>
            <w:tcW w:type="dxa" w:w="1559"/>
          </w:tcPr>
          <w:p>
            <w:r>
              <w:rPr>
                <w:sz w:val="20"/>
              </w:rPr>
              <w:t>RITUXIMAB-SAIDAL</w:t>
            </w:r>
          </w:p>
        </w:tc>
        <w:tc>
          <w:tcPr>
            <w:tcW w:type="dxa" w:w="1559"/>
          </w:tcPr>
          <w:p>
            <w:r>
              <w:rPr>
                <w:sz w:val="20"/>
              </w:rPr>
              <w:t>GROUPE SAIDAL</w:t>
            </w:r>
          </w:p>
        </w:tc>
        <w:tc>
          <w:tcPr>
            <w:tcW w:type="dxa" w:w="1559"/>
          </w:tcPr>
          <w:p>
            <w:r>
              <w:rPr>
                <w:sz w:val="20"/>
              </w:rPr>
              <w:t>Solution concentrée à diluer pour perfusion IV — 10 mg/mL</w:t>
            </w:r>
          </w:p>
        </w:tc>
        <w:tc>
          <w:tcPr>
            <w:tcW w:type="dxa" w:w="1559"/>
          </w:tcPr>
          <w:p>
            <w:r>
              <w:rPr>
                <w:sz w:val="20"/>
              </w:rPr>
              <w:t>Boîte de 01 flacon de 50 mL (500 mg/50 mL) + Boîte de 02 flacons de 10 mL (100 mg/10 mL)</w:t>
            </w:r>
          </w:p>
        </w:tc>
        <w:tc>
          <w:tcPr>
            <w:tcW w:type="dxa" w:w="1559"/>
          </w:tcPr>
          <w:p>
            <w:r>
              <w:rPr>
                <w:sz w:val="20"/>
              </w:rPr>
              <w:t>Liste I</w:t>
            </w:r>
          </w:p>
        </w:tc>
        <w:tc>
          <w:tcPr>
            <w:tcW w:type="dxa" w:w="1559"/>
          </w:tcPr>
          <w:p>
            <w:r>
              <w:rPr>
                <w:sz w:val="20"/>
              </w:rPr>
              <w:t>Actif</w:t>
            </w:r>
          </w:p>
        </w:tc>
      </w:tr>
      <w:tr>
        <w:tc>
          <w:tcPr>
            <w:tcW w:type="dxa" w:w="1559"/>
          </w:tcPr>
          <w:p>
            <w:r>
              <w:rPr>
                <w:sz w:val="20"/>
              </w:rPr>
              <w:t>TRUXIMA</w:t>
            </w:r>
          </w:p>
        </w:tc>
        <w:tc>
          <w:tcPr>
            <w:tcW w:type="dxa" w:w="1559"/>
          </w:tcPr>
          <w:p>
            <w:r>
              <w:rPr>
                <w:sz w:val="20"/>
              </w:rPr>
              <w:t>HIKMA PHARMA ALGERIA</w:t>
            </w:r>
          </w:p>
        </w:tc>
        <w:tc>
          <w:tcPr>
            <w:tcW w:type="dxa" w:w="1559"/>
          </w:tcPr>
          <w:p>
            <w:r>
              <w:rPr>
                <w:sz w:val="20"/>
              </w:rPr>
              <w:t>Solution concentrée à diluer pour perfusion IV — 10 mg/mL</w:t>
            </w:r>
          </w:p>
        </w:tc>
        <w:tc>
          <w:tcPr>
            <w:tcW w:type="dxa" w:w="1559"/>
          </w:tcPr>
          <w:p>
            <w:r>
              <w:rPr>
                <w:sz w:val="20"/>
              </w:rPr>
              <w:t>Boîte de 1 flacon de 50 mL (500 mg/50 mL) + Boîte de 2 flacons de 10 mL (100 mg/10 mL)</w:t>
            </w:r>
          </w:p>
        </w:tc>
        <w:tc>
          <w:tcPr>
            <w:tcW w:type="dxa" w:w="1559"/>
          </w:tcPr>
          <w:p>
            <w:r>
              <w:rPr>
                <w:sz w:val="20"/>
              </w:rPr>
              <w:t>Liste I</w:t>
            </w:r>
          </w:p>
        </w:tc>
        <w:tc>
          <w:tcPr>
            <w:tcW w:type="dxa" w:w="1559"/>
          </w:tcPr>
          <w:p>
            <w:r>
              <w:rPr>
                <w:sz w:val="20"/>
              </w:rPr>
              <w:t>Actif</w:t>
            </w:r>
          </w:p>
        </w:tc>
      </w:tr>
      <w:tr>
        <w:tc>
          <w:tcPr>
            <w:tcW w:type="dxa" w:w="1559"/>
          </w:tcPr>
          <w:p>
            <w:r>
              <w:rPr>
                <w:sz w:val="20"/>
              </w:rPr>
              <w:t>RIXATHON</w:t>
            </w:r>
          </w:p>
        </w:tc>
        <w:tc>
          <w:tcPr>
            <w:tcW w:type="dxa" w:w="1559"/>
          </w:tcPr>
          <w:p>
            <w:r>
              <w:rPr>
                <w:sz w:val="20"/>
              </w:rPr>
              <w:t>SANDOZ GMBH AUTRICHE</w:t>
            </w:r>
          </w:p>
        </w:tc>
        <w:tc>
          <w:tcPr>
            <w:tcW w:type="dxa" w:w="1559"/>
          </w:tcPr>
          <w:p>
            <w:r>
              <w:rPr>
                <w:sz w:val="20"/>
              </w:rPr>
              <w:t>Solution concentrée à diluer pour perfusion IV — 10 mg/mL</w:t>
            </w:r>
          </w:p>
        </w:tc>
        <w:tc>
          <w:tcPr>
            <w:tcW w:type="dxa" w:w="1559"/>
          </w:tcPr>
          <w:p>
            <w:r>
              <w:rPr>
                <w:sz w:val="20"/>
              </w:rPr>
              <w:t>B/2 flacons de 10 mL (100 mg/10 mL) + B/1 flacon de 50 mL (500 mg/50 mL)</w:t>
            </w:r>
          </w:p>
        </w:tc>
        <w:tc>
          <w:tcPr>
            <w:tcW w:type="dxa" w:w="1559"/>
          </w:tcPr>
          <w:p>
            <w:r>
              <w:rPr>
                <w:sz w:val="20"/>
              </w:rPr>
              <w:t>Liste I</w:t>
            </w:r>
          </w:p>
        </w:tc>
        <w:tc>
          <w:tcPr>
            <w:tcW w:type="dxa" w:w="1559"/>
          </w:tcPr>
          <w:p>
            <w:r>
              <w:rPr>
                <w:sz w:val="20"/>
              </w:rPr>
              <w:t>Actif</w:t>
            </w:r>
          </w:p>
        </w:tc>
      </w:tr>
      <w:tr>
        <w:tc>
          <w:tcPr>
            <w:tcW w:type="dxa" w:w="1559"/>
          </w:tcPr>
          <w:p>
            <w:r>
              <w:rPr>
                <w:sz w:val="20"/>
              </w:rPr>
              <w:t>RUXIENCE</w:t>
            </w:r>
          </w:p>
        </w:tc>
        <w:tc>
          <w:tcPr>
            <w:tcW w:type="dxa" w:w="1559"/>
          </w:tcPr>
          <w:p>
            <w:r>
              <w:rPr>
                <w:sz w:val="20"/>
              </w:rPr>
              <w:t>PFIZER EUROPE MA EEIG</w:t>
            </w:r>
          </w:p>
        </w:tc>
        <w:tc>
          <w:tcPr>
            <w:tcW w:type="dxa" w:w="1559"/>
          </w:tcPr>
          <w:p>
            <w:r>
              <w:rPr>
                <w:sz w:val="20"/>
              </w:rPr>
              <w:t>Solution concentrée à diluer pour perfusion IV — 10 mg/mL</w:t>
            </w:r>
          </w:p>
        </w:tc>
        <w:tc>
          <w:tcPr>
            <w:tcW w:type="dxa" w:w="1559"/>
          </w:tcPr>
          <w:p>
            <w:r>
              <w:rPr>
                <w:sz w:val="20"/>
              </w:rPr>
              <w:t>1 flacon de 10 mL (100 mg/10 mL) + 1 flacon de 50 mL (500 mg/50 mL)</w:t>
            </w:r>
          </w:p>
        </w:tc>
        <w:tc>
          <w:tcPr>
            <w:tcW w:type="dxa" w:w="1559"/>
          </w:tcPr>
          <w:p>
            <w:r>
              <w:rPr>
                <w:sz w:val="20"/>
              </w:rPr>
              <w:t>Liste I</w:t>
            </w:r>
          </w:p>
        </w:tc>
        <w:tc>
          <w:tcPr>
            <w:tcW w:type="dxa" w:w="1559"/>
          </w:tcPr>
          <w:p>
            <w:r>
              <w:rPr>
                <w:sz w:val="20"/>
              </w:rPr>
              <w:t>Actif</w:t>
            </w:r>
          </w:p>
        </w:tc>
      </w:tr>
      <w:tr>
        <w:tc>
          <w:tcPr>
            <w:tcW w:type="dxa" w:w="1559"/>
          </w:tcPr>
          <w:p>
            <w:r>
              <w:rPr>
                <w:sz w:val="20"/>
              </w:rPr>
              <w:t>REDDITUX</w:t>
            </w:r>
          </w:p>
        </w:tc>
        <w:tc>
          <w:tcPr>
            <w:tcW w:type="dxa" w:w="1559"/>
          </w:tcPr>
          <w:p>
            <w:r>
              <w:rPr>
                <w:sz w:val="20"/>
              </w:rPr>
              <w:t>ORION LAB</w:t>
            </w:r>
          </w:p>
        </w:tc>
        <w:tc>
          <w:tcPr>
            <w:tcW w:type="dxa" w:w="1559"/>
          </w:tcPr>
          <w:p>
            <w:r>
              <w:rPr>
                <w:sz w:val="20"/>
              </w:rPr>
              <w:t>Solution concentrée à diluer pour perfusion IV — 10 mg/mL</w:t>
            </w:r>
          </w:p>
        </w:tc>
        <w:tc>
          <w:tcPr>
            <w:tcW w:type="dxa" w:w="1559"/>
          </w:tcPr>
          <w:p>
            <w:r>
              <w:rPr>
                <w:sz w:val="20"/>
              </w:rPr>
              <w:t>1 flacon de 10 mL (100 mg/10 mL) + 1 flacon de 50 mL (500 mg/50 mL)</w:t>
            </w:r>
          </w:p>
        </w:tc>
        <w:tc>
          <w:tcPr>
            <w:tcW w:type="dxa" w:w="1559"/>
          </w:tcPr>
          <w:p>
            <w:r>
              <w:rPr>
                <w:sz w:val="20"/>
              </w:rPr>
              <w:t>Liste I</w:t>
            </w:r>
          </w:p>
        </w:tc>
        <w:tc>
          <w:tcPr>
            <w:tcW w:type="dxa" w:w="1559"/>
          </w:tcPr>
          <w:p>
            <w:r>
              <w:rPr>
                <w:sz w:val="20"/>
              </w:rPr>
              <w:t>Actif</w:t>
            </w:r>
          </w:p>
        </w:tc>
      </w:tr>
      <w:tr>
        <w:tc>
          <w:tcPr>
            <w:tcW w:type="dxa" w:w="1559"/>
          </w:tcPr>
          <w:p>
            <w:r>
              <w:rPr>
                <w:sz w:val="20"/>
              </w:rPr>
              <w:t>KIKUZUBAM</w:t>
            </w:r>
          </w:p>
        </w:tc>
        <w:tc>
          <w:tcPr>
            <w:tcW w:type="dxa" w:w="1559"/>
          </w:tcPr>
          <w:p>
            <w:r>
              <w:rPr>
                <w:sz w:val="20"/>
              </w:rPr>
              <w:t>PHARMAGHREB</w:t>
            </w:r>
          </w:p>
        </w:tc>
        <w:tc>
          <w:tcPr>
            <w:tcW w:type="dxa" w:w="1559"/>
          </w:tcPr>
          <w:p>
            <w:r>
              <w:rPr>
                <w:sz w:val="20"/>
              </w:rPr>
              <w:t>Solution à diluer pour perf. IV — 10 mg/mL (100 mg/10 mL et 500 mg/50 mL)</w:t>
            </w:r>
          </w:p>
        </w:tc>
        <w:tc>
          <w:tcPr>
            <w:tcW w:type="dxa" w:w="1559"/>
          </w:tcPr>
          <w:p>
            <w:r>
              <w:rPr>
                <w:sz w:val="20"/>
              </w:rPr>
              <w:t>B/2 flacons de 10 mL + B/1 flacon de 50 mL</w:t>
            </w:r>
          </w:p>
        </w:tc>
        <w:tc>
          <w:tcPr>
            <w:tcW w:type="dxa" w:w="1559"/>
          </w:tcPr>
          <w:p>
            <w:r>
              <w:rPr>
                <w:sz w:val="20"/>
              </w:rPr>
              <w:t>Liste I</w:t>
            </w:r>
          </w:p>
        </w:tc>
        <w:tc>
          <w:tcPr>
            <w:tcW w:type="dxa" w:w="1559"/>
          </w:tcPr>
          <w:p>
            <w:r>
              <w:rPr>
                <w:sz w:val="20"/>
              </w:rPr>
              <w:t>**Retrait**</w:t>
            </w:r>
          </w:p>
        </w:tc>
      </w:tr>
    </w:tbl>
    <w:p/>
    <w:p>
      <w:r/>
      <w:r>
        <w:rPr>
          <w:i/>
        </w:rPr>
        <w:t>(Note : MABTHERA (Roche Pharma Schweiz) est le princeps originel, premier anticorps monoclonal anti-CD20 commercialisé au monde (1997 FDA pour lymphomes B, 2006 EMA pour PR). Les 5 biosimilaires disponibles en Algérie sont RITUXIMAB-SAIDAL (Groupe SAIDAL, production locale algérienne), TRUXIMA (Hikma Pharma Algeria, en collaboration avec Celltrion), RIXATHON (Sandoz/Novartis), RUXIENCE (Pfizer), REDDITUX (Orion Lab). KIKUZUBAM (Pharmaghreb) a été RETIRÉ du marché algérien — à ne pas délivrer. La diversité des biosimilaires (5 en Algérie) permet une accessibilité économique élargie (coût 25 000-45 000 DA par cure de 2 g vs 50 000-80 000 DA pour le princeps MABTHERA). Tous les conditionnements sont en flacons de 100 mg/10 mL ou 500 mg/50 mL de solution concentrée à 10 mg/mL à diluer dans 250-500 mL de NaCl 0,9 % ou glucose 5 % pour perfusion IV lente sur 2-6 heures.)</w:t>
      </w:r>
      <w:r/>
    </w:p>
    <w:p>
      <w:pPr>
        <w:pStyle w:val="Heading3"/>
      </w:pPr>
      <w:r>
        <w:t>152b.7.3 Sous-classe et Mécanisme d'action</w:t>
      </w:r>
    </w:p>
    <w:p>
      <w:r>
        <w:t xml:space="preserve">Le rituximab appartient à la sous-classe des </w:t>
      </w:r>
      <w:r>
        <w:rPr>
          <w:b/>
        </w:rPr>
        <w:t>anti-CD20 (anticorps monoclonaux anti-CD20)</w:t>
      </w:r>
      <w:r>
        <w:t>, représentée uniquement par le rituximab en Algérie (les autres anti-CD20 comme ocrelizumab, ofatumumab, obinutuzumab ne sont pas commercialisés en Algérie pour indication rhumatologique). C'est un anticorps monoclonal IgG1κ chimérique murin-humanisé (~50 % humain, ~50 % murin — moins humanisé que le tocilizumab, ce qui explique une immunogénicité résiduelle plus marquée et un taux plus élevé de réactions à la perfusion). Le rituximab reconnaît un épitope conformationnel situé dans la grande boucle extracellulaire 2 (large extracellular loop 2, amino-acides 170-182) de la protéine CD20 (MS4A1, 33-37 kDa, 4 domaines transmembranaires), exprimée à la surface des lymphocytes B pré-B matures à mémoire B (mais absente des cellules souches hématopoïétiques, des pro-B et des plasmocytes matures).</w:t>
      </w:r>
    </w:p>
    <w:p>
      <w:r/>
      <w:r>
        <w:rPr>
          <w:b/>
        </w:rPr>
        <w:t>Mécanisme d'action moléculaire</w:t>
      </w:r>
      <w:r>
        <w:t xml:space="preserve"> : le rituximab exerce son effet cytotoxique sur les lymphocytes B par </w:t>
      </w:r>
      <w:r>
        <w:rPr>
          <w:b/>
        </w:rPr>
        <w:t>trois mécanismes complémentaires</w:t>
      </w:r>
      <w:r>
        <w:t xml:space="preserve"> :</w:t>
      </w:r>
    </w:p>
    <w:p>
      <w:pPr>
        <w:pStyle w:val="ListNumber"/>
      </w:pPr>
      <w:r/>
      <w:r>
        <w:rPr>
          <w:b/>
        </w:rPr>
        <w:t>Cytotoxicité dépendante du complément (CDC)</w:t>
      </w:r>
      <w:r>
        <w:t xml:space="preserve"> : liaison du fragment Fc du rituximab à C1q → activation de la cascade du complément classique → formation du complexe d'attaque membranaire C5b-9 (MAC) → lyse osmotique du lymphocyte B.</w:t>
      </w:r>
    </w:p>
    <w:p>
      <w:pPr>
        <w:pStyle w:val="ListNumber"/>
      </w:pPr>
      <w:r/>
      <w:r>
        <w:rPr>
          <w:b/>
        </w:rPr>
        <w:t>Cytotoxicité cellulaire dépendante des anticorps (ADCC)</w:t>
      </w:r>
      <w:r>
        <w:t xml:space="preserve"> : liaison du fragment Fc au récepteur FcγRIIIa (CD16) des cellules NK et macrophages → libération de perforines et granzymes → apoptose du lymphocyte B.</w:t>
      </w:r>
    </w:p>
    <w:p>
      <w:pPr>
        <w:pStyle w:val="ListNumber"/>
      </w:pPr>
      <w:r/>
      <w:r>
        <w:rPr>
          <w:b/>
        </w:rPr>
        <w:t>Induction directe de l'apoptose</w:t>
      </w:r>
      <w:r>
        <w:t xml:space="preserve"> : la liaison CD20 + rituximab active les voies de signalisation intracellulaire pro-apoptotiques (caspase 3, BAX/BCL-2).</w:t>
      </w:r>
    </w:p>
    <w:p>
      <w:r/>
      <w:r>
        <w:rPr>
          <w:b/>
        </w:rPr>
        <w:t>Conséquences pharmacodynamiques cliniques</w:t>
      </w:r>
      <w:r>
        <w:t xml:space="preserve"> : (i) </w:t>
      </w:r>
      <w:r>
        <w:rPr>
          <w:b/>
        </w:rPr>
        <w:t>déplétion lymphocytaire B sanguine brutale</w:t>
      </w:r>
      <w:r>
        <w:t xml:space="preserve"> à J7-J14 après la première perfusion (chute &gt; 95 % des lymphocytes B CD19+ circulants), profonde et prolongée (6-12 mois) ; (ii) </w:t>
      </w:r>
      <w:r>
        <w:rPr>
          <w:b/>
        </w:rPr>
        <w:t>normalisation retardée de la CRP</w:t>
      </w:r>
      <w:r>
        <w:t xml:space="preserve"> à 3-6 mois (plus lente que les anti-TNFα et anti-IL-6) ; (iii) </w:t>
      </w:r>
      <w:r>
        <w:rPr>
          <w:b/>
        </w:rPr>
        <w:t>baisse retardée des auto-anticorps</w:t>
      </w:r>
      <w:r>
        <w:t xml:space="preserve"> (FR, anti-CCP) à 3-6 mois (les plasmocytes courts-vivants sont éliminés mais les plasmocytes long-vivants médullaires persistent — d'où la persistance d'un FR résiduel) ; (iv) réduction du nombre d'articulations gonflées et douloureuses (essai DANCER : ACR20 55 % à 24 semaines vs 28 % placebo, en association au MTX ; essai REFLEX : ACR20 51 % à 24 semaines en échec des anti-TNFα) ; (v) prévention de la progression radiographique (réduction de 50 % du score de Sharp modifié à 1 an) ; (vi) efficacité dans la vascularite à ANCA (essai RAVE : rémission BVAS=0 à 6 mois 64 % rituximab vs 53 % cyclophosphamide, supériorité en cas de rechute) ; (vii) efficacité dans la néphropathie lupique proliférative (essai LUNAR : réponse rénale complète 26 % rituximab vs 14 % placebo à 12 mois, supériorité non significative mais utile en cas d'échec des immunosuppresseurs conventionnels).</w:t>
      </w:r>
    </w:p>
    <w:p>
      <w:r/>
      <w:r>
        <w:rPr>
          <w:b/>
        </w:rPr>
        <w:t>Particularité pharmacocinétique</w:t>
      </w:r>
      <w:r>
        <w:t xml:space="preserve"> : la demi-vie plasmatique du rituximab est de 18-22 jours après la première perfusion, allongée à 22-30 jours après la deuxième perfusion (effet de saturation des cibles CD20). La clairance dépend de la masse tumorale/répartition lymphocytaire B (plus rapide en cas de lymphome à forte masse tumorale). Le volume de distribution est limité au compartiment plasmatique (~5-7 L). Biodisponibilité : 100 % IV (pas de forme SC disponible en Algérie). Le rituximab traverse le placenta via FcRn à partir de 16-20 SA.</w:t>
      </w:r>
    </w:p>
    <w:p>
      <w:pPr>
        <w:pStyle w:val="Heading3"/>
      </w:pPr>
      <w:r>
        <w:t>152b.7.4 Profil Pharmacologique Clinique</w:t>
      </w:r>
    </w:p>
    <w:p>
      <w:r/>
      <w:r>
        <w:rPr>
          <w:b/>
        </w:rPr>
        <w:t>Indications AMM (Algérie)</w:t>
      </w:r>
      <w:r>
        <w:t xml:space="preserve"> :</w:t>
      </w:r>
    </w:p>
    <w:p>
      <w:pPr>
        <w:pStyle w:val="ListBullet"/>
      </w:pPr>
      <w:r>
        <w:t>Polyarthrite rhumatoïde active sévère de l'adulte en échec d'au moins un anti-TNFα (et en cas d'intolérance ou de CI aux anti-TNFα), en association au MTX.</w:t>
      </w:r>
    </w:p>
    <w:p>
      <w:pPr>
        <w:pStyle w:val="ListBullet"/>
      </w:pPr>
      <w:r>
        <w:t>Vascularite à ANCA (granulomatose avec polyangéite / maladie de Wegener, polyangéite microscopique) active sévère de l'adulte en association aux corticoïdes.</w:t>
      </w:r>
    </w:p>
    <w:p>
      <w:pPr>
        <w:pStyle w:val="ListBullet"/>
      </w:pPr>
      <w:r>
        <w:t>Lupus érythémateux systémique avec néphropathie lupique proliférative (classe III/IV ISN/RPS) en cas de réponse inadéquate au MMF/cyclophosphamide.</w:t>
      </w:r>
    </w:p>
    <w:p>
      <w:pPr>
        <w:pStyle w:val="ListBullet"/>
      </w:pPr>
      <w:r>
        <w:t>Hémopathies B : lymphome non hodgkinien B (LNH-B), leucémie lymphoïde chronique (LLC) — indication hématologique non traitée dans ce chapitre.</w:t>
      </w:r>
    </w:p>
    <w:p>
      <w:r/>
      <w:r>
        <w:rPr>
          <w:b/>
        </w:rPr>
        <w:t>Contre-indications absolues</w:t>
      </w:r>
      <w:r>
        <w:t xml:space="preserve"> :</w:t>
      </w:r>
    </w:p>
    <w:p>
      <w:pPr>
        <w:pStyle w:val="ListBullet"/>
      </w:pPr>
      <w:r>
        <w:t>Hypersensibilité au rituximab, aux protéines murines ou à l'un des excipients (citrate de sodium, polysorbate 80, chlorure de sodium, eau pour préparations injectables).</w:t>
      </w:r>
    </w:p>
    <w:p>
      <w:pPr>
        <w:pStyle w:val="ListBullet"/>
      </w:pPr>
      <w:r>
        <w:t>Infection sévère active non contrôlée (sepsis, tuberculose active, pneumonie sévère).</w:t>
      </w:r>
    </w:p>
    <w:p>
      <w:pPr>
        <w:pStyle w:val="ListBullet"/>
      </w:pPr>
      <w:r>
        <w:t>Immunodépression sévère (CD4 &lt; 200/mm³ chez le patient VIH non contrôlé).</w:t>
      </w:r>
    </w:p>
    <w:p>
      <w:pPr>
        <w:pStyle w:val="ListBullet"/>
      </w:pPr>
      <w:r>
        <w:t>Vaccination par vaccin vivant atténué pendant le traitement et 4 semaines après la dernière perfusion.</w:t>
      </w:r>
    </w:p>
    <w:p>
      <w:pPr>
        <w:pStyle w:val="ListBullet"/>
      </w:pPr>
      <w:r>
        <w:t>Grossesse au 3e trimestre (CI stricte, immunosuppression néonatale majeure).</w:t>
      </w:r>
    </w:p>
    <w:p>
      <w:pPr>
        <w:pStyle w:val="ListBullet"/>
      </w:pPr>
      <w:r>
        <w:t>Allaitement pendant le traitement et 6 mois après la dernière perfusion.</w:t>
      </w:r>
    </w:p>
    <w:p>
      <w:r/>
      <w:r>
        <w:rPr>
          <w:b/>
        </w:rPr>
        <w:t>Contre-indications relatives / Précautions d'emploi</w:t>
      </w:r>
      <w:r>
        <w:t xml:space="preserve"> :</w:t>
      </w:r>
    </w:p>
    <w:p>
      <w:pPr>
        <w:pStyle w:val="ListBullet"/>
      </w:pPr>
      <w:r>
        <w:t>Hépatite B (AgHBs+ ou Ac anti-HBc+) : dépistage systématique pré-thérapeutique, prophylaxie antivirale obligatoire par entécavir ou ténofovir pendant le traitement et 6-12 mois après arrêt — risque majeur de réactivation virale B avec hépatite fulminante et mortalité 20-50 %.</w:t>
      </w:r>
    </w:p>
    <w:p>
      <w:pPr>
        <w:pStyle w:val="ListBullet"/>
      </w:pPr>
      <w:r>
        <w:t>Tuberculose latente : dépistage systématique, chimioprophylaxie INH avant instauration.</w:t>
      </w:r>
    </w:p>
    <w:p>
      <w:pPr>
        <w:pStyle w:val="ListBullet"/>
      </w:pPr>
      <w:r>
        <w:t>Antécédent de réaction à la perfusion sévère (grade ≥ 3) : prémédication renforcée, surveillance USI.</w:t>
      </w:r>
    </w:p>
    <w:p>
      <w:pPr>
        <w:pStyle w:val="ListBullet"/>
      </w:pPr>
      <w:r>
        <w:t>Hypogammaglobulinémie préexistante (IgG &lt; 6 g/L) : surveillance infectieuse accrue, supplémentation par immunoglobulines polyvalentes IV si infections récidivantes.</w:t>
      </w:r>
    </w:p>
    <w:p>
      <w:pPr>
        <w:pStyle w:val="ListBullet"/>
      </w:pPr>
      <w:r>
        <w:t>Insuffisance cardiaque NYHA III-IV : prudence (signal de décompensation en oncologie à fortes doses).</w:t>
      </w:r>
    </w:p>
    <w:p>
      <w:pPr>
        <w:pStyle w:val="ListBullet"/>
      </w:pPr>
      <w:r>
        <w:t>Insuffisance respiratoire sévère (BPCO stade IV, fibrose pulmonaire étendue) : prudence (signal de détresse respiratoire).</w:t>
      </w:r>
    </w:p>
    <w:p>
      <w:pPr>
        <w:pStyle w:val="ListBullet"/>
      </w:pPr>
      <w:r>
        <w:t>Patient âgé &gt; 75 ans : évaluation bénéfice/risque individualisée (risque infectieux majoré).</w:t>
      </w:r>
    </w:p>
    <w:p>
      <w:r/>
      <w:r>
        <w:rPr>
          <w:b/>
        </w:rPr>
        <w:t>Effets indésirables principaux</w:t>
      </w:r>
      <w:r>
        <w:t xml:space="preserve"> :</w:t>
      </w:r>
    </w:p>
    <w:p>
      <w:pPr>
        <w:pStyle w:val="ListBullet"/>
      </w:pPr>
      <w:r/>
      <w:r>
        <w:rPr>
          <w:b/>
        </w:rPr>
        <w:t>Très fréquents (≥ 10 %)</w:t>
      </w:r>
      <w:r>
        <w:t xml:space="preserve"> : réactions à la perfusion 30-50 % à la première perfusion (fièvre, frissons, hypotension, urticaire, bronchospasme, céphalées, prurit, angio-œdème — principales manifestations cytokine-mediated), infections des voies respiratoires supérieures 15-20 %, cyt_NOPénie modérée 10-15 %.</w:t>
      </w:r>
    </w:p>
    <w:p>
      <w:pPr>
        <w:pStyle w:val="ListBullet"/>
      </w:pPr>
      <w:r/>
      <w:r>
        <w:rPr>
          <w:b/>
        </w:rPr>
        <w:t>Fréquents (1-10 %)</w:t>
      </w:r>
      <w:r>
        <w:t xml:space="preserve"> : infections sévères (pneumonie 2-4 %, herpès 3-5 %, zona 5-8 %, CMV réactivation 1-2 %), neutropénie tardive (3-6 mois après la cure, 5-10 %), thrombopénie 2-3 %, anémie 5-8 %, hypogammaglobulinémie 30-40 % à 6 mois (IgG &lt; 6 g/L, persistante chez 10-15 % à 1 an), élévation des transaminases 3-5 %, fièvre, asthénie, vertiges, douleurs musculo-squelettiques, arthralgies, nausées, diarrhée, dyspepsie, hypertension transitoire, rash, prurit, sueurs nocturnes.</w:t>
      </w:r>
    </w:p>
    <w:p>
      <w:pPr>
        <w:pStyle w:val="ListBullet"/>
      </w:pPr>
      <w:r/>
      <w:r>
        <w:rPr>
          <w:b/>
        </w:rPr>
        <w:t>Rares (0,1-1 %)</w:t>
      </w:r>
      <w:r>
        <w:t xml:space="preserve"> : réactions d'hypersensibilité systémique (anaphylaxie 0,1-0,3 %), </w:t>
      </w:r>
      <w:r>
        <w:rPr>
          <w:b/>
        </w:rPr>
        <w:t>réactivation du VHB</w:t>
      </w:r>
      <w:r>
        <w:t xml:space="preserve"> (incidence 1-5 % en cas d'AgHBs+ non prophylaxisé, jusqu'à 50 % en oncologie à fortes doses — mortalité 20-50 %), </w:t>
      </w:r>
      <w:r>
        <w:rPr>
          <w:b/>
        </w:rPr>
        <w:t>leucoencéphalopathie multifocale progressive (PML)</w:t>
      </w:r>
      <w:r>
        <w:t xml:space="preserve"> due au virus JC (incidence très rare en rhumatologie, 0,02 pour 1000 patients-années, mortalité 30-50 %), infections opportunistes (légionellose, listériose, pneumocystose, aspergillose), hépatite fulminante, syndrome de lyse tumorale (en oncologie), pneumopathie interstitielle, vascularite cutanée, syndrome de Stevens-Johnson.</w:t>
      </w:r>
    </w:p>
    <w:p>
      <w:pPr>
        <w:pStyle w:val="ListBullet"/>
      </w:pPr>
      <w:r/>
      <w:r>
        <w:rPr>
          <w:b/>
        </w:rPr>
        <w:t>Très rares (&lt; 0,1 %)</w:t>
      </w:r>
      <w:r>
        <w:t xml:space="preserve"> : arrhythmie cardiaque, insuffisance cardiaque décompensée, détresse respiratoire aiguë, syndrome d'activation macrophagique (SAAM), cytopénies auto-immunes (PTI, anémie hémolytique auto-immune) paradoxales post-rituximab.</w:t>
      </w:r>
    </w:p>
    <w:p>
      <w:pPr>
        <w:pStyle w:val="Heading3"/>
      </w:pPr>
      <w:r>
        <w:t>152b.7.5 Prévention et Gestion des Effets Indésirables</w:t>
      </w:r>
    </w:p>
    <w:p>
      <w:r/>
      <w:r>
        <w:rPr>
          <w:b/>
        </w:rPr>
        <w:t>Avant instauration (bilan pré-thérapeutique obligatoire)</w:t>
      </w:r>
      <w:r>
        <w:t xml:space="preserve"> :</w:t>
      </w:r>
    </w:p>
    <w:p>
      <w:pPr>
        <w:pStyle w:val="ListBullet"/>
      </w:pPr>
      <w:r>
        <w:t>Consultation spécialisée rhumatologique avec évaluation de l'activité (DAS28, BVAS selon indication).</w:t>
      </w:r>
    </w:p>
    <w:p>
      <w:pPr>
        <w:pStyle w:val="ListBullet"/>
      </w:pPr>
      <w:r>
        <w:t>Bilan biologique complet : NFS-plaquettes, CRP, VS, bilan hépatique (ALAT, ASAT, GGT, PAL, bilirubine), bilan rénal, ionogramme, TP/TCA, électrophorèse des protéines sériques (IgG, IgA, IgM), βHCG.</w:t>
      </w:r>
    </w:p>
    <w:p>
      <w:pPr>
        <w:pStyle w:val="ListBullet"/>
      </w:pPr>
      <w:r>
        <w:t xml:space="preserve">Sérologies infectieuses systématiques : </w:t>
      </w:r>
      <w:r>
        <w:rPr>
          <w:b/>
        </w:rPr>
        <w:t>VHB obligatoire (AgHBs, Ac anti-HBs, Ac anti-HBc, ADN-VHB si Ac anti-HBc+)</w:t>
      </w:r>
      <w:r>
        <w:t>, VHC, VIH, VHA, VZV, EBV (VCA, EBNA), CMV.</w:t>
      </w:r>
    </w:p>
    <w:p>
      <w:pPr>
        <w:pStyle w:val="ListBullet"/>
      </w:pPr>
      <w:r>
        <w:t>Dépistage tuberculose : IDR à la tuberculine ou IGRA (Quantiferon-TB Gold) + radiographie thoracique. Si tuberculose latente : isoniazide 5 mg/kg/j + pyridoxine 25 mg/j pendant 1-3 mois avant instauration.</w:t>
      </w:r>
    </w:p>
    <w:p>
      <w:pPr>
        <w:pStyle w:val="ListBullet"/>
      </w:pPr>
      <w:r>
        <w:t>Bilan cardiovasculaire : ECG, échographie cardiaque si antécédent cardiaque.</w:t>
      </w:r>
    </w:p>
    <w:p>
      <w:pPr>
        <w:pStyle w:val="ListBullet"/>
      </w:pPr>
      <w:r>
        <w:t>Vaccinations : mise à jour vaccinale au moins 4 semaines avant la première perfusion (pneumocoque conjugué puis polysaccharidique, grippe saisonnière, COVID-19, hépatite B, zona Shingrix, HPV). Vaccins vivants à administrer au moins 4 semaines avant la première perfusion, jamais pendant le traitement.</w:t>
      </w:r>
    </w:p>
    <w:p>
      <w:pPr>
        <w:pStyle w:val="ListBullet"/>
      </w:pPr>
      <w:r>
        <w:t>Information du patient : remise d'un livret d'information, signature d'un consentement éclairé, information spécifique sur le risque de PML (rare mais grave) et de réactivation VHB.</w:t>
      </w:r>
    </w:p>
    <w:p>
      <w:r/>
      <w:r>
        <w:rPr>
          <w:b/>
        </w:rPr>
        <w:t>Pendant le traitement (surveillance systématique renforcée)</w:t>
      </w:r>
      <w:r>
        <w:t xml:space="preserve"> :</w:t>
      </w:r>
    </w:p>
    <w:p>
      <w:pPr>
        <w:pStyle w:val="ListBullet"/>
      </w:pPr>
      <w:r/>
      <w:r>
        <w:rPr>
          <w:b/>
        </w:rPr>
        <w:t>Prémédication systématique 30-60 min avant chaque perfusion</w:t>
      </w:r>
      <w:r>
        <w:t xml:space="preserve"> : paracétamol 1 g PO + antihistaminique (chlorphénamine 4 mg PO ou cétirizine 10 mg PO) + corticoïde (méthylprednisolone 100 mg IV ou prednisone 50 mg PO). Indispensable pour réduire l'incidence et la sévérité des réactions à la perfusion.</w:t>
      </w:r>
    </w:p>
    <w:p>
      <w:pPr>
        <w:pStyle w:val="ListBullet"/>
      </w:pPr>
      <w:r/>
      <w:r>
        <w:rPr>
          <w:b/>
        </w:rPr>
        <w:t>Surveillance pendant la perfusion</w:t>
      </w:r>
      <w:r>
        <w:t xml:space="preserve"> : surveillance clinique continue (TA, FC, FR, SpO₂, température) toutes les 15 min la première heure, puis toutes les 30 min. Perfusion initiale à 50 mg/h, augmentation par paliers de 50 mg/h toutes les 30 min si tolérance (max 400 mg/h). En cas de réaction grade 1-2 (légère-moderate) : ralentir ou arrêter la perfusion, antihistaminique IV, reprise à vitesse réduite après résolution. En cas de réaction grade 3-4 (sévère) : arrêt définitif de la perfusion, traitement symptomatique (adrénaline 0,3 mg IM si anaphylaxie, oxygène, remplissage vasculaire), surveillance USI.</w:t>
      </w:r>
    </w:p>
    <w:p>
      <w:pPr>
        <w:pStyle w:val="ListBullet"/>
      </w:pPr>
      <w:r>
        <w:t>Examen clinique mensuel les 3 premiers mois puis trimestriel : évaluation de l'efficacité, recherche d'effets indésirables (notamment fièvre, infection, signes neurologiques évocateurs de PML), observance.</w:t>
      </w:r>
    </w:p>
    <w:p>
      <w:pPr>
        <w:pStyle w:val="ListBullet"/>
      </w:pPr>
      <w:r>
        <w:t>Bilan biologique trimestriel : NFS-plaquettes (surveillance neutropénie tardive), bilan hépatique, électrophorèse des protéines sériques (surveillance IgG/IgA/IgM), CRP.</w:t>
      </w:r>
    </w:p>
    <w:p>
      <w:pPr>
        <w:pStyle w:val="ListBullet"/>
      </w:pPr>
      <w:r>
        <w:t>Surveillance NFS spécifique à 3-6 mois post-cure : recherche de neutropénie tardive (incidence 5-10 %).</w:t>
      </w:r>
    </w:p>
    <w:p>
      <w:pPr>
        <w:pStyle w:val="ListBullet"/>
      </w:pPr>
      <w:r>
        <w:t>Surveillance VHB si Ac anti-HBc+ : ADN-VHB mensuel pendant le traitement et 6-12 mois après arrêt, prophylaxie antivirale par entécavir 0,5 mg/j ou ténofovir 245 mg/j pendant le traitement et 6-12 mois après arrêt.</w:t>
      </w:r>
    </w:p>
    <w:p>
      <w:pPr>
        <w:pStyle w:val="ListBullet"/>
      </w:pPr>
      <w:r>
        <w:t>Surveillance TB : clinique trimestrielle, radiographie thoracique annuelle.</w:t>
      </w:r>
    </w:p>
    <w:p>
      <w:pPr>
        <w:pStyle w:val="ListBullet"/>
      </w:pPr>
      <w:r>
        <w:t>Surveillance PML : éducation du patient à signaler tout symptôme neurologique nouveau (céphalées, confusion, trouble visuel, faiblesse musculaire, ataxie, troubles cognitifs) — IRM cérébrale en urgence + ponction lombaire avec PCR JC virus.</w:t>
      </w:r>
    </w:p>
    <w:p>
      <w:r/>
      <w:r>
        <w:rPr>
          <w:b/>
        </w:rPr>
        <w:t>Gestion des effets indésirables spécifiques</w:t>
      </w:r>
      <w:r>
        <w:t xml:space="preserve"> :</w:t>
      </w:r>
    </w:p>
    <w:p>
      <w:pPr>
        <w:pStyle w:val="ListBullet"/>
      </w:pPr>
      <w:r/>
      <w:r>
        <w:rPr>
          <w:b/>
        </w:rPr>
        <w:t>Réaction à la perfusion grade 1-2</w:t>
      </w:r>
      <w:r>
        <w:t xml:space="preserve"> : ralentir ou arrêter la perfusion, antihistaminique IV (chlorphénamine 10 mg IV), paracétamol 1 g IV, surveillance vitale. Reprise à vitesse réduite (50 %) après résolution complète. Prémédication renforcée pour la perfusion suivante.</w:t>
      </w:r>
    </w:p>
    <w:p>
      <w:pPr>
        <w:pStyle w:val="ListBullet"/>
      </w:pPr>
      <w:r/>
      <w:r>
        <w:rPr>
          <w:b/>
        </w:rPr>
        <w:t>Réaction à la perfusion grade 3-4 (anaphylaxie)</w:t>
      </w:r>
      <w:r>
        <w:t xml:space="preserve"> : arrêt définitif de la perfusion, traitement symptomatique (adrénaline 0,3 mg IM, oxygène 10-15 L/min, remplissage vasculaire cristalloïde 500-1000 mL, bronchodilatateur nébulisé), surveillance USI 24-48 h. Alternative thérapeutique à discuter (tocilizumab, abatacept non disponible, anti-TNFα si non CI).</w:t>
      </w:r>
    </w:p>
    <w:p>
      <w:pPr>
        <w:pStyle w:val="ListBullet"/>
      </w:pPr>
      <w:r/>
      <w:r>
        <w:rPr>
          <w:b/>
        </w:rPr>
        <w:t>Réactivation VHB</w:t>
      </w:r>
      <w:r>
        <w:t xml:space="preserve"> : arrêt immédiat du rituximab, avis hépatologique urgent, entécavir ou ténofovir IV, surveillance ALAT/ASAT/ADN-VHB hebdomadaire, transplantation hépatique en cas d'insuffisance hépatocellulaire. Mortalité 20-50 %.</w:t>
      </w:r>
    </w:p>
    <w:p>
      <w:pPr>
        <w:pStyle w:val="ListBullet"/>
      </w:pPr>
      <w:r/>
      <w:r>
        <w:rPr>
          <w:b/>
        </w:rPr>
        <w:t>Neutropénie tardive (3-6 mois post-cure)</w:t>
      </w:r>
      <w:r>
        <w:t xml:space="preserve"> : surveillance NFS mensuelle 6 mois, arrêt si neutrophiles &lt; 1 G/L, G-CSF (filgrastim 5 µg/kg/j SC) si neutropénie fébrile.</w:t>
      </w:r>
    </w:p>
    <w:p>
      <w:pPr>
        <w:pStyle w:val="ListBullet"/>
      </w:pPr>
      <w:r/>
      <w:r>
        <w:rPr>
          <w:b/>
        </w:rPr>
        <w:t>Hypogammaglobulinémie (IgG &lt; 6 g/L)</w:t>
      </w:r>
      <w:r>
        <w:t xml:space="preserve"> : surveillance infectieuse accrue, supplémentation par immunoglobulines polyvalentes IV (400 mg/kg/4 sem) si infections récidivantes sévères.</w:t>
      </w:r>
    </w:p>
    <w:p>
      <w:pPr>
        <w:pStyle w:val="ListBullet"/>
      </w:pPr>
      <w:r/>
      <w:r>
        <w:rPr>
          <w:b/>
        </w:rPr>
        <w:t>PML suspectée</w:t>
      </w:r>
      <w:r>
        <w:t xml:space="preserve"> : arrêt immédiat du rituximab, IRM cérébrale en urgence, ponction lombaire avec PCR JC virus, avis neurologique infectiologique. Aucun traitement spécifique validé (essais immunothérapie, plasmaphérèse, mirtazapine, méfloquine — efficacité non démontrée). Mortalité 30-50 %, séquelles neurologiques 50-70 % des survivants.</w:t>
      </w:r>
    </w:p>
    <w:p>
      <w:pPr>
        <w:pStyle w:val="Heading3"/>
      </w:pPr>
      <w:r>
        <w:t>152b.7.6 Interactions médicamenteuses</w:t>
      </w:r>
    </w:p>
    <w:p>
      <w:pPr>
        <w:pStyle w:val="ListBullet"/>
      </w:pPr>
      <w:r/>
      <w:r>
        <w:rPr>
          <w:b/>
        </w:rPr>
        <w:t>Vaccins vivants atténués</w:t>
      </w:r>
      <w:r>
        <w:t xml:space="preserve"> : contre-indication absolue pendant le traitement et 4 semaines (voire 6 mois en raison de la déplétion B prolongée) après la dernière perfusion. Concernés : BCG, ROR, fièvre jaune, varicelle-zona Zostavax, rotavirus, oral typhoïde Ty21a, polio oral.</w:t>
      </w:r>
    </w:p>
    <w:p>
      <w:pPr>
        <w:pStyle w:val="ListBullet"/>
      </w:pPr>
      <w:r/>
      <w:r>
        <w:rPr>
          <w:b/>
        </w:rPr>
        <w:t>Vaccins inactivés</w:t>
      </w:r>
      <w:r>
        <w:t xml:space="preserve"> : autorisés et recommandés mais réponse vaccinale </w:t>
      </w:r>
      <w:r>
        <w:rPr>
          <w:b/>
        </w:rPr>
        <w:t>réduite</w:t>
      </w:r>
      <w:r>
        <w:t xml:space="preserve"> en raison de la déplétion lymphocytaire B (surtout dans les 6 mois suivant la cure). Si vaccination nécessaire (grippe saisonnière, pneumocoque), privilégier avant la cure (au moins 4 semaines avant) ou 4-6 mois après.</w:t>
      </w:r>
    </w:p>
    <w:p>
      <w:pPr>
        <w:pStyle w:val="ListBullet"/>
      </w:pPr>
      <w:r/>
      <w:r>
        <w:rPr>
          <w:b/>
        </w:rPr>
        <w:t>Méthotrexate</w:t>
      </w:r>
      <w:r>
        <w:t xml:space="preserve"> : association recommandée (efficacité synergique démontrée, réduction de l'immunogénicité anti-rituximab), pas d'interaction pharmacocinétique significative.</w:t>
      </w:r>
    </w:p>
    <w:p>
      <w:pPr>
        <w:pStyle w:val="ListBullet"/>
      </w:pPr>
      <w:r/>
      <w:r>
        <w:rPr>
          <w:b/>
        </w:rPr>
        <w:t>Corticoïdes</w:t>
      </w:r>
      <w:r>
        <w:t xml:space="preserve"> : association systématique (prémédication), surveillance du bilan infectieux et du bilan glucidique.</w:t>
      </w:r>
    </w:p>
    <w:p>
      <w:pPr>
        <w:pStyle w:val="ListBullet"/>
      </w:pPr>
      <w:r/>
      <w:r>
        <w:rPr>
          <w:b/>
        </w:rPr>
        <w:t>Anti-TNFα</w:t>
      </w:r>
      <w:r>
        <w:t xml:space="preserve"> : association déconseillée (immunosuppression additive majeure sans bénéfice synergique démontré).</w:t>
      </w:r>
    </w:p>
    <w:p>
      <w:pPr>
        <w:pStyle w:val="ListBullet"/>
      </w:pPr>
      <w:r/>
      <w:r>
        <w:rPr>
          <w:b/>
        </w:rPr>
        <w:t>Tocilizumab</w:t>
      </w:r>
      <w:r>
        <w:t xml:space="preserve"> : association déconseillée (immunosuppression additive majeure).</w:t>
      </w:r>
    </w:p>
    <w:p>
      <w:pPr>
        <w:pStyle w:val="ListBullet"/>
      </w:pPr>
      <w:r/>
      <w:r>
        <w:rPr>
          <w:b/>
        </w:rPr>
        <w:t>Cyclophosphamide</w:t>
      </w:r>
      <w:r>
        <w:t xml:space="preserve"> : association possible dans la vascularite à ANCA sévère sous surveillance stricte (essai RITUXVAS).</w:t>
      </w:r>
    </w:p>
    <w:p>
      <w:pPr>
        <w:pStyle w:val="ListBullet"/>
      </w:pPr>
      <w:r/>
      <w:r>
        <w:rPr>
          <w:b/>
        </w:rPr>
        <w:t>Mycophénolate mofétil (MMF)</w:t>
      </w:r>
      <w:r>
        <w:t xml:space="preserve"> : association possible dans le lupus érythémateux systémique (essai LUNAR).</w:t>
      </w:r>
    </w:p>
    <w:p>
      <w:pPr>
        <w:pStyle w:val="ListBullet"/>
      </w:pPr>
      <w:r/>
      <w:r>
        <w:rPr>
          <w:b/>
        </w:rPr>
        <w:t>Azaclioprine, léflunomide</w:t>
      </w:r>
      <w:r>
        <w:t xml:space="preserve"> : surveillance accrue hématologique et infectieuse.</w:t>
      </w:r>
    </w:p>
    <w:p>
      <w:pPr>
        <w:pStyle w:val="ListBullet"/>
      </w:pPr>
      <w:r/>
      <w:r>
        <w:rPr>
          <w:b/>
        </w:rPr>
        <w:t>IEC, ARA2</w:t>
      </w:r>
      <w:r>
        <w:t xml:space="preserve"> : surveillance tensionnelle (risque d'hypotension lors des réactions à la perfusion).</w:t>
      </w:r>
    </w:p>
    <w:p>
      <w:pPr>
        <w:pStyle w:val="ListBullet"/>
      </w:pPr>
      <w:r/>
      <w:r>
        <w:rPr>
          <w:b/>
        </w:rPr>
        <w:t>Biosimilaires et substitution</w:t>
      </w:r>
      <w:r>
        <w:t xml:space="preserve"> : substitution possible entre le princeps MABTHERA et les 5 biosimilaires (RITUXIMAB-SAIDAL, TRUXIMA, RIXATHON, RUXIENCE, REDDITUX) selon les recommandations ANSM/EMA. Cependant, la substitution ne doit pas être effectuée en cours de traitement en raison du risque d'immunogénicité croisée (réactions à la perfusion). Si substitution envisagée, l'effectuer après une période de washout de 6 mois et informer le patient.</w:t>
      </w:r>
    </w:p>
    <w:p>
      <w:pPr>
        <w:pStyle w:val="Heading3"/>
      </w:pPr>
      <w:r>
        <w:t>152b.7.7 Grossesse et Allaitement (CRAT)</w:t>
      </w:r>
    </w:p>
    <w:p>
      <w:pPr>
        <w:pStyle w:val="ListBullet"/>
      </w:pPr>
      <w:r/>
      <w:r>
        <w:rPr>
          <w:b/>
        </w:rPr>
        <w:t>Grossesse</w:t>
      </w:r>
      <w:r>
        <w:t xml:space="preserve"> : le rituximab est une IgG1 qui traverse le placenta via FcRn à partir de 16-20 SA, avec un passage maximal au 3e trimestre. Le CRAT conclut à </w:t>
      </w:r>
      <w:r>
        <w:rPr>
          <w:b/>
        </w:rPr>
        <w:t>éviter par prudence pendant toute la grossesse</w:t>
      </w:r>
      <w:r>
        <w:t>, en particulier au 3e trimestre (contre-indication stricte en raison de l'immunosuppression néonatale majeure : déplétion lymphocytaire B néonatale pendant 3-6 mois, hypogammaglobulinémie néonatale, risque infectieux majoré). Les données publiées (~500 cas) ne montrent pas d'augmentation du risque de malformations congénitales majeures mais rapportent des cytopénies néonatales transitoires (lymphopénie B, neutropénie, thrombopénie) chez 30-40 % des nouveau-nés exposés au 3e trimestre. En cas de nécessité absolue (vascularite à ANCA sévère avec menace du pronostic vital maternel), peut être utilisé aux 1er et 2e trimestres avec arrêt obligatoire à 32 SA.</w:t>
      </w:r>
    </w:p>
    <w:p>
      <w:pPr>
        <w:pStyle w:val="ListBullet"/>
      </w:pPr>
      <w:r/>
      <w:r>
        <w:rPr>
          <w:b/>
        </w:rPr>
        <w:t>Accouchement et nouveau-né</w:t>
      </w:r>
      <w:r>
        <w:t xml:space="preserve"> : vérifier le taux de lymphocytes B CD19+ et le taux d'IgG néonatal à la naissance si exposition au 2e ou 3e trimestre, surveillance clinique néonatale accrue (risque infectieux). </w:t>
      </w:r>
      <w:r>
        <w:rPr>
          <w:b/>
        </w:rPr>
        <w:t>Les vaccins vivants (BCG, ROR) sont contre-indiqués chez le nouveau-né pendant 6-12 mois après la dernière injection maternelle de rituximab</w:t>
      </w:r>
      <w:r>
        <w:t xml:space="preserve"> (la demi-vie est ~22 jours, washout ~6 mois). Vaccins inactivés autorisés mais réponse réduite.</w:t>
      </w:r>
    </w:p>
    <w:p>
      <w:pPr>
        <w:pStyle w:val="ListBullet"/>
      </w:pPr>
      <w:r/>
      <w:r>
        <w:rPr>
          <w:b/>
        </w:rPr>
        <w:t>Allaitement</w:t>
      </w:r>
      <w:r>
        <w:t xml:space="preserve"> : contre-indication pendant le traitement et 6 mois après la dernière perfusion (passage dans le lait maternel, immunosuppression du nourrisson). Après 6 mois d'arrêt, allaitement possible selon le CRAT.</w:t>
      </w:r>
    </w:p>
    <w:p>
      <w:pPr>
        <w:pStyle w:val="ListBullet"/>
      </w:pPr>
      <w:r/>
      <w:r>
        <w:rPr>
          <w:b/>
        </w:rPr>
        <w:t>Fertilité</w:t>
      </w:r>
      <w:r>
        <w:t xml:space="preserve"> : pas d'effet délétère démontré. Contraception efficace pendant le traitement et 12 mois après l'arrêt. Chez l'homme : pas de contre-indication à la paternité, contraception conseillée pendant le traitement et 3 mois après l'arrêt par prudence.</w:t>
      </w:r>
    </w:p>
    <w:p>
      <w:pPr>
        <w:pStyle w:val="ListBullet"/>
      </w:pPr>
      <w:r/>
      <w:r>
        <w:rPr>
          <w:b/>
        </w:rPr>
        <w:t>Conseil préconceptionnel</w:t>
      </w:r>
      <w:r>
        <w:t xml:space="preserve"> : programmer l'arrêt du rituximab 12 mois avant l'arrêt de la contraception. En cas de maladie active risquant de réactiver à l'arrêt, privilégier le </w:t>
      </w:r>
      <w:r>
        <w:rPr>
          <w:b/>
        </w:rPr>
        <w:t>certolizumab pegol</w:t>
      </w:r>
      <w:r>
        <w:t xml:space="preserve"> (seul anti-TNFα sans transfert placentaire) ou la poursuite du rituximab jusqu'à 16-20 SA puis arrêt. Coordination pluridisciplinaire rhumatologue-obstétricien-pédiatre.</w:t>
      </w:r>
    </w:p>
    <w:p>
      <w:pPr>
        <w:pStyle w:val="Heading3"/>
      </w:pPr>
      <w:r>
        <w:t>152b.7.8 Posologie et Mode d'administration</w:t>
      </w:r>
    </w:p>
    <w:p>
      <w:pPr>
        <w:pStyle w:val="ListBullet"/>
      </w:pPr>
      <w:r/>
      <w:r>
        <w:rPr>
          <w:b/>
        </w:rPr>
        <w:t>Posologie adulte PR (schéma standard)</w:t>
      </w:r>
      <w:r>
        <w:t xml:space="preserve"> : 2 perfusions IV de 1 g chacune à 15 jours d'intervalle (J1 et J15), en association au MTX. Cures à répéter toutes les 24 semaines (6 mois) ou selon l'activité de la maladie (DAS28 &gt; 3,2).</w:t>
      </w:r>
    </w:p>
    <w:p>
      <w:pPr>
        <w:pStyle w:val="ListBullet"/>
      </w:pPr>
      <w:r/>
      <w:r>
        <w:rPr>
          <w:b/>
        </w:rPr>
        <w:t>Posologie adulte PR (schéma alternatif)</w:t>
      </w:r>
      <w:r>
        <w:t xml:space="preserve"> : 2 perfusions IV de 500 mg chacune à 15 jours d'intervalle (J1 et J15) — dose réduite pour patients âgés ou fragiles, efficacité non inférieure démontrée (essai WIN-R) pour PR récente non traitée par anti-TNFα.</w:t>
      </w:r>
    </w:p>
    <w:p>
      <w:pPr>
        <w:pStyle w:val="ListBullet"/>
      </w:pPr>
      <w:r/>
      <w:r>
        <w:rPr>
          <w:b/>
        </w:rPr>
        <w:t>Posologie adulte vascularite à ANCA</w:t>
      </w:r>
      <w:r>
        <w:t xml:space="preserve"> : 375 mg/m² IV une fois par semaine pendant 4 semaines (J1, J8, J15, J22) — schéma lymphome adapté, ou 2 perfusions IV de 1 g à 15 jours d'intervalle.</w:t>
      </w:r>
    </w:p>
    <w:p>
      <w:pPr>
        <w:pStyle w:val="ListBullet"/>
      </w:pPr>
      <w:r/>
      <w:r>
        <w:rPr>
          <w:b/>
        </w:rPr>
        <w:t>Posologie adulte néphropathie lupique</w:t>
      </w:r>
      <w:r>
        <w:t xml:space="preserve"> : 2 perfusions IV de 1 g à 15 jours d'intervalle (J1 et J15), en association au MMF et corticoïdes.</w:t>
      </w:r>
    </w:p>
    <w:p>
      <w:pPr>
        <w:pStyle w:val="ListBullet"/>
      </w:pPr>
      <w:r/>
      <w:r>
        <w:rPr>
          <w:b/>
        </w:rPr>
        <w:t>Posologie enfant &gt; 6 ans PR juvenile</w:t>
      </w:r>
      <w:r>
        <w:t xml:space="preserve"> : 2 perfusions IV de 375 mg/m² (max 1 g) à 15 jours d'intervalle.</w:t>
      </w:r>
    </w:p>
    <w:p>
      <w:pPr>
        <w:pStyle w:val="ListBullet"/>
      </w:pPr>
      <w:r/>
      <w:r>
        <w:rPr>
          <w:b/>
        </w:rPr>
        <w:t>Voie d'administration IV</w:t>
      </w:r>
      <w:r>
        <w:t xml:space="preserve"> : perfusion IV stricte en milieu hospitalier, dilution dans 250 mL (pour 500 mg) ou 500 mL (pour 1 g) de NaCl 0,9 % ou glucose 5 %, perfusion initiale à 50 mg/h puis escalade par paliers de 50 mg/h toutes les 30 min si tolérance (max 400 mg/h). Surveillance médicale continue pendant et 1-2 h après la perfusion.</w:t>
      </w:r>
    </w:p>
    <w:p>
      <w:pPr>
        <w:pStyle w:val="ListBullet"/>
      </w:pPr>
      <w:r/>
      <w:r>
        <w:rPr>
          <w:b/>
        </w:rPr>
        <w:t>Prémédication</w:t>
      </w:r>
      <w:r>
        <w:t xml:space="preserve"> : systématique 30-60 min avant chaque perfusion — paracétamol 1 g PO + antihistaminique (chlorphénamine 4 mg PO ou cétirizine 10 mg PO) + corticoïde (méthylprednisolone 100 mg IV ou prednisone 50 mg PO).</w:t>
      </w:r>
    </w:p>
    <w:p>
      <w:pPr>
        <w:pStyle w:val="ListBullet"/>
      </w:pPr>
      <w:r/>
      <w:r>
        <w:rPr>
          <w:b/>
        </w:rPr>
        <w:t>Conservation</w:t>
      </w:r>
      <w:r>
        <w:t xml:space="preserve"> : au réfrigérateur entre +2°C et +8°C, ne pas congeler. Après dilution : utilisation immédiate (max 24 h à +2°C/+8°C, perfusion commencée dans les 12 heures après dilution, stabilité 24 h à température ambiante). Ne pas agiter.</w:t>
      </w:r>
    </w:p>
    <w:p>
      <w:pPr>
        <w:pStyle w:val="ListBullet"/>
      </w:pPr>
      <w:r/>
      <w:r>
        <w:rPr>
          <w:b/>
        </w:rPr>
        <w:t>Durée du traitement</w:t>
      </w:r>
      <w:r>
        <w:t xml:space="preserve"> : indéterminée, évaluation annuelle du rapport bénéfice/risque, espacement progressif des cures en cas de rémission prolongée (DAS28 &lt; 2,6).</w:t>
      </w:r>
    </w:p>
    <w:p>
      <w:pPr>
        <w:pStyle w:val="Heading3"/>
      </w:pPr>
      <w:r>
        <w:t>152b.7.9 Formes galéniques et choix thérapeutique</w:t>
      </w:r>
    </w:p>
    <w:p>
      <w:r>
        <w:t xml:space="preserve">Le rituximab est une biothérapie de </w:t>
      </w:r>
      <w:r>
        <w:rPr>
          <w:b/>
        </w:rPr>
        <w:t>deuxième intention</w:t>
      </w:r>
      <w:r>
        <w:t xml:space="preserve"> dans la PR en échec d'au moins un anti-TNFα (recommandations EULAR 2022 : recommandé en alternative aux anti-TNFα et aux anti-IL-6 après échec d'un premier DMARD conventionnel). Les critères de choix en faveur du rituximab sont :</w:t>
      </w:r>
    </w:p>
    <w:p>
      <w:pPr>
        <w:pStyle w:val="ListBullet"/>
      </w:pPr>
      <w:r/>
      <w:r>
        <w:rPr>
          <w:b/>
        </w:rPr>
        <w:t>PR séropositive anti-CCP+ et/ou FR+</w:t>
      </w:r>
      <w:r>
        <w:t xml:space="preserve"> : efficacité supérieure démontrée (réponse ACR50 60 % vs 30 % dans la PR séronégative, essai SERENE et MIRROR).</w:t>
      </w:r>
    </w:p>
    <w:p>
      <w:pPr>
        <w:pStyle w:val="ListBullet"/>
      </w:pPr>
      <w:r/>
      <w:r>
        <w:rPr>
          <w:b/>
        </w:rPr>
        <w:t>Antécédent de lymphome B</w:t>
      </w:r>
      <w:r>
        <w:t xml:space="preserve"> : indication hématologique possible (efficacité onco-rhumatologique synergique).</w:t>
      </w:r>
    </w:p>
    <w:p>
      <w:pPr>
        <w:pStyle w:val="ListBullet"/>
      </w:pPr>
      <w:r/>
      <w:r>
        <w:rPr>
          <w:b/>
        </w:rPr>
        <w:t>Antécédent de maladie démyélinisante</w:t>
      </w:r>
      <w:r>
        <w:t xml:space="preserve"> (SEP, névrite optique, myélite transverse) : pas de signal, à la différence des anti-TNFα (CI stricte).</w:t>
      </w:r>
    </w:p>
    <w:p>
      <w:pPr>
        <w:pStyle w:val="ListBullet"/>
      </w:pPr>
      <w:r/>
      <w:r>
        <w:rPr>
          <w:b/>
        </w:rPr>
        <w:t>Antécédent d'insuffisance cardiaque NYHA III-IV</w:t>
      </w:r>
      <w:r>
        <w:t xml:space="preserve"> : pas de signal formel en rhumatologie (à la différence des anti-TNFα CI en cas d'IC NYHA III-IV).</w:t>
      </w:r>
    </w:p>
    <w:p>
      <w:pPr>
        <w:pStyle w:val="ListBullet"/>
      </w:pPr>
      <w:r/>
      <w:r>
        <w:rPr>
          <w:b/>
        </w:rPr>
        <w:t>Vascularite à ANCA</w:t>
      </w:r>
      <w:r>
        <w:t xml:space="preserve"> : efficacité de référence, alternative au cyclophosphamide (essai RAVE et RITUXVAS).</w:t>
      </w:r>
    </w:p>
    <w:p>
      <w:pPr>
        <w:pStyle w:val="ListBullet"/>
      </w:pPr>
      <w:r/>
      <w:r>
        <w:rPr>
          <w:b/>
        </w:rPr>
        <w:t>Néphropathie lupique proliférative</w:t>
      </w:r>
      <w:r>
        <w:t xml:space="preserve"> : efficacité démontrée (essai LUNAR).</w:t>
      </w:r>
    </w:p>
    <w:p>
      <w:pPr>
        <w:pStyle w:val="ListBullet"/>
      </w:pPr>
      <w:r/>
      <w:r>
        <w:rPr>
          <w:b/>
        </w:rPr>
        <w:t>Coût économique</w:t>
      </w:r>
      <w:r>
        <w:t xml:space="preserve"> : démocratisation par la disponibilité de 5 biosimilaires en Algérie (RITUXIMAB-SAIDAL, TRUXIMA, RIXATHON, RUXIENCE, REDDITUX) avec coût 25 000-45 000 DA par cure de 2 g.</w:t>
      </w:r>
    </w:p>
    <w:p>
      <w:r>
        <w:t xml:space="preserve">Le rituximab est </w:t>
      </w:r>
      <w:r>
        <w:rPr>
          <w:b/>
        </w:rPr>
        <w:t>déconseillé</w:t>
      </w:r>
      <w:r>
        <w:t xml:space="preserve"> en cas de :</w:t>
      </w:r>
    </w:p>
    <w:p>
      <w:pPr>
        <w:pStyle w:val="ListBullet"/>
      </w:pPr>
      <w:r/>
      <w:r>
        <w:rPr>
          <w:b/>
        </w:rPr>
        <w:t>PR séronégative anti-CCP-/FR-</w:t>
      </w:r>
      <w:r>
        <w:t xml:space="preserve"> : efficacité moindre (réponse ACR20 30-40 % vs 60-70 % dans la PR séropositive).</w:t>
      </w:r>
    </w:p>
    <w:p>
      <w:pPr>
        <w:pStyle w:val="ListBullet"/>
      </w:pPr>
      <w:r/>
      <w:r>
        <w:rPr>
          <w:b/>
        </w:rPr>
        <w:t>Hépatite B AgHBs+ non contrôlée</w:t>
      </w:r>
      <w:r>
        <w:t xml:space="preserve"> : risque majeur de réactivation virale B (incidence 1-5 % même sous prophylaxie antivirale, mortalité 20-50 %).</w:t>
      </w:r>
    </w:p>
    <w:p>
      <w:pPr>
        <w:pStyle w:val="ListBullet"/>
      </w:pPr>
      <w:r/>
      <w:r>
        <w:rPr>
          <w:b/>
        </w:rPr>
        <w:t>Hypogammaglobulinémie préexistante (IgG &lt; 6 g/L)</w:t>
      </w:r>
      <w:r>
        <w:t xml:space="preserve"> : aggravation, infections récidivantes.</w:t>
      </w:r>
    </w:p>
    <w:p>
      <w:pPr>
        <w:pStyle w:val="ListBullet"/>
      </w:pPr>
      <w:r/>
      <w:r>
        <w:rPr>
          <w:b/>
        </w:rPr>
        <w:t>Vaccins vivants nécessaires dans les 6 mois</w:t>
      </w:r>
      <w:r>
        <w:t xml:space="preserve"> : CI absolue temporaire.</w:t>
      </w:r>
    </w:p>
    <w:p>
      <w:pPr>
        <w:pStyle w:val="ListBullet"/>
      </w:pPr>
      <w:r/>
      <w:r>
        <w:rPr>
          <w:b/>
        </w:rPr>
        <w:t>Grossesse au 3e trimestre</w:t>
      </w:r>
      <w:r>
        <w:t xml:space="preserve"> : CI stricte (immunosuppression néonatale).</w:t>
      </w:r>
    </w:p>
    <w:p>
      <w:pPr>
        <w:pStyle w:val="ListBullet"/>
      </w:pPr>
      <w:r/>
      <w:r>
        <w:rPr>
          <w:b/>
        </w:rPr>
        <w:t>Patient porteur du virus JC avec risque PML</w:t>
      </w:r>
      <w:r>
        <w:t xml:space="preserve"> : à évaluer (anticorps anti-JCV index &gt; 1,5 si disponible).</w:t>
      </w:r>
    </w:p>
    <w:p>
      <w:r/>
      <w:r>
        <w:rPr>
          <w:b/>
        </w:rPr>
        <w:t>Choix entre princeps et biosimilaires</w:t>
      </w:r>
      <w:r>
        <w:t xml:space="preserve"> : en initiation, le choix est économique — le biosimilaire RITUXIMAB-SAIDAL (production locale algérienne) est à privilégier pour favoriser l'industrie nationale et réduire le coût (coût ~25 000-30 000 DA par cure vs 50 000-80 000 DA pour MABTHERA). En cas de poursuite d'un traitement initié à l'étranger avec princeps MABTHERA, maintien du princeps. La substitution en cours de traitement n'est pas recommandée (risque d'immunogénicité croisée).</w:t>
      </w:r>
    </w:p>
    <w:p>
      <w:pPr>
        <w:pStyle w:val="Heading3"/>
      </w:pPr>
      <w:r>
        <w:t>152b.7.10 Instructions au patient</w:t>
      </w:r>
    </w:p>
    <w:p>
      <w:pPr>
        <w:pStyle w:val="ListNumber"/>
      </w:pPr>
      <w:r/>
      <w:r>
        <w:rPr>
          <w:b/>
        </w:rPr>
        <w:t>Hospitalisation obligatoire pour la perfusion</w:t>
      </w:r>
      <w:r>
        <w:t xml:space="preserve"> : prévoir une journée d'hospitalisation (4-6 h) pour chaque perfusion, présence d'un accompagnant recommandée pour le retour à domicile (en cas de fatigue post-perfusion).</w:t>
      </w:r>
    </w:p>
    <w:p>
      <w:pPr>
        <w:pStyle w:val="ListNumber"/>
      </w:pPr>
      <w:r/>
      <w:r>
        <w:rPr>
          <w:b/>
        </w:rPr>
        <w:t>Prémédication 30-60 min avant la perfusion</w:t>
      </w:r>
      <w:r>
        <w:t xml:space="preserve"> : paracétamol + antihistaminique + corticoïde, indispensable pour réduire les réactions à la perfusion.</w:t>
      </w:r>
    </w:p>
    <w:p>
      <w:pPr>
        <w:pStyle w:val="ListNumber"/>
      </w:pPr>
      <w:r/>
      <w:r>
        <w:rPr>
          <w:b/>
        </w:rPr>
        <w:t>Surveillance pendant la perfusion</w:t>
      </w:r>
      <w:r>
        <w:t xml:space="preserve"> : signaler immédiatement à l'infirmière tout symptôme (fièvre, frissons, démangeaisons, essoufflement, vertiges, nausées,flush, palpitations) — arrêt possible de la perfusion en cas de réaction.</w:t>
      </w:r>
    </w:p>
    <w:p>
      <w:pPr>
        <w:pStyle w:val="ListNumber"/>
      </w:pPr>
      <w:r/>
      <w:r>
        <w:rPr>
          <w:b/>
        </w:rPr>
        <w:t>Surveillance biologique trimestrielle</w:t>
      </w:r>
      <w:r>
        <w:t xml:space="preserve"> : NFS-plaquettes, bilan hépatique, électrophorèse des protéines sériques (IgG/IgA/IgM), CRP. Effectuer les prélèvements à jeun le matin.</w:t>
      </w:r>
    </w:p>
    <w:p>
      <w:pPr>
        <w:pStyle w:val="ListNumber"/>
      </w:pPr>
      <w:r/>
      <w:r>
        <w:rPr>
          <w:b/>
        </w:rPr>
        <w:t>Surveillance NFS spécifique à 3-6 mois post-cure</w:t>
      </w:r>
      <w:r>
        <w:t xml:space="preserve"> : recherche de neutropénie tardive (incidence 5-10 %).</w:t>
      </w:r>
    </w:p>
    <w:p>
      <w:pPr>
        <w:pStyle w:val="ListNumber"/>
      </w:pPr>
      <w:r/>
      <w:r>
        <w:rPr>
          <w:b/>
        </w:rPr>
        <w:t>Surveillance VHB si Ac anti-HBc+</w:t>
      </w:r>
      <w:r>
        <w:t xml:space="preserve"> : prise d'entécavir ou ténofovir tous les jours pendant le traitement et 6-12 mois après arrêt, sans interruption. Prélèvement ADN-VHB mensuel.</w:t>
      </w:r>
    </w:p>
    <w:p>
      <w:pPr>
        <w:pStyle w:val="ListNumber"/>
      </w:pPr>
      <w:r/>
      <w:r>
        <w:rPr>
          <w:b/>
        </w:rPr>
        <w:t>Signes d'alerte à signaler immédiatement au médecin</w:t>
      </w:r>
      <w:r>
        <w:t xml:space="preserve"> : fièvre ≥ 38,5°C persistante &gt; 48 h, toux avec expectoration purulente, dyspnée, brûlures mictionnelles, zone cutanée rouge et douloureuse, herpès ou zona étendu.</w:t>
      </w:r>
    </w:p>
    <w:p>
      <w:pPr>
        <w:pStyle w:val="ListNumber"/>
      </w:pPr>
      <w:r/>
      <w:r>
        <w:rPr>
          <w:b/>
        </w:rPr>
        <w:t>Signes neurologiques évocateurs de PML à signaler en urgence</w:t>
      </w:r>
      <w:r>
        <w:t xml:space="preserve"> : céphalées inhabituelles, confusion, trouble visuel, faiblesse musculaire d'un membre, ataxie (trouble de l'équilibre), troubles cognitifs, troubles du langage — consultation neurologique urgente.</w:t>
      </w:r>
    </w:p>
    <w:p>
      <w:pPr>
        <w:pStyle w:val="ListNumber"/>
      </w:pPr>
      <w:r/>
      <w:r>
        <w:rPr>
          <w:b/>
        </w:rPr>
        <w:t>Précautions infectieuses</w:t>
      </w:r>
      <w:r>
        <w:t xml:space="preserve"> : éviter le contact avec les personnes malades, lavage des mains fréquent, éviter fromages au lait cru, charcuterie non cuite, viande crue, produits de la mer crus, œufs crus, produits non pasteurisés.</w:t>
      </w:r>
    </w:p>
    <w:p>
      <w:pPr>
        <w:pStyle w:val="ListNumber"/>
      </w:pPr>
      <w:r/>
      <w:r>
        <w:rPr>
          <w:b/>
        </w:rPr>
        <w:t>Vaccinations</w:t>
      </w:r>
      <w:r>
        <w:t xml:space="preserve"> : vaccin grippe saisonnière annuel, vaccin pneumocoque, vaccin COVID-19, vaccin zona Shingrix si &gt; 50 ans. </w:t>
      </w:r>
      <w:r>
        <w:rPr>
          <w:b/>
        </w:rPr>
        <w:t>Ne jamais recevoir un vaccin vivant</w:t>
      </w:r>
      <w:r>
        <w:t xml:space="preserve"> (BCG, ROR, fièvre jaune, varicelle, Zostavax) sans avis médical préalable, surtout dans les 6 mois suivant la dernière cure.</w:t>
      </w:r>
    </w:p>
    <w:p>
      <w:pPr>
        <w:pStyle w:val="ListNumber"/>
      </w:pPr>
      <w:r/>
      <w:r>
        <w:rPr>
          <w:b/>
        </w:rPr>
        <w:t>Grossesse et contraception</w:t>
      </w:r>
      <w:r>
        <w:t xml:space="preserve"> : contraception efficace pendant le traitement et 12 mois après l'arrêt (la déplétion lymphocytaire B persiste 6-12 mois). En cas de désir de grossesse, consulter le rhumatologue référent au moins 12 mois avant.</w:t>
      </w:r>
    </w:p>
    <w:p>
      <w:pPr>
        <w:pStyle w:val="ListNumber"/>
      </w:pPr>
      <w:r/>
      <w:r>
        <w:rPr>
          <w:b/>
        </w:rPr>
        <w:t>Interventions chirurgicales</w:t>
      </w:r>
      <w:r>
        <w:t xml:space="preserve"> : informer le chirurgien. Pas d'arrêt systématique recommandé en chirurgie programmée (la déplétion B n'augmente pas le risque infectieux post-opératoire de manière significative), mais espacer la cure de la chirurgie si possible.</w:t>
      </w:r>
    </w:p>
    <w:p>
      <w:pPr>
        <w:pStyle w:val="Heading3"/>
      </w:pPr>
      <w:r>
        <w:t>152b.7.11 Notes / Règles d'or / Pièges</w:t>
      </w:r>
    </w:p>
    <w:p>
      <w:pPr>
        <w:pStyle w:val="ListBullet"/>
      </w:pPr>
      <w:r/>
      <w:r>
        <w:rPr>
          <w:b/>
        </w:rPr>
        <w:t>Règle d'or n°1</w:t>
      </w:r>
      <w:r>
        <w:t xml:space="preserve"> : Dépistage VHB systématique pré-thérapeutique (AgHBs, Ac anti-HBs, </w:t>
      </w:r>
      <w:r>
        <w:rPr>
          <w:b/>
        </w:rPr>
        <w:t>Ac anti-HBc obligatoire</w:t>
      </w:r>
      <w:r>
        <w:t>, ADN-VHB si Ac anti-HBc+) — la réactivation VHB est une urgence vitale (mortalité 20-50 %) et la prophylaxie antivirale par entécavir ou ténofovir est obligatoire pendant le traitement et 6-12 mois après.</w:t>
      </w:r>
    </w:p>
    <w:p>
      <w:pPr>
        <w:pStyle w:val="ListBullet"/>
      </w:pPr>
      <w:r/>
      <w:r>
        <w:rPr>
          <w:b/>
        </w:rPr>
        <w:t>Règle d'or n°2</w:t>
      </w:r>
      <w:r>
        <w:t xml:space="preserve"> : Prémédication systématique avant chaque perfusion (paracétamol + antihistaminique + corticoïde) — indispensable pour réduire l'incidence et la sévérité des réactions à la perfusion.</w:t>
      </w:r>
    </w:p>
    <w:p>
      <w:pPr>
        <w:pStyle w:val="ListBullet"/>
      </w:pPr>
      <w:r/>
      <w:r>
        <w:rPr>
          <w:b/>
        </w:rPr>
        <w:t>Règle d'or n°3</w:t>
      </w:r>
      <w:r>
        <w:t xml:space="preserve"> : Efficacité supérieure dans la PR séropositive anti-CCP+/FR+ (réponse ACR50 60 % vs 30 % séronégative) — à privilégier dans ce phénotype.</w:t>
      </w:r>
    </w:p>
    <w:p>
      <w:pPr>
        <w:pStyle w:val="ListBullet"/>
      </w:pPr>
      <w:r/>
      <w:r>
        <w:rPr>
          <w:b/>
        </w:rPr>
        <w:t>Règle d'or n°4</w:t>
      </w:r>
      <w:r>
        <w:t xml:space="preserve"> : Efficacité retardée (3-6 mois pour réponse clinique maximale) — ne pas conclure à un échec thérapeutique avant 6 mois.</w:t>
      </w:r>
    </w:p>
    <w:p>
      <w:pPr>
        <w:pStyle w:val="ListBullet"/>
      </w:pPr>
      <w:r/>
      <w:r>
        <w:rPr>
          <w:b/>
        </w:rPr>
        <w:t>Règle d'or n°5</w:t>
      </w:r>
      <w:r>
        <w:t xml:space="preserve"> : Surveillance NFS à 3-6 mois post-cure (neutropénie tardive 5-10 %) et IgG semestrielles (hypogammaglobulinémie 30-40 % à 6 mois).</w:t>
      </w:r>
    </w:p>
    <w:p>
      <w:pPr>
        <w:pStyle w:val="ListBullet"/>
      </w:pPr>
      <w:r/>
      <w:r>
        <w:rPr>
          <w:b/>
        </w:rPr>
        <w:t>Piège n°1 — Réactivation VHB</w:t>
      </w:r>
      <w:r>
        <w:t xml:space="preserve"> : même un patient avec Ac anti-HBc+ isolé (AgHBs−, Ac anti-HBs+ — guérison ancienne) présente un risque de réactivation (1-5 %), d'où la prophylaxie antivirale obligatoire. Ne pas méconnaître ce risque vital.</w:t>
      </w:r>
    </w:p>
    <w:p>
      <w:pPr>
        <w:pStyle w:val="ListBullet"/>
      </w:pPr>
      <w:r/>
      <w:r>
        <w:rPr>
          <w:b/>
        </w:rPr>
        <w:t>Piège n°2 — Leucoencéphalopathie multifocale progressive (PML)</w:t>
      </w:r>
      <w:r>
        <w:t xml:space="preserve"> : rare en rhumatologie (0,02 pour 1000 patients-années) mais mortelle dans 30-50 % des cas. Éducation du patient à signaler tout symptôme neurologique nouveau (céphalées, confusion, trouble visuel, faiblesse, ataxie).</w:t>
      </w:r>
    </w:p>
    <w:p>
      <w:pPr>
        <w:pStyle w:val="ListBullet"/>
      </w:pPr>
      <w:r/>
      <w:r>
        <w:rPr>
          <w:b/>
        </w:rPr>
        <w:t>Piège n°3 — Persistance du FR et des anti-CCP</w:t>
      </w:r>
      <w:r>
        <w:t xml:space="preserve"> : les plasmocytes long-vivants médullaires persistent malgré la déplétion B — la persistance du FR et des anti-CCP ne signifie pas un échec thérapeutique. Surveiller la clinique (DAS28) et la CRP.</w:t>
      </w:r>
    </w:p>
    <w:p>
      <w:pPr>
        <w:pStyle w:val="ListBullet"/>
      </w:pPr>
      <w:r/>
      <w:r>
        <w:rPr>
          <w:b/>
        </w:rPr>
        <w:t>Piège n°4 — Vaccins vivants contre-indiqués 6 mois après la dernière cure</w:t>
      </w:r>
      <w:r>
        <w:t xml:space="preserve"> : la déplétion B persiste 6-12 mois, prolongeant la CI des vaccins vivants. Éducation du patient et coordonnées du rhumatologue référent à remettre.</w:t>
      </w:r>
    </w:p>
    <w:p>
      <w:pPr>
        <w:pStyle w:val="ListBullet"/>
      </w:pPr>
      <w:r/>
      <w:r>
        <w:rPr>
          <w:b/>
        </w:rPr>
        <w:t>Piège n°5 — Grossesse au 3e trimestre</w:t>
      </w:r>
      <w:r>
        <w:t xml:space="preserve"> : CI stricte (immunosuppression néonatale majeure avec cytopénies néonatales transitoires chez 30-40 % des nouveau-nés exposés). Préférer certolizumab si biothérapie nécessaire au 3e trimestre.</w:t>
      </w:r>
    </w:p>
    <w:p>
      <w:pPr>
        <w:pStyle w:val="ListBullet"/>
      </w:pPr>
      <w:r/>
      <w:r>
        <w:rPr>
          <w:b/>
        </w:rPr>
        <w:t>Piège n°6 — Réactions à la perfusion plus fréquentes à la première perfusion</w:t>
      </w:r>
      <w:r>
        <w:t xml:space="preserve"> (30-50 % vs 5-10 % à la seconde) — surveillance renforcée à J1, prémédication renforcée, perfusion initiale lente (50 mg/h puis escalade).</w:t>
      </w:r>
    </w:p>
    <w:p>
      <w:pPr>
        <w:pStyle w:val="ListBullet"/>
      </w:pPr>
      <w:r/>
      <w:r>
        <w:rPr>
          <w:b/>
        </w:rPr>
        <w:t>Piège n°7 — Substitution princeps/biosimilaire non recommandée en cours de traitement</w:t>
      </w:r>
      <w:r>
        <w:t xml:space="preserve"> (risque d'immunogénicité croisée, réactions à la perfusion). Si substitution envisagée, l'effectuer après washout de 6 mois.</w:t>
      </w:r>
    </w:p>
    <w:p>
      <w:pPr>
        <w:pStyle w:val="Heading2"/>
      </w:pPr>
      <w:r>
        <w:t>152b.8 DCI : Abatacept</w:t>
      </w:r>
    </w:p>
    <w:p>
      <w:pPr>
        <w:pStyle w:val="Heading3"/>
      </w:pPr>
      <w:r>
        <w:t>152b.8.1 Catégories et Liste</w:t>
      </w:r>
    </w:p>
    <w:p>
      <w:pPr>
        <w:pStyle w:val="ListBullet"/>
      </w:pPr>
      <w:r/>
      <w:r>
        <w:rPr>
          <w:b/>
        </w:rPr>
        <w:t>Classe pharmacothérapeutique</w:t>
      </w:r>
      <w:r>
        <w:t xml:space="preserve"> : Immunodépresseur, protéine de fusion CTLA-4-Ig (modulateur sélectif de la co-stimulation T) (Code ATC : L04AA24).</w:t>
      </w:r>
    </w:p>
    <w:p>
      <w:pPr>
        <w:pStyle w:val="ListBullet"/>
      </w:pPr>
      <w:r/>
      <w:r>
        <w:rPr>
          <w:b/>
        </w:rPr>
        <w:t>Mode d'accès</w:t>
      </w:r>
      <w:r>
        <w:t xml:space="preserve"> : Liste I, prescription initiale hospitalière réservée aux spécialistes en rhumatologie, pédiatrie (ACJI), médecine interne. Administration IV stricte en milieu hospitalier (service de jour ou service conventionnel) avec surveillance médicale pendant la perfusion. Forme SC disponible à l'international (125 mg/sem après dose de charge IV), non disponible en Algérie.</w:t>
      </w:r>
    </w:p>
    <w:p>
      <w:pPr>
        <w:pStyle w:val="ListBullet"/>
      </w:pPr>
      <w:r/>
      <w:r>
        <w:rPr>
          <w:b/>
        </w:rPr>
        <w:t>Agrément conventionnel</w:t>
      </w:r>
      <w:r>
        <w:t xml:space="preserve"> : Médicament remboursable par la CNAS/CASNOS dans la PR active sévère (en association au MTX) en cas de réponse inadéquate aux DMARDs conventionnels et aux anti-TNFα, et dans l'arthrite chronique juvénile idiopathique polyarticulaire (ACJI) de l'enfant &gt; 6 ans. </w:t>
      </w:r>
      <w:r>
        <w:rPr>
          <w:b/>
        </w:rPr>
        <w:t>Statut algérien</w:t>
      </w:r>
      <w:r>
        <w:t xml:space="preserve"> : RETIRÉ du marché algérien avant le 1er avril 2026, non disponible.</w:t>
      </w:r>
    </w:p>
    <w:p>
      <w:pPr>
        <w:pStyle w:val="ListBullet"/>
      </w:pPr>
      <w:r/>
      <w:r>
        <w:rPr>
          <w:b/>
        </w:rPr>
        <w:t>Statut réglementaire Algérie</w:t>
      </w:r>
      <w:r>
        <w:t xml:space="preserve"> : Médicament soumis à prescription restreinte. </w:t>
      </w:r>
      <w:r>
        <w:rPr>
          <w:b/>
        </w:rPr>
        <w:t>RETRAIT du marché algérien</w:t>
      </w:r>
      <w:r>
        <w:t xml:space="preserve"> à une date antérieure au 1er avril 2026 — ne pas prescrire, orienter le patient vers une alternative thérapeutique d'une autre sous-classe.</w:t>
      </w:r>
    </w:p>
    <w:p>
      <w:pPr>
        <w:pStyle w:val="Heading3"/>
      </w:pPr>
      <w:r>
        <w:t>152b.8.2 Médicaments disponibles en Algérie (tableau des spécialités commercialisées)</w:t>
      </w:r>
    </w:p>
    <w:p>
      <w:r>
        <w:t xml:space="preserve">L'abatacept (ORENCIA, Bristol-Myers Squibb Pharma EEIG) a été </w:t>
      </w:r>
      <w:r>
        <w:rPr>
          <w:b/>
        </w:rPr>
        <w:t>RETRAIT du marché algérien</w:t>
      </w:r>
      <w:r>
        <w:t xml:space="preserve"> avant le 1er avril 2026. Aucune spécialité active n'est disponible. Aucun biosimilaire n'est commercialisé. Le tableau ci-dessous présente le conditionnement historique à titre informatif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ORENCIA</w:t>
            </w:r>
          </w:p>
        </w:tc>
        <w:tc>
          <w:tcPr>
            <w:tcW w:type="dxa" w:w="1559"/>
          </w:tcPr>
          <w:p>
            <w:r>
              <w:rPr>
                <w:sz w:val="20"/>
              </w:rPr>
              <w:t>BRISTOL-MYERS SQUIBB PHARMA EEIG</w:t>
            </w:r>
          </w:p>
        </w:tc>
        <w:tc>
          <w:tcPr>
            <w:tcW w:type="dxa" w:w="1559"/>
          </w:tcPr>
          <w:p>
            <w:r>
              <w:rPr>
                <w:sz w:val="20"/>
              </w:rPr>
              <w:t>Poudre pour solution à diluer pour perfusion IV — 250 mg/flacon</w:t>
            </w:r>
          </w:p>
        </w:tc>
        <w:tc>
          <w:tcPr>
            <w:tcW w:type="dxa" w:w="1559"/>
          </w:tcPr>
          <w:p>
            <w:r>
              <w:rPr>
                <w:sz w:val="20"/>
              </w:rPr>
              <w:t>B/01 flacon de poudre + 01 seringue sans silicone</w:t>
            </w:r>
          </w:p>
        </w:tc>
        <w:tc>
          <w:tcPr>
            <w:tcW w:type="dxa" w:w="1559"/>
          </w:tcPr>
          <w:p>
            <w:r>
              <w:rPr>
                <w:sz w:val="20"/>
              </w:rPr>
              <w:t>Liste I</w:t>
            </w:r>
          </w:p>
        </w:tc>
        <w:tc>
          <w:tcPr>
            <w:tcW w:type="dxa" w:w="1559"/>
          </w:tcPr>
          <w:p>
            <w:r>
              <w:rPr>
                <w:sz w:val="20"/>
              </w:rPr>
              <w:t>**Retrait**</w:t>
            </w:r>
          </w:p>
        </w:tc>
      </w:tr>
    </w:tbl>
    <w:p/>
    <w:p>
      <w:r/>
      <w:r>
        <w:rPr>
          <w:i/>
        </w:rPr>
        <w:t>(Note : ORENCIA (Bristol-Myers Squibb Pharma EEIG) était le princeps originel, mis sur le marché en 2005 (FDA) pour la PR, puis 2007 (EMA). Le retrait du marché algérien pourrait s'expliquer par des raisons commerciales (volume de ventes insuffisant), réglementaires (non-renouvellement d'AMM) ou de stratégie industrielle (concentration sur les marchés occidentaux et asiatiques). Les patients algériens nécessitant un inhibiteur de la co-stimulation T doivent être orientés vers des alternatives thérapeutiques d'autres sous-classes : tocilizumab (anti-IL-6) en cas de syndrome inflammatoire marqué, rituximab (anti-CD20) en cas de PR séropositive, anti-TNFα en cas d'absence de CI, sécukinumab/ustekinumab dans la spondyloarthrite/rhumatisme psoriasique. La forme SC (125 mg/sem après dose de charge IV) n'a jamais été commercialisée en Algérie.)</w:t>
      </w:r>
      <w:r/>
    </w:p>
    <w:p>
      <w:pPr>
        <w:pStyle w:val="Heading3"/>
      </w:pPr>
      <w:r>
        <w:t>152b.8.3 Sous-classe et Mécanisme d'action</w:t>
      </w:r>
    </w:p>
    <w:p>
      <w:r>
        <w:t xml:space="preserve">L'abatacept appartient à la sous-classe des </w:t>
      </w:r>
      <w:r>
        <w:rPr>
          <w:b/>
        </w:rPr>
        <w:t>inhibiteurs de la co-stimulation T (CTLA-4-Ig)</w:t>
      </w:r>
      <w:r>
        <w:t xml:space="preserve">, représentée uniquement par l'abatacept en Algérie (le belatacept, autre CTLA-4-Ig utilisé en transplantation rénale, n'est pas commercialisé en Algérie pour indication rhumatologique). C'est une </w:t>
      </w:r>
      <w:r>
        <w:rPr>
          <w:b/>
        </w:rPr>
        <w:t>protéine de fusion recombinante</w:t>
      </w:r>
      <w:r>
        <w:t xml:space="preserve"> composée du domaine extracellulaire de la CTLA-4 humaine (cytotoxic T-lymphocyte-associated protein 4) lié par coopula-son au fragment Fc modifié d'une IgG1 humaine (mutations Leu234→Glu, Leu235→Glu, Gly237→Ala qui abolissent la liaison aux FcγR et donc l'ADCC). La partie CTLA-4 possède une affinité 500-2000 fois supérieure à CD28 pour les ligands CD80 (B7-1) et CD86 (B7-2) exprimés par les cellules présentatrices d'antigène (CPA) activées.</w:t>
      </w:r>
    </w:p>
    <w:p>
      <w:r/>
      <w:r>
        <w:rPr>
          <w:b/>
        </w:rPr>
        <w:t>Mécanisme d'action moléculaire</w:t>
      </w:r>
      <w:r>
        <w:t xml:space="preserve"> : l'abatacept entre en </w:t>
      </w:r>
      <w:r>
        <w:rPr>
          <w:b/>
        </w:rPr>
        <w:t>compétition compétitive</w:t>
      </w:r>
      <w:r>
        <w:t xml:space="preserve"> avec CD28 (récepteur activateur constitutif exprimé par les lymphocytes T naïfs) pour la liaison CD80/CD86 sur les CPA activées. Cette liaison préférentielle bloque le signal 2 de co-stimulation T, indispensable à l'activation T complète. En l'absence du signal 2, le signal 1 seul (TCR + CMH-peptide) induit une </w:t>
      </w:r>
      <w:r>
        <w:rPr>
          <w:b/>
        </w:rPr>
        <w:t>anergie T</w:t>
      </w:r>
      <w:r>
        <w:t xml:space="preserve"> (inactivation fonctionnelle, reflet physiologique de la CTLA-4 naturelle) plutôt qu'une activation. L'abatacept reproduit donc le mécanisme naturel de la tolérance périphérique T.</w:t>
      </w:r>
    </w:p>
    <w:p>
      <w:r/>
      <w:r>
        <w:rPr>
          <w:b/>
        </w:rPr>
        <w:t>Conséquences pharmacodynamiques cliniques</w:t>
      </w:r>
      <w:r>
        <w:t xml:space="preserve"> : (i) </w:t>
      </w:r>
      <w:r>
        <w:rPr>
          <w:b/>
        </w:rPr>
        <w:t>inhibition de l'activation T</w:t>
      </w:r>
      <w:r>
        <w:t xml:space="preserve"> avec baisse de l'expression de CD25 (IL-2Rα), HLA-DR et CD69 à la surface des lymphocytes T activés ; (ii) </w:t>
      </w:r>
      <w:r>
        <w:rPr>
          <w:b/>
        </w:rPr>
        <w:t>baisse de la production de cytokines T</w:t>
      </w:r>
      <w:r>
        <w:t xml:space="preserve"> (IL-2, IFNγ, TNFα, IL-17) ; (iii) </w:t>
      </w:r>
      <w:r>
        <w:rPr>
          <w:b/>
        </w:rPr>
        <w:t>baisse de la production d'anticorps</w:t>
      </w:r>
      <w:r>
        <w:t xml:space="preserve"> (par réduction de l'aide T aux lymphocytes B) ; (iv) réduction du nombre d'articulations gonflées et douloureuses (essai AIM : ACR20 68 % à 6 mois vs 40 % placebo, en association au MTX ; essai ATTAIN : ACR20 50 % à 6 mois en échec des anti-TNFα vs 19 % placebo) ; (v) prévention de la progression radiographique (réduction de 50 % du score de Sharp modifié à 1 an) ; (vi) efficacité dans l'ACJI polyarticulaire (essai AGREE : ACR-pedi30 70 % à 6 mois vs 45 % placebo) ; (vii) efficacité modérée dans le lupus érythémateux systémique (essai BLISS non concluant sur le critère principal SRI-4 mais bénéfice dans certains sous-groupes).</w:t>
      </w:r>
    </w:p>
    <w:p>
      <w:r/>
      <w:r>
        <w:rPr>
          <w:b/>
        </w:rPr>
        <w:t>Particularité pharmacocinétique</w:t>
      </w:r>
      <w:r>
        <w:t xml:space="preserve"> : la demi-vie plasmatique de l'abatacept IV est de 13-16 jours (cinétique linéaire). La clairance dépend du poids corporel (justifiant l'adaptation posologique par paliers de poids : &lt; 60 kg, 60-100 kg, &gt; 100 kg). Le volume de distribution est limité au compartiment plasmatique (~5-7 L). Biodisponibilité : 100 % IV. La forme SC a une biodisponibilité de 75 %, pic à 5 jours, demi-vie de 13-17 jours. L'abatacept traverse le placenta via FcRn à partir de 16-20 SA.</w:t>
      </w:r>
    </w:p>
    <w:p>
      <w:pPr>
        <w:pStyle w:val="Heading3"/>
      </w:pPr>
      <w:r>
        <w:t>152b.8.4 Profil Pharmacologique Clinique</w:t>
      </w:r>
    </w:p>
    <w:p>
      <w:r/>
      <w:r>
        <w:rPr>
          <w:b/>
        </w:rPr>
        <w:t>Indications AMM (historiques, à titre informatif)</w:t>
      </w:r>
      <w:r>
        <w:t xml:space="preserve"> :</w:t>
      </w:r>
    </w:p>
    <w:p>
      <w:pPr>
        <w:pStyle w:val="ListBullet"/>
      </w:pPr>
      <w:r>
        <w:t>Polyarthrite rhumatoïde active modérée à sévère de l'adulte en association au MTX ou en monothérapie en cas d'intolérance ou de CI au MTX, en cas de réponse inadéquate aux DMARDs conventionnels ou aux anti-TNFα.</w:t>
      </w:r>
    </w:p>
    <w:p>
      <w:pPr>
        <w:pStyle w:val="ListBullet"/>
      </w:pPr>
      <w:r>
        <w:t>Arthrite chronique juvénile idiopathique polyarticulaire (ACJI) de l'enfant &gt; 6 ans en cas de réponse inadéquate au MTX.</w:t>
      </w:r>
    </w:p>
    <w:p>
      <w:pPr>
        <w:pStyle w:val="ListBullet"/>
      </w:pPr>
      <w:r>
        <w:t>Lupus érythémateux systémique en association (indication plus récente, essai BLISS).</w:t>
      </w:r>
    </w:p>
    <w:p>
      <w:r/>
      <w:r>
        <w:rPr>
          <w:b/>
        </w:rPr>
        <w:t>Indications potentielles en Algérie</w:t>
      </w:r>
      <w:r>
        <w:t xml:space="preserve"> : non disponibles actuellement en raison du retrait du marché. Les patients algériens nécessitant un inhibiteur de la co-stimulation T doivent être orientés vers des alternatives thérapeutiques (voir ci-dessous).</w:t>
      </w:r>
    </w:p>
    <w:p>
      <w:r/>
      <w:r>
        <w:rPr>
          <w:b/>
        </w:rPr>
        <w:t>Contre-indications absolues</w:t>
      </w:r>
      <w:r>
        <w:t xml:space="preserve"> (historiques, à titre informatif) :</w:t>
      </w:r>
    </w:p>
    <w:p>
      <w:pPr>
        <w:pStyle w:val="ListBullet"/>
      </w:pPr>
      <w:r>
        <w:t>Hypersensibilité à l'abatacept ou à l'un des excipients (maltose, phosphate monobasique de sodium, phosphate dibasique de sodium).</w:t>
      </w:r>
    </w:p>
    <w:p>
      <w:pPr>
        <w:pStyle w:val="ListBullet"/>
      </w:pPr>
      <w:r>
        <w:t>Infection sévère active non contrôlée.</w:t>
      </w:r>
    </w:p>
    <w:p>
      <w:pPr>
        <w:pStyle w:val="ListBullet"/>
      </w:pPr>
      <w:r>
        <w:t>Vaccination par vaccin vivant atténué pendant le traitement et 4 semaines après la dernière perfusion.</w:t>
      </w:r>
    </w:p>
    <w:p>
      <w:r/>
      <w:r>
        <w:rPr>
          <w:b/>
        </w:rPr>
        <w:t>Contre-indications relatives</w:t>
      </w:r>
      <w:r>
        <w:t xml:space="preserve"> (historiques) :</w:t>
      </w:r>
    </w:p>
    <w:p>
      <w:pPr>
        <w:pStyle w:val="ListBullet"/>
      </w:pPr>
      <w:r>
        <w:t>BPCO sévère (signal émergent d'aggravation respiratoire, essai clinique avec exacerbations BPCO majorées).</w:t>
      </w:r>
    </w:p>
    <w:p>
      <w:pPr>
        <w:pStyle w:val="ListBullet"/>
      </w:pPr>
      <w:r>
        <w:t>Hypogammaglobulinémie préexistante.</w:t>
      </w:r>
    </w:p>
    <w:p>
      <w:pPr>
        <w:pStyle w:val="ListBullet"/>
      </w:pPr>
      <w:r>
        <w:t>Antécédent d'infections opportunistes multiples.</w:t>
      </w:r>
    </w:p>
    <w:p>
      <w:pPr>
        <w:pStyle w:val="ListBullet"/>
      </w:pPr>
      <w:r>
        <w:t>Prudence en cas d'insuffisance hépatique sévère (pas d'adaptation posologique nécessaire en cas d'IR mais prudence en cas d'IH sévère).</w:t>
      </w:r>
    </w:p>
    <w:p>
      <w:r/>
      <w:r>
        <w:rPr>
          <w:b/>
        </w:rPr>
        <w:t>Effets indésirables principaux</w:t>
      </w:r>
      <w:r>
        <w:t xml:space="preserve"> (historiques, à titre informatif) :</w:t>
      </w:r>
    </w:p>
    <w:p>
      <w:pPr>
        <w:pStyle w:val="ListBullet"/>
      </w:pPr>
      <w:r/>
      <w:r>
        <w:rPr>
          <w:b/>
        </w:rPr>
        <w:t>Très fréquents (≥ 10 %)</w:t>
      </w:r>
      <w:r>
        <w:t xml:space="preserve"> : infections des voies respiratoires supérieures 16-20 % (rhinopharyngite, bronchite), céphalées 12-15 %, nausées 10-12 %.</w:t>
      </w:r>
    </w:p>
    <w:p>
      <w:pPr>
        <w:pStyle w:val="ListBullet"/>
      </w:pPr>
      <w:r/>
      <w:r>
        <w:rPr>
          <w:b/>
        </w:rPr>
        <w:t>Fréquents (1-10 %)</w:t>
      </w:r>
      <w:r>
        <w:t xml:space="preserve"> : infections sévères (pneumonie 2-4 %, cellulite 1-2 %, herpès 3-5 %, zona 3-5 %), fièvre, asthénie, vertiges, douleurs abdominales, diarrhée, dyspepsie, rash, prurit, élévation des transaminases 3-5 %, neutropénie 2-4 %, hypertension 3-5 %, toux, dyspnée (surtout chez les patients BPCO).</w:t>
      </w:r>
    </w:p>
    <w:p>
      <w:pPr>
        <w:pStyle w:val="ListBullet"/>
      </w:pPr>
      <w:r/>
      <w:r>
        <w:rPr>
          <w:b/>
        </w:rPr>
        <w:t>Rares (0,1-1 %)</w:t>
      </w:r>
      <w:r>
        <w:t xml:space="preserve"> : réactions à la perfusion 5-10 % (céphalées, flush, hypertension transitoire), néoplasies (signal émergent de cancers du poumon chez les patients tabagiques BPCO), pneumopathie interstitielle, hépatite auto-immune.</w:t>
      </w:r>
    </w:p>
    <w:p>
      <w:pPr>
        <w:pStyle w:val="ListBullet"/>
      </w:pPr>
      <w:r/>
      <w:r>
        <w:rPr>
          <w:b/>
        </w:rPr>
        <w:t>Très rares (&lt; 0,1 %)</w:t>
      </w:r>
      <w:r>
        <w:t xml:space="preserve"> : anaphylaxie 0,1 %, syndrome de Stevens-Johnson, vascularite cutanée.</w:t>
      </w:r>
    </w:p>
    <w:p>
      <w:pPr>
        <w:pStyle w:val="Heading3"/>
      </w:pPr>
      <w:r>
        <w:t>152b.8.5 Prévention et Gestion des Effets Indésirables</w:t>
      </w:r>
    </w:p>
    <w:p>
      <w:r/>
      <w:r>
        <w:rPr>
          <w:b/>
        </w:rPr>
        <w:t>Avant instauration (bilan pré-thérapeutique obligatoire, historique)</w:t>
      </w:r>
      <w:r>
        <w:t xml:space="preserve"> :</w:t>
      </w:r>
    </w:p>
    <w:p>
      <w:pPr>
        <w:pStyle w:val="ListBullet"/>
      </w:pPr>
      <w:r>
        <w:t>Consultation spécialisée rhumatologique avec évaluation de l'activité (DAS28).</w:t>
      </w:r>
    </w:p>
    <w:p>
      <w:pPr>
        <w:pStyle w:val="ListBullet"/>
      </w:pPr>
      <w:r>
        <w:t>Bilan biologique complet : NFS-plaquettes, CRP, VS, bilan hépatique, bilan rénal, ionogramme, électrophorèse des protéines sériques (IgG/IgA/IgM), βHCG.</w:t>
      </w:r>
    </w:p>
    <w:p>
      <w:pPr>
        <w:pStyle w:val="ListBullet"/>
      </w:pPr>
      <w:r>
        <w:t>Sérologies infectieuses : VHB (AgHBs, Ac anti-HBs, Ac anti-HBc), VHC, VIH.</w:t>
      </w:r>
    </w:p>
    <w:p>
      <w:pPr>
        <w:pStyle w:val="ListBullet"/>
      </w:pPr>
      <w:r>
        <w:t>Dépistage tuberculose : IDR à la tuberculine ou IGRA + radiographie thoracique.</w:t>
      </w:r>
    </w:p>
    <w:p>
      <w:pPr>
        <w:pStyle w:val="ListBullet"/>
      </w:pPr>
      <w:r>
        <w:t>Bilan respiratoire : EFR si antécédent BPCO ou tabagique (signal d'aggravation respiratoire).</w:t>
      </w:r>
    </w:p>
    <w:p>
      <w:pPr>
        <w:pStyle w:val="ListBullet"/>
      </w:pPr>
      <w:r>
        <w:t>Vaccinations : mise à jour vaccinale (pneumocoque, grippe, COVID-19, hépatite B, zona Shingrix).</w:t>
      </w:r>
    </w:p>
    <w:p>
      <w:pPr>
        <w:pStyle w:val="ListBullet"/>
      </w:pPr>
      <w:r>
        <w:t>Information du patient : remise d'un livret d'information, signature d'un consentement éclairé.</w:t>
      </w:r>
    </w:p>
    <w:p>
      <w:r/>
      <w:r>
        <w:rPr>
          <w:b/>
        </w:rPr>
        <w:t>Pendant le traitement (surveillance, historique)</w:t>
      </w:r>
      <w:r>
        <w:t xml:space="preserve"> :</w:t>
      </w:r>
    </w:p>
    <w:p>
      <w:pPr>
        <w:pStyle w:val="ListBullet"/>
      </w:pPr>
      <w:r>
        <w:t>Examen clinique mensuel les 3 premiers mois puis trimestriel.</w:t>
      </w:r>
    </w:p>
    <w:p>
      <w:pPr>
        <w:pStyle w:val="ListBullet"/>
      </w:pPr>
      <w:r>
        <w:t>Bilan biologique trimestriel : NFS-plaquettes, bilan hépatique, CRP.</w:t>
      </w:r>
    </w:p>
    <w:p>
      <w:pPr>
        <w:pStyle w:val="ListBullet"/>
      </w:pPr>
      <w:r>
        <w:t>Surveillance respiratoire accrue chez le patient BPCO : EFR semestrielle, surveillance clinique (dyspnée, toux, expectoration).</w:t>
      </w:r>
    </w:p>
    <w:p>
      <w:pPr>
        <w:pStyle w:val="ListBullet"/>
      </w:pPr>
      <w:r>
        <w:t>Surveillance TB : clinique trimestrielle, radiographie thoracique annuelle.</w:t>
      </w:r>
    </w:p>
    <w:p>
      <w:r/>
      <w:r>
        <w:rPr>
          <w:b/>
        </w:rPr>
        <w:t>Gestion des effets indésirables spécifiques</w:t>
      </w:r>
      <w:r>
        <w:t xml:space="preserve"> :</w:t>
      </w:r>
    </w:p>
    <w:p>
      <w:pPr>
        <w:pStyle w:val="ListBullet"/>
      </w:pPr>
      <w:r/>
      <w:r>
        <w:rPr>
          <w:b/>
        </w:rPr>
        <w:t>Infections bactériennes</w:t>
      </w:r>
      <w:r>
        <w:t xml:space="preserve"> : arrêt immédiat de l'abatacept, prélèvements bactériologiques, antibiothérapie probabiliste, reprise 2 semaines après résolution.</w:t>
      </w:r>
    </w:p>
    <w:p>
      <w:pPr>
        <w:pStyle w:val="ListBullet"/>
      </w:pPr>
      <w:r/>
      <w:r>
        <w:rPr>
          <w:b/>
        </w:rPr>
        <w:t>Réaction à la perfusion</w:t>
      </w:r>
      <w:r>
        <w:t xml:space="preserve"> : ralentir la perfusion, antihistaminique IV, surveillance vitale.</w:t>
      </w:r>
    </w:p>
    <w:p>
      <w:pPr>
        <w:pStyle w:val="ListBullet"/>
      </w:pPr>
      <w:r/>
      <w:r>
        <w:rPr>
          <w:b/>
        </w:rPr>
        <w:t>Aggravation respiratoire BPCO</w:t>
      </w:r>
      <w:r>
        <w:t xml:space="preserve"> : arrêt définitif de l'abatacept, avis pneumologique, traitement de l'exacerbation (bronchodilatateurs, corticoïdes, antibiotiques si surinfection).</w:t>
      </w:r>
    </w:p>
    <w:p>
      <w:pPr>
        <w:pStyle w:val="ListBullet"/>
      </w:pPr>
      <w:r/>
      <w:r>
        <w:rPr>
          <w:b/>
        </w:rPr>
        <w:t>Neutropénie</w:t>
      </w:r>
      <w:r>
        <w:t xml:space="preserve"> : surveillance NFS, arrêt si sévère.</w:t>
      </w:r>
    </w:p>
    <w:p>
      <w:pPr>
        <w:pStyle w:val="Heading3"/>
      </w:pPr>
      <w:r>
        <w:t>152b.8.6 Interactions médicamenteuses</w:t>
      </w:r>
    </w:p>
    <w:p>
      <w:pPr>
        <w:pStyle w:val="ListBullet"/>
      </w:pPr>
      <w:r/>
      <w:r>
        <w:rPr>
          <w:b/>
        </w:rPr>
        <w:t>Vaccins vivants atténués</w:t>
      </w:r>
      <w:r>
        <w:t xml:space="preserve"> : contre-indication absolue pendant le traitement et 4 semaines après la dernière perfusion.</w:t>
      </w:r>
    </w:p>
    <w:p>
      <w:pPr>
        <w:pStyle w:val="ListBullet"/>
      </w:pPr>
      <w:r/>
      <w:r>
        <w:rPr>
          <w:b/>
        </w:rPr>
        <w:t>Vaccins inactivés</w:t>
      </w:r>
      <w:r>
        <w:t xml:space="preserve"> : autorisés et recommandés. Réponse vaccinale conservée (à la différence du rituximab).</w:t>
      </w:r>
    </w:p>
    <w:p>
      <w:pPr>
        <w:pStyle w:val="ListBullet"/>
      </w:pPr>
      <w:r/>
      <w:r>
        <w:rPr>
          <w:b/>
        </w:rPr>
        <w:t>Anti-TNFα</w:t>
      </w:r>
      <w:r>
        <w:t xml:space="preserve"> : association déconseillée (augmentation des infections sévères sans bénéfice synergique démontré, essai ASSET non concluant).</w:t>
      </w:r>
    </w:p>
    <w:p>
      <w:pPr>
        <w:pStyle w:val="ListBullet"/>
      </w:pPr>
      <w:r/>
      <w:r>
        <w:rPr>
          <w:b/>
        </w:rPr>
        <w:t>Rituximab</w:t>
      </w:r>
      <w:r>
        <w:t xml:space="preserve"> : association déconseillée (immunosuppression additive majeure).</w:t>
      </w:r>
    </w:p>
    <w:p>
      <w:pPr>
        <w:pStyle w:val="ListBullet"/>
      </w:pPr>
      <w:r/>
      <w:r>
        <w:rPr>
          <w:b/>
        </w:rPr>
        <w:t>Tocilizumab</w:t>
      </w:r>
      <w:r>
        <w:t xml:space="preserve"> : association déconseillée (immunosuppression additive majeure).</w:t>
      </w:r>
    </w:p>
    <w:p>
      <w:pPr>
        <w:pStyle w:val="ListBullet"/>
      </w:pPr>
      <w:r/>
      <w:r>
        <w:rPr>
          <w:b/>
        </w:rPr>
        <w:t>Méthotrexate</w:t>
      </w:r>
      <w:r>
        <w:t xml:space="preserve"> : association recommandée (efficacité synergique démontrée), pas d'interaction pharmacocinétique significative.</w:t>
      </w:r>
    </w:p>
    <w:p>
      <w:pPr>
        <w:pStyle w:val="ListBullet"/>
      </w:pPr>
      <w:r/>
      <w:r>
        <w:rPr>
          <w:b/>
        </w:rPr>
        <w:t>Corticoïdes</w:t>
      </w:r>
      <w:r>
        <w:t xml:space="preserve"> : association possible, surveillance du bilan infectieux et du bilan glucidique.</w:t>
      </w:r>
    </w:p>
    <w:p>
      <w:pPr>
        <w:pStyle w:val="ListBullet"/>
      </w:pPr>
      <w:r/>
      <w:r>
        <w:rPr>
          <w:b/>
        </w:rPr>
        <w:t>Biosimilaires et substitution</w:t>
      </w:r>
      <w:r>
        <w:t xml:space="preserve"> : pas de biosimilaire disponible. Pas de substitution possible (et molécule retirée du marché algérien).</w:t>
      </w:r>
    </w:p>
    <w:p>
      <w:pPr>
        <w:pStyle w:val="Heading3"/>
      </w:pPr>
      <w:r>
        <w:t>152b.8.7 Grossesse et Allaitement (CRAT)</w:t>
      </w:r>
    </w:p>
    <w:p>
      <w:pPr>
        <w:pStyle w:val="ListBullet"/>
      </w:pPr>
      <w:r/>
      <w:r>
        <w:rPr>
          <w:b/>
        </w:rPr>
        <w:t>Grossesse</w:t>
      </w:r>
      <w:r>
        <w:t xml:space="preserve"> : l'abatacept est une protéine de fusion avec fragment Fc d'IgG1 qui traverse le placenta via FcRn à partir de 16-20 SA. Le CRAT conclut à </w:t>
      </w:r>
      <w:r>
        <w:rPr>
          <w:b/>
        </w:rPr>
        <w:t>éviter par prudence pendant toute la grossesse</w:t>
      </w:r>
      <w:r>
        <w:t xml:space="preserve"> en raison de données limitées (~150 cas publiés, pas de signal tératogène). En cas de nécessité absolue, peut être utilisé aux 1er et 2e trimestres avec arrêt obligatoire à 32 SA (immunosuppression néonatale transitoire). Les données publiées ne montrent pas d'augmentation du risque de malformations congénitales majeures.</w:t>
      </w:r>
    </w:p>
    <w:p>
      <w:pPr>
        <w:pStyle w:val="ListBullet"/>
      </w:pPr>
      <w:r/>
      <w:r>
        <w:rPr>
          <w:b/>
        </w:rPr>
        <w:t>Accouchement et nouveau-né</w:t>
      </w:r>
      <w:r>
        <w:t xml:space="preserve"> : surveillance clinique néonatale accrue si exposition au 3e trimestre. Les vaccins vivants sont contre-indiqués chez le nouveau-né pendant 6 mois après la dernière injection maternelle d'abatacept.</w:t>
      </w:r>
    </w:p>
    <w:p>
      <w:pPr>
        <w:pStyle w:val="ListBullet"/>
      </w:pPr>
      <w:r/>
      <w:r>
        <w:rPr>
          <w:b/>
        </w:rPr>
        <w:t>Allaitement</w:t>
      </w:r>
      <w:r>
        <w:t xml:space="preserve"> : compatible selon le CRAT (faible passage dans le lait, dégradation digestive).</w:t>
      </w:r>
    </w:p>
    <w:p>
      <w:pPr>
        <w:pStyle w:val="ListBullet"/>
      </w:pPr>
      <w:r/>
      <w:r>
        <w:rPr>
          <w:b/>
        </w:rPr>
        <w:t>Fertilité</w:t>
      </w:r>
      <w:r>
        <w:t xml:space="preserve"> : pas d'effet délétère démontré. Contraception pendant le traitement et 8 semaines après l'arrêt.</w:t>
      </w:r>
    </w:p>
    <w:p>
      <w:pPr>
        <w:pStyle w:val="Heading3"/>
      </w:pPr>
      <w:r>
        <w:t>152b.8.8 Posologie et Mode d'administration</w:t>
      </w:r>
    </w:p>
    <w:p>
      <w:pPr>
        <w:pStyle w:val="ListBullet"/>
      </w:pPr>
      <w:r/>
      <w:r>
        <w:rPr>
          <w:b/>
        </w:rPr>
        <w:t>Posologie adulte PR (forme IV, historique)</w:t>
      </w:r>
      <w:r>
        <w:t xml:space="preserve"> : dose fixe selon le poids corporel — &lt; 60 kg : 500 mg IV ; 60-100 kg : 750 mg IV ; &gt; 100 kg : 1000 mg IV. Administrer aux jours J1, J15, J30, puis toutes les 4 semaines en entretien.</w:t>
      </w:r>
    </w:p>
    <w:p>
      <w:pPr>
        <w:pStyle w:val="ListBullet"/>
      </w:pPr>
      <w:r/>
      <w:r>
        <w:rPr>
          <w:b/>
        </w:rPr>
        <w:t>Posologie adulte PR (forme SC, historique)</w:t>
      </w:r>
      <w:r>
        <w:t xml:space="preserve"> : dose de charge IV selon le poids à J1, puis 125 mg SC une fois par semaine à partir de J8.</w:t>
      </w:r>
    </w:p>
    <w:p>
      <w:pPr>
        <w:pStyle w:val="ListBullet"/>
      </w:pPr>
      <w:r/>
      <w:r>
        <w:rPr>
          <w:b/>
        </w:rPr>
        <w:t>Posologie enfant ACJI &gt; 6 ans (forme IV, historique)</w:t>
      </w:r>
      <w:r>
        <w:t xml:space="preserve"> : 10 mg/kg IV aux jours J1, J15, J30, puis toutes les 4 semaines en entretien.</w:t>
      </w:r>
    </w:p>
    <w:p>
      <w:pPr>
        <w:pStyle w:val="ListBullet"/>
      </w:pPr>
      <w:r/>
      <w:r>
        <w:rPr>
          <w:b/>
        </w:rPr>
        <w:t>Voie d'administration IV</w:t>
      </w:r>
      <w:r>
        <w:t xml:space="preserve"> : perfusion IV stricte en milieu hospitalier, dilution dans 100 mL de NaCl 0,9 %, perfusion sur 30 minutes.</w:t>
      </w:r>
    </w:p>
    <w:p>
      <w:pPr>
        <w:pStyle w:val="ListBullet"/>
      </w:pPr>
      <w:r/>
      <w:r>
        <w:rPr>
          <w:b/>
        </w:rPr>
        <w:t>Voie d'administration SC</w:t>
      </w:r>
      <w:r>
        <w:t xml:space="preserve"> : sous-cutanée stricte, par seringue préremplie 125 mg/1 mL. Sites d'injection : face antérieure des cuisses, abdomen. Rotation systématique des sites.</w:t>
      </w:r>
    </w:p>
    <w:p>
      <w:pPr>
        <w:pStyle w:val="ListBullet"/>
      </w:pPr>
      <w:r/>
      <w:r>
        <w:rPr>
          <w:b/>
        </w:rPr>
        <w:t>Prémédication</w:t>
      </w:r>
      <w:r>
        <w:t xml:space="preserve"> : non systématique, mais possible en cas d'antécédent de réaction à la perfusion (paracétamol + antihistaminique).</w:t>
      </w:r>
    </w:p>
    <w:p>
      <w:pPr>
        <w:pStyle w:val="ListBullet"/>
      </w:pPr>
      <w:r/>
      <w:r>
        <w:rPr>
          <w:b/>
        </w:rPr>
        <w:t>Conservation</w:t>
      </w:r>
      <w:r>
        <w:t xml:space="preserve"> : au réfrigérateur entre +2°C et +8°C, ne pas congeler.</w:t>
      </w:r>
    </w:p>
    <w:p>
      <w:pPr>
        <w:pStyle w:val="ListBullet"/>
      </w:pPr>
      <w:r/>
      <w:r>
        <w:rPr>
          <w:b/>
        </w:rPr>
        <w:t>Durée du traitement</w:t>
      </w:r>
      <w:r>
        <w:t xml:space="preserve"> : indéterminée, évaluation annuelle du rapport bénéfice/risque.</w:t>
      </w:r>
    </w:p>
    <w:p>
      <w:pPr>
        <w:pStyle w:val="Heading3"/>
      </w:pPr>
      <w:r>
        <w:t>152b.8.9 Formes galéniques et choix thérapeutique</w:t>
      </w:r>
    </w:p>
    <w:p>
      <w:r>
        <w:t xml:space="preserve">L'abatacept est une biothérapie de </w:t>
      </w:r>
      <w:r>
        <w:rPr>
          <w:b/>
        </w:rPr>
        <w:t>deuxième intention</w:t>
      </w:r>
      <w:r>
        <w:t xml:space="preserve"> dans la PR en échec des anti-TNFα (recommandations EULAR 2022). Les critères de choix historiques en faveur de l'abatacept sont :</w:t>
      </w:r>
    </w:p>
    <w:p>
      <w:pPr>
        <w:pStyle w:val="ListBullet"/>
      </w:pPr>
      <w:r/>
      <w:r>
        <w:rPr>
          <w:b/>
        </w:rPr>
        <w:t>PR récente non traitée par anti-TNFα</w:t>
      </w:r>
      <w:r>
        <w:t xml:space="preserve"> : efficacité comparable aux anti-TNFα avec un profil de tolérance différent (essai AGREE, AMPLE).</w:t>
      </w:r>
    </w:p>
    <w:p>
      <w:pPr>
        <w:pStyle w:val="ListBullet"/>
      </w:pPr>
      <w:r/>
      <w:r>
        <w:rPr>
          <w:b/>
        </w:rPr>
        <w:t>Antécédent de maladie démyélinisante</w:t>
      </w:r>
      <w:r>
        <w:t xml:space="preserve"> (SEP, névrite optique) : pas de signal, à la différence des anti-TNFα.</w:t>
      </w:r>
    </w:p>
    <w:p>
      <w:pPr>
        <w:pStyle w:val="ListBullet"/>
      </w:pPr>
      <w:r/>
      <w:r>
        <w:rPr>
          <w:b/>
        </w:rPr>
        <w:t>Antécédent d'insuffisance cardiaque NYHA III-IV</w:t>
      </w:r>
      <w:r>
        <w:t xml:space="preserve"> : pas de signal, à la différence des anti-TNFα.</w:t>
      </w:r>
    </w:p>
    <w:p>
      <w:pPr>
        <w:pStyle w:val="ListBullet"/>
      </w:pPr>
      <w:r/>
      <w:r>
        <w:rPr>
          <w:b/>
        </w:rPr>
        <w:t>Patient âgé avec comorbidités</w:t>
      </w:r>
      <w:r>
        <w:t xml:space="preserve"> : profil de tolérance favorable, moins d'infections sévères que les anti-TNFα.</w:t>
      </w:r>
    </w:p>
    <w:p>
      <w:pPr>
        <w:pStyle w:val="ListBullet"/>
      </w:pPr>
      <w:r/>
      <w:r>
        <w:rPr>
          <w:b/>
        </w:rPr>
        <w:t>Patient avec hypogammaglobulinémie préexistante</w:t>
      </w:r>
      <w:r>
        <w:t xml:space="preserve"> : moins d'aggravation que sous rituximab.</w:t>
      </w:r>
    </w:p>
    <w:p>
      <w:pPr>
        <w:pStyle w:val="ListBullet"/>
      </w:pPr>
      <w:r/>
      <w:r>
        <w:rPr>
          <w:b/>
        </w:rPr>
        <w:t>Absence de signal tuberculose</w:t>
      </w:r>
      <w:r>
        <w:t xml:space="preserve"> (mécanisme de co-stimulation T moins impliqué dans l'immunité anti-mycobactérienne que le TNFα).</w:t>
      </w:r>
    </w:p>
    <w:p>
      <w:r>
        <w:t xml:space="preserve">L'abatacept est </w:t>
      </w:r>
      <w:r>
        <w:rPr>
          <w:b/>
        </w:rPr>
        <w:t>déconseillé</w:t>
      </w:r>
      <w:r>
        <w:t xml:space="preserve"> en cas de :</w:t>
      </w:r>
    </w:p>
    <w:p>
      <w:pPr>
        <w:pStyle w:val="ListBullet"/>
      </w:pPr>
      <w:r/>
      <w:r>
        <w:rPr>
          <w:b/>
        </w:rPr>
        <w:t>BPCO sévère</w:t>
      </w:r>
      <w:r>
        <w:t xml:space="preserve"> (signal d'aggravation respiratoire).</w:t>
      </w:r>
    </w:p>
    <w:p>
      <w:pPr>
        <w:pStyle w:val="ListBullet"/>
      </w:pPr>
      <w:r/>
      <w:r>
        <w:rPr>
          <w:b/>
        </w:rPr>
        <w:t>Hypogammaglobulinémie préexistante</w:t>
      </w:r>
      <w:r>
        <w:t xml:space="preserve"> (aggravation possible).</w:t>
      </w:r>
    </w:p>
    <w:p>
      <w:pPr>
        <w:pStyle w:val="ListBullet"/>
      </w:pPr>
      <w:r/>
      <w:r>
        <w:rPr>
          <w:b/>
        </w:rPr>
        <w:t>Antécédent d'infections opportunistes multiples</w:t>
      </w:r>
      <w:r>
        <w:t>.</w:t>
      </w:r>
    </w:p>
    <w:p>
      <w:r/>
      <w:r>
        <w:rPr>
          <w:b/>
        </w:rPr>
        <w:t>Statut algérien</w:t>
      </w:r>
      <w:r>
        <w:t xml:space="preserve"> : RETIRÉ du marché algérien. Alternatives thérapeutiques à privilégier en Algérie en cas d'indication d'inhibiteur de la co-stimulation T : tocilizumab (anti-IL-6) en cas de syndrome inflammatoire marqué, rituximab (anti-CD20) en cas de PR séropositive, anti-TNFα en cas d'absence de CI, sécukinumab/ustekinumab dans la spondyloarthrite/rhumatisme psoriasique.</w:t>
      </w:r>
    </w:p>
    <w:p>
      <w:pPr>
        <w:pStyle w:val="Heading3"/>
      </w:pPr>
      <w:r>
        <w:t>152b.8.10 Instructions au patient</w:t>
      </w:r>
    </w:p>
    <w:p>
      <w:r/>
      <w:r>
        <w:rPr>
          <w:i/>
        </w:rPr>
        <w:t>(Note : ces instructions sont à titre informatif et historique, en raison du retrait de l'abatacept du marché algérien.)</w:t>
      </w:r>
      <w:r/>
    </w:p>
    <w:p>
      <w:pPr>
        <w:pStyle w:val="ListNumber"/>
      </w:pPr>
      <w:r/>
      <w:r>
        <w:rPr>
          <w:b/>
        </w:rPr>
        <w:t>Hospitalisation obligatoire pour la perfusion IV</w:t>
      </w:r>
      <w:r>
        <w:t xml:space="preserve"> : prévoir une demi-journée d'hospitalisation (1-2 h) pour chaque perfusion.</w:t>
      </w:r>
    </w:p>
    <w:p>
      <w:pPr>
        <w:pStyle w:val="ListNumber"/>
      </w:pPr>
      <w:r/>
      <w:r>
        <w:rPr>
          <w:b/>
        </w:rPr>
        <w:t>Surveillance pendant la perfusion</w:t>
      </w:r>
      <w:r>
        <w:t xml:space="preserve"> : signaler tout symptôme (céphalées, flush, nausées, démangeaisons, essoufflement).</w:t>
      </w:r>
    </w:p>
    <w:p>
      <w:pPr>
        <w:pStyle w:val="ListNumber"/>
      </w:pPr>
      <w:r/>
      <w:r>
        <w:rPr>
          <w:b/>
        </w:rPr>
        <w:t>Surveillance biologique trimestrielle</w:t>
      </w:r>
      <w:r>
        <w:t xml:space="preserve"> : NFS-plaquettes, bilan hépatique, CRP.</w:t>
      </w:r>
    </w:p>
    <w:p>
      <w:pPr>
        <w:pStyle w:val="ListNumber"/>
      </w:pPr>
      <w:r/>
      <w:r>
        <w:rPr>
          <w:b/>
        </w:rPr>
        <w:t>Surveillance respiratoire accrue</w:t>
      </w:r>
      <w:r>
        <w:t xml:space="preserve"> en cas d'antécédent BPCO : signaler toute dyspnée, toux, expectoration.</w:t>
      </w:r>
    </w:p>
    <w:p>
      <w:pPr>
        <w:pStyle w:val="ListNumber"/>
      </w:pPr>
      <w:r/>
      <w:r>
        <w:rPr>
          <w:b/>
        </w:rPr>
        <w:t>Signes d'alerte à signaler immédiatement au médecin</w:t>
      </w:r>
      <w:r>
        <w:t xml:space="preserve"> : fièvre ≥ 38,5°C persistante &gt; 48 h, toux avec expectoration purulente, dyspnée, brûlures mictionnaires.</w:t>
      </w:r>
    </w:p>
    <w:p>
      <w:pPr>
        <w:pStyle w:val="ListNumber"/>
      </w:pPr>
      <w:r/>
      <w:r>
        <w:rPr>
          <w:b/>
        </w:rPr>
        <w:t>Précautions infectieuses</w:t>
      </w:r>
      <w:r>
        <w:t xml:space="preserve"> : éviter le contact avec les personnes malades, lavage des mains fréquent.</w:t>
      </w:r>
    </w:p>
    <w:p>
      <w:pPr>
        <w:pStyle w:val="ListNumber"/>
      </w:pPr>
      <w:r/>
      <w:r>
        <w:rPr>
          <w:b/>
        </w:rPr>
        <w:t>Vaccinations</w:t>
      </w:r>
      <w:r>
        <w:t xml:space="preserve"> : vaccin grippe saisonnière annuel, vaccin pneumocoque, vaccin COVID-19. Ne jamais recevoir un vaccin vivant sans avis médical préalable.</w:t>
      </w:r>
    </w:p>
    <w:p>
      <w:pPr>
        <w:pStyle w:val="ListNumber"/>
      </w:pPr>
      <w:r/>
      <w:r>
        <w:rPr>
          <w:b/>
        </w:rPr>
        <w:t>Grossesse et contraception</w:t>
      </w:r>
      <w:r>
        <w:t xml:space="preserve"> : contraception efficace pendant le traitement et 8 semaines après l'arrêt.</w:t>
      </w:r>
    </w:p>
    <w:p>
      <w:pPr>
        <w:pStyle w:val="ListNumber"/>
      </w:pPr>
      <w:r/>
      <w:r>
        <w:rPr>
          <w:b/>
        </w:rPr>
        <w:t>Interventions chirurgicales</w:t>
      </w:r>
      <w:r>
        <w:t xml:space="preserve"> : informer le chirurgien. Arrêt recommandé 4-8 semaines avant une chirurgie programmée.</w:t>
      </w:r>
    </w:p>
    <w:p>
      <w:pPr>
        <w:pStyle w:val="Heading3"/>
      </w:pPr>
      <w:r>
        <w:t>152b.8.11 Notes / Règles d'or / Pièges</w:t>
      </w:r>
    </w:p>
    <w:p>
      <w:pPr>
        <w:pStyle w:val="ListBullet"/>
      </w:pPr>
      <w:r/>
      <w:r>
        <w:rPr>
          <w:b/>
        </w:rPr>
        <w:t>Règle d'or n°1</w:t>
      </w:r>
      <w:r>
        <w:t xml:space="preserve"> : Abatacept RETIRÉ du marché algérien — ne pas prescrire, orienter le patient vers une alternative thérapeutique d'une autre sous-classe.</w:t>
      </w:r>
    </w:p>
    <w:p>
      <w:pPr>
        <w:pStyle w:val="ListBullet"/>
      </w:pPr>
      <w:r/>
      <w:r>
        <w:rPr>
          <w:b/>
        </w:rPr>
        <w:t>Règle d'or n°2</w:t>
      </w:r>
      <w:r>
        <w:t xml:space="preserve"> (historique) : Surveillance respiratoire accrue chez le patient BPCO (signal d'aggravation).</w:t>
      </w:r>
    </w:p>
    <w:p>
      <w:pPr>
        <w:pStyle w:val="ListBullet"/>
      </w:pPr>
      <w:r/>
      <w:r>
        <w:rPr>
          <w:b/>
        </w:rPr>
        <w:t>Règle d'or n°3</w:t>
      </w:r>
      <w:r>
        <w:t xml:space="preserve"> (historique) : Absence de signal tuberculose et de signal cardiaque/démyélinisant — alternative de choix en cas d'antécédent de SEP ou d'IC NYHA III-IV.</w:t>
      </w:r>
    </w:p>
    <w:p>
      <w:pPr>
        <w:pStyle w:val="ListBullet"/>
      </w:pPr>
      <w:r/>
      <w:r>
        <w:rPr>
          <w:b/>
        </w:rPr>
        <w:t>Piège n°1 — Adaptation posologique au poids</w:t>
      </w:r>
      <w:r>
        <w:t xml:space="preserve"> (historique) : dose fixe selon paliers &lt; 60 kg (500 mg), 60-100 kg (750 mg), &gt; 100 kg (1000 mg) — ne pas dépasser 1000 mg par perfusion.</w:t>
      </w:r>
    </w:p>
    <w:p>
      <w:pPr>
        <w:pStyle w:val="ListBullet"/>
      </w:pPr>
      <w:r/>
      <w:r>
        <w:rPr>
          <w:b/>
        </w:rPr>
        <w:t>Piège n°2 — Forme SC avec dose de charge IV obligatoire</w:t>
      </w:r>
      <w:r>
        <w:t xml:space="preserve"> (historique) : la forme SC (125 mg/sem) nécessite une dose de charge IV à J1 selon le poids, puis SC à partir de J8.</w:t>
      </w:r>
    </w:p>
    <w:p>
      <w:pPr>
        <w:pStyle w:val="ListBullet"/>
      </w:pPr>
      <w:r/>
      <w:r>
        <w:rPr>
          <w:b/>
        </w:rPr>
        <w:t>Piège n°3 — Vaccins vivants contre-indiqués</w:t>
      </w:r>
      <w:r>
        <w:t xml:space="preserve"> pendant le traitement et 4 semaines après la dernière perfusion.</w:t>
      </w:r>
    </w:p>
    <w:p>
      <w:pPr>
        <w:pStyle w:val="ListBullet"/>
      </w:pPr>
      <w:r/>
      <w:r>
        <w:rPr>
          <w:b/>
        </w:rPr>
        <w:t>Piège n°4 — Association anti-TNFα déconseillée</w:t>
      </w:r>
      <w:r>
        <w:t xml:space="preserve"> (augmentation des infections sévères sans bénéfice synergique).</w:t>
      </w:r>
    </w:p>
    <w:p>
      <w:pPr>
        <w:pStyle w:val="ListBullet"/>
      </w:pPr>
      <w:r/>
      <w:r>
        <w:rPr>
          <w:b/>
        </w:rPr>
        <w:t>Piège n°5 — Statut algérien</w:t>
      </w:r>
      <w:r>
        <w:t xml:space="preserve"> : molécule non disponible — ne pas initier de traitement en Algérie. Si patient venant de l'étranger avec traitement en cours par abatacept, organiser le relais vers une alternative disponible en Algérie (tocilizumab, rituximab, anti-TNFα, sécukinumab, ustekinumab selon le profil du patient) en coordination avec le rhumatologue référent.</w:t>
      </w:r>
    </w:p>
    <w:p>
      <w:pPr>
        <w:pStyle w:val="Heading2"/>
      </w:pPr>
      <w:r>
        <w:t>152b.9 DCI : Sécukinumab</w:t>
      </w:r>
    </w:p>
    <w:p>
      <w:pPr>
        <w:pStyle w:val="Heading3"/>
      </w:pPr>
      <w:r>
        <w:t>152b.9.1 Catégories et Liste</w:t>
      </w:r>
    </w:p>
    <w:p>
      <w:pPr>
        <w:pStyle w:val="ListBullet"/>
      </w:pPr>
      <w:r/>
      <w:r>
        <w:rPr>
          <w:b/>
        </w:rPr>
        <w:t>Classe pharmacothérapeutique</w:t>
      </w:r>
      <w:r>
        <w:t xml:space="preserve"> : Immunodépresseur, anticorps monoclonal anti-IL-17A entièrement humain IgG1κ (Code ATC : L04AC10). Médicament orphelin dans la spondyloarthrite axiale non radiographique.</w:t>
      </w:r>
    </w:p>
    <w:p>
      <w:pPr>
        <w:pStyle w:val="ListBullet"/>
      </w:pPr>
      <w:r/>
      <w:r>
        <w:rPr>
          <w:b/>
        </w:rPr>
        <w:t>Mode d'accès</w:t>
      </w:r>
      <w:r>
        <w:t xml:space="preserve"> : Liste I, prescription initiale hospitalière réservée aux spécialistes en rhumatologie, dermatologie, médecine interne, pédiatrie (rhumatisme psoriasique juvénile). Renouvellement possible en ville après stabilisation et formation à l'auto-injection SC.</w:t>
      </w:r>
    </w:p>
    <w:p>
      <w:pPr>
        <w:pStyle w:val="ListBullet"/>
      </w:pPr>
      <w:r/>
      <w:r>
        <w:rPr>
          <w:b/>
        </w:rPr>
        <w:t>Agrément conventionnel</w:t>
      </w:r>
      <w:r>
        <w:t xml:space="preserve"> : Médicament remboursable par la CNAS/CASNOS dans la spondyloarthrite ankylosante radiographique (SA) active sévère en cas de réponse inadéquate aux AINS conventionnels, la spondyloarthrite axiale non radiographique (nr-axSpA) active sévère, le rhumatisme psoriasique (RPso) actif en cas de réponse inadéquate aux DMARDs conventionnels, et le psoriasis en plaques modéré à sévéré (indication dermatologique).</w:t>
      </w:r>
    </w:p>
    <w:p>
      <w:pPr>
        <w:pStyle w:val="ListBullet"/>
      </w:pPr>
      <w:r/>
      <w:r>
        <w:rPr>
          <w:b/>
        </w:rPr>
        <w:t>Statut réglementaire Algérie</w:t>
      </w:r>
      <w:r>
        <w:t xml:space="preserve"> : Médicament soumis à prescription restreinte, surveillance post-AMM renforcée. Délivrance en officine de ville possible pour la forme SC après ordonnance de spécialiste.</w:t>
      </w:r>
    </w:p>
    <w:p>
      <w:pPr>
        <w:pStyle w:val="Heading3"/>
      </w:pPr>
      <w:r>
        <w:t>152b.9.2 Médicaments disponibles en Algérie (tableau des spécialités commercialisées)</w:t>
      </w:r>
    </w:p>
    <w:p>
      <w:r>
        <w:t>Le sécukinumab est commercialisé en Algérie sous une seule marque (princeps, pas de biosimilaire disponible à ce jour), sous deux dispositifs d'administration SC, au 1er avril 2026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COSENTYX</w:t>
            </w:r>
          </w:p>
        </w:tc>
        <w:tc>
          <w:tcPr>
            <w:tcW w:type="dxa" w:w="1559"/>
          </w:tcPr>
          <w:p>
            <w:r>
              <w:rPr>
                <w:sz w:val="20"/>
              </w:rPr>
              <w:t>NOVARTIS PHARMA SCHWEIZ AG</w:t>
            </w:r>
          </w:p>
        </w:tc>
        <w:tc>
          <w:tcPr>
            <w:tcW w:type="dxa" w:w="1559"/>
          </w:tcPr>
          <w:p>
            <w:r>
              <w:rPr>
                <w:sz w:val="20"/>
              </w:rPr>
              <w:t>Solution pour injection SC — 150 mg/mL</w:t>
            </w:r>
          </w:p>
        </w:tc>
        <w:tc>
          <w:tcPr>
            <w:tcW w:type="dxa" w:w="1559"/>
          </w:tcPr>
          <w:p>
            <w:r>
              <w:rPr>
                <w:sz w:val="20"/>
              </w:rPr>
              <w:t>B/02 seringues préremplies</w:t>
            </w:r>
          </w:p>
        </w:tc>
        <w:tc>
          <w:tcPr>
            <w:tcW w:type="dxa" w:w="1559"/>
          </w:tcPr>
          <w:p>
            <w:r>
              <w:rPr>
                <w:sz w:val="20"/>
              </w:rPr>
              <w:t>Liste I</w:t>
            </w:r>
          </w:p>
        </w:tc>
        <w:tc>
          <w:tcPr>
            <w:tcW w:type="dxa" w:w="1559"/>
          </w:tcPr>
          <w:p>
            <w:r>
              <w:rPr>
                <w:sz w:val="20"/>
              </w:rPr>
              <w:t>Actif</w:t>
            </w:r>
          </w:p>
        </w:tc>
      </w:tr>
      <w:tr>
        <w:tc>
          <w:tcPr>
            <w:tcW w:type="dxa" w:w="1559"/>
          </w:tcPr>
          <w:p>
            <w:r>
              <w:rPr>
                <w:sz w:val="20"/>
              </w:rPr>
              <w:t>COSENTYX</w:t>
            </w:r>
          </w:p>
        </w:tc>
        <w:tc>
          <w:tcPr>
            <w:tcW w:type="dxa" w:w="1559"/>
          </w:tcPr>
          <w:p>
            <w:r>
              <w:rPr>
                <w:sz w:val="20"/>
              </w:rPr>
              <w:t>NOVARTIS PHARMA SCHWEIZ AG</w:t>
            </w:r>
          </w:p>
        </w:tc>
        <w:tc>
          <w:tcPr>
            <w:tcW w:type="dxa" w:w="1559"/>
          </w:tcPr>
          <w:p>
            <w:r>
              <w:rPr>
                <w:sz w:val="20"/>
              </w:rPr>
              <w:t>Solution pour injection SC — 150 mg/mL</w:t>
            </w:r>
          </w:p>
        </w:tc>
        <w:tc>
          <w:tcPr>
            <w:tcW w:type="dxa" w:w="1559"/>
          </w:tcPr>
          <w:p>
            <w:r>
              <w:rPr>
                <w:sz w:val="20"/>
              </w:rPr>
              <w:t>B/02 stylos auto-injecteurs préremplis</w:t>
            </w:r>
          </w:p>
        </w:tc>
        <w:tc>
          <w:tcPr>
            <w:tcW w:type="dxa" w:w="1559"/>
          </w:tcPr>
          <w:p>
            <w:r>
              <w:rPr>
                <w:sz w:val="20"/>
              </w:rPr>
              <w:t>Liste I</w:t>
            </w:r>
          </w:p>
        </w:tc>
        <w:tc>
          <w:tcPr>
            <w:tcW w:type="dxa" w:w="1559"/>
          </w:tcPr>
          <w:p>
            <w:r>
              <w:rPr>
                <w:sz w:val="20"/>
              </w:rPr>
              <w:t>Actif</w:t>
            </w:r>
          </w:p>
        </w:tc>
      </w:tr>
    </w:tbl>
    <w:p/>
    <w:p>
      <w:r/>
      <w:r>
        <w:rPr>
          <w:i/>
        </w:rPr>
        <w:t>(Note : COSENTYX (Novartis Pharma Schweiz) est le princeps originel, mis sur le marché en 2015 (FDA et EMA) pour le psoriasis en plaques, puis 2016 pour la SA et le RPso. Le brevet n'a pas encore expiré à la date d'édition de la nomenclature algérienne (avril 2026), ce qui explique l'absence de biosimilaire disponible (les biosimilaires de sécukinumab sont en développement clinique de phase 3 à l'international, sans disponibilité commerciale). Deux dispositifs d'administration SC sont disponibles : seringue préremplie (pour patient habitué à l'auto-injection, contrôle visuel du volume injecté) et stylo auto-injecteur (pour patient novice ou anxieux, injection automatique en 15 secondes, caché l'aiguille). Le dosage standard est 150 mg/mL en seringue/stylo de 1 mL. Un dosage 300 mg/mL (2× 150 mg) est disponible à l'international pour le psoriasis modéré à sévère mais non commercialisé en Algérie. Le coût mensuel est estimé à 35 000-50 000 DA. Le stockage exige une chaîne du froid stricte +2°C/+8°C, sans congélation.)</w:t>
      </w:r>
      <w:r/>
    </w:p>
    <w:p>
      <w:pPr>
        <w:pStyle w:val="Heading3"/>
      </w:pPr>
      <w:r>
        <w:t>152b.9.3 Sous-classe et Mécanisme d'action</w:t>
      </w:r>
    </w:p>
    <w:p>
      <w:r>
        <w:t xml:space="preserve">Le sécukinumab appartient à la sous-classe des </w:t>
      </w:r>
      <w:r>
        <w:rPr>
          <w:b/>
        </w:rPr>
        <w:t>anti-IL-17A (anticorps monoclonaux anti-IL-17A)</w:t>
      </w:r>
      <w:r>
        <w:t xml:space="preserve">, représentée uniquement par le sécukinumab en Algérie (l'ixekizumab, autre anti-IL-17A IgG4 humanisé, et le netakimab, anti-IL-17A IgG1 humanisé, ne sont pas commercialisés en Algérie ; le brodalumab, anti-récepteur IL-17RA, n'est pas commercialisé non plus). C'est un anticorps monoclonal IgG1κ </w:t>
      </w:r>
      <w:r>
        <w:rPr>
          <w:b/>
        </w:rPr>
        <w:t>entièrement humain</w:t>
      </w:r>
      <w:r>
        <w:t xml:space="preserve"> obtenu par </w:t>
      </w:r>
      <w:r>
        <w:rPr>
          <w:b/>
        </w:rPr>
        <w:t>technologie des phages (phage display)</w:t>
      </w:r>
      <w:r>
        <w:t xml:space="preserve"> à partir d'une banque de phages exprimant des fragments d'anticorps humains, sélectionné pour sa haute affinité et sa spécificité pour l'IL-17A (cytokine homodimérique de 32 kDa produite principalement par les lymphocytes T helper 17, Th17, mais aussi par les lymphocytes T γδ, les cellules NK, les cellules paneth et certains neutrophiles).</w:t>
      </w:r>
    </w:p>
    <w:p>
      <w:r/>
      <w:r>
        <w:rPr>
          <w:b/>
        </w:rPr>
        <w:t>Mécanisme d'action moléculaire</w:t>
      </w:r>
      <w:r>
        <w:t xml:space="preserve"> : le sécukinumab se lie avec une haute affinité (KD ≈ 100 pM) à l'IL-17A (homodimère A-A) et la neutralise, empêchant sa liaison au récepteur IL-17RA/IL-17RC exprimé par les cellules épithéliales, endothéliales, fibroblastes, chondrocytes, ostéoblastes et ostéoclastes. Cette neutralisation bloque les effets pro-inflammatoires de l'IL-17A : (i) </w:t>
      </w:r>
      <w:r>
        <w:rPr>
          <w:b/>
        </w:rPr>
        <w:t>production de chimiokines</w:t>
      </w:r>
      <w:r>
        <w:t xml:space="preserve"> (CXCL1, CXCL8/IL-8, CCL20) par les cellules épithéliales → recrutement massif de neutrophiles ; (ii) </w:t>
      </w:r>
      <w:r>
        <w:rPr>
          <w:b/>
        </w:rPr>
        <w:t>production de cytokines pro-inflammatoires</w:t>
      </w:r>
      <w:r>
        <w:t xml:space="preserve"> (IL-6, IL-1β, TNFα) par les fibroblastes synoviaux et macrophages ; (iii) </w:t>
      </w:r>
      <w:r>
        <w:rPr>
          <w:b/>
        </w:rPr>
        <w:t>production de protéines de phase aiguë</w:t>
      </w:r>
      <w:r>
        <w:t xml:space="preserve"> (CRP, SAA) par les hépatocytes ; (iv) </w:t>
      </w:r>
      <w:r>
        <w:rPr>
          <w:b/>
        </w:rPr>
        <w:t>stimulation de l'ostéoclastogenèse</w:t>
      </w:r>
      <w:r>
        <w:t xml:space="preserve"> via RANKL et inhibition de l'ostéoblastogenèse via Runx2 → déséquilibre osseux (érosions osseuses + perte de formation osseuse) ; (v) </w:t>
      </w:r>
      <w:r>
        <w:rPr>
          <w:b/>
        </w:rPr>
        <w:t>induction de l'ossification endochondrale pathologique</w:t>
      </w:r>
      <w:r>
        <w:t xml:space="preserve"> dans l'enthèse (formation de syndesmophytes et ankylose osseuse) ; (vi) </w:t>
      </w:r>
      <w:r>
        <w:rPr>
          <w:b/>
        </w:rPr>
        <w:t>hyperprolifération kératinocytaire et parakératose</w:t>
      </w:r>
      <w:r>
        <w:t xml:space="preserve"> dans le psoriasis cutané.</w:t>
      </w:r>
    </w:p>
    <w:p>
      <w:r/>
      <w:r>
        <w:rPr>
          <w:b/>
        </w:rPr>
        <w:t>Conséquences pharmacodynamiques cliniques</w:t>
      </w:r>
      <w:r>
        <w:t xml:space="preserve"> : (i) </w:t>
      </w:r>
      <w:r>
        <w:rPr>
          <w:b/>
        </w:rPr>
        <w:t>baisse rapide de la CRP</w:t>
      </w:r>
      <w:r>
        <w:t xml:space="preserve"> à 2-4 semaines (plus lente que les anti-IL-6 mais comparable aux anti-TNFα) ; (ii) </w:t>
      </w:r>
      <w:r>
        <w:rPr>
          <w:b/>
        </w:rPr>
        <w:t>baisse de l'inflammation de l'enthèse</w:t>
      </w:r>
      <w:r>
        <w:t xml:space="preserve"> visible à l'IRM à 12-16 semaines (réduction des hypersignaux STIR) ; (iii) réduction du score BASDAI dans la SA (essai MEASURE 1 : BASDAI50 à 16 semaines 42 % vs 17 % placebo) ; (iv) réduction du score PASI dans le psoriasis (essai ERASURE : PASI75 à 12 semaines 81 % vs 4 % placebo, PASI90 59 % vs 1 % placebo) ; (v) réduction du nombre d'articulations gonflées et douloureuses dans le RPso (essai FUTURE 1 : ACR20 à 24 semaines 54 % vs 15 % placebo) ; (vi) prévention de la progression radiographique dans la SA (réduction de 50 % du score mSASSS à 2 ans, essai MEASURE 1) ; (vii) efficacité dans l'atteinte cutanée psoriasique avec supériorité vs ustekinumab (essai CLEAR : PASI90 à 16 semaines 79 % vs 67 % ustekinumab) ; (viii) efficacité dans l'uvéite non infectieuse (essai SHIELD, AVERT, statut AMM partiel).</w:t>
      </w:r>
    </w:p>
    <w:p>
      <w:r/>
      <w:r>
        <w:rPr>
          <w:b/>
        </w:rPr>
        <w:t>Particularité pharmacocinétique</w:t>
      </w:r>
      <w:r>
        <w:t xml:space="preserve"> : la demi-vie plasmatique du sécukinumab SC est de 22-31 jours (cinétique linéaire). Biodisponibilité SC de 60-75 %, pic à 5-6 jours après injection. Le volume de distribution est limité au compartiment plasmatique (~6-8 L). La clairance dépend du poids corporel (justifiant l'adaptation posologique au poids pour l'induction pédiatrique). Le sécukinumab traverse le placenta via FcRn à partir de 16-20 SA.</w:t>
      </w:r>
    </w:p>
    <w:p>
      <w:pPr>
        <w:pStyle w:val="Heading3"/>
      </w:pPr>
      <w:r>
        <w:t>152b.9.4 Profil Pharmacologique Clinique</w:t>
      </w:r>
    </w:p>
    <w:p>
      <w:r/>
      <w:r>
        <w:rPr>
          <w:b/>
        </w:rPr>
        <w:t>Indications AMM (Algérie)</w:t>
      </w:r>
      <w:r>
        <w:t xml:space="preserve"> :</w:t>
      </w:r>
    </w:p>
    <w:p>
      <w:pPr>
        <w:pStyle w:val="ListBullet"/>
      </w:pPr>
      <w:r>
        <w:t>Spondyloarthrite ankylosante radiographique (SA) active sévère de l'adulte en cas de réponse inadéquate aux AINS conventionnels à dose maximale pendant ≥ 4 semaines.</w:t>
      </w:r>
    </w:p>
    <w:p>
      <w:pPr>
        <w:pStyle w:val="ListBullet"/>
      </w:pPr>
      <w:r>
        <w:t>Spondyloarthrite axiale non radiographique (nr-axSpA) active sévère de l'adulte avec signes objectifs d'inflammation (IRM, CRP élevée) en cas de réponse inadéquate aux AINS.</w:t>
      </w:r>
    </w:p>
    <w:p>
      <w:pPr>
        <w:pStyle w:val="ListBullet"/>
      </w:pPr>
      <w:r>
        <w:t>Rhumatisme psoriasique (RPso) actif de l'adulte en cas de réponse inadéquate aux DMARDs conventionnels.</w:t>
      </w:r>
    </w:p>
    <w:p>
      <w:pPr>
        <w:pStyle w:val="ListBullet"/>
      </w:pPr>
      <w:r>
        <w:t>Psoriasis en plaques modéré à sévéré de l'adulte en cas de réponse inadéquate aux traitements topiques et à la photothérapie (indication dermatologique).</w:t>
      </w:r>
    </w:p>
    <w:p>
      <w:pPr>
        <w:pStyle w:val="ListBullet"/>
      </w:pPr>
      <w:r>
        <w:t>Rhumatisme psoriasique juvénile de l'enfant &gt; 6 ans (indication plus récente, AMM EMA 2020).</w:t>
      </w:r>
    </w:p>
    <w:p>
      <w:r/>
      <w:r>
        <w:rPr>
          <w:b/>
        </w:rPr>
        <w:t>Contre-indications absolues</w:t>
      </w:r>
      <w:r>
        <w:t xml:space="preserve"> :</w:t>
      </w:r>
    </w:p>
    <w:p>
      <w:pPr>
        <w:pStyle w:val="ListBullet"/>
      </w:pPr>
      <w:r>
        <w:t>Hypersensibilité au sécukinumab ou à l'un des excipients (sucrose, L-histidine, L-histidine monochlorhydrate, polysorbate 80, eau pour préparations injectables).</w:t>
      </w:r>
    </w:p>
    <w:p>
      <w:pPr>
        <w:pStyle w:val="ListBullet"/>
      </w:pPr>
      <w:r>
        <w:t>Infection sévère active non contrôlée (sepsis, tuberculose active, candidose systémique).</w:t>
      </w:r>
    </w:p>
    <w:p>
      <w:pPr>
        <w:pStyle w:val="ListBullet"/>
      </w:pPr>
      <w:r/>
      <w:r>
        <w:rPr>
          <w:b/>
        </w:rPr>
        <w:t>Maladie inflammatoire chronique intestinale (MICI)</w:t>
      </w:r>
      <w:r>
        <w:t xml:space="preserve"> active ou antécédent de MICI (maladie de Crohn, rectocolite hémorragique) — l'IL-17 jouant un rôle protecteur dans la muqueuse colique, son blocage peut aggraver une MICI (essai clinique négatif dans la maladie de Crohn avec aggravation constatée, AMM contre-indiquée).</w:t>
      </w:r>
    </w:p>
    <w:p>
      <w:pPr>
        <w:pStyle w:val="ListBullet"/>
      </w:pPr>
      <w:r>
        <w:t>Vaccination par vaccin vivant atténué pendant le traitement et 4 semaines après la dernière injection.</w:t>
      </w:r>
    </w:p>
    <w:p>
      <w:r/>
      <w:r>
        <w:rPr>
          <w:b/>
        </w:rPr>
        <w:t>Contre-indications relatives / Précautions d'emploi</w:t>
      </w:r>
      <w:r>
        <w:t xml:space="preserve"> :</w:t>
      </w:r>
    </w:p>
    <w:p>
      <w:pPr>
        <w:pStyle w:val="ListBullet"/>
      </w:pPr>
      <w:r>
        <w:t>Tuberculose latente : dépistage systématique, chimioprophylaxie INH avant instauration (bien que le signal TB soit moindre que pour les anti-TNFα, le dépistage reste recommandé par prudence).</w:t>
      </w:r>
    </w:p>
    <w:p>
      <w:pPr>
        <w:pStyle w:val="ListBullet"/>
      </w:pPr>
      <w:r>
        <w:t>Antécédent de candidose récidivante (oropharyngée, vulvo-vaginale, œsophagienne) : prudence, surveillance accrue.</w:t>
      </w:r>
    </w:p>
    <w:p>
      <w:pPr>
        <w:pStyle w:val="ListBullet"/>
      </w:pPr>
      <w:r>
        <w:t>Insuffisance hépatique modérée à sévère : surveillance des transaminases.</w:t>
      </w:r>
    </w:p>
    <w:p>
      <w:pPr>
        <w:pStyle w:val="ListBullet"/>
      </w:pPr>
      <w:r>
        <w:t>Neutropénie préexistante : surveillance NFS.</w:t>
      </w:r>
    </w:p>
    <w:p>
      <w:pPr>
        <w:pStyle w:val="ListBullet"/>
      </w:pPr>
      <w:r>
        <w:t>Grossesse : à éviter par prudence (données limitées ~50 cas publiés, pas de signal tératogène).</w:t>
      </w:r>
    </w:p>
    <w:p>
      <w:r/>
      <w:r>
        <w:rPr>
          <w:b/>
        </w:rPr>
        <w:t>Effets indésirables principaux</w:t>
      </w:r>
      <w:r>
        <w:t xml:space="preserve"> :</w:t>
      </w:r>
    </w:p>
    <w:p>
      <w:pPr>
        <w:pStyle w:val="ListBullet"/>
      </w:pPr>
      <w:r/>
      <w:r>
        <w:rPr>
          <w:b/>
        </w:rPr>
        <w:t>Très fréquents (≥ 10 %)</w:t>
      </w:r>
      <w:r>
        <w:t xml:space="preserve"> : infections des voies respiratoires supérieures 15-25 % (rhinopharyngite, bronchite), diarrhée 10-15 % (généralement modérée et transitoire).</w:t>
      </w:r>
    </w:p>
    <w:p>
      <w:pPr>
        <w:pStyle w:val="ListBullet"/>
      </w:pPr>
      <w:r/>
      <w:r>
        <w:rPr>
          <w:b/>
        </w:rPr>
        <w:t>Fréquents (1-10 %)</w:t>
      </w:r>
      <w:r>
        <w:t xml:space="preserve"> : </w:t>
      </w:r>
      <w:r>
        <w:rPr>
          <w:b/>
        </w:rPr>
        <w:t>candidose muqueuse</w:t>
      </w:r>
      <w:r>
        <w:t xml:space="preserve"> 2-4 % (oropharyngée, vulvo-vaginale, œsophagienne — reflet du rôle physiologique de l'IL-17 dans l'immunité anti-Candida), infections sévères (pneumonie 1-2 %, cellulite 1-2 %, herpès 2-3 %, zona 2-3 %), neutropénie 3-5 % (généralement modérée), fièvre, asthénie, vertiges, céphalées, nausées, éruptions cutanées, prurit, réactions au site d'injection 5-10 % (érythème, douleur, prurit), rhinite, toux, dyspnée, urticaire.</w:t>
      </w:r>
    </w:p>
    <w:p>
      <w:pPr>
        <w:pStyle w:val="ListBullet"/>
      </w:pPr>
      <w:r/>
      <w:r>
        <w:rPr>
          <w:b/>
        </w:rPr>
        <w:t>Rares (0,1-1 %)</w:t>
      </w:r>
      <w:r>
        <w:t xml:space="preserve"> : tuberculose (incidence 0,05-0,1 pour 100 patients-années, plus rare que les anti-TNFα), infections opportunistes (légionellose, listériose), réactions d'hypersensibilité systémiques (anaphylaxie 0,1-0,3 %), neutropénie sévère, thrombopénie, élévation des transaminases, hypertension, conjonctivite, stomalgie.</w:t>
      </w:r>
    </w:p>
    <w:p>
      <w:pPr>
        <w:pStyle w:val="ListBullet"/>
      </w:pPr>
      <w:r/>
      <w:r>
        <w:rPr>
          <w:b/>
        </w:rPr>
        <w:t>Très rares (&lt; 0,1 %)</w:t>
      </w:r>
      <w:r>
        <w:t xml:space="preserve"> : MICI démasquée (maladie de Crohn, RCH — incidence très rare mais possible, arrêt immédiat), syndrome de Stevens-Johnson, vascularite cutanée.</w:t>
      </w:r>
    </w:p>
    <w:p>
      <w:pPr>
        <w:pStyle w:val="Heading3"/>
      </w:pPr>
      <w:r>
        <w:t>152b.9.5 Prévention et Gestion des Effets Indésirables</w:t>
      </w:r>
    </w:p>
    <w:p>
      <w:r/>
      <w:r>
        <w:rPr>
          <w:b/>
        </w:rPr>
        <w:t>Avant instauration (bilan pré-thérapeutique obligatoire)</w:t>
      </w:r>
      <w:r>
        <w:t xml:space="preserve"> :</w:t>
      </w:r>
    </w:p>
    <w:p>
      <w:pPr>
        <w:pStyle w:val="ListBullet"/>
      </w:pPr>
      <w:r>
        <w:t>Consultation spécialisée rhumatologique et/ou dermatologique avec évaluation de l'activité (BASDAI, ASDAS, DAPSA, PASI selon indication).</w:t>
      </w:r>
    </w:p>
    <w:p>
      <w:pPr>
        <w:pStyle w:val="ListBullet"/>
      </w:pPr>
      <w:r>
        <w:t>Bilan biologique complet : NFS-plaquettes, CRP, VS, bilan hépatique, bilan rénal, ionogramme, βHCG.</w:t>
      </w:r>
    </w:p>
    <w:p>
      <w:pPr>
        <w:pStyle w:val="ListBullet"/>
      </w:pPr>
      <w:r>
        <w:t>Sérologies infectieuses systématiques : VHB (AgHBs, Ac anti-HBs, Ac anti-HBc), VHC, VIH.</w:t>
      </w:r>
    </w:p>
    <w:p>
      <w:pPr>
        <w:pStyle w:val="ListBullet"/>
      </w:pPr>
      <w:r>
        <w:t>Dépistage tuberculose : IDR à la tuberculine ou IGRA (Quantiferon-TB Gold) + radiographie thoracique. Si tuberculose latente : isoniazide 5 mg/kg/j + pyridoxine 25 mg/j pendant 1 mois avant instauration.</w:t>
      </w:r>
    </w:p>
    <w:p>
      <w:pPr>
        <w:pStyle w:val="ListBullet"/>
      </w:pPr>
      <w:r/>
      <w:r>
        <w:rPr>
          <w:b/>
        </w:rPr>
        <w:t>Interrogatoire systématique sur antécédents de MICI</w:t>
      </w:r>
      <w:r>
        <w:t xml:space="preserve"> (maladie de Crohn, RCH) — si antécédent positif : CI absolue, orientation vers une alternative thérapeutique (anti-TNFα, ustekinumab).</w:t>
      </w:r>
    </w:p>
    <w:p>
      <w:pPr>
        <w:pStyle w:val="ListBullet"/>
      </w:pPr>
      <w:r>
        <w:t>Examen buccal et gynécologique (chez la femme) systématique à la recherche de candidose asymptomatique.</w:t>
      </w:r>
    </w:p>
    <w:p>
      <w:pPr>
        <w:pStyle w:val="ListBullet"/>
      </w:pPr>
      <w:r>
        <w:t>Vaccinations : mise à jour vaccinale (pneumocoque, grippe, COVID-19, hépatite B, zona Shingrix). Vaccins vivants à administrer au moins 4 semaines avant la première injection.</w:t>
      </w:r>
    </w:p>
    <w:p>
      <w:pPr>
        <w:pStyle w:val="ListBullet"/>
      </w:pPr>
      <w:r>
        <w:t>Information du patient : remise d'un livret d'information, signature d'un consentement éclairé, formation à l'auto-injection SC.</w:t>
      </w:r>
    </w:p>
    <w:p>
      <w:r/>
      <w:r>
        <w:rPr>
          <w:b/>
        </w:rPr>
        <w:t>Pendant le traitement (surveillance systématique renforcée)</w:t>
      </w:r>
      <w:r>
        <w:t xml:space="preserve"> :</w:t>
      </w:r>
    </w:p>
    <w:p>
      <w:pPr>
        <w:pStyle w:val="ListBullet"/>
      </w:pPr>
      <w:r>
        <w:t>Examen clinique mensuel les 3 premiers mois puis trimestriel : évaluation de l'efficacité (ASDAS, BASDAI, DAPSA, PASI), recherche d'effets indésirables (notamment candidose, fièvre, diarrhée), observance.</w:t>
      </w:r>
    </w:p>
    <w:p>
      <w:pPr>
        <w:pStyle w:val="ListBullet"/>
      </w:pPr>
      <w:r>
        <w:t>Bilan biologique trimestriel : NFS-plaquettes, bilan hépatique, CRP.</w:t>
      </w:r>
    </w:p>
    <w:p>
      <w:pPr>
        <w:pStyle w:val="ListBullet"/>
      </w:pPr>
      <w:r>
        <w:t>Surveillance TB : clinique trimestrielle, radiographie thoracique annuelle.</w:t>
      </w:r>
    </w:p>
    <w:p>
      <w:pPr>
        <w:pStyle w:val="ListBullet"/>
      </w:pPr>
      <w:r>
        <w:t>Surveillance candidose : éducation du patient à signaler toute douleur buccale, dysphagie, brûlure vulvo-vaginale, prurit anal — prélèvement mycologique si suspicion, traitement par antifongique topique (miconazole, nystatine) ou systémique (fluconazole 100 mg/j 7-14 jours).</w:t>
      </w:r>
    </w:p>
    <w:p>
      <w:r/>
      <w:r>
        <w:rPr>
          <w:b/>
        </w:rPr>
        <w:t>Gestion des effets indésirables spécifiques</w:t>
      </w:r>
      <w:r>
        <w:t xml:space="preserve"> :</w:t>
      </w:r>
    </w:p>
    <w:p>
      <w:pPr>
        <w:pStyle w:val="ListBullet"/>
      </w:pPr>
      <w:r/>
      <w:r>
        <w:rPr>
          <w:b/>
        </w:rPr>
        <w:t>Candidose muqueuse</w:t>
      </w:r>
      <w:r>
        <w:t xml:space="preserve"> : traitement par fluconazole 100 mg PO 7-14 jours (oropharyngée, vulvo-vaginale) ou fluconazole 200 mg/j 14-21 jours (œsophagienne). Pas d'arrêt systématique du sécukinumab sauf récidive multiple ou candidose systémique. Prévention par bonne hygiène bucco-dentaire, probiotiques si récidive.</w:t>
      </w:r>
    </w:p>
    <w:p>
      <w:pPr>
        <w:pStyle w:val="ListBullet"/>
      </w:pPr>
      <w:r/>
      <w:r>
        <w:rPr>
          <w:b/>
        </w:rPr>
        <w:t>Infections bactériennes</w:t>
      </w:r>
      <w:r>
        <w:t xml:space="preserve"> : arrêt immédiat du sécukinumab, prélèvements bactériologiques, antibiothérapie probabiliste, reprise 2 semaines après résolution.</w:t>
      </w:r>
    </w:p>
    <w:p>
      <w:pPr>
        <w:pStyle w:val="ListBullet"/>
      </w:pPr>
      <w:r/>
      <w:r>
        <w:rPr>
          <w:b/>
        </w:rPr>
        <w:t>MICI démasquée</w:t>
      </w:r>
      <w:r>
        <w:t xml:space="preserve"> : arrêt immédiat et définitif du sécukinumab, avis gastroentérologique urgent, endoscopie + biopsies, traitement de la MICI (corticoïdes, anti-TNFα, ustekinumab).</w:t>
      </w:r>
    </w:p>
    <w:p>
      <w:pPr>
        <w:pStyle w:val="ListBullet"/>
      </w:pPr>
      <w:r/>
      <w:r>
        <w:rPr>
          <w:b/>
        </w:rPr>
        <w:t>Neutropénie</w:t>
      </w:r>
      <w:r>
        <w:t xml:space="preserve"> : surveillance NFS, arrêt si &lt; 1 G/L.</w:t>
      </w:r>
    </w:p>
    <w:p>
      <w:pPr>
        <w:pStyle w:val="ListBullet"/>
      </w:pPr>
      <w:r/>
      <w:r>
        <w:rPr>
          <w:b/>
        </w:rPr>
        <w:t>Réaction au site d'injection</w:t>
      </w:r>
      <w:r>
        <w:t xml:space="preserve"> : rotation des sites, application de glace, antihistaminique local. Rarement arrêt nécessaire.</w:t>
      </w:r>
    </w:p>
    <w:p>
      <w:pPr>
        <w:pStyle w:val="Heading3"/>
      </w:pPr>
      <w:r>
        <w:t>152b.9.6 Interactions médicamenteuses</w:t>
      </w:r>
    </w:p>
    <w:p>
      <w:pPr>
        <w:pStyle w:val="ListBullet"/>
      </w:pPr>
      <w:r/>
      <w:r>
        <w:rPr>
          <w:b/>
        </w:rPr>
        <w:t>Vaccins vivants atténués</w:t>
      </w:r>
      <w:r>
        <w:t xml:space="preserve"> : contre-indication absolue pendant le traitement et 4 semaines après la dernière injection. Concernés : BCG, ROR, fièvre jaune, varicelle-zona Zostavax, rotavirus, oral typhoïde Ty21a, polio oral.</w:t>
      </w:r>
    </w:p>
    <w:p>
      <w:pPr>
        <w:pStyle w:val="ListBullet"/>
      </w:pPr>
      <w:r/>
      <w:r>
        <w:rPr>
          <w:b/>
        </w:rPr>
        <w:t>Vaccins inactivés</w:t>
      </w:r>
      <w:r>
        <w:t xml:space="preserve"> : autorisés et recommandés. Réponse vaccinale conservée.</w:t>
      </w:r>
    </w:p>
    <w:p>
      <w:pPr>
        <w:pStyle w:val="ListBullet"/>
      </w:pPr>
      <w:r/>
      <w:r>
        <w:rPr>
          <w:b/>
        </w:rPr>
        <w:t>Méthotrexate</w:t>
      </w:r>
      <w:r>
        <w:t xml:space="preserve"> : association possible (efficacité synergique démontrée dans le RPso), pas d'interaction pharmacocinétique significative.</w:t>
      </w:r>
    </w:p>
    <w:p>
      <w:pPr>
        <w:pStyle w:val="ListBullet"/>
      </w:pPr>
      <w:r/>
      <w:r>
        <w:rPr>
          <w:b/>
        </w:rPr>
        <w:t>Corticoïdes</w:t>
      </w:r>
      <w:r>
        <w:t xml:space="preserve"> : association possible, surveillance du bilan infectieux.</w:t>
      </w:r>
    </w:p>
    <w:p>
      <w:pPr>
        <w:pStyle w:val="ListBullet"/>
      </w:pPr>
      <w:r/>
      <w:r>
        <w:rPr>
          <w:b/>
        </w:rPr>
        <w:t>Anti-TNFα</w:t>
      </w:r>
      <w:r>
        <w:t xml:space="preserve"> : association déconseillée (augmentation des infections sévères sans bénéfice synergique).</w:t>
      </w:r>
    </w:p>
    <w:p>
      <w:pPr>
        <w:pStyle w:val="ListBullet"/>
      </w:pPr>
      <w:r/>
      <w:r>
        <w:rPr>
          <w:b/>
        </w:rPr>
        <w:t>Ustekinumab</w:t>
      </w:r>
      <w:r>
        <w:t xml:space="preserve"> : association déconseillée (immunosuppression additive majeure, double ciblage IL-17/IL-23 théoriquement synergique mais non validé cliniquement).</w:t>
      </w:r>
    </w:p>
    <w:p>
      <w:pPr>
        <w:pStyle w:val="ListBullet"/>
      </w:pPr>
      <w:r/>
      <w:r>
        <w:rPr>
          <w:b/>
        </w:rPr>
        <w:t>Tocilizumab, rituximab, abatacept</w:t>
      </w:r>
      <w:r>
        <w:t xml:space="preserve"> : association déconseillée (immunosuppression additive majeure).</w:t>
      </w:r>
    </w:p>
    <w:p>
      <w:pPr>
        <w:pStyle w:val="ListBullet"/>
      </w:pPr>
      <w:r/>
      <w:r>
        <w:rPr>
          <w:b/>
        </w:rPr>
        <w:t>Candidose muqueuse et antifongiques</w:t>
      </w:r>
      <w:r>
        <w:t xml:space="preserve"> : pas d'interaction avec le fluconazole, le miconazole, la nystatine. Surveillance accrue en cas de traitement antifongique prolongé.</w:t>
      </w:r>
    </w:p>
    <w:p>
      <w:pPr>
        <w:pStyle w:val="ListBullet"/>
      </w:pPr>
      <w:r/>
      <w:r>
        <w:rPr>
          <w:b/>
        </w:rPr>
        <w:t>Statines, warfarine, AAVK</w:t>
      </w:r>
      <w:r>
        <w:t xml:space="preserve"> : pas d'interaction significative.</w:t>
      </w:r>
    </w:p>
    <w:p>
      <w:pPr>
        <w:pStyle w:val="ListBullet"/>
      </w:pPr>
      <w:r/>
      <w:r>
        <w:rPr>
          <w:b/>
        </w:rPr>
        <w:t>Biosimilaires et substitution</w:t>
      </w:r>
      <w:r>
        <w:t xml:space="preserve"> : pas de biosimilaire disponible en Algérie à ce jour. Pas de substitution possible actuellement.</w:t>
      </w:r>
    </w:p>
    <w:p>
      <w:pPr>
        <w:pStyle w:val="Heading3"/>
      </w:pPr>
      <w:r>
        <w:t>152b.9.7 Grossesse et Allaitement (CRAT)</w:t>
      </w:r>
    </w:p>
    <w:p>
      <w:pPr>
        <w:pStyle w:val="ListBullet"/>
      </w:pPr>
      <w:r/>
      <w:r>
        <w:rPr>
          <w:b/>
        </w:rPr>
        <w:t>Grossesse</w:t>
      </w:r>
      <w:r>
        <w:t xml:space="preserve"> : le sécukinumab est une IgG1 qui traverse le placenta via FcRn à partir de 16-20 SA. Le CRAT conclut à </w:t>
      </w:r>
      <w:r>
        <w:rPr>
          <w:b/>
        </w:rPr>
        <w:t>éviter par prudence pendant toute la grossesse</w:t>
      </w:r>
      <w:r>
        <w:t xml:space="preserve"> en raison de données limitées (~50 cas publiés, principalement dans le psoriasis et la SA, pas de signal tératogène) et d'un signal théorique de risque fœtal (cytokines IL-17 impliquées dans le développement de l'immunité néonatale anti-Candida et anti-bactérienne extracellulaire). En cas de nécessité absolue (SA sévère avec menace du pronostic fonctionnel, psoriasis pustuleux généralisé), peut être utilisé aux 1er et 2e trimestres avec arrêt obligatoire à 32 SA (immunosuppression néonatale transitoire). Les données publiées ne montrent pas d'augmentation du risque de malformations congénitales majeures.</w:t>
      </w:r>
    </w:p>
    <w:p>
      <w:pPr>
        <w:pStyle w:val="ListBullet"/>
      </w:pPr>
      <w:r/>
      <w:r>
        <w:rPr>
          <w:b/>
        </w:rPr>
        <w:t>Accouchement et nouveau-né</w:t>
      </w:r>
      <w:r>
        <w:t xml:space="preserve"> : surveillance clinique néonatale accrue (risque infectieux, candidose néonatale). Les vaccins vivants sont contre-indiqués chez le nouveau-né pendant 6 mois après la dernière injection maternelle de sécukinumab (la demi-vie est ~27 jours, washout ~5 mois).</w:t>
      </w:r>
    </w:p>
    <w:p>
      <w:pPr>
        <w:pStyle w:val="ListBullet"/>
      </w:pPr>
      <w:r/>
      <w:r>
        <w:rPr>
          <w:b/>
        </w:rPr>
        <w:t>Allaitement</w:t>
      </w:r>
      <w:r>
        <w:t xml:space="preserve"> : compatible selon le CRAT (faible passage dans le lait, dégradation digestive). Surveillance clinique du nourrisson (candidose, infection, retard staturo-pondéral).</w:t>
      </w:r>
    </w:p>
    <w:p>
      <w:pPr>
        <w:pStyle w:val="ListBullet"/>
      </w:pPr>
      <w:r/>
      <w:r>
        <w:rPr>
          <w:b/>
        </w:rPr>
        <w:t>Fertilité</w:t>
      </w:r>
      <w:r>
        <w:t xml:space="preserve"> : pas d'effet délétère démontré. Contraception pendant le traitement et 10 semaines après l'arrêt. Chez l'homme : pas de contre-indication à la paternité.</w:t>
      </w:r>
    </w:p>
    <w:p>
      <w:pPr>
        <w:pStyle w:val="ListBullet"/>
      </w:pPr>
      <w:r/>
      <w:r>
        <w:rPr>
          <w:b/>
        </w:rPr>
        <w:t>Conseil préconceptionnel</w:t>
      </w:r>
      <w:r>
        <w:t xml:space="preserve"> : programmer l'arrêt du sécukinumab 10 semaines avant l'arrêt de la contraception. En cas de maladie active risquant de réactiver à l'arrêt, privilégier le </w:t>
      </w:r>
      <w:r>
        <w:rPr>
          <w:b/>
        </w:rPr>
        <w:t>certolizumab pegol</w:t>
      </w:r>
      <w:r>
        <w:t xml:space="preserve"> (seul anti-TNFα sans transfert placentaire) ou la poursuite du sécukinumab jusqu'à 20-32 SA puis arrêt.</w:t>
      </w:r>
    </w:p>
    <w:p>
      <w:pPr>
        <w:pStyle w:val="Heading3"/>
      </w:pPr>
      <w:r>
        <w:t>152b.9.8 Posologie et Mode d'administration</w:t>
      </w:r>
    </w:p>
    <w:p>
      <w:pPr>
        <w:pStyle w:val="ListBullet"/>
      </w:pPr>
      <w:r/>
      <w:r>
        <w:rPr>
          <w:b/>
        </w:rPr>
        <w:t>Posologie adulte SA, nr-axSpA (schéma standard)</w:t>
      </w:r>
      <w:r>
        <w:t xml:space="preserve"> : 150 mg SC aux semaines S0, S1, S2, S3, S4 (dose d'induction hebdomadaire pendant 5 semaines), puis 150 mg SC toutes les 4 semaines (entretien). En cas de réponse insuffisante à 16 semaines (ASDAS &gt; 2,1), augmentation à 300 mg toutes les 4 semaines (2× 150 mg).</w:t>
      </w:r>
    </w:p>
    <w:p>
      <w:pPr>
        <w:pStyle w:val="ListBullet"/>
      </w:pPr>
      <w:r/>
      <w:r>
        <w:rPr>
          <w:b/>
        </w:rPr>
        <w:t>Posologie adulte RPso (schéma standard)</w:t>
      </w:r>
      <w:r>
        <w:t xml:space="preserve"> : 150 mg SC aux semaines S0, S1, S2, S3, S4 (dose d'induction hebdomadaire pendant 5 semaines), puis 150 mg SC toutes les 4 semaines (entretien). En cas de réponse insuffisante à 16 semaines, augmentation à 300 mg toutes les 4 semaines.</w:t>
      </w:r>
    </w:p>
    <w:p>
      <w:pPr>
        <w:pStyle w:val="ListBullet"/>
      </w:pPr>
      <w:r/>
      <w:r>
        <w:rPr>
          <w:b/>
        </w:rPr>
        <w:t>Posologie adulte psoriasis en plaques (schéma standard)</w:t>
      </w:r>
      <w:r>
        <w:t xml:space="preserve"> : 300 mg SC aux semaines S0, S1, S2, S3, S4 (dose d'induction hebdomadaire pendant 5 semaines — soit 2× 150 mg par injection), puis 300 mg SC toutes les 4 semaines (entretien). Dose d'entretien réduite à 150 mg toutes les 4 semaines possible chez les patients de poids &lt; 60 kg avec PASI 75.</w:t>
      </w:r>
    </w:p>
    <w:p>
      <w:pPr>
        <w:pStyle w:val="ListBullet"/>
      </w:pPr>
      <w:r/>
      <w:r>
        <w:rPr>
          <w:b/>
        </w:rPr>
        <w:t>Posologie enfant &gt; 6 ans rhumatisme psoriasique juvénile</w:t>
      </w:r>
      <w:r>
        <w:t xml:space="preserve"> : 75 mg (poids &lt; 50 kg), 150 mg (poids 50-100 kg), 300 mg (poids &gt; 100 kg) SC aux semaines S0, S1, S2, S3, S4 puis toutes les 4 semaines en entretien.</w:t>
      </w:r>
    </w:p>
    <w:p>
      <w:pPr>
        <w:pStyle w:val="ListBullet"/>
      </w:pPr>
      <w:r/>
      <w:r>
        <w:rPr>
          <w:b/>
        </w:rPr>
        <w:t>Voie d'administration SC</w:t>
      </w:r>
      <w:r>
        <w:t xml:space="preserve"> : sous-cutanée stricte, par seringue préremplie ou stylo auto-injecteur. Sites d'injection : face antérieure des cuisses, abdomen (à distance de l'ombilic), bras (si aide d'un tiers). Rotation systématique des sites. Ne pas injecter dans une zone cutanée psoriasique, rouge, eczémateuse ou infectée.</w:t>
      </w:r>
    </w:p>
    <w:p>
      <w:pPr>
        <w:pStyle w:val="ListBullet"/>
      </w:pPr>
      <w:r/>
      <w:r>
        <w:rPr>
          <w:b/>
        </w:rPr>
        <w:t>Prémédication</w:t>
      </w:r>
      <w:r>
        <w:t xml:space="preserve"> : non systématique. Pas de prémédication antihistaminique systématique (rare réaction d'hypersensibilité).</w:t>
      </w:r>
    </w:p>
    <w:p>
      <w:pPr>
        <w:pStyle w:val="ListBullet"/>
      </w:pPr>
      <w:r/>
      <w:r>
        <w:rPr>
          <w:b/>
        </w:rPr>
        <w:t>Conservation</w:t>
      </w:r>
      <w:r>
        <w:t xml:space="preserve"> : au réfrigérateur entre +2°C et +8°C, ne pas congeler. Forme SC : conservation hors réfrigérateur possible à ≤ 25°C pendant max 4 semaines (pour les déplacements, vacances).</w:t>
      </w:r>
    </w:p>
    <w:p>
      <w:pPr>
        <w:pStyle w:val="ListBullet"/>
      </w:pPr>
      <w:r/>
      <w:r>
        <w:rPr>
          <w:b/>
        </w:rPr>
        <w:t>Durée du traitement</w:t>
      </w:r>
      <w:r>
        <w:t xml:space="preserve"> : indéterminée, évaluation annuelle du rapport bénéfice/risque.</w:t>
      </w:r>
    </w:p>
    <w:p>
      <w:pPr>
        <w:pStyle w:val="Heading3"/>
      </w:pPr>
      <w:r>
        <w:t>152b.9.9 Formes galéniques et choix thérapeutique</w:t>
      </w:r>
    </w:p>
    <w:p>
      <w:r>
        <w:t xml:space="preserve">Le sécukinumab est une biothérapie de </w:t>
      </w:r>
      <w:r>
        <w:rPr>
          <w:b/>
        </w:rPr>
        <w:t>première intention</w:t>
      </w:r>
      <w:r>
        <w:t xml:space="preserve"> dans la spondyloarthrite axiale active en cas d'échec des AINS (recommandations ASAS-EULAR 2022 : recommandé en alternative aux anti-TNFα après échec d'AINS à dose maximale pendant ≥ 4 semaines). Les critères de choix en faveur du sécukinumab sont :</w:t>
      </w:r>
    </w:p>
    <w:p>
      <w:pPr>
        <w:pStyle w:val="ListBullet"/>
      </w:pPr>
      <w:r/>
      <w:r>
        <w:rPr>
          <w:b/>
        </w:rPr>
        <w:t>Efficacité supérieure aux anti-TNFα dans la spondyloarthrite axiale</w:t>
      </w:r>
      <w:r>
        <w:t xml:space="preserve"> (essai MEASURE 1-5 : ASAS20 à 16 semaines 60-70 % vs 30-40 % placebo, ASAS40 41-50 % vs 15 % placebo, supériorité vs étanercept dans l'essai SURPASS non confirmée mais non-infériorité démontrée).</w:t>
      </w:r>
    </w:p>
    <w:p>
      <w:pPr>
        <w:pStyle w:val="ListBullet"/>
      </w:pPr>
      <w:r/>
      <w:r>
        <w:rPr>
          <w:b/>
        </w:rPr>
        <w:t>Efficacité supérieure dans l'atteinte cutanée psoriasique</w:t>
      </w:r>
      <w:r>
        <w:t xml:space="preserve"> (PASI 90 à 16 semaines 60-70 % vs 5-10 % placebo, supériorité vs ustekinumab dans l'essai CLEAR).</w:t>
      </w:r>
    </w:p>
    <w:p>
      <w:pPr>
        <w:pStyle w:val="ListBullet"/>
      </w:pPr>
      <w:r/>
      <w:r>
        <w:rPr>
          <w:b/>
        </w:rPr>
        <w:t>Bénéfice dans l'atteinte enthésitique et dactylitique</w:t>
      </w:r>
      <w:r>
        <w:t xml:space="preserve"> du rhumatisme psoriasique.</w:t>
      </w:r>
    </w:p>
    <w:p>
      <w:pPr>
        <w:pStyle w:val="ListBullet"/>
      </w:pPr>
      <w:r/>
      <w:r>
        <w:rPr>
          <w:b/>
        </w:rPr>
        <w:t>Bénéfice dans l'atteinte périphérique du RPso</w:t>
      </w:r>
      <w:r>
        <w:t xml:space="preserve"> (essai FUTURE 1-5).</w:t>
      </w:r>
    </w:p>
    <w:p>
      <w:pPr>
        <w:pStyle w:val="ListBullet"/>
      </w:pPr>
      <w:r/>
      <w:r>
        <w:rPr>
          <w:b/>
        </w:rPr>
        <w:t>Absence de signal tuberculose</w:t>
      </w:r>
      <w:r>
        <w:t xml:space="preserve"> (mécanisme d'action non impliqué dans l'immunité anti-mycobactérienne, dépistage TB recommandé par prudence mais incidence très faible).</w:t>
      </w:r>
    </w:p>
    <w:p>
      <w:pPr>
        <w:pStyle w:val="ListBullet"/>
      </w:pPr>
      <w:r/>
      <w:r>
        <w:rPr>
          <w:b/>
        </w:rPr>
        <w:t>Absence de signal cardiaque</w:t>
      </w:r>
      <w:r>
        <w:t xml:space="preserve"> et de signal démyélinisant.</w:t>
      </w:r>
    </w:p>
    <w:p>
      <w:pPr>
        <w:pStyle w:val="ListBullet"/>
      </w:pPr>
      <w:r/>
      <w:r>
        <w:rPr>
          <w:b/>
        </w:rPr>
        <w:t>Administration SC à domicile</w:t>
      </w:r>
      <w:r>
        <w:t xml:space="preserve"> possible après formation, pas d'hospitalisation nécessaire (à la différence du rituximab IV, infliximab IV, tocilizumab IV).</w:t>
      </w:r>
    </w:p>
    <w:p>
      <w:r>
        <w:t xml:space="preserve">Le sécukinumab est </w:t>
      </w:r>
      <w:r>
        <w:rPr>
          <w:b/>
        </w:rPr>
        <w:t>déconseillé</w:t>
      </w:r>
      <w:r>
        <w:t xml:space="preserve"> en cas de :</w:t>
      </w:r>
    </w:p>
    <w:p>
      <w:pPr>
        <w:pStyle w:val="ListBullet"/>
      </w:pPr>
      <w:r/>
      <w:r>
        <w:rPr>
          <w:b/>
        </w:rPr>
        <w:t>Maladie inflammatoire chronique intestinale (MICI)</w:t>
      </w:r>
      <w:r>
        <w:t xml:space="preserve"> active ou antécédent de MICI (CI absolue — risque d'aggravation).</w:t>
      </w:r>
    </w:p>
    <w:p>
      <w:pPr>
        <w:pStyle w:val="ListBullet"/>
      </w:pPr>
      <w:r/>
      <w:r>
        <w:rPr>
          <w:b/>
        </w:rPr>
        <w:t>Candidose récidivante</w:t>
      </w:r>
      <w:r>
        <w:t xml:space="preserve"> (oropharyngée, vulvo-vaginale, œsophagienne) — prudence, surveillance accrue.</w:t>
      </w:r>
    </w:p>
    <w:p>
      <w:pPr>
        <w:pStyle w:val="ListBullet"/>
      </w:pPr>
      <w:r/>
      <w:r>
        <w:rPr>
          <w:b/>
        </w:rPr>
        <w:t>Grossesse au 3e trimestre</w:t>
      </w:r>
      <w:r>
        <w:t xml:space="preserve"> (CI, préférer certolizumab).</w:t>
      </w:r>
    </w:p>
    <w:p>
      <w:pPr>
        <w:pStyle w:val="ListBullet"/>
      </w:pPr>
      <w:r/>
      <w:r>
        <w:rPr>
          <w:b/>
        </w:rPr>
        <w:t>Insuffisance hépatique sévère</w:t>
      </w:r>
      <w:r>
        <w:t xml:space="preserve"> non contrôlée.</w:t>
      </w:r>
    </w:p>
    <w:p>
      <w:pPr>
        <w:pStyle w:val="ListBullet"/>
      </w:pPr>
      <w:r/>
      <w:r>
        <w:rPr>
          <w:b/>
        </w:rPr>
        <w:t>Neutropénie préexistante</w:t>
      </w:r>
      <w:r>
        <w:t xml:space="preserve"> (&lt; 1,5 G/L).</w:t>
      </w:r>
    </w:p>
    <w:p>
      <w:r/>
      <w:r>
        <w:rPr>
          <w:b/>
        </w:rPr>
        <w:t>Choix entre seringue préremplie et stylo auto-injecteur</w:t>
      </w:r>
      <w:r>
        <w:t xml:space="preserve"> : la seringue préremplie est privilégiée chez le patient habitué à l'auto-injection (insuline, méthotrexate SC), souhaitant un contrôle visuel du volume injecté. Le stylo auto-injecteur est privilégié chez le patient novice, anxieux, ou phobique des aiguilles (injection automatique en 15 secondes, aiguille cachée, douleur réduite).</w:t>
      </w:r>
    </w:p>
    <w:p>
      <w:pPr>
        <w:pStyle w:val="Heading3"/>
      </w:pPr>
      <w:r>
        <w:t>152b.9.10 Instructions au patient</w:t>
      </w:r>
    </w:p>
    <w:p>
      <w:pPr>
        <w:pStyle w:val="ListNumber"/>
      </w:pPr>
      <w:r/>
      <w:r>
        <w:rPr>
          <w:b/>
        </w:rPr>
        <w:t>Respecter la chaîne du froid</w:t>
      </w:r>
      <w:r>
        <w:t xml:space="preserve"> : conservation au réfrigérateur entre +2°C et +8°C. Sortir la seringue ou le stylo 15-30 min avant injection pour atteindre la température ambiante et réduire la douleur à l'injection. Conservation hors réfrigérateur possible 4 semaines max à ≤ 25°C (pour les déplacements).</w:t>
      </w:r>
    </w:p>
    <w:p>
      <w:pPr>
        <w:pStyle w:val="ListNumber"/>
      </w:pPr>
      <w:r/>
      <w:r>
        <w:rPr>
          <w:b/>
        </w:rPr>
        <w:t>Respecter le rythme d'administration</w:t>
      </w:r>
      <w:r>
        <w:t xml:space="preserve"> : 1 injection SC hebdomadaire pendant 5 semaines (dose d'induction), puis 1 injection toutes les 4 semaines (entretien). Ne jamais doubler la dose en cas d'oubli ; si oubli &lt; 7 jours, injecter dès que possible, sinon contacter le rhumatologue.</w:t>
      </w:r>
    </w:p>
    <w:p>
      <w:pPr>
        <w:pStyle w:val="ListNumber"/>
      </w:pPr>
      <w:r/>
      <w:r>
        <w:rPr>
          <w:b/>
        </w:rPr>
        <w:t>Surveillance pendant l'injection SC</w:t>
      </w:r>
      <w:r>
        <w:t xml:space="preserve"> : signaler toute réaction locale (rougeur, douleur, prurit) — généralement bénigne et transitoire.</w:t>
      </w:r>
    </w:p>
    <w:p>
      <w:pPr>
        <w:pStyle w:val="ListNumber"/>
      </w:pPr>
      <w:r/>
      <w:r>
        <w:rPr>
          <w:b/>
        </w:rPr>
        <w:t>Surveillance biologique trimestrielle</w:t>
      </w:r>
      <w:r>
        <w:t xml:space="preserve"> : NFS-plaquettes, bilan hépatique, CRP. Effectuer les prélèvements à jeun le matin.</w:t>
      </w:r>
    </w:p>
    <w:p>
      <w:pPr>
        <w:pStyle w:val="ListNumber"/>
      </w:pPr>
      <w:r/>
      <w:r>
        <w:rPr>
          <w:b/>
        </w:rPr>
        <w:t>Surveillance candidose</w:t>
      </w:r>
      <w:r>
        <w:t xml:space="preserve"> : signaler toute douleur buccale, dysphagie, brûlure vulvo-vaginale, prurit anal — prélèvement mycologique si suspicion, traitement par antifongique topique ou systémique.</w:t>
      </w:r>
    </w:p>
    <w:p>
      <w:pPr>
        <w:pStyle w:val="ListNumber"/>
      </w:pPr>
      <w:r/>
      <w:r>
        <w:rPr>
          <w:b/>
        </w:rPr>
        <w:t>Surveillance digestive</w:t>
      </w:r>
      <w:r>
        <w:t xml:space="preserve"> : signaler toute diarrhée chronique, douleur abdominale, rectorragie — arrêt immédiat et avis gastroentérologique en cas de suspicion de MICI démasquée.</w:t>
      </w:r>
    </w:p>
    <w:p>
      <w:pPr>
        <w:pStyle w:val="ListNumber"/>
      </w:pPr>
      <w:r/>
      <w:r>
        <w:rPr>
          <w:b/>
        </w:rPr>
        <w:t>Signes d'alerte à signaler immédiatement au médecin</w:t>
      </w:r>
      <w:r>
        <w:t xml:space="preserve"> : fièvre ≥ 38,5°C persistante &gt; 48 h, toux avec expectoration purulente, dyspnée, brûlures mictionnelles, douleur abdominale intense.</w:t>
      </w:r>
    </w:p>
    <w:p>
      <w:pPr>
        <w:pStyle w:val="ListNumber"/>
      </w:pPr>
      <w:r/>
      <w:r>
        <w:rPr>
          <w:b/>
        </w:rPr>
        <w:t>Précautions infectieuses</w:t>
      </w:r>
      <w:r>
        <w:t xml:space="preserve"> : éviter le contact avec les personnes malades, lavage des mains fréquent, bonne hygiène bucco-dentaire (brossage 2×/j, fil dentaire, consultation dentaire semestrielle).</w:t>
      </w:r>
    </w:p>
    <w:p>
      <w:pPr>
        <w:pStyle w:val="ListNumber"/>
      </w:pPr>
      <w:r/>
      <w:r>
        <w:rPr>
          <w:b/>
        </w:rPr>
        <w:t>Vaccinations</w:t>
      </w:r>
      <w:r>
        <w:t xml:space="preserve"> : vaccin grippe saisonnière annuel, vaccin pneumocoque, vaccin COVID-19, vaccin zona Shingrix si &gt; 50 ans. Ne jamais recevoir un vaccin vivant (BCG, ROR, fièvre jaune, varicelle, Zostavax) sans avis médical préalable.</w:t>
      </w:r>
    </w:p>
    <w:p>
      <w:pPr>
        <w:pStyle w:val="ListNumber"/>
      </w:pPr>
      <w:r/>
      <w:r>
        <w:rPr>
          <w:b/>
        </w:rPr>
        <w:t>Grossesse et contraception</w:t>
      </w:r>
      <w:r>
        <w:t xml:space="preserve"> : contraception efficace pendant le traitement et 10 semaines après l'arrêt. En cas de désir de grossesse, consulter le rhumatologue référent au moins 6 mois avant.</w:t>
      </w:r>
    </w:p>
    <w:p>
      <w:pPr>
        <w:pStyle w:val="ListNumber"/>
      </w:pPr>
      <w:r/>
      <w:r>
        <w:rPr>
          <w:b/>
        </w:rPr>
        <w:t>Interventions chirurgicales</w:t>
      </w:r>
      <w:r>
        <w:t xml:space="preserve"> : informer le chirurgien. Arrêt recommandé 2-4 semaines avant une chirurgie programmée.</w:t>
      </w:r>
    </w:p>
    <w:p>
      <w:pPr>
        <w:pStyle w:val="ListNumber"/>
      </w:pPr>
      <w:r/>
      <w:r>
        <w:rPr>
          <w:b/>
        </w:rPr>
        <w:t>Suivi dermatologique</w:t>
      </w:r>
      <w:r>
        <w:t xml:space="preserve"> : en cas de psoriasis cutané associé, surveillance dermatologique trimestrielle avec évaluation PASI. Photographies cutanées avant/après utiles pour suivi objectif.</w:t>
      </w:r>
    </w:p>
    <w:p>
      <w:pPr>
        <w:pStyle w:val="Heading3"/>
      </w:pPr>
      <w:r>
        <w:t>152b.9.11 Notes / Règles d'or / Pièges</w:t>
      </w:r>
    </w:p>
    <w:p>
      <w:pPr>
        <w:pStyle w:val="ListBullet"/>
      </w:pPr>
      <w:r/>
      <w:r>
        <w:rPr>
          <w:b/>
        </w:rPr>
        <w:t>Règle d'or n°1</w:t>
      </w:r>
      <w:r>
        <w:t xml:space="preserve"> : Contre-indication absolue en cas de maladie inflammatoire chronique intestinale (MICI) active ou antécédent de MICI (maladie de Crohn, RCH) — l'IL-17 joue un rôle protecteur dans la muqueuse colique, son blocage peut aggraver une MICI.</w:t>
      </w:r>
    </w:p>
    <w:p>
      <w:pPr>
        <w:pStyle w:val="ListBullet"/>
      </w:pPr>
      <w:r/>
      <w:r>
        <w:rPr>
          <w:b/>
        </w:rPr>
        <w:t>Règle d'or n°2</w:t>
      </w:r>
      <w:r>
        <w:t xml:space="preserve"> : Surveillance accrue de la candidose muqueuse (oropharyngée, vulvo-vaginale, œsophagienne) 2-4 % — reflet du rôle physiologique de l'IL-17 dans l'immunité anti-Candida.</w:t>
      </w:r>
    </w:p>
    <w:p>
      <w:pPr>
        <w:pStyle w:val="ListBullet"/>
      </w:pPr>
      <w:r/>
      <w:r>
        <w:rPr>
          <w:b/>
        </w:rPr>
        <w:t>Règle d'or n°3</w:t>
      </w:r>
      <w:r>
        <w:t xml:space="preserve"> : Efficacité supérieure aux anti-TNFα dans la spondyloarthrite axiale — biothérapie de première ligne en cas d'échec des AINS.</w:t>
      </w:r>
    </w:p>
    <w:p>
      <w:pPr>
        <w:pStyle w:val="ListBullet"/>
      </w:pPr>
      <w:r/>
      <w:r>
        <w:rPr>
          <w:b/>
        </w:rPr>
        <w:t>Règle d'or n°4</w:t>
      </w:r>
      <w:r>
        <w:t xml:space="preserve"> : Efficacité supérieure dans l'atteinte cutanée psoriasique (PASI 90 60-70 %) — biothérapie de référence pour le psoriasis en plaques.</w:t>
      </w:r>
    </w:p>
    <w:p>
      <w:pPr>
        <w:pStyle w:val="ListBullet"/>
      </w:pPr>
      <w:r/>
      <w:r>
        <w:rPr>
          <w:b/>
        </w:rPr>
        <w:t>Règle d'or n°5</w:t>
      </w:r>
      <w:r>
        <w:t xml:space="preserve"> : Absence de signal tuberculose, cardiaque, et démyélinisant — profil de tolérance favorable par rapport aux anti-TNFα.</w:t>
      </w:r>
    </w:p>
    <w:p>
      <w:pPr>
        <w:pStyle w:val="ListBullet"/>
      </w:pPr>
      <w:r/>
      <w:r>
        <w:rPr>
          <w:b/>
        </w:rPr>
        <w:t>Piège n°1 — MICI démasquée</w:t>
      </w:r>
      <w:r>
        <w:t xml:space="preserve"> : en cas de diarrhée chronique, douleur abdominale, rectorragie sous sécukinumab, arrêt immédiat et avis gastroentérologique urgent (endoscopie + biopsies). Ne pas réintroduire le sécukinumab.</w:t>
      </w:r>
    </w:p>
    <w:p>
      <w:pPr>
        <w:pStyle w:val="ListBullet"/>
      </w:pPr>
      <w:r/>
      <w:r>
        <w:rPr>
          <w:b/>
        </w:rPr>
        <w:t>Piège n°2 — Candidose muqueuse</w:t>
      </w:r>
      <w:r>
        <w:t xml:space="preserve"> : incidence 2-4 %, généralement bénigne et traitée par fluconazole 100 mg PO 7-14 jours. Prévention par bonne hygiène bucco-dentaire et probiotiques.</w:t>
      </w:r>
    </w:p>
    <w:p>
      <w:pPr>
        <w:pStyle w:val="ListBullet"/>
      </w:pPr>
      <w:r/>
      <w:r>
        <w:rPr>
          <w:b/>
        </w:rPr>
        <w:t>Piège n°3 — Schéma d'induction hebdomadaire pendant 5 semaines</w:t>
      </w:r>
      <w:r>
        <w:t xml:space="preserve"> : ne pas oublier les injections à S0, S1, S2, S3, S4 puis passage à 1 injection toutes les 4 semaines à partir de S8. Éducation du patient à utiliser un calendrier.</w:t>
      </w:r>
    </w:p>
    <w:p>
      <w:pPr>
        <w:pStyle w:val="ListBullet"/>
      </w:pPr>
      <w:r/>
      <w:r>
        <w:rPr>
          <w:b/>
        </w:rPr>
        <w:t>Piège n°4 — Adaptation posologique à 300 mg</w:t>
      </w:r>
      <w:r>
        <w:t xml:space="preserve"> : en cas de réponse insuffisante à 16 semaines (ASDAS &gt; 2,1 ou PASI &lt; 75), augmentation à 300 mg toutes les 4 semaines (2× 150 mg par injection) — ne pas augmenter avant 16 semaines.</w:t>
      </w:r>
    </w:p>
    <w:p>
      <w:pPr>
        <w:pStyle w:val="ListBullet"/>
      </w:pPr>
      <w:r/>
      <w:r>
        <w:rPr>
          <w:b/>
        </w:rPr>
        <w:t>Piège n°5 — Grossesse</w:t>
      </w:r>
      <w:r>
        <w:t xml:space="preserve"> : à éviter par prudence pendant toute la grossesse, en particulier au 3e trimestre (immunosuppression néonatale). Préférer le certolizumab si biothérapie nécessaire.</w:t>
      </w:r>
    </w:p>
    <w:p>
      <w:pPr>
        <w:pStyle w:val="ListBullet"/>
      </w:pPr>
      <w:r/>
      <w:r>
        <w:rPr>
          <w:b/>
        </w:rPr>
        <w:t>Piège n°6 — Forme SC uniquement</w:t>
      </w:r>
      <w:r>
        <w:t xml:space="preserve"> : pas de forme IV disponible en Algérie. Auto-administration à domicile après formation. Pas d'hospitalisation nécessaire.</w:t>
      </w:r>
    </w:p>
    <w:p>
      <w:pPr>
        <w:pStyle w:val="Heading2"/>
      </w:pPr>
      <w:r>
        <w:t>152b.10 DCI : Ustekinumab</w:t>
      </w:r>
    </w:p>
    <w:p>
      <w:pPr>
        <w:pStyle w:val="Heading3"/>
      </w:pPr>
      <w:r>
        <w:t>152b.10.1 Catégories et Liste</w:t>
      </w:r>
    </w:p>
    <w:p>
      <w:pPr>
        <w:pStyle w:val="ListBullet"/>
      </w:pPr>
      <w:r/>
      <w:r>
        <w:rPr>
          <w:b/>
        </w:rPr>
        <w:t>Classe pharmacothérapeutique</w:t>
      </w:r>
      <w:r>
        <w:t xml:space="preserve"> : Immunodépresseur, anticorps monoclonal anti-IL-12/23 p40 entièrement humain IgG1κ (Code ATC : L04AC05).</w:t>
      </w:r>
    </w:p>
    <w:p>
      <w:pPr>
        <w:pStyle w:val="ListBullet"/>
      </w:pPr>
      <w:r/>
      <w:r>
        <w:rPr>
          <w:b/>
        </w:rPr>
        <w:t>Mode d'accès</w:t>
      </w:r>
      <w:r>
        <w:t xml:space="preserve"> : Liste I, prescription initiale hospitalière réservée aux spécialistes en rhumatologie, dermatologie, gastroentérologie, médecine interne. Administration SC à domicile possible après formation, ou perfusion IV unique initiale pour la maladie de Crohn en milieu hospitalier.</w:t>
      </w:r>
    </w:p>
    <w:p>
      <w:pPr>
        <w:pStyle w:val="ListBullet"/>
      </w:pPr>
      <w:r/>
      <w:r>
        <w:rPr>
          <w:b/>
        </w:rPr>
        <w:t>Agrément conventionnel</w:t>
      </w:r>
      <w:r>
        <w:t xml:space="preserve"> : Médicament remboursable par la CNAS/CASNOS dans le rhumatisme psoriasique (RPso) actif en cas de réponse inadéquate aux DMARDs conventionnels, le psoriasis en plaques modéré à sévéré (indication dermatologique principale), et la maladie de Crohn modérée à sévère (indication gastroentérologique plus récente).</w:t>
      </w:r>
    </w:p>
    <w:p>
      <w:pPr>
        <w:pStyle w:val="ListBullet"/>
      </w:pPr>
      <w:r/>
      <w:r>
        <w:rPr>
          <w:b/>
        </w:rPr>
        <w:t>Statut réglementaire Algérie</w:t>
      </w:r>
      <w:r>
        <w:t xml:space="preserve"> : Médicament soumis à prescription restreinte, surveillance post-AMM renforcée. Délivrance en officine de ville possible pour la forme SC après ordonnance de spécialiste.</w:t>
      </w:r>
    </w:p>
    <w:p>
      <w:pPr>
        <w:pStyle w:val="Heading3"/>
      </w:pPr>
      <w:r>
        <w:t>152b.10.2 Médicaments disponibles en Algérie (tableau des spécialités commercialisées)</w:t>
      </w:r>
    </w:p>
    <w:p>
      <w:r>
        <w:t>L'ustekinumab est commercialisé en Algérie sous une seule marque (princeps, pas de biosimilaire disponible à ce jour), sous trois formes galéniques (2 formes SC + 1 forme IV pour maladie de Crohn), au 1er avril 2026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STELARA</w:t>
            </w:r>
          </w:p>
        </w:tc>
        <w:tc>
          <w:tcPr>
            <w:tcW w:type="dxa" w:w="1559"/>
          </w:tcPr>
          <w:p>
            <w:r>
              <w:rPr>
                <w:sz w:val="20"/>
              </w:rPr>
              <w:t>JANSSEN-CILAG INTERNATIONAL NV</w:t>
            </w:r>
          </w:p>
        </w:tc>
        <w:tc>
          <w:tcPr>
            <w:tcW w:type="dxa" w:w="1559"/>
          </w:tcPr>
          <w:p>
            <w:r>
              <w:rPr>
                <w:sz w:val="20"/>
              </w:rPr>
              <w:t>Solution injectable SC en seringue préremplie — 45 mg/0,5 mL</w:t>
            </w:r>
          </w:p>
        </w:tc>
        <w:tc>
          <w:tcPr>
            <w:tcW w:type="dxa" w:w="1559"/>
          </w:tcPr>
          <w:p>
            <w:r>
              <w:rPr>
                <w:sz w:val="20"/>
              </w:rPr>
              <w:t>Boîte d'une seringue préremplie de 0,5 mL</w:t>
            </w:r>
          </w:p>
        </w:tc>
        <w:tc>
          <w:tcPr>
            <w:tcW w:type="dxa" w:w="1559"/>
          </w:tcPr>
          <w:p>
            <w:r>
              <w:rPr>
                <w:sz w:val="20"/>
              </w:rPr>
              <w:t>Liste I</w:t>
            </w:r>
          </w:p>
        </w:tc>
        <w:tc>
          <w:tcPr>
            <w:tcW w:type="dxa" w:w="1559"/>
          </w:tcPr>
          <w:p>
            <w:r>
              <w:rPr>
                <w:sz w:val="20"/>
              </w:rPr>
              <w:t>Actif</w:t>
            </w:r>
          </w:p>
        </w:tc>
      </w:tr>
      <w:tr>
        <w:tc>
          <w:tcPr>
            <w:tcW w:type="dxa" w:w="1559"/>
          </w:tcPr>
          <w:p>
            <w:r>
              <w:rPr>
                <w:sz w:val="20"/>
              </w:rPr>
              <w:t>STELARA</w:t>
            </w:r>
          </w:p>
        </w:tc>
        <w:tc>
          <w:tcPr>
            <w:tcW w:type="dxa" w:w="1559"/>
          </w:tcPr>
          <w:p>
            <w:r>
              <w:rPr>
                <w:sz w:val="20"/>
              </w:rPr>
              <w:t>JANSSEN-CILAG INTERNATIONAL NV</w:t>
            </w:r>
          </w:p>
        </w:tc>
        <w:tc>
          <w:tcPr>
            <w:tcW w:type="dxa" w:w="1559"/>
          </w:tcPr>
          <w:p>
            <w:r>
              <w:rPr>
                <w:sz w:val="20"/>
              </w:rPr>
              <w:t>Solution injectable SC en seringue préremplie — 90 mg/mL</w:t>
            </w:r>
          </w:p>
        </w:tc>
        <w:tc>
          <w:tcPr>
            <w:tcW w:type="dxa" w:w="1559"/>
          </w:tcPr>
          <w:p>
            <w:r>
              <w:rPr>
                <w:sz w:val="20"/>
              </w:rPr>
              <w:t>Boîte d'une seringue préremplie de 1 mL</w:t>
            </w:r>
          </w:p>
        </w:tc>
        <w:tc>
          <w:tcPr>
            <w:tcW w:type="dxa" w:w="1559"/>
          </w:tcPr>
          <w:p>
            <w:r>
              <w:rPr>
                <w:sz w:val="20"/>
              </w:rPr>
              <w:t>Liste I</w:t>
            </w:r>
          </w:p>
        </w:tc>
        <w:tc>
          <w:tcPr>
            <w:tcW w:type="dxa" w:w="1559"/>
          </w:tcPr>
          <w:p>
            <w:r>
              <w:rPr>
                <w:sz w:val="20"/>
              </w:rPr>
              <w:t>Actif</w:t>
            </w:r>
          </w:p>
        </w:tc>
      </w:tr>
      <w:tr>
        <w:tc>
          <w:tcPr>
            <w:tcW w:type="dxa" w:w="1559"/>
          </w:tcPr>
          <w:p>
            <w:r>
              <w:rPr>
                <w:sz w:val="20"/>
              </w:rPr>
              <w:t>STELARA</w:t>
            </w:r>
          </w:p>
        </w:tc>
        <w:tc>
          <w:tcPr>
            <w:tcW w:type="dxa" w:w="1559"/>
          </w:tcPr>
          <w:p>
            <w:r>
              <w:rPr>
                <w:sz w:val="20"/>
              </w:rPr>
              <w:t>JANSSEN-CILAG INTERNATIONAL NV</w:t>
            </w:r>
          </w:p>
        </w:tc>
        <w:tc>
          <w:tcPr>
            <w:tcW w:type="dxa" w:w="1559"/>
          </w:tcPr>
          <w:p>
            <w:r>
              <w:rPr>
                <w:sz w:val="20"/>
              </w:rPr>
              <w:t>Solution à diluer pour perfusion IV — 130 mg</w:t>
            </w:r>
          </w:p>
        </w:tc>
        <w:tc>
          <w:tcPr>
            <w:tcW w:type="dxa" w:w="1559"/>
          </w:tcPr>
          <w:p>
            <w:r>
              <w:rPr>
                <w:sz w:val="20"/>
              </w:rPr>
              <w:t>Boîte de 1 flacon de 30 mL</w:t>
            </w:r>
          </w:p>
        </w:tc>
        <w:tc>
          <w:tcPr>
            <w:tcW w:type="dxa" w:w="1559"/>
          </w:tcPr>
          <w:p>
            <w:r>
              <w:rPr>
                <w:sz w:val="20"/>
              </w:rPr>
              <w:t>Liste I</w:t>
            </w:r>
          </w:p>
        </w:tc>
        <w:tc>
          <w:tcPr>
            <w:tcW w:type="dxa" w:w="1559"/>
          </w:tcPr>
          <w:p>
            <w:r>
              <w:rPr>
                <w:sz w:val="20"/>
              </w:rPr>
              <w:t>Actif</w:t>
            </w:r>
          </w:p>
        </w:tc>
      </w:tr>
    </w:tbl>
    <w:p/>
    <w:p>
      <w:r/>
      <w:r>
        <w:rPr>
          <w:i/>
        </w:rPr>
        <w:t>(Note : STELARA (Janssen-Cilag International NV, groupe Johnson &amp; Johnson) est le princeps originel, mis sur le marché en 2008 (FDA) pour le psoriasis en plaques, puis 2013 (EMA) pour le RPso, 2016 pour la maladie de Crohn, 2020 pour la rectocolite hémorragique. Le brevet n'a pas encore expiré à la date d'édition de la nomenclature algérienne (avril 2026), ce qui explique l'absence de biosimilaire disponible (les biosimilaires d'ustekinumab comme SELARSBI, PYZCHIVA etc. sont disponibles en Europe depuis 2024-2025). Trois formes galéniques disponibles : (i) 45 mg/0,5 mL SC pour patient &lt; 100 kg ; (ii) 90 mg/mL SC pour patient ≥ 100 kg ; (iii) 130 mg/30 mL IV pour la maladie de Crohn (dose unique initiale selon le poids, ~6 mg/kg). Le coût mensuel est estimé à 30 000-45 000 DA (forme SC) et 60 000-90 000 DA (forme IV initiale pour maladie de Crohn). Le stockage exige une chaîne du froid stricte +2°C/+8°C, sans congélation.)</w:t>
      </w:r>
      <w:r/>
    </w:p>
    <w:p>
      <w:pPr>
        <w:pStyle w:val="Heading3"/>
      </w:pPr>
      <w:r>
        <w:t>152b.10.3 Sous-classe et Mécanisme d'action</w:t>
      </w:r>
    </w:p>
    <w:p>
      <w:r>
        <w:t xml:space="preserve">L'ustekinumab appartient à la sous-classe des </w:t>
      </w:r>
      <w:r>
        <w:rPr>
          <w:b/>
        </w:rPr>
        <w:t>anti-IL-12/23 p40 (anticorps monoclonaux anti-sous-unité p40 commune)</w:t>
      </w:r>
      <w:r>
        <w:t xml:space="preserve">, représentée uniquement par l'ustekinumab en Algérie (le briakinumab, autre anti-p40, a vu son développement interrompu en 2011 pour signal cardiovasculaire ; les anticorps sélectifs anti-IL-23 p19 comme guselkumab, risankizumab, tildrakizumab ne sont pas disponibles en Algérie). C'est un anticorps monoclonal IgG1κ </w:t>
      </w:r>
      <w:r>
        <w:rPr>
          <w:b/>
        </w:rPr>
        <w:t>entièrement humain</w:t>
      </w:r>
      <w:r>
        <w:t xml:space="preserve"> obtenu par </w:t>
      </w:r>
      <w:r>
        <w:rPr>
          <w:b/>
        </w:rPr>
        <w:t>technologie des lymphocytes B humanisés (HuMab)</w:t>
      </w:r>
      <w:r>
        <w:t xml:space="preserve"> à partir de lymphocytes B humains immunisés in vitro, sélectionné pour sa haute affinité et sa spécificité pour la sous-unité p40 commune aux interleukines 12 et 23.</w:t>
      </w:r>
    </w:p>
    <w:p>
      <w:r/>
      <w:r>
        <w:rPr>
          <w:b/>
        </w:rPr>
        <w:t>Mécanisme d'action moléculaire</w:t>
      </w:r>
      <w:r>
        <w:t xml:space="preserve"> : l'ustekinumab se lie avec une haute affinité (KD ≈ 100 pM) à la sous-unité </w:t>
      </w:r>
      <w:r>
        <w:rPr>
          <w:b/>
        </w:rPr>
        <w:t>p40 commune</w:t>
      </w:r>
      <w:r>
        <w:t xml:space="preserve"> aux cytokines hétérodimériques IL-12 (p40 + p35) et IL-23 (p40 + p19), empêchant leur liaison aux récepteurs respectifs IL-12Rβ1/IL-12Rβ2 (pour IL-12) et IL-12Rβ1/IL-23R (pour IL-23) exprimés par les lymphocytes T et NK. Cette neutralisation bloque les deux voies effectrices :</w:t>
      </w:r>
    </w:p>
    <w:p>
      <w:pPr>
        <w:pStyle w:val="ListNumber"/>
      </w:pPr>
      <w:r/>
      <w:r>
        <w:rPr>
          <w:b/>
        </w:rPr>
        <w:t>Voie IL-12 / Th1</w:t>
      </w:r>
      <w:r>
        <w:t xml:space="preserve"> : inhibition de la différenciation Th1, de la production d'IFNγ, de l'immunité intracellulaire anti-mycobactérienne et anti-virale.</w:t>
      </w:r>
    </w:p>
    <w:p>
      <w:pPr>
        <w:pStyle w:val="ListNumber"/>
      </w:pPr>
      <w:r/>
      <w:r>
        <w:rPr>
          <w:b/>
        </w:rPr>
        <w:t>Voie IL-23 / Th17</w:t>
      </w:r>
      <w:r>
        <w:t xml:space="preserve"> : inhibition de la stabilisation et amplification des Th17, de la production d'IL-17A/F et IL-22, de l'immunité anti-fongique et de l'inflammation cutanée/muqueuse.</w:t>
      </w:r>
    </w:p>
    <w:p>
      <w:r/>
      <w:r>
        <w:rPr>
          <w:b/>
        </w:rPr>
        <w:t>Conséquences pharmacodynamiques cliniques</w:t>
      </w:r>
      <w:r>
        <w:t xml:space="preserve"> : (i) </w:t>
      </w:r>
      <w:r>
        <w:rPr>
          <w:b/>
        </w:rPr>
        <w:t>baisse retardée de la CRP</w:t>
      </w:r>
      <w:r>
        <w:t xml:space="preserve"> à 4-8 semaines (plus lente que les anti-IL-6 et les anti-TNFα, plus proche du rituximab) ; (ii) </w:t>
      </w:r>
      <w:r>
        <w:rPr>
          <w:b/>
        </w:rPr>
        <w:t>baisse de l'inflammation cutanée psoriasique</w:t>
      </w:r>
      <w:r>
        <w:t xml:space="preserve"> (essai PHOENIX 1 : PASI75 à 12 semaines 67 % vs 3 % placebo, PASI90 42 % vs 1 % placebo, maintien à 76 semaines) ; (iii) réduction du nombre d'articulations gonflées et douloureuses dans le RPso (essai PSUMMIT 1 : ACR20 à 24 semaines 42 % vs 22 % placebo, ACR50 25 % vs 12 % placebo) ; (iv) prévention de la progression radiographique dans le RPso (réduction de 50 % du score vdH-Svan der Heijde modifié à 1 an) ; (v) efficacité dans la maladie de Crohn modérée à sévère (essai UNITI-1 : rémission CDAI &lt; 150 à 6 semaines 34 % vs 22 % placebo ; essai UNITI-2 en cas d'échec des anti-TNFα : 34 % vs 20 % placebo) ; (vi) efficacité dans la rectocolite hémorragique (essai UNIFI : rémission Mayon score ≤ 2 à 8 semaines 15 % vs 5 % placebo).</w:t>
      </w:r>
    </w:p>
    <w:p>
      <w:r/>
      <w:r>
        <w:rPr>
          <w:b/>
        </w:rPr>
        <w:t>Particularité pharmacocinétique</w:t>
      </w:r>
      <w:r>
        <w:t xml:space="preserve"> : la demi-vie plasmatique de l'ustekinumab SC est de ~3 semaines (21 jours, cinétique linéaire), la </w:t>
      </w:r>
      <w:r>
        <w:rPr>
          <w:b/>
        </w:rPr>
        <w:t>plus prolongée des biothérapies rhumatologiques</w:t>
      </w:r>
      <w:r>
        <w:t xml:space="preserve"> — permettant un espacement des injections toutes les 12 semaines en entretien. Biodisponibilité SC de 75-90 %, pic à 7-14 jours après injection. Le volume de distribution est limité au compartiment plasmatique (~5-7 L). La clairance dépend du poids corporel (justifiant l'adaptation posologique à 90 mg pour poids ≥ 100 kg). Après perfusion IV (maladie de Crohn), la demi-vie est de ~3 semaines également. L'ustekinumab traverse le placenta via FcRn à partir de 16-20 SA.</w:t>
      </w:r>
    </w:p>
    <w:p>
      <w:pPr>
        <w:pStyle w:val="Heading3"/>
      </w:pPr>
      <w:r>
        <w:t>152b.10.4 Profil Pharmacologique Clinique</w:t>
      </w:r>
    </w:p>
    <w:p>
      <w:r/>
      <w:r>
        <w:rPr>
          <w:b/>
        </w:rPr>
        <w:t>Indications AMM (Algérie)</w:t>
      </w:r>
      <w:r>
        <w:t xml:space="preserve"> :</w:t>
      </w:r>
    </w:p>
    <w:p>
      <w:pPr>
        <w:pStyle w:val="ListBullet"/>
      </w:pPr>
      <w:r>
        <w:t>Rhumatisme psoriasique (RPso) actif de l'adulte en cas de réponse inadéquate aux AINS et DMARDs conventionnels.</w:t>
      </w:r>
    </w:p>
    <w:p>
      <w:pPr>
        <w:pStyle w:val="ListBullet"/>
      </w:pPr>
      <w:r>
        <w:t>Psoriasis en plaques modéré à sévéré de l'adulte en cas de réponse inadéquate aux traitements topiques et à la photothérapie (indication dermatologique).</w:t>
      </w:r>
    </w:p>
    <w:p>
      <w:pPr>
        <w:pStyle w:val="ListBullet"/>
      </w:pPr>
      <w:r>
        <w:t>Maladie de Crohn modérée à sévère de l'adulte en cas de réponse inadéquate, perte de réponse ou intolérance aux anti-TNFα ou au vedolizumab (indication gastroentérologique).</w:t>
      </w:r>
    </w:p>
    <w:p>
      <w:pPr>
        <w:pStyle w:val="ListBullet"/>
      </w:pPr>
      <w:r>
        <w:t>Rectocolite hémorragique modérée à sévère de l'adulte en cas de réponse inadéquate, perte de réponse ou intolérance aux anti-TNFα ou au vedolizumab (indication gastroentérologique plus récente).</w:t>
      </w:r>
    </w:p>
    <w:p>
      <w:r/>
      <w:r>
        <w:rPr>
          <w:b/>
        </w:rPr>
        <w:t>Contre-indications absolues</w:t>
      </w:r>
      <w:r>
        <w:t xml:space="preserve"> :</w:t>
      </w:r>
    </w:p>
    <w:p>
      <w:pPr>
        <w:pStyle w:val="ListBullet"/>
      </w:pPr>
      <w:r>
        <w:t>Hypersensibilité à l'ustekinumab ou à l'un des excipients (sucrose, polysorbate 80, L-histidine, L-histidine monochlorhydrate, eau pour préparations injectables).</w:t>
      </w:r>
    </w:p>
    <w:p>
      <w:pPr>
        <w:pStyle w:val="ListBullet"/>
      </w:pPr>
      <w:r>
        <w:t>Infection sévère active non contrôlée (sepsis, tuberculose active).</w:t>
      </w:r>
    </w:p>
    <w:p>
      <w:pPr>
        <w:pStyle w:val="ListBullet"/>
      </w:pPr>
      <w:r>
        <w:t>Vaccination par vaccin vivant atténué pendant le traitement et 4 semaines (voire 15 semaines selon le CRAT) après la dernière injection.</w:t>
      </w:r>
    </w:p>
    <w:p>
      <w:pPr>
        <w:pStyle w:val="ListBullet"/>
      </w:pPr>
      <w:r>
        <w:t>Grossesse au 3e trimestre (à éviter par prudence, immunosuppression néonatale transitoire).</w:t>
      </w:r>
    </w:p>
    <w:p>
      <w:r/>
      <w:r>
        <w:rPr>
          <w:b/>
        </w:rPr>
        <w:t>Contre-indications relatives / Précautions d'emploi</w:t>
      </w:r>
      <w:r>
        <w:t xml:space="preserve"> :</w:t>
      </w:r>
    </w:p>
    <w:p>
      <w:pPr>
        <w:pStyle w:val="ListBullet"/>
      </w:pPr>
      <w:r>
        <w:t>Tuberculose latente : dépistage systématique, chimioprophylaxie INH avant instauration (bien que le signal TB soit moindre que pour les anti-TNFα).</w:t>
      </w:r>
    </w:p>
    <w:p>
      <w:pPr>
        <w:pStyle w:val="ListBullet"/>
      </w:pPr>
      <w:r>
        <w:t>Hépatite B (AgHBs+ ou Ac anti-HBc+) : dépistage systématique, prophylaxie antivirale recommandée.</w:t>
      </w:r>
    </w:p>
    <w:p>
      <w:pPr>
        <w:pStyle w:val="ListBullet"/>
      </w:pPr>
      <w:r>
        <w:t>Insuffisance hépatique modérée à sévère : surveillance des transaminases.</w:t>
      </w:r>
    </w:p>
    <w:p>
      <w:pPr>
        <w:pStyle w:val="ListBullet"/>
      </w:pPr>
      <w:r>
        <w:t>Antécédent de cancer (signal émergent de cancers dans les essais poolés, à interpréter avec prudence).</w:t>
      </w:r>
    </w:p>
    <w:p>
      <w:pPr>
        <w:pStyle w:val="ListBullet"/>
      </w:pPr>
      <w:r>
        <w:t>Patient âgé &gt; 65 ans : risque infectieux majoré, évaluation bénéfice/risque individualisée.</w:t>
      </w:r>
    </w:p>
    <w:p>
      <w:r/>
      <w:r>
        <w:rPr>
          <w:b/>
        </w:rPr>
        <w:t>Effets indésirables principaux</w:t>
      </w:r>
      <w:r>
        <w:t xml:space="preserve"> :</w:t>
      </w:r>
    </w:p>
    <w:p>
      <w:pPr>
        <w:pStyle w:val="ListBullet"/>
      </w:pPr>
      <w:r/>
      <w:r>
        <w:rPr>
          <w:b/>
        </w:rPr>
        <w:t>Très fréquents (≥ 10 %)</w:t>
      </w:r>
      <w:r>
        <w:t xml:space="preserve"> : infections des voies respiratoires supérieures 12-18 % (rhinopharyngite, bronchite), céphalées 10-12 %, asthénie 10-12 %.</w:t>
      </w:r>
    </w:p>
    <w:p>
      <w:pPr>
        <w:pStyle w:val="ListBullet"/>
      </w:pPr>
      <w:r/>
      <w:r>
        <w:rPr>
          <w:b/>
        </w:rPr>
        <w:t>Fréquents (1-10 %)</w:t>
      </w:r>
      <w:r>
        <w:t xml:space="preserve"> : infections sévères (pneumonie 1-2 %, cellulite 1-2 %, herpès 2-3 %, zona 2-3 %), fièvre, vertiges, douleurs musculo-squelettiques, arthralgies, nausées, diarrhée, dyspepsie, rash, prurit, réactions au site d'injection 5-8 % (érythème, douleur, prurit), élévation des transaminases 2-4 %, neutropénie 2-3 % (généralement modérée), hypertension 2-3 %.</w:t>
      </w:r>
    </w:p>
    <w:p>
      <w:pPr>
        <w:pStyle w:val="ListBullet"/>
      </w:pPr>
      <w:r/>
      <w:r>
        <w:rPr>
          <w:b/>
        </w:rPr>
        <w:t>Rares (0,1-1 %)</w:t>
      </w:r>
      <w:r>
        <w:t xml:space="preserve"> : tuberculose (incidence 0,02-0,05 pour 100 patients-années, plus rare que les anti-TNFα), infections opportunistes (légionellose, listériose), réactions d'hypersensibilité systémiques (anaphylaxie 0,1 %), thrombopénie, hépatite, pneumopathie interstitielle, néoplasies (signal émergent de cancers du sein, mélanome dans les essais poolés — à interpréter avec prudence).</w:t>
      </w:r>
    </w:p>
    <w:p>
      <w:pPr>
        <w:pStyle w:val="ListBullet"/>
      </w:pPr>
      <w:r/>
      <w:r>
        <w:rPr>
          <w:b/>
        </w:rPr>
        <w:t>Très rares (&lt; 0,1 %)</w:t>
      </w:r>
      <w:r>
        <w:t xml:space="preserve"> : syndrome de Stevens-Johnson, vascularite cutanée, leucoencéphalopathie multifocale progressive (PML — cas exceptionnels publiés), syndrome de réversible posterior leukoencephalopathy syndrome (RPLS).</w:t>
      </w:r>
    </w:p>
    <w:p>
      <w:pPr>
        <w:pStyle w:val="Heading3"/>
      </w:pPr>
      <w:r>
        <w:t>152b.10.5 Prévention et Gestion des Effets Indésirables</w:t>
      </w:r>
    </w:p>
    <w:p>
      <w:r/>
      <w:r>
        <w:rPr>
          <w:b/>
        </w:rPr>
        <w:t>Avant instauration (bilan pré-thérapeutique obligatoire)</w:t>
      </w:r>
      <w:r>
        <w:t xml:space="preserve"> :</w:t>
      </w:r>
    </w:p>
    <w:p>
      <w:pPr>
        <w:pStyle w:val="ListBullet"/>
      </w:pPr>
      <w:r>
        <w:t>Consultation spécialisée rhumatologique et/ou dermatologique et/ou gastroentérologique avec évaluation de l'activité (DAPSA, PASI, CDAI, MAYO selon indication).</w:t>
      </w:r>
    </w:p>
    <w:p>
      <w:pPr>
        <w:pStyle w:val="ListBullet"/>
      </w:pPr>
      <w:r>
        <w:t>Bilan biologique complet : NFS-plaquettes, CRP, VS, bilan hépatique, bilan rénal, ionogramme, βHCG.</w:t>
      </w:r>
    </w:p>
    <w:p>
      <w:pPr>
        <w:pStyle w:val="ListBullet"/>
      </w:pPr>
      <w:r>
        <w:t>Sérologies infectieuses systématiques : VHB (AgHBs, Ac anti-HBs, Ac anti-HBc), VHC, VIH.</w:t>
      </w:r>
    </w:p>
    <w:p>
      <w:pPr>
        <w:pStyle w:val="ListBullet"/>
      </w:pPr>
      <w:r>
        <w:t>Dépistage tuberculose : IDR à la tuberculine ou IGRA (Quantiferon-TB Gold) + radiographie thoracique. Si tuberculose latente : isoniazide 5 mg/kg/j + pyridoxine 25 mg/j pendant 1 mois avant instauration.</w:t>
      </w:r>
    </w:p>
    <w:p>
      <w:pPr>
        <w:pStyle w:val="ListBullet"/>
      </w:pPr>
      <w:r>
        <w:t>Bilan dermatologique : examen clinique complet à la recherche de mélanome ou de lésion cutanée suspecte (signal émergent).</w:t>
      </w:r>
    </w:p>
    <w:p>
      <w:pPr>
        <w:pStyle w:val="ListBullet"/>
      </w:pPr>
      <w:r>
        <w:t>Vaccinations : mise à jour vaccinale (pneumocoque, grippe, COVID-19, hépatite B, zona Shingrix). Vaccins vivants à administrer au moins 4 semaines avant la première injection.</w:t>
      </w:r>
    </w:p>
    <w:p>
      <w:pPr>
        <w:pStyle w:val="ListBullet"/>
      </w:pPr>
      <w:r>
        <w:t>Information du patient : remise d'un livret d'information, signature d'un consentement éclairé, formation à l'auto-injection SC.</w:t>
      </w:r>
    </w:p>
    <w:p>
      <w:r/>
      <w:r>
        <w:rPr>
          <w:b/>
        </w:rPr>
        <w:t>Pendant le traitement (surveillance systématique renforcée)</w:t>
      </w:r>
      <w:r>
        <w:t xml:space="preserve"> :</w:t>
      </w:r>
    </w:p>
    <w:p>
      <w:pPr>
        <w:pStyle w:val="ListBullet"/>
      </w:pPr>
      <w:r>
        <w:t>Examen clinique mensuel les 3 premiers mois puis trimestriel : évaluation de l'efficacité (DAPSA, PASI, CDAI, MAYO), recherche d'effets indésirables (notamment fièvre, infection, signes neurologiques), observance.</w:t>
      </w:r>
    </w:p>
    <w:p>
      <w:pPr>
        <w:pStyle w:val="ListBullet"/>
      </w:pPr>
      <w:r>
        <w:t>Bilan biologique trimestriel : NFS-plaquettes, bilan hépatique, CRP.</w:t>
      </w:r>
    </w:p>
    <w:p>
      <w:pPr>
        <w:pStyle w:val="ListBullet"/>
      </w:pPr>
      <w:r>
        <w:t>Surveillance TB : clinique trimestrielle, radiographie thoracique annuelle.</w:t>
      </w:r>
    </w:p>
    <w:p>
      <w:pPr>
        <w:pStyle w:val="ListBullet"/>
      </w:pPr>
      <w:r>
        <w:t>Surveillance dermatologique annuelle : dépistage du mélanome (examen clinique complet, dermoscopie si lésion suspecte).</w:t>
      </w:r>
    </w:p>
    <w:p>
      <w:r/>
      <w:r>
        <w:rPr>
          <w:b/>
        </w:rPr>
        <w:t>Gestion des effets indésirables spécifiques</w:t>
      </w:r>
      <w:r>
        <w:t xml:space="preserve"> :</w:t>
      </w:r>
    </w:p>
    <w:p>
      <w:pPr>
        <w:pStyle w:val="ListBullet"/>
      </w:pPr>
      <w:r/>
      <w:r>
        <w:rPr>
          <w:b/>
        </w:rPr>
        <w:t>Infections bactériennes</w:t>
      </w:r>
      <w:r>
        <w:t xml:space="preserve"> : arrêt immédiat de l'ustekinumab, prélèvements bactériologiques, antibiothérapie probabiliste, reprise 2 semaines après résolution.</w:t>
      </w:r>
    </w:p>
    <w:p>
      <w:pPr>
        <w:pStyle w:val="ListBullet"/>
      </w:pPr>
      <w:r/>
      <w:r>
        <w:rPr>
          <w:b/>
        </w:rPr>
        <w:t>Réaction au site d'injection</w:t>
      </w:r>
      <w:r>
        <w:t xml:space="preserve"> : rotation des sites, application de glace, antihistaminique local. Rarement arrêt nécessaire.</w:t>
      </w:r>
    </w:p>
    <w:p>
      <w:pPr>
        <w:pStyle w:val="ListBullet"/>
      </w:pPr>
      <w:r/>
      <w:r>
        <w:rPr>
          <w:b/>
        </w:rPr>
        <w:t>Neutropénie</w:t>
      </w:r>
      <w:r>
        <w:t xml:space="preserve"> : surveillance NFS, arrêt si &lt; 1 G/L.</w:t>
      </w:r>
    </w:p>
    <w:p>
      <w:pPr>
        <w:pStyle w:val="ListBullet"/>
      </w:pPr>
      <w:r/>
      <w:r>
        <w:rPr>
          <w:b/>
        </w:rPr>
        <w:t>Élévation des transaminases</w:t>
      </w:r>
      <w:r>
        <w:t xml:space="preserve"> : surveillance accrue, adaptation posologique si &gt; 3× LSN, arrêt si &gt; 5× LSN.</w:t>
      </w:r>
    </w:p>
    <w:p>
      <w:pPr>
        <w:pStyle w:val="ListBullet"/>
      </w:pPr>
      <w:r/>
      <w:r>
        <w:rPr>
          <w:b/>
        </w:rPr>
        <w:t>Réaction à la perfusion IV (maladie de Crohn)</w:t>
      </w:r>
      <w:r>
        <w:t xml:space="preserve"> : ralentir la perfusion, antihistaminique IV, surveillance vitale.</w:t>
      </w:r>
    </w:p>
    <w:p>
      <w:pPr>
        <w:pStyle w:val="Heading3"/>
      </w:pPr>
      <w:r>
        <w:t>152b.10.6 Interactions médicamenteuses</w:t>
      </w:r>
    </w:p>
    <w:p>
      <w:pPr>
        <w:pStyle w:val="ListBullet"/>
      </w:pPr>
      <w:r/>
      <w:r>
        <w:rPr>
          <w:b/>
        </w:rPr>
        <w:t>Vaccins vivants atténués</w:t>
      </w:r>
      <w:r>
        <w:t xml:space="preserve"> : contre-indication absolue pendant le traitement et 4 semaines (voire 15 semaines selon le CRAT en raison de la demi-vie prolongée) après la dernière injection. Concernés : BCG, ROR, fièvre jaune, varicelle-zona Zostavax, rotavirus, oral typhoïde Ty21a, polio oral.</w:t>
      </w:r>
    </w:p>
    <w:p>
      <w:pPr>
        <w:pStyle w:val="ListBullet"/>
      </w:pPr>
      <w:r/>
      <w:r>
        <w:rPr>
          <w:b/>
        </w:rPr>
        <w:t>Vaccins inactivés</w:t>
      </w:r>
      <w:r>
        <w:t xml:space="preserve"> : autorisés et recommandés. Réponse vaccinale conservée.</w:t>
      </w:r>
    </w:p>
    <w:p>
      <w:pPr>
        <w:pStyle w:val="ListBullet"/>
      </w:pPr>
      <w:r/>
      <w:r>
        <w:rPr>
          <w:b/>
        </w:rPr>
        <w:t>Méthotrexate</w:t>
      </w:r>
      <w:r>
        <w:t xml:space="preserve"> : association possible (efficacité synergique démontrée dans le RPso), pas d'interaction pharmacocinétique significative.</w:t>
      </w:r>
    </w:p>
    <w:p>
      <w:pPr>
        <w:pStyle w:val="ListBullet"/>
      </w:pPr>
      <w:r/>
      <w:r>
        <w:rPr>
          <w:b/>
        </w:rPr>
        <w:t>Corticoïdes</w:t>
      </w:r>
      <w:r>
        <w:t xml:space="preserve"> : association possible, surveillance du bilan infectieux.</w:t>
      </w:r>
    </w:p>
    <w:p>
      <w:pPr>
        <w:pStyle w:val="ListBullet"/>
      </w:pPr>
      <w:r/>
      <w:r>
        <w:rPr>
          <w:b/>
        </w:rPr>
        <w:t>Anti-TNFα</w:t>
      </w:r>
      <w:r>
        <w:t xml:space="preserve"> : association déconseillée (augmentation des infections sévères sans bénéfice synergique).</w:t>
      </w:r>
    </w:p>
    <w:p>
      <w:pPr>
        <w:pStyle w:val="ListBullet"/>
      </w:pPr>
      <w:r/>
      <w:r>
        <w:rPr>
          <w:b/>
        </w:rPr>
        <w:t>Sécukinumab</w:t>
      </w:r>
      <w:r>
        <w:t xml:space="preserve"> : association déconseillée (immunosuppression additive majeure).</w:t>
      </w:r>
    </w:p>
    <w:p>
      <w:pPr>
        <w:pStyle w:val="ListBullet"/>
      </w:pPr>
      <w:r/>
      <w:r>
        <w:rPr>
          <w:b/>
        </w:rPr>
        <w:t>Tocilizumab, rituximab, abatacept</w:t>
      </w:r>
      <w:r>
        <w:t xml:space="preserve"> : association déconseillée (immunosuppression additive majeure).</w:t>
      </w:r>
    </w:p>
    <w:p>
      <w:pPr>
        <w:pStyle w:val="ListBullet"/>
      </w:pPr>
      <w:r/>
      <w:r>
        <w:rPr>
          <w:b/>
        </w:rPr>
        <w:t>Vedolizumab</w:t>
      </w:r>
      <w:r>
        <w:t xml:space="preserve"> (anti-intégrine α4β7) : association possible dans la maladie de Crohn (essai clinique VISIBLE en cours), surveillance infectieuse accrue.</w:t>
      </w:r>
    </w:p>
    <w:p>
      <w:pPr>
        <w:pStyle w:val="ListBullet"/>
      </w:pPr>
      <w:r/>
      <w:r>
        <w:rPr>
          <w:b/>
        </w:rPr>
        <w:t>Statines, warfarine, AAVK</w:t>
      </w:r>
      <w:r>
        <w:t xml:space="preserve"> : pas d'interaction significative.</w:t>
      </w:r>
    </w:p>
    <w:p>
      <w:pPr>
        <w:pStyle w:val="ListBullet"/>
      </w:pPr>
      <w:r/>
      <w:r>
        <w:rPr>
          <w:b/>
        </w:rPr>
        <w:t>Biosimilaires et substitution</w:t>
      </w:r>
      <w:r>
        <w:t xml:space="preserve"> : pas de biosimilaire disponible en Algérie à ce jour. Pas de substitution possible actuellement.</w:t>
      </w:r>
    </w:p>
    <w:p>
      <w:pPr>
        <w:pStyle w:val="Heading3"/>
      </w:pPr>
      <w:r>
        <w:t>152b.10.7 Grossesse et Allaitement (CRAT)</w:t>
      </w:r>
    </w:p>
    <w:p>
      <w:pPr>
        <w:pStyle w:val="ListBullet"/>
      </w:pPr>
      <w:r/>
      <w:r>
        <w:rPr>
          <w:b/>
        </w:rPr>
        <w:t>Grossesse</w:t>
      </w:r>
      <w:r>
        <w:t xml:space="preserve"> : l'ustekinumab est une IgG1 qui traverse le placenta via FcRn à partir de 16-20 SA. Le CRAT conclut à </w:t>
      </w:r>
      <w:r>
        <w:rPr>
          <w:b/>
        </w:rPr>
        <w:t>éviter par prudence pendant toute la grossesse</w:t>
      </w:r>
      <w:r>
        <w:t xml:space="preserve"> en raison de données limitées (~150 cas publiés, principalement dans le psoriasis et la maladie de Crohn, pas de signal tératogène). En cas de nécessité absolue (RPso sévère avec menace du pronostic fonctionnel, maladie de Crohn sévère réfractaire), peut être utilisé aux 1er et 2e trimestres avec arrêt obligatoire à 32 SA (immunosuppression néonatale transitoire). Les données publiées ne montrent pas d'augmentation du risque de malformations congénitales majeures.</w:t>
      </w:r>
    </w:p>
    <w:p>
      <w:pPr>
        <w:pStyle w:val="ListBullet"/>
      </w:pPr>
      <w:r/>
      <w:r>
        <w:rPr>
          <w:b/>
        </w:rPr>
        <w:t>Accouchement et nouveau-né</w:t>
      </w:r>
      <w:r>
        <w:t xml:space="preserve"> : surveillance clinique néonatale accrue. Les vaccins vivants sont contre-indiqués chez le nouveau-né pendant 6 mois après la dernière injection maternelle d'ustekinumab (la demi-vie est ~21 jours, washout ~5 mois).</w:t>
      </w:r>
    </w:p>
    <w:p>
      <w:pPr>
        <w:pStyle w:val="ListBullet"/>
      </w:pPr>
      <w:r/>
      <w:r>
        <w:rPr>
          <w:b/>
        </w:rPr>
        <w:t>Allaitement</w:t>
      </w:r>
      <w:r>
        <w:t xml:space="preserve"> : compatible selon le CRAT (faible passage dans le lait, dégradation digestive). Surveillance clinique du nourrisson.</w:t>
      </w:r>
    </w:p>
    <w:p>
      <w:pPr>
        <w:pStyle w:val="ListBullet"/>
      </w:pPr>
      <w:r/>
      <w:r>
        <w:rPr>
          <w:b/>
        </w:rPr>
        <w:t>Fertilité</w:t>
      </w:r>
      <w:r>
        <w:t xml:space="preserve"> : pas d'effet délétère démontré. Contraception pendant le traitement et 15 semaines après l'arrêt. Chez l'homme : pas de contre-indication à la paternité.</w:t>
      </w:r>
    </w:p>
    <w:p>
      <w:pPr>
        <w:pStyle w:val="ListBullet"/>
      </w:pPr>
      <w:r/>
      <w:r>
        <w:rPr>
          <w:b/>
        </w:rPr>
        <w:t>Conseil préconceptionnel</w:t>
      </w:r>
      <w:r>
        <w:t xml:space="preserve"> : programmer l'arrêt de l'ustekinumab 15 semaines avant l'arrêt de la contraception. En cas de maladie active risquant de réactiver à l'arrêt, privilégier le </w:t>
      </w:r>
      <w:r>
        <w:rPr>
          <w:b/>
        </w:rPr>
        <w:t>certolizumab pegol</w:t>
      </w:r>
      <w:r>
        <w:t xml:space="preserve"> (seul anti-TNFα sans transfert placentaire) ou la poursuite de l'ustekinumab jusqu'à 20-32 SA puis arrêt.</w:t>
      </w:r>
    </w:p>
    <w:p>
      <w:pPr>
        <w:pStyle w:val="Heading3"/>
      </w:pPr>
      <w:r>
        <w:t>152b.10.8 Posologie et Mode d'administration</w:t>
      </w:r>
    </w:p>
    <w:p>
      <w:pPr>
        <w:pStyle w:val="ListBullet"/>
      </w:pPr>
      <w:r/>
      <w:r>
        <w:rPr>
          <w:b/>
        </w:rPr>
        <w:t>Posologie adulte RPso et psoriasis en plaques (schéma standard)</w:t>
      </w:r>
      <w:r>
        <w:t xml:space="preserve"> : 45 mg SC à S0 et S4 (dose d'induction), puis 45 mg SC toutes les 12 semaines (entretien). En cas de poids ≥ 100 kg : 90 mg SC à S0 et S4, puis 90 mg SC toutes les 12 semaines.</w:t>
      </w:r>
    </w:p>
    <w:p>
      <w:pPr>
        <w:pStyle w:val="ListBullet"/>
      </w:pPr>
      <w:r/>
      <w:r>
        <w:rPr>
          <w:b/>
        </w:rPr>
        <w:t>Posologie adulte maladie de Crohn (schéma IV puis SC)</w:t>
      </w:r>
      <w:r>
        <w:t xml:space="preserve"> : dose unique IV selon le poids (~6 mg/kg, max 520 mg) à S0 (perfusion IV sur 1 heure en milieu hospitalier), puis 90 mg SC à S8 (ou 45 mg si poids &lt; 100 kg), puis 90 mg SC toutes les 8 semaines (ou 45 mg si poids &lt; 100 kg) en entretien.</w:t>
      </w:r>
    </w:p>
    <w:p>
      <w:pPr>
        <w:pStyle w:val="ListBullet"/>
      </w:pPr>
      <w:r/>
      <w:r>
        <w:rPr>
          <w:b/>
        </w:rPr>
        <w:t>Posologie adulte rectocolite hémorragique (schéma IV puis SC)</w:t>
      </w:r>
      <w:r>
        <w:t xml:space="preserve"> : dose unique IV selon le poids (~6 mg/kg) à S0, puis 90 mg SC à S8, puis 90 mg SC toutes les 12 semaines en entretien.</w:t>
      </w:r>
    </w:p>
    <w:p>
      <w:pPr>
        <w:pStyle w:val="ListBullet"/>
      </w:pPr>
      <w:r/>
      <w:r>
        <w:rPr>
          <w:b/>
        </w:rPr>
        <w:t>Posologie enfant &gt; 6 ans psoriasis (schéma standard)</w:t>
      </w:r>
      <w:r>
        <w:t xml:space="preserve"> : 0,75 mg/kg SC (max 37,5 mg) à S0 et S4, puis toutes les 12 semaines en entretien. Adaptation posologique selon paliers de poids.</w:t>
      </w:r>
    </w:p>
    <w:p>
      <w:pPr>
        <w:pStyle w:val="ListBullet"/>
      </w:pPr>
      <w:r/>
      <w:r>
        <w:rPr>
          <w:b/>
        </w:rPr>
        <w:t>Voie d'administration SC</w:t>
      </w:r>
      <w:r>
        <w:t xml:space="preserve"> : sous-cutanée stricte, par seringue préremplie. Sites d'injection : face antérieure des cuisses, abdomen (à distance de l'ombilic), bras (si aide d'un tiers). Rotation systématique des sites. Ne pas injecter dans une zone cutanée psoriasique, rouge, eczémateuse ou infectée.</w:t>
      </w:r>
    </w:p>
    <w:p>
      <w:pPr>
        <w:pStyle w:val="ListBullet"/>
      </w:pPr>
      <w:r/>
      <w:r>
        <w:rPr>
          <w:b/>
        </w:rPr>
        <w:t>Voie d'administration IV (maladie de Crohn)</w:t>
      </w:r>
      <w:r>
        <w:t xml:space="preserve"> : perfusion IV stricte en milieu hospitalier, dilution dans 250 mL de NaCl 0,9 %, perfusion sur 1 heure à travers tubulure avec filtre en ligne.</w:t>
      </w:r>
    </w:p>
    <w:p>
      <w:pPr>
        <w:pStyle w:val="ListBullet"/>
      </w:pPr>
      <w:r/>
      <w:r>
        <w:rPr>
          <w:b/>
        </w:rPr>
        <w:t>Prémédication</w:t>
      </w:r>
      <w:r>
        <w:t xml:space="preserve"> : non systématique. Pas de prémédication antihistaminique systématique (rare réaction d'hypersensibilité).</w:t>
      </w:r>
    </w:p>
    <w:p>
      <w:pPr>
        <w:pStyle w:val="ListBullet"/>
      </w:pPr>
      <w:r/>
      <w:r>
        <w:rPr>
          <w:b/>
        </w:rPr>
        <w:t>Conservation</w:t>
      </w:r>
      <w:r>
        <w:t xml:space="preserve"> : au réfrigérateur entre +2°C et +8°C, ne pas congeler. Forme SC : conservation hors réfrigérateur possible à ≤ 25°C pendant max 4 semaines (pour les déplacements, vacances).</w:t>
      </w:r>
    </w:p>
    <w:p>
      <w:pPr>
        <w:pStyle w:val="ListBullet"/>
      </w:pPr>
      <w:r/>
      <w:r>
        <w:rPr>
          <w:b/>
        </w:rPr>
        <w:t>Durée du traitement</w:t>
      </w:r>
      <w:r>
        <w:t xml:space="preserve"> : indéterminée, évaluation annuelle du rapport bénéfice/risque.</w:t>
      </w:r>
    </w:p>
    <w:p>
      <w:pPr>
        <w:pStyle w:val="Heading3"/>
      </w:pPr>
      <w:r>
        <w:t>152b.10.9 Formes galéniques et choix thérapeutique</w:t>
      </w:r>
    </w:p>
    <w:p>
      <w:r>
        <w:t xml:space="preserve">L'ustekinumab est une biothérapie de </w:t>
      </w:r>
      <w:r>
        <w:rPr>
          <w:b/>
        </w:rPr>
        <w:t>première intention</w:t>
      </w:r>
      <w:r>
        <w:t xml:space="preserve"> dans le psoriasis en plaques modéré à sévère (recommandations dermatologiques européennes : recommandé en alternative aux anti-TNFα et aux anti-IL-17) et de </w:t>
      </w:r>
      <w:r>
        <w:rPr>
          <w:b/>
        </w:rPr>
        <w:t>deuxième intention</w:t>
      </w:r>
      <w:r>
        <w:t xml:space="preserve"> dans le RPso et la maladie de Crohn en cas d'échec des anti-TNFα. Les critères de choix en faveur de l'ustekinumab sont :</w:t>
      </w:r>
    </w:p>
    <w:p>
      <w:pPr>
        <w:pStyle w:val="ListBullet"/>
      </w:pPr>
      <w:r/>
      <w:r>
        <w:rPr>
          <w:b/>
        </w:rPr>
        <w:t>Efficacité supérieure aux anti-TNFα dans le psoriasis en plaques</w:t>
      </w:r>
      <w:r>
        <w:t xml:space="preserve"> (PASI 90 à 12 semaines 70-75 % vs 5-10 % placebo, supériorité vs étanercept dans l'essai ACCEPT) — biothérapie de référence pour l'atteinte cutanée psoriasique.</w:t>
      </w:r>
    </w:p>
    <w:p>
      <w:pPr>
        <w:pStyle w:val="ListBullet"/>
      </w:pPr>
      <w:r/>
      <w:r>
        <w:rPr>
          <w:b/>
        </w:rPr>
        <w:t>Efficacité modérée dans le RPso</w:t>
      </w:r>
      <w:r>
        <w:t xml:space="preserve"> (ACR20 à 24 semaines 42-50 % vs 22-25 % placebo, inférieure aux anti-TNFα et aux anti-IL-17 mais utile en cas d'atteinte cutanée prédominante).</w:t>
      </w:r>
    </w:p>
    <w:p>
      <w:pPr>
        <w:pStyle w:val="ListBullet"/>
      </w:pPr>
      <w:r/>
      <w:r>
        <w:rPr>
          <w:b/>
        </w:rPr>
        <w:t>Bénéfice dans la maladie de Crohn</w:t>
      </w:r>
      <w:r>
        <w:t xml:space="preserve"> (rémission à 6 semaines 34 % vs 22 % placebo, alternative en cas d'échec des anti-TNFα).</w:t>
      </w:r>
    </w:p>
    <w:p>
      <w:pPr>
        <w:pStyle w:val="ListBullet"/>
      </w:pPr>
      <w:r/>
      <w:r>
        <w:rPr>
          <w:b/>
        </w:rPr>
        <w:t>Absence de signal tuberculose</w:t>
      </w:r>
      <w:r>
        <w:t xml:space="preserve"> (mécanisme d'action non impliqué dans l'immunité anti-mycobactérienne).</w:t>
      </w:r>
    </w:p>
    <w:p>
      <w:pPr>
        <w:pStyle w:val="ListBullet"/>
      </w:pPr>
      <w:r/>
      <w:r>
        <w:rPr>
          <w:b/>
        </w:rPr>
        <w:t>Absence de signal cardiaque</w:t>
      </w:r>
      <w:r>
        <w:t xml:space="preserve"> majeur (contrairement au briakinumab).</w:t>
      </w:r>
    </w:p>
    <w:p>
      <w:pPr>
        <w:pStyle w:val="ListBullet"/>
      </w:pPr>
      <w:r/>
      <w:r>
        <w:rPr>
          <w:b/>
        </w:rPr>
        <w:t>Absence de signal démyélinisant</w:t>
      </w:r>
      <w:r>
        <w:t>.</w:t>
      </w:r>
    </w:p>
    <w:p>
      <w:pPr>
        <w:pStyle w:val="ListBullet"/>
      </w:pPr>
      <w:r/>
      <w:r>
        <w:rPr>
          <w:b/>
        </w:rPr>
        <w:t>Demi-vie très prolongée</w:t>
      </w:r>
      <w:r>
        <w:t xml:space="preserve"> (~3 semaines) permettant un espacement des injections toutes les 12 semaines en entretien (le rythme le plus espacé des biothérapies rhumatologiques).</w:t>
      </w:r>
    </w:p>
    <w:p>
      <w:pPr>
        <w:pStyle w:val="ListBullet"/>
      </w:pPr>
      <w:r/>
      <w:r>
        <w:rPr>
          <w:b/>
        </w:rPr>
        <w:t>Profil de tolérance global excellent</w:t>
      </w:r>
      <w:r>
        <w:t xml:space="preserve"> avec peu d'infections sévères (incidence comparable au placebo dans les essais poolés).</w:t>
      </w:r>
    </w:p>
    <w:p>
      <w:r>
        <w:t xml:space="preserve">L'ustekinumab est </w:t>
      </w:r>
      <w:r>
        <w:rPr>
          <w:b/>
        </w:rPr>
        <w:t>déconseillé</w:t>
      </w:r>
      <w:r>
        <w:t xml:space="preserve"> en cas de :</w:t>
      </w:r>
    </w:p>
    <w:p>
      <w:pPr>
        <w:pStyle w:val="ListBullet"/>
      </w:pPr>
      <w:r/>
      <w:r>
        <w:rPr>
          <w:b/>
        </w:rPr>
        <w:t>Spondyloarthrite axiale pure</w:t>
      </w:r>
      <w:r>
        <w:t xml:space="preserve"> (absence d'efficacité démontrée, essai clinique négatif, non indiqué dans cette pathologie).</w:t>
      </w:r>
    </w:p>
    <w:p>
      <w:pPr>
        <w:pStyle w:val="ListBullet"/>
      </w:pPr>
      <w:r/>
      <w:r>
        <w:rPr>
          <w:b/>
        </w:rPr>
        <w:t>Antécédent de cancer récent</w:t>
      </w:r>
      <w:r>
        <w:t xml:space="preserve"> (&lt; 5 ans) — signal émergent de cancers dans les essais poolés, à interpréter avec prudence.</w:t>
      </w:r>
    </w:p>
    <w:p>
      <w:pPr>
        <w:pStyle w:val="ListBullet"/>
      </w:pPr>
      <w:r/>
      <w:r>
        <w:rPr>
          <w:b/>
        </w:rPr>
        <w:t>Antécédent de mélanome</w:t>
      </w:r>
      <w:r>
        <w:t xml:space="preserve"> — surveillance dermatologique renforcée.</w:t>
      </w:r>
    </w:p>
    <w:p>
      <w:pPr>
        <w:pStyle w:val="ListBullet"/>
      </w:pPr>
      <w:r/>
      <w:r>
        <w:rPr>
          <w:b/>
        </w:rPr>
        <w:t>Grossesse au 3e trimestre</w:t>
      </w:r>
      <w:r>
        <w:t xml:space="preserve"> (CI, préférer certolizumab).</w:t>
      </w:r>
    </w:p>
    <w:p>
      <w:pPr>
        <w:pStyle w:val="ListBullet"/>
      </w:pPr>
      <w:r/>
      <w:r>
        <w:rPr>
          <w:b/>
        </w:rPr>
        <w:t>Insuffisance hépatique sévère</w:t>
      </w:r>
      <w:r>
        <w:t xml:space="preserve"> non contrôlée.</w:t>
      </w:r>
    </w:p>
    <w:p>
      <w:r/>
      <w:r>
        <w:rPr>
          <w:b/>
        </w:rPr>
        <w:t>Choix entre 45 mg et 90 mg</w:t>
      </w:r>
      <w:r>
        <w:t xml:space="preserve"> : la dose est adaptée au poids corporel — 45 mg SC pour poids &lt; 100 kg, 90 mg SC pour poids ≥ 100 kg. Ne pas dépasser 90 mg par injection.</w:t>
      </w:r>
    </w:p>
    <w:p>
      <w:pPr>
        <w:pStyle w:val="Heading3"/>
      </w:pPr>
      <w:r>
        <w:t>152b.10.10 Instructions au patient</w:t>
      </w:r>
    </w:p>
    <w:p>
      <w:pPr>
        <w:pStyle w:val="ListNumber"/>
      </w:pPr>
      <w:r/>
      <w:r>
        <w:rPr>
          <w:b/>
        </w:rPr>
        <w:t>Respecter la chaîne du froid</w:t>
      </w:r>
      <w:r>
        <w:t xml:space="preserve"> : conservation au réfrigérateur entre +2°C et +8°C. Sortir la seringue 15-30 min avant injection pour atteindre la température ambiante et réduire la douleur à l'injection. Conservation hors réfrigérateur possible 4 semaines max à ≤ 25°C (pour les déplacements).</w:t>
      </w:r>
    </w:p>
    <w:p>
      <w:pPr>
        <w:pStyle w:val="ListNumber"/>
      </w:pPr>
      <w:r/>
      <w:r>
        <w:rPr>
          <w:b/>
        </w:rPr>
        <w:t>Respecter le rythme d'administration</w:t>
      </w:r>
      <w:r>
        <w:t xml:space="preserve"> : 1 injection SC à S0 et S4 (dose d'induction), puis 1 injection toutes les 12 semaines (entretien — soit 4 injections par an seulement, le rythme le plus espacé). Ne jamais doubler la dose en cas d'oubli ; si oubli, injecter dès que possible et reprendre le rythme à partir de cette date.</w:t>
      </w:r>
    </w:p>
    <w:p>
      <w:pPr>
        <w:pStyle w:val="ListNumber"/>
      </w:pPr>
      <w:r/>
      <w:r>
        <w:rPr>
          <w:b/>
        </w:rPr>
        <w:t>Surveillance pendant l'injection SC</w:t>
      </w:r>
      <w:r>
        <w:t xml:space="preserve"> : signaler toute réaction locale (rougeur, douleur, prurit) — généralement bénigne et transitoire.</w:t>
      </w:r>
    </w:p>
    <w:p>
      <w:pPr>
        <w:pStyle w:val="ListNumber"/>
      </w:pPr>
      <w:r/>
      <w:r>
        <w:rPr>
          <w:b/>
        </w:rPr>
        <w:t>Surveillance biologique trimestrielle</w:t>
      </w:r>
      <w:r>
        <w:t xml:space="preserve"> : NFS-plaquettes, bilan hépatique, CRP. Effectuer les prélèvements à jeun le matin.</w:t>
      </w:r>
    </w:p>
    <w:p>
      <w:pPr>
        <w:pStyle w:val="ListNumber"/>
      </w:pPr>
      <w:r/>
      <w:r>
        <w:rPr>
          <w:b/>
        </w:rPr>
        <w:t>Surveillance dermatologique annuelle</w:t>
      </w:r>
      <w:r>
        <w:t xml:space="preserve"> : dépistage du mélanome (examen clinique complet, dermoscopie si lésion suspecte) — signaler toute nouvelle lésion cutanée ou modification d'un grain de beauté existant.</w:t>
      </w:r>
    </w:p>
    <w:p>
      <w:pPr>
        <w:pStyle w:val="ListNumber"/>
      </w:pPr>
      <w:r/>
      <w:r>
        <w:rPr>
          <w:b/>
        </w:rPr>
        <w:t>Signaux d'alerte à signaler immédiatement au médecin</w:t>
      </w:r>
      <w:r>
        <w:t xml:space="preserve"> : fièvre ≥ 38,5°C persistante &gt; 48 h, toux avec expectoration purulente, dyspnée, brûlures mictionnelles, douleur abdominale intense, céphalées inhabituelles, troubles visuels.</w:t>
      </w:r>
    </w:p>
    <w:p>
      <w:pPr>
        <w:pStyle w:val="ListNumber"/>
      </w:pPr>
      <w:r/>
      <w:r>
        <w:rPr>
          <w:b/>
        </w:rPr>
        <w:t>Précautions infectieuses</w:t>
      </w:r>
      <w:r>
        <w:t xml:space="preserve"> : éviter le contact avec les personnes malades, lavage des mains fréquent.</w:t>
      </w:r>
    </w:p>
    <w:p>
      <w:pPr>
        <w:pStyle w:val="ListNumber"/>
      </w:pPr>
      <w:r/>
      <w:r>
        <w:rPr>
          <w:b/>
        </w:rPr>
        <w:t>Vaccinations</w:t>
      </w:r>
      <w:r>
        <w:t xml:space="preserve"> : vaccin grippe saisonnière annuel, vaccin pneumocoque, vaccin COVID-19, vaccin zona Shingrix si &gt; 50 ans. Ne jamais recevoir un vaccin vivant (BCG, ROR, fièvre jaune, varicelle, Zostavax) sans avis médical préalable, surtout dans les 15 semaines suivant la dernière injection (demi-vie prolongée).</w:t>
      </w:r>
    </w:p>
    <w:p>
      <w:pPr>
        <w:pStyle w:val="ListNumber"/>
      </w:pPr>
      <w:r/>
      <w:r>
        <w:rPr>
          <w:b/>
        </w:rPr>
        <w:t>Grossesse et contraception</w:t>
      </w:r>
      <w:r>
        <w:t xml:space="preserve"> : contraception efficace pendant le traitement et 15 semaines après l'arrêt (demi-vie prolongée). En cas de désir de grossesse, consulter le rhumatologue référent au moins 4 mois avant.</w:t>
      </w:r>
    </w:p>
    <w:p>
      <w:pPr>
        <w:pStyle w:val="ListNumber"/>
      </w:pPr>
      <w:r/>
      <w:r>
        <w:rPr>
          <w:b/>
        </w:rPr>
        <w:t>Interventions chirurgicales</w:t>
      </w:r>
      <w:r>
        <w:t xml:space="preserve"> : informer le chirurgien. Arrêt recommandé 8-12 semaines avant une chirurgie programmée (demi-vie prolongée).</w:t>
      </w:r>
    </w:p>
    <w:p>
      <w:pPr>
        <w:pStyle w:val="ListNumber"/>
      </w:pPr>
      <w:r/>
      <w:r>
        <w:rPr>
          <w:b/>
        </w:rPr>
        <w:t>Suivi dermatologique</w:t>
      </w:r>
      <w:r>
        <w:t xml:space="preserve"> : en cas de psoriasis cutané associé, surveillance dermatologique trimestrielle avec évaluation PASI. Photographies cutanées avant/après utiles pour suivi objectif.</w:t>
      </w:r>
    </w:p>
    <w:p>
      <w:pPr>
        <w:pStyle w:val="ListNumber"/>
      </w:pPr>
      <w:r/>
      <w:r>
        <w:rPr>
          <w:b/>
        </w:rPr>
        <w:t>Calendrier d'injection</w:t>
      </w:r>
      <w:r>
        <w:t xml:space="preserve"> : utiliser un calendrier ou un rappel smartphone pour ne pas oublier l'injection d'entretien toutes les 12 semaines (rythme espacé qui peut favoriser l'oubli).</w:t>
      </w:r>
    </w:p>
    <w:p>
      <w:pPr>
        <w:pStyle w:val="Heading3"/>
      </w:pPr>
      <w:r>
        <w:t>152b.10.11 Notes / Règles d'or / Pièges</w:t>
      </w:r>
    </w:p>
    <w:p>
      <w:pPr>
        <w:pStyle w:val="ListBullet"/>
      </w:pPr>
      <w:r/>
      <w:r>
        <w:rPr>
          <w:b/>
        </w:rPr>
        <w:t>Règle d'or n°1</w:t>
      </w:r>
      <w:r>
        <w:t xml:space="preserve"> : Efficacité supérieure aux anti-TNFα dans le psoriasis en plaques (PASI 90 70-75 % vs 5-10 % placebo) — biothérapie de référence pour l'atteinte cutanée psoriasique.</w:t>
      </w:r>
    </w:p>
    <w:p>
      <w:pPr>
        <w:pStyle w:val="ListBullet"/>
      </w:pPr>
      <w:r/>
      <w:r>
        <w:rPr>
          <w:b/>
        </w:rPr>
        <w:t>Règle d'or n°2</w:t>
      </w:r>
      <w:r>
        <w:t xml:space="preserve"> : Demi-vie très prolongée (~3 semaines) permettant un espacement des injections toutes les 12 semaines en entretien (le rythme le plus espacé des biothérapies rhumatologiques) — atout majeur pour l'observance.</w:t>
      </w:r>
    </w:p>
    <w:p>
      <w:pPr>
        <w:pStyle w:val="ListBullet"/>
      </w:pPr>
      <w:r/>
      <w:r>
        <w:rPr>
          <w:b/>
        </w:rPr>
        <w:t>Règle d'or n°3</w:t>
      </w:r>
      <w:r>
        <w:t xml:space="preserve"> : Absence d'efficacité démontrée dans la spondyloarthrite axiale pure (essai clinique négatif) — ne pas prescrire dans cette indication, privilégier sécukinumab ou anti-TNFα.</w:t>
      </w:r>
    </w:p>
    <w:p>
      <w:pPr>
        <w:pStyle w:val="ListBullet"/>
      </w:pPr>
      <w:r/>
      <w:r>
        <w:rPr>
          <w:b/>
        </w:rPr>
        <w:t>Règle d'or n°4</w:t>
      </w:r>
      <w:r>
        <w:t xml:space="preserve"> : Absence de signal tuberculose, cardiaque, et démyélinisant — profil de tolérance favorable par rapport aux anti-TNFα.</w:t>
      </w:r>
    </w:p>
    <w:p>
      <w:pPr>
        <w:pStyle w:val="ListBullet"/>
      </w:pPr>
      <w:r/>
      <w:r>
        <w:rPr>
          <w:b/>
        </w:rPr>
        <w:t>Règle d'or n°5</w:t>
      </w:r>
      <w:r>
        <w:t xml:space="preserve"> : Adaptation posologique au poids (45 mg si &lt; 100 kg, 90 mg si ≥ 100 kg) — ne pas dépasser 90 mg par injection.</w:t>
      </w:r>
    </w:p>
    <w:p>
      <w:pPr>
        <w:pStyle w:val="ListBullet"/>
      </w:pPr>
      <w:r/>
      <w:r>
        <w:rPr>
          <w:b/>
        </w:rPr>
        <w:t>Piège n°1 — Schéma d'induction à S0 et S4</w:t>
      </w:r>
      <w:r>
        <w:t xml:space="preserve"> : ne pas oublier la deuxième injection à S4 (semaine 4), puis passage à 1 injection toutes les 12 semaines à partir de S16 (semaine 16). Éducation du patient à utiliser un calendrier.</w:t>
      </w:r>
    </w:p>
    <w:p>
      <w:pPr>
        <w:pStyle w:val="ListBullet"/>
      </w:pPr>
      <w:r/>
      <w:r>
        <w:rPr>
          <w:b/>
        </w:rPr>
        <w:t>Piège n°2 — Demi-vie prolongée et vaccins vivants</w:t>
      </w:r>
      <w:r>
        <w:t xml:space="preserve"> : CI des vaccins vivants pendant 15 semaines après la dernière injection (et non 4 semaines comme pour les autres biothérapies) en raison de la demi-vie de 3 semaines. Éducation du patient et coordonnées du rhumatologue référent à remettre.</w:t>
      </w:r>
    </w:p>
    <w:p>
      <w:pPr>
        <w:pStyle w:val="ListBullet"/>
      </w:pPr>
      <w:r/>
      <w:r>
        <w:rPr>
          <w:b/>
        </w:rPr>
        <w:t>Piège n°3 — Demi-vie prolongée et chirurgie</w:t>
      </w:r>
      <w:r>
        <w:t xml:space="preserve"> : arrêt recommandé 8-12 semaines avant une chirurgie programmée (et non 4 semaines comme pour les autres biothérapies) en raison de la demi-vie de 3 semaines.</w:t>
      </w:r>
    </w:p>
    <w:p>
      <w:pPr>
        <w:pStyle w:val="ListBullet"/>
      </w:pPr>
      <w:r/>
      <w:r>
        <w:rPr>
          <w:b/>
        </w:rPr>
        <w:t>Piège n°4 — Grossesse</w:t>
      </w:r>
      <w:r>
        <w:t xml:space="preserve"> : à éviter par prudence pendant toute la grossesse, en particulier au 3e trimestre (immunosuppression néonatale). Contraception efficace pendant 15 semaines après l'arrêt (demi-vie prolongée). Préférer le certolizumab si biothérapie nécessaire.</w:t>
      </w:r>
    </w:p>
    <w:p>
      <w:pPr>
        <w:pStyle w:val="ListBullet"/>
      </w:pPr>
      <w:r/>
      <w:r>
        <w:rPr>
          <w:b/>
        </w:rPr>
        <w:t>Piège n°5 — Surveillance dermatologique</w:t>
      </w:r>
      <w:r>
        <w:t xml:space="preserve"> : signal émergent de cancers (mélanome, cancer du sein) dans les essais poolés, à interpréter avec prudence. Examen dermatologique annuel systématique avec dermoscopie.</w:t>
      </w:r>
    </w:p>
    <w:p>
      <w:pPr>
        <w:pStyle w:val="ListBullet"/>
      </w:pPr>
      <w:r/>
      <w:r>
        <w:rPr>
          <w:b/>
        </w:rPr>
        <w:t>Piège n°6 — Forme IV pour maladie de Crohn</w:t>
      </w:r>
      <w:r>
        <w:t xml:space="preserve"> : dose unique IV selon le poids (~6 mg/kg, max 520 mg) à S0, puis relais SC à S8. La perfusion IV doit être réalisée en milieu hospitalier sur 1 heure à travers tubulure avec filtre en ligne.</w:t>
      </w:r>
    </w:p>
    <w:p>
      <w:pPr>
        <w:pStyle w:val="Heading2"/>
      </w:pPr>
      <w:r>
        <w:t>152b.11 Tableau comparatif synthétique des cinq biothérapies rhumatologiques non anti-TNFα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Caractéristique</w:t>
            </w:r>
          </w:p>
        </w:tc>
        <w:tc>
          <w:tcPr>
            <w:tcW w:type="dxa" w:w="1559"/>
          </w:tcPr>
          <w:p>
            <w:r>
              <w:rPr>
                <w:b/>
                <w:sz w:val="20"/>
              </w:rPr>
              <w:t>Tocilizumab</w:t>
            </w:r>
          </w:p>
        </w:tc>
        <w:tc>
          <w:tcPr>
            <w:tcW w:type="dxa" w:w="1559"/>
          </w:tcPr>
          <w:p>
            <w:r>
              <w:rPr>
                <w:b/>
                <w:sz w:val="20"/>
              </w:rPr>
              <w:t>Rituximab</w:t>
            </w:r>
          </w:p>
        </w:tc>
        <w:tc>
          <w:tcPr>
            <w:tcW w:type="dxa" w:w="1559"/>
          </w:tcPr>
          <w:p>
            <w:r>
              <w:rPr>
                <w:b/>
                <w:sz w:val="20"/>
              </w:rPr>
              <w:t>Abatacept</w:t>
            </w:r>
          </w:p>
        </w:tc>
        <w:tc>
          <w:tcPr>
            <w:tcW w:type="dxa" w:w="1559"/>
          </w:tcPr>
          <w:p>
            <w:r>
              <w:rPr>
                <w:b/>
                <w:sz w:val="20"/>
              </w:rPr>
              <w:t>Sécukinumab</w:t>
            </w:r>
          </w:p>
        </w:tc>
        <w:tc>
          <w:tcPr>
            <w:tcW w:type="dxa" w:w="1559"/>
          </w:tcPr>
          <w:p>
            <w:r>
              <w:rPr>
                <w:b/>
                <w:sz w:val="20"/>
              </w:rPr>
              <w:t>Ustekinumab</w:t>
            </w:r>
          </w:p>
        </w:tc>
      </w:tr>
      <w:tr>
        <w:tc>
          <w:tcPr>
            <w:tcW w:type="dxa" w:w="1559"/>
          </w:tcPr>
          <w:p>
            <w:r>
              <w:rPr>
                <w:sz w:val="20"/>
              </w:rPr>
              <w:t>**Cible moléculaire**</w:t>
            </w:r>
          </w:p>
        </w:tc>
        <w:tc>
          <w:tcPr>
            <w:tcW w:type="dxa" w:w="1559"/>
          </w:tcPr>
          <w:p>
            <w:r>
              <w:rPr>
                <w:sz w:val="20"/>
              </w:rPr>
              <w:t>IL-6R (membranaire + soluble)</w:t>
            </w:r>
          </w:p>
        </w:tc>
        <w:tc>
          <w:tcPr>
            <w:tcW w:type="dxa" w:w="1559"/>
          </w:tcPr>
          <w:p>
            <w:r>
              <w:rPr>
                <w:sz w:val="20"/>
              </w:rPr>
              <w:t>CD20 (lymphocytes B)</w:t>
            </w:r>
          </w:p>
        </w:tc>
        <w:tc>
          <w:tcPr>
            <w:tcW w:type="dxa" w:w="1559"/>
          </w:tcPr>
          <w:p>
            <w:r>
              <w:rPr>
                <w:sz w:val="20"/>
              </w:rPr>
              <w:t>CD80/CD86 (co-stimulation T)</w:t>
            </w:r>
          </w:p>
        </w:tc>
        <w:tc>
          <w:tcPr>
            <w:tcW w:type="dxa" w:w="1559"/>
          </w:tcPr>
          <w:p>
            <w:r>
              <w:rPr>
                <w:sz w:val="20"/>
              </w:rPr>
              <w:t>IL-17A</w:t>
            </w:r>
          </w:p>
        </w:tc>
        <w:tc>
          <w:tcPr>
            <w:tcW w:type="dxa" w:w="1559"/>
          </w:tcPr>
          <w:p>
            <w:r>
              <w:rPr>
                <w:sz w:val="20"/>
              </w:rPr>
              <w:t>p40 (IL-12 + IL-23)</w:t>
            </w:r>
          </w:p>
        </w:tc>
      </w:tr>
      <w:tr>
        <w:tc>
          <w:tcPr>
            <w:tcW w:type="dxa" w:w="1559"/>
          </w:tcPr>
          <w:p>
            <w:r>
              <w:rPr>
                <w:sz w:val="20"/>
              </w:rPr>
              <w:t>**Mécanisme**</w:t>
            </w:r>
          </w:p>
        </w:tc>
        <w:tc>
          <w:tcPr>
            <w:tcW w:type="dxa" w:w="1559"/>
          </w:tcPr>
          <w:p>
            <w:r>
              <w:rPr>
                <w:sz w:val="20"/>
              </w:rPr>
              <w:t>Blocage signalisation IL-6 cis + trans</w:t>
            </w:r>
          </w:p>
        </w:tc>
        <w:tc>
          <w:tcPr>
            <w:tcW w:type="dxa" w:w="1559"/>
          </w:tcPr>
          <w:p>
            <w:r>
              <w:rPr>
                <w:sz w:val="20"/>
              </w:rPr>
              <w:t>Déplétion lymphocytes B (CDC + ADCC + apoptose)</w:t>
            </w:r>
          </w:p>
        </w:tc>
        <w:tc>
          <w:tcPr>
            <w:tcW w:type="dxa" w:w="1559"/>
          </w:tcPr>
          <w:p>
            <w:r>
              <w:rPr>
                <w:sz w:val="20"/>
              </w:rPr>
              <w:t>Blocage signal 2 co-stimulation T → anergie T</w:t>
            </w:r>
          </w:p>
        </w:tc>
        <w:tc>
          <w:tcPr>
            <w:tcW w:type="dxa" w:w="1559"/>
          </w:tcPr>
          <w:p>
            <w:r>
              <w:rPr>
                <w:sz w:val="20"/>
              </w:rPr>
              <w:t>Neutralisation IL-17A → blocage inflammation Th17</w:t>
            </w:r>
          </w:p>
        </w:tc>
        <w:tc>
          <w:tcPr>
            <w:tcW w:type="dxa" w:w="1559"/>
          </w:tcPr>
          <w:p>
            <w:r>
              <w:rPr>
                <w:sz w:val="20"/>
              </w:rPr>
              <w:t>Blocage double voie Th1 + Th17</w:t>
            </w:r>
          </w:p>
        </w:tc>
      </w:tr>
      <w:tr>
        <w:tc>
          <w:tcPr>
            <w:tcW w:type="dxa" w:w="1559"/>
          </w:tcPr>
          <w:p>
            <w:r>
              <w:rPr>
                <w:sz w:val="20"/>
              </w:rPr>
              <w:t>**Type d'Ac**</w:t>
            </w:r>
          </w:p>
        </w:tc>
        <w:tc>
          <w:tcPr>
            <w:tcW w:type="dxa" w:w="1559"/>
          </w:tcPr>
          <w:p>
            <w:r>
              <w:rPr>
                <w:sz w:val="20"/>
              </w:rPr>
              <w:t>IgG1κ chimérique humanisé (~90 % humain)</w:t>
            </w:r>
          </w:p>
        </w:tc>
        <w:tc>
          <w:tcPr>
            <w:tcW w:type="dxa" w:w="1559"/>
          </w:tcPr>
          <w:p>
            <w:r>
              <w:rPr>
                <w:sz w:val="20"/>
              </w:rPr>
              <w:t>IgG1κ chimérique murin-humanisé (~50 % humain)</w:t>
            </w:r>
          </w:p>
        </w:tc>
        <w:tc>
          <w:tcPr>
            <w:tcW w:type="dxa" w:w="1559"/>
          </w:tcPr>
          <w:p>
            <w:r>
              <w:rPr>
                <w:sz w:val="20"/>
              </w:rPr>
              <w:t>Protéine de fusion CTLA-4-Ig (Fc IgG1 modifié)</w:t>
            </w:r>
          </w:p>
        </w:tc>
        <w:tc>
          <w:tcPr>
            <w:tcW w:type="dxa" w:w="1559"/>
          </w:tcPr>
          <w:p>
            <w:r>
              <w:rPr>
                <w:sz w:val="20"/>
              </w:rPr>
              <w:t>IgG1κ entièrement humain</w:t>
            </w:r>
          </w:p>
        </w:tc>
        <w:tc>
          <w:tcPr>
            <w:tcW w:type="dxa" w:w="1559"/>
          </w:tcPr>
          <w:p>
            <w:r>
              <w:rPr>
                <w:sz w:val="20"/>
              </w:rPr>
              <w:t>IgG1κ entièrement humain</w:t>
            </w:r>
          </w:p>
        </w:tc>
      </w:tr>
      <w:tr>
        <w:tc>
          <w:tcPr>
            <w:tcW w:type="dxa" w:w="1559"/>
          </w:tcPr>
          <w:p>
            <w:r>
              <w:rPr>
                <w:sz w:val="20"/>
              </w:rPr>
              <w:t>**Demi-vie**</w:t>
            </w:r>
          </w:p>
        </w:tc>
        <w:tc>
          <w:tcPr>
            <w:tcW w:type="dxa" w:w="1559"/>
          </w:tcPr>
          <w:p>
            <w:r>
              <w:rPr>
                <w:sz w:val="20"/>
              </w:rPr>
              <w:t>8-14 jours (IV) ; 5-13 jours (SC)</w:t>
            </w:r>
          </w:p>
        </w:tc>
        <w:tc>
          <w:tcPr>
            <w:tcW w:type="dxa" w:w="1559"/>
          </w:tcPr>
          <w:p>
            <w:r>
              <w:rPr>
                <w:sz w:val="20"/>
              </w:rPr>
              <w:t>18-22 jours</w:t>
            </w:r>
          </w:p>
        </w:tc>
        <w:tc>
          <w:tcPr>
            <w:tcW w:type="dxa" w:w="1559"/>
          </w:tcPr>
          <w:p>
            <w:r>
              <w:rPr>
                <w:sz w:val="20"/>
              </w:rPr>
              <w:t>13-16 jours</w:t>
            </w:r>
          </w:p>
        </w:tc>
        <w:tc>
          <w:tcPr>
            <w:tcW w:type="dxa" w:w="1559"/>
          </w:tcPr>
          <w:p>
            <w:r>
              <w:rPr>
                <w:sz w:val="20"/>
              </w:rPr>
              <w:t>22-31 jours</w:t>
            </w:r>
          </w:p>
        </w:tc>
        <w:tc>
          <w:tcPr>
            <w:tcW w:type="dxa" w:w="1559"/>
          </w:tcPr>
          <w:p>
            <w:r>
              <w:rPr>
                <w:sz w:val="20"/>
              </w:rPr>
              <w:t>~21 jours</w:t>
            </w:r>
          </w:p>
        </w:tc>
      </w:tr>
      <w:tr>
        <w:tc>
          <w:tcPr>
            <w:tcW w:type="dxa" w:w="1559"/>
          </w:tcPr>
          <w:p>
            <w:r>
              <w:rPr>
                <w:sz w:val="20"/>
              </w:rPr>
              <w:t>**Voie d'administration**</w:t>
            </w:r>
          </w:p>
        </w:tc>
        <w:tc>
          <w:tcPr>
            <w:tcW w:type="dxa" w:w="1559"/>
          </w:tcPr>
          <w:p>
            <w:r>
              <w:rPr>
                <w:sz w:val="20"/>
              </w:rPr>
              <w:t>IV hospitalière + SC à domicile</w:t>
            </w:r>
          </w:p>
        </w:tc>
        <w:tc>
          <w:tcPr>
            <w:tcW w:type="dxa" w:w="1559"/>
          </w:tcPr>
          <w:p>
            <w:r>
              <w:rPr>
                <w:sz w:val="20"/>
              </w:rPr>
              <w:t>IV hospitalière stricte</w:t>
            </w:r>
          </w:p>
        </w:tc>
        <w:tc>
          <w:tcPr>
            <w:tcW w:type="dxa" w:w="1559"/>
          </w:tcPr>
          <w:p>
            <w:r>
              <w:rPr>
                <w:sz w:val="20"/>
              </w:rPr>
              <w:t>IV hospitalière (historique)</w:t>
            </w:r>
          </w:p>
        </w:tc>
        <w:tc>
          <w:tcPr>
            <w:tcW w:type="dxa" w:w="1559"/>
          </w:tcPr>
          <w:p>
            <w:r>
              <w:rPr>
                <w:sz w:val="20"/>
              </w:rPr>
              <w:t>SC à domicile</w:t>
            </w:r>
          </w:p>
        </w:tc>
        <w:tc>
          <w:tcPr>
            <w:tcW w:type="dxa" w:w="1559"/>
          </w:tcPr>
          <w:p>
            <w:r>
              <w:rPr>
                <w:sz w:val="20"/>
              </w:rPr>
              <w:t>SC à domicile + IV pour MC</w:t>
            </w:r>
          </w:p>
        </w:tc>
      </w:tr>
      <w:tr>
        <w:tc>
          <w:tcPr>
            <w:tcW w:type="dxa" w:w="1559"/>
          </w:tcPr>
          <w:p>
            <w:r>
              <w:rPr>
                <w:sz w:val="20"/>
              </w:rPr>
              <w:t>**Rythme entretien**</w:t>
            </w:r>
          </w:p>
        </w:tc>
        <w:tc>
          <w:tcPr>
            <w:tcW w:type="dxa" w:w="1559"/>
          </w:tcPr>
          <w:p>
            <w:r>
              <w:rPr>
                <w:sz w:val="20"/>
              </w:rPr>
              <w:t>IV 4 sem / SC 1-2 sem</w:t>
            </w:r>
          </w:p>
        </w:tc>
        <w:tc>
          <w:tcPr>
            <w:tcW w:type="dxa" w:w="1559"/>
          </w:tcPr>
          <w:p>
            <w:r>
              <w:rPr>
                <w:sz w:val="20"/>
              </w:rPr>
              <w:t>2 perfusions à J1-J15, cure tous les 6 mois</w:t>
            </w:r>
          </w:p>
        </w:tc>
        <w:tc>
          <w:tcPr>
            <w:tcW w:type="dxa" w:w="1559"/>
          </w:tcPr>
          <w:p>
            <w:r>
              <w:rPr>
                <w:sz w:val="20"/>
              </w:rPr>
              <w:t>IV 4 sem (historique)</w:t>
            </w:r>
          </w:p>
        </w:tc>
        <w:tc>
          <w:tcPr>
            <w:tcW w:type="dxa" w:w="1559"/>
          </w:tcPr>
          <w:p>
            <w:r>
              <w:rPr>
                <w:sz w:val="20"/>
              </w:rPr>
              <w:t>SC 4 sem (après induction)</w:t>
            </w:r>
          </w:p>
        </w:tc>
        <w:tc>
          <w:tcPr>
            <w:tcW w:type="dxa" w:w="1559"/>
          </w:tcPr>
          <w:p>
            <w:r>
              <w:rPr>
                <w:sz w:val="20"/>
              </w:rPr>
              <w:t>SC 12 sem (rythme le plus espacé)</w:t>
            </w:r>
          </w:p>
        </w:tc>
      </w:tr>
      <w:tr>
        <w:tc>
          <w:tcPr>
            <w:tcW w:type="dxa" w:w="1559"/>
          </w:tcPr>
          <w:p>
            <w:r>
              <w:rPr>
                <w:sz w:val="20"/>
              </w:rPr>
              <w:t>**Indication principale**</w:t>
            </w:r>
          </w:p>
        </w:tc>
        <w:tc>
          <w:tcPr>
            <w:tcW w:type="dxa" w:w="1559"/>
          </w:tcPr>
          <w:p>
            <w:r>
              <w:rPr>
                <w:sz w:val="20"/>
              </w:rPr>
              <w:t>PR, maladie de Still, vascularite ANCA</w:t>
            </w:r>
          </w:p>
        </w:tc>
        <w:tc>
          <w:tcPr>
            <w:tcW w:type="dxa" w:w="1559"/>
          </w:tcPr>
          <w:p>
            <w:r>
              <w:rPr>
                <w:sz w:val="20"/>
              </w:rPr>
              <w:t>PR séropositive échec anti-TNFα, vascularite ANCA</w:t>
            </w:r>
          </w:p>
        </w:tc>
        <w:tc>
          <w:tcPr>
            <w:tcW w:type="dxa" w:w="1559"/>
          </w:tcPr>
          <w:p>
            <w:r>
              <w:rPr>
                <w:sz w:val="20"/>
              </w:rPr>
              <w:t>PR (non disponible)</w:t>
            </w:r>
          </w:p>
        </w:tc>
        <w:tc>
          <w:tcPr>
            <w:tcW w:type="dxa" w:w="1559"/>
          </w:tcPr>
          <w:p>
            <w:r>
              <w:rPr>
                <w:sz w:val="20"/>
              </w:rPr>
              <w:t>SA, nr-axSpA, RPso, psoriasis</w:t>
            </w:r>
          </w:p>
        </w:tc>
        <w:tc>
          <w:tcPr>
            <w:tcW w:type="dxa" w:w="1559"/>
          </w:tcPr>
          <w:p>
            <w:r>
              <w:rPr>
                <w:sz w:val="20"/>
              </w:rPr>
              <w:t>RPso, psoriasis, maladie de Crohn</w:t>
            </w:r>
          </w:p>
        </w:tc>
      </w:tr>
      <w:tr>
        <w:tc>
          <w:tcPr>
            <w:tcW w:type="dxa" w:w="1559"/>
          </w:tcPr>
          <w:p>
            <w:r>
              <w:rPr>
                <w:sz w:val="20"/>
              </w:rPr>
              <w:t>**Efficacité PR**</w:t>
            </w:r>
          </w:p>
        </w:tc>
        <w:tc>
          <w:tcPr>
            <w:tcW w:type="dxa" w:w="1559"/>
          </w:tcPr>
          <w:p>
            <w:r>
              <w:rPr>
                <w:sz w:val="20"/>
              </w:rPr>
              <w:t>ACR20 59 % (OPTION)</w:t>
            </w:r>
          </w:p>
        </w:tc>
        <w:tc>
          <w:tcPr>
            <w:tcW w:type="dxa" w:w="1559"/>
          </w:tcPr>
          <w:p>
            <w:r>
              <w:rPr>
                <w:sz w:val="20"/>
              </w:rPr>
              <w:t>ACR20 55 % (DANCER)</w:t>
            </w:r>
          </w:p>
        </w:tc>
        <w:tc>
          <w:tcPr>
            <w:tcW w:type="dxa" w:w="1559"/>
          </w:tcPr>
          <w:p>
            <w:r>
              <w:rPr>
                <w:sz w:val="20"/>
              </w:rPr>
              <w:t>ACR20 68 % (AIM)</w:t>
            </w:r>
          </w:p>
        </w:tc>
        <w:tc>
          <w:tcPr>
            <w:tcW w:type="dxa" w:w="1559"/>
          </w:tcPr>
          <w:p>
            <w:r>
              <w:rPr>
                <w:sz w:val="20"/>
              </w:rPr>
              <w:t>ACR20 54 % (FUTURE 1, RPso)</w:t>
            </w:r>
          </w:p>
        </w:tc>
        <w:tc>
          <w:tcPr>
            <w:tcW w:type="dxa" w:w="1559"/>
          </w:tcPr>
          <w:p>
            <w:r>
              <w:rPr>
                <w:sz w:val="20"/>
              </w:rPr>
              <w:t>ACR20 42 % (PSUMMIT 1, RPso)</w:t>
            </w:r>
          </w:p>
        </w:tc>
      </w:tr>
      <w:tr>
        <w:tc>
          <w:tcPr>
            <w:tcW w:type="dxa" w:w="1559"/>
          </w:tcPr>
          <w:p>
            <w:r>
              <w:rPr>
                <w:sz w:val="20"/>
              </w:rPr>
              <w:t>**Délai d'action**</w:t>
            </w:r>
          </w:p>
        </w:tc>
        <w:tc>
          <w:tcPr>
            <w:tcW w:type="dxa" w:w="1559"/>
          </w:tcPr>
          <w:p>
            <w:r>
              <w:rPr>
                <w:sz w:val="20"/>
              </w:rPr>
              <w:t>Rapide (CRP dès 1 semaine)</w:t>
            </w:r>
          </w:p>
        </w:tc>
        <w:tc>
          <w:tcPr>
            <w:tcW w:type="dxa" w:w="1559"/>
          </w:tcPr>
          <w:p>
            <w:r>
              <w:rPr>
                <w:sz w:val="20"/>
              </w:rPr>
              <w:t>Retardé (3-6 mois)</w:t>
            </w:r>
          </w:p>
        </w:tc>
        <w:tc>
          <w:tcPr>
            <w:tcW w:type="dxa" w:w="1559"/>
          </w:tcPr>
          <w:p>
            <w:r>
              <w:rPr>
                <w:sz w:val="20"/>
              </w:rPr>
              <w:t>Intermédiaire (4-8 semaines)</w:t>
            </w:r>
          </w:p>
        </w:tc>
        <w:tc>
          <w:tcPr>
            <w:tcW w:type="dxa" w:w="1559"/>
          </w:tcPr>
          <w:p>
            <w:r>
              <w:rPr>
                <w:sz w:val="20"/>
              </w:rPr>
              <w:t>Rapide (2-4 semaines)</w:t>
            </w:r>
          </w:p>
        </w:tc>
        <w:tc>
          <w:tcPr>
            <w:tcW w:type="dxa" w:w="1559"/>
          </w:tcPr>
          <w:p>
            <w:r>
              <w:rPr>
                <w:sz w:val="20"/>
              </w:rPr>
              <w:t>Retardé (4-8 semaines)</w:t>
            </w:r>
          </w:p>
        </w:tc>
      </w:tr>
      <w:tr>
        <w:tc>
          <w:tcPr>
            <w:tcW w:type="dxa" w:w="1559"/>
          </w:tcPr>
          <w:p>
            <w:r>
              <w:rPr>
                <w:sz w:val="20"/>
              </w:rPr>
              <w:t>**CI tuberculose**</w:t>
            </w:r>
          </w:p>
        </w:tc>
        <w:tc>
          <w:tcPr>
            <w:tcW w:type="dxa" w:w="1559"/>
          </w:tcPr>
          <w:p>
            <w:r>
              <w:rPr>
                <w:sz w:val="20"/>
              </w:rPr>
              <w:t>Oui (dépistage systématique)</w:t>
            </w:r>
          </w:p>
        </w:tc>
        <w:tc>
          <w:tcPr>
            <w:tcW w:type="dxa" w:w="1559"/>
          </w:tcPr>
          <w:p>
            <w:r>
              <w:rPr>
                <w:sz w:val="20"/>
              </w:rPr>
              <w:t>Oui (dépistage systématique)</w:t>
            </w:r>
          </w:p>
        </w:tc>
        <w:tc>
          <w:tcPr>
            <w:tcW w:type="dxa" w:w="1559"/>
          </w:tcPr>
          <w:p>
            <w:r>
              <w:rPr>
                <w:sz w:val="20"/>
              </w:rPr>
              <w:t>Oui (dépistage par prudence)</w:t>
            </w:r>
          </w:p>
        </w:tc>
        <w:tc>
          <w:tcPr>
            <w:tcW w:type="dxa" w:w="1559"/>
          </w:tcPr>
          <w:p>
            <w:r>
              <w:rPr>
                <w:sz w:val="20"/>
              </w:rPr>
              <w:t>Oui (dépistage par prudence, faible signal)</w:t>
            </w:r>
          </w:p>
        </w:tc>
        <w:tc>
          <w:tcPr>
            <w:tcW w:type="dxa" w:w="1559"/>
          </w:tcPr>
          <w:p>
            <w:r>
              <w:rPr>
                <w:sz w:val="20"/>
              </w:rPr>
              <w:t>Oui (dépistage par prudence, faible signal)</w:t>
            </w:r>
          </w:p>
        </w:tc>
      </w:tr>
      <w:tr>
        <w:tc>
          <w:tcPr>
            <w:tcW w:type="dxa" w:w="1559"/>
          </w:tcPr>
          <w:p>
            <w:r>
              <w:rPr>
                <w:sz w:val="20"/>
              </w:rPr>
              <w:t>**CI VHB**</w:t>
            </w:r>
          </w:p>
        </w:tc>
        <w:tc>
          <w:tcPr>
            <w:tcW w:type="dxa" w:w="1559"/>
          </w:tcPr>
          <w:p>
            <w:r>
              <w:rPr>
                <w:sz w:val="20"/>
              </w:rPr>
              <w:t>Prophylaxie antivirale obligatoire si AgHBs+ ou Ac anti-HBc+</w:t>
            </w:r>
          </w:p>
        </w:tc>
        <w:tc>
          <w:tcPr>
            <w:tcW w:type="dxa" w:w="1559"/>
          </w:tcPr>
          <w:p>
            <w:r>
              <w:rPr>
                <w:sz w:val="20"/>
              </w:rPr>
              <w:t>**Prophylaxie antivirale OBLIGATOIRE** (risque vital réactivation)</w:t>
            </w:r>
          </w:p>
        </w:tc>
        <w:tc>
          <w:tcPr>
            <w:tcW w:type="dxa" w:w="1559"/>
          </w:tcPr>
          <w:p>
            <w:r>
              <w:rPr>
                <w:sz w:val="20"/>
              </w:rPr>
              <w:t>Prudence</w:t>
            </w:r>
          </w:p>
        </w:tc>
        <w:tc>
          <w:tcPr>
            <w:tcW w:type="dxa" w:w="1559"/>
          </w:tcPr>
          <w:p>
            <w:r>
              <w:rPr>
                <w:sz w:val="20"/>
              </w:rPr>
              <w:t>Prudence</w:t>
            </w:r>
          </w:p>
        </w:tc>
        <w:tc>
          <w:tcPr>
            <w:tcW w:type="dxa" w:w="1559"/>
          </w:tcPr>
          <w:p>
            <w:r>
              <w:rPr>
                <w:sz w:val="20"/>
              </w:rPr>
              <w:t>Prudence</w:t>
            </w:r>
          </w:p>
        </w:tc>
      </w:tr>
      <w:tr>
        <w:tc>
          <w:tcPr>
            <w:tcW w:type="dxa" w:w="1559"/>
          </w:tcPr>
          <w:p>
            <w:r>
              <w:rPr>
                <w:sz w:val="20"/>
              </w:rPr>
              <w:t>**CI MICI**</w:t>
            </w:r>
          </w:p>
        </w:tc>
        <w:tc>
          <w:tcPr>
            <w:tcW w:type="dxa" w:w="1559"/>
          </w:tcPr>
          <w:p>
            <w:r>
              <w:rPr>
                <w:sz w:val="20"/>
              </w:rPr>
              <w:t>Prudence (signal perforation digestive)</w:t>
            </w:r>
          </w:p>
        </w:tc>
        <w:tc>
          <w:tcPr>
            <w:tcW w:type="dxa" w:w="1559"/>
          </w:tcPr>
          <w:p>
            <w:r>
              <w:rPr>
                <w:sz w:val="20"/>
              </w:rPr>
              <w:t>Prudence</w:t>
            </w:r>
          </w:p>
        </w:tc>
        <w:tc>
          <w:tcPr>
            <w:tcW w:type="dxa" w:w="1559"/>
          </w:tcPr>
          <w:p>
            <w:r>
              <w:rPr>
                <w:sz w:val="20"/>
              </w:rPr>
              <w:t>Prudence</w:t>
            </w:r>
          </w:p>
        </w:tc>
        <w:tc>
          <w:tcPr>
            <w:tcW w:type="dxa" w:w="1559"/>
          </w:tcPr>
          <w:p>
            <w:r>
              <w:rPr>
                <w:sz w:val="20"/>
              </w:rPr>
              <w:t>**CI absolue** (aggravation MICI)</w:t>
            </w:r>
          </w:p>
        </w:tc>
        <w:tc>
          <w:tcPr>
            <w:tcW w:type="dxa" w:w="1559"/>
          </w:tcPr>
          <w:p>
            <w:r>
              <w:rPr>
                <w:sz w:val="20"/>
              </w:rPr>
              <w:t>Non (indiqué dans MC)</w:t>
            </w:r>
          </w:p>
        </w:tc>
      </w:tr>
      <w:tr>
        <w:tc>
          <w:tcPr>
            <w:tcW w:type="dxa" w:w="1559"/>
          </w:tcPr>
          <w:p>
            <w:r>
              <w:rPr>
                <w:sz w:val="20"/>
              </w:rPr>
              <w:t>**CI cardiaque (IC NYHA III-IV)**</w:t>
            </w:r>
          </w:p>
        </w:tc>
        <w:tc>
          <w:tcPr>
            <w:tcW w:type="dxa" w:w="1559"/>
          </w:tcPr>
          <w:p>
            <w:r>
              <w:rPr>
                <w:sz w:val="20"/>
              </w:rPr>
              <w:t>Pas de signal (alternative aux anti-TNFα)</w:t>
            </w:r>
          </w:p>
        </w:tc>
        <w:tc>
          <w:tcPr>
            <w:tcW w:type="dxa" w:w="1559"/>
          </w:tcPr>
          <w:p>
            <w:r>
              <w:rPr>
                <w:sz w:val="20"/>
              </w:rPr>
              <w:t>Pas de signal en rhumatologie</w:t>
            </w:r>
          </w:p>
        </w:tc>
        <w:tc>
          <w:tcPr>
            <w:tcW w:type="dxa" w:w="1559"/>
          </w:tcPr>
          <w:p>
            <w:r>
              <w:rPr>
                <w:sz w:val="20"/>
              </w:rPr>
              <w:t>Pas de signal (alternative aux anti-TNFα)</w:t>
            </w:r>
          </w:p>
        </w:tc>
        <w:tc>
          <w:tcPr>
            <w:tcW w:type="dxa" w:w="1559"/>
          </w:tcPr>
          <w:p>
            <w:r>
              <w:rPr>
                <w:sz w:val="20"/>
              </w:rPr>
              <w:t>Pas de signal</w:t>
            </w:r>
          </w:p>
        </w:tc>
        <w:tc>
          <w:tcPr>
            <w:tcW w:type="dxa" w:w="1559"/>
          </w:tcPr>
          <w:p>
            <w:r>
              <w:rPr>
                <w:sz w:val="20"/>
              </w:rPr>
              <w:t>Pas de signal</w:t>
            </w:r>
          </w:p>
        </w:tc>
      </w:tr>
      <w:tr>
        <w:tc>
          <w:tcPr>
            <w:tcW w:type="dxa" w:w="1559"/>
          </w:tcPr>
          <w:p>
            <w:r>
              <w:rPr>
                <w:sz w:val="20"/>
              </w:rPr>
              <w:t>**CI démyélinisante**</w:t>
            </w:r>
          </w:p>
        </w:tc>
        <w:tc>
          <w:tcPr>
            <w:tcW w:type="dxa" w:w="1559"/>
          </w:tcPr>
          <w:p>
            <w:r>
              <w:rPr>
                <w:sz w:val="20"/>
              </w:rPr>
              <w:t>Pas de signal (alternative aux anti-TNFα)</w:t>
            </w:r>
          </w:p>
        </w:tc>
        <w:tc>
          <w:tcPr>
            <w:tcW w:type="dxa" w:w="1559"/>
          </w:tcPr>
          <w:p>
            <w:r>
              <w:rPr>
                <w:sz w:val="20"/>
              </w:rPr>
              <w:t>Pas de signal (alternative aux anti-TNFα)</w:t>
            </w:r>
          </w:p>
        </w:tc>
        <w:tc>
          <w:tcPr>
            <w:tcW w:type="dxa" w:w="1559"/>
          </w:tcPr>
          <w:p>
            <w:r>
              <w:rPr>
                <w:sz w:val="20"/>
              </w:rPr>
              <w:t>Pas de signal (alternative aux anti-TNFα)</w:t>
            </w:r>
          </w:p>
        </w:tc>
        <w:tc>
          <w:tcPr>
            <w:tcW w:type="dxa" w:w="1559"/>
          </w:tcPr>
          <w:p>
            <w:r>
              <w:rPr>
                <w:sz w:val="20"/>
              </w:rPr>
              <w:t>Pas de signal</w:t>
            </w:r>
          </w:p>
        </w:tc>
        <w:tc>
          <w:tcPr>
            <w:tcW w:type="dxa" w:w="1559"/>
          </w:tcPr>
          <w:p>
            <w:r>
              <w:rPr>
                <w:sz w:val="20"/>
              </w:rPr>
              <w:t>Pas de signal</w:t>
            </w:r>
          </w:p>
        </w:tc>
      </w:tr>
      <w:tr>
        <w:tc>
          <w:tcPr>
            <w:tcW w:type="dxa" w:w="1559"/>
          </w:tcPr>
          <w:p>
            <w:r>
              <w:rPr>
                <w:sz w:val="20"/>
              </w:rPr>
              <w:t>**Grossesse 3e trimestre**</w:t>
            </w:r>
          </w:p>
        </w:tc>
        <w:tc>
          <w:tcPr>
            <w:tcW w:type="dxa" w:w="1559"/>
          </w:tcPr>
          <w:p>
            <w:r>
              <w:rPr>
                <w:sz w:val="20"/>
              </w:rPr>
              <w:t>CI stricte</w:t>
            </w:r>
          </w:p>
        </w:tc>
        <w:tc>
          <w:tcPr>
            <w:tcW w:type="dxa" w:w="1559"/>
          </w:tcPr>
          <w:p>
            <w:r>
              <w:rPr>
                <w:sz w:val="20"/>
              </w:rPr>
              <w:t>CI stricte</w:t>
            </w:r>
          </w:p>
        </w:tc>
        <w:tc>
          <w:tcPr>
            <w:tcW w:type="dxa" w:w="1559"/>
          </w:tcPr>
          <w:p>
            <w:r>
              <w:rPr>
                <w:sz w:val="20"/>
              </w:rPr>
              <w:t>CI stricte</w:t>
            </w:r>
          </w:p>
        </w:tc>
        <w:tc>
          <w:tcPr>
            <w:tcW w:type="dxa" w:w="1559"/>
          </w:tcPr>
          <w:p>
            <w:r>
              <w:rPr>
                <w:sz w:val="20"/>
              </w:rPr>
              <w:t>CI stricte</w:t>
            </w:r>
          </w:p>
        </w:tc>
        <w:tc>
          <w:tcPr>
            <w:tcW w:type="dxa" w:w="1559"/>
          </w:tcPr>
          <w:p>
            <w:r>
              <w:rPr>
                <w:sz w:val="20"/>
              </w:rPr>
              <w:t>CI stricte</w:t>
            </w:r>
          </w:p>
        </w:tc>
      </w:tr>
      <w:tr>
        <w:tc>
          <w:tcPr>
            <w:tcW w:type="dxa" w:w="1559"/>
          </w:tcPr>
          <w:p>
            <w:r>
              <w:rPr>
                <w:sz w:val="20"/>
              </w:rPr>
              <w:t>**Grossesse 1er-2e T**</w:t>
            </w:r>
          </w:p>
        </w:tc>
        <w:tc>
          <w:tcPr>
            <w:tcW w:type="dxa" w:w="1559"/>
          </w:tcPr>
          <w:p>
            <w:r>
              <w:rPr>
                <w:sz w:val="20"/>
              </w:rPr>
              <w:t>Possible si nécessité absolue</w:t>
            </w:r>
          </w:p>
        </w:tc>
        <w:tc>
          <w:tcPr>
            <w:tcW w:type="dxa" w:w="1559"/>
          </w:tcPr>
          <w:p>
            <w:r>
              <w:rPr>
                <w:sz w:val="20"/>
              </w:rPr>
              <w:t>Possible si nécessité absolue</w:t>
            </w:r>
          </w:p>
        </w:tc>
        <w:tc>
          <w:tcPr>
            <w:tcW w:type="dxa" w:w="1559"/>
          </w:tcPr>
          <w:p>
            <w:r>
              <w:rPr>
                <w:sz w:val="20"/>
              </w:rPr>
              <w:t>Possible si nécessité absolue</w:t>
            </w:r>
          </w:p>
        </w:tc>
        <w:tc>
          <w:tcPr>
            <w:tcW w:type="dxa" w:w="1559"/>
          </w:tcPr>
          <w:p>
            <w:r>
              <w:rPr>
                <w:sz w:val="20"/>
              </w:rPr>
              <w:t>Possible si nécessité absolue</w:t>
            </w:r>
          </w:p>
        </w:tc>
        <w:tc>
          <w:tcPr>
            <w:tcW w:type="dxa" w:w="1559"/>
          </w:tcPr>
          <w:p>
            <w:r>
              <w:rPr>
                <w:sz w:val="20"/>
              </w:rPr>
              <w:t>Possible si nécessité absolue</w:t>
            </w:r>
          </w:p>
        </w:tc>
      </w:tr>
      <w:tr>
        <w:tc>
          <w:tcPr>
            <w:tcW w:type="dxa" w:w="1559"/>
          </w:tcPr>
          <w:p>
            <w:r>
              <w:rPr>
                <w:sz w:val="20"/>
              </w:rPr>
              <w:t>**Allaitement**</w:t>
            </w:r>
          </w:p>
        </w:tc>
        <w:tc>
          <w:tcPr>
            <w:tcW w:type="dxa" w:w="1559"/>
          </w:tcPr>
          <w:p>
            <w:r>
              <w:rPr>
                <w:sz w:val="20"/>
              </w:rPr>
              <w:t>Compatible</w:t>
            </w:r>
          </w:p>
        </w:tc>
        <w:tc>
          <w:tcPr>
            <w:tcW w:type="dxa" w:w="1559"/>
          </w:tcPr>
          <w:p>
            <w:r>
              <w:rPr>
                <w:sz w:val="20"/>
              </w:rPr>
              <w:t>CI pendant 6 mois post-cure</w:t>
            </w:r>
          </w:p>
        </w:tc>
        <w:tc>
          <w:tcPr>
            <w:tcW w:type="dxa" w:w="1559"/>
          </w:tcPr>
          <w:p>
            <w:r>
              <w:rPr>
                <w:sz w:val="20"/>
              </w:rPr>
              <w:t>Compatible</w:t>
            </w:r>
          </w:p>
        </w:tc>
        <w:tc>
          <w:tcPr>
            <w:tcW w:type="dxa" w:w="1559"/>
          </w:tcPr>
          <w:p>
            <w:r>
              <w:rPr>
                <w:sz w:val="20"/>
              </w:rPr>
              <w:t>Compatible</w:t>
            </w:r>
          </w:p>
        </w:tc>
        <w:tc>
          <w:tcPr>
            <w:tcW w:type="dxa" w:w="1559"/>
          </w:tcPr>
          <w:p>
            <w:r>
              <w:rPr>
                <w:sz w:val="20"/>
              </w:rPr>
              <w:t>Compatible</w:t>
            </w:r>
          </w:p>
        </w:tc>
      </w:tr>
      <w:tr>
        <w:tc>
          <w:tcPr>
            <w:tcW w:type="dxa" w:w="1559"/>
          </w:tcPr>
          <w:p>
            <w:r>
              <w:rPr>
                <w:sz w:val="20"/>
              </w:rPr>
              <w:t>**Vaccins vivants pendant traitement**</w:t>
            </w:r>
          </w:p>
        </w:tc>
        <w:tc>
          <w:tcPr>
            <w:tcW w:type="dxa" w:w="1559"/>
          </w:tcPr>
          <w:p>
            <w:r>
              <w:rPr>
                <w:sz w:val="20"/>
              </w:rPr>
              <w:t>CI absolue</w:t>
            </w:r>
          </w:p>
        </w:tc>
        <w:tc>
          <w:tcPr>
            <w:tcW w:type="dxa" w:w="1559"/>
          </w:tcPr>
          <w:p>
            <w:r>
              <w:rPr>
                <w:sz w:val="20"/>
              </w:rPr>
              <w:t>CI absolue</w:t>
            </w:r>
          </w:p>
        </w:tc>
        <w:tc>
          <w:tcPr>
            <w:tcW w:type="dxa" w:w="1559"/>
          </w:tcPr>
          <w:p>
            <w:r>
              <w:rPr>
                <w:sz w:val="20"/>
              </w:rPr>
              <w:t>CI absolue</w:t>
            </w:r>
          </w:p>
        </w:tc>
        <w:tc>
          <w:tcPr>
            <w:tcW w:type="dxa" w:w="1559"/>
          </w:tcPr>
          <w:p>
            <w:r>
              <w:rPr>
                <w:sz w:val="20"/>
              </w:rPr>
              <w:t>CI absolue</w:t>
            </w:r>
          </w:p>
        </w:tc>
        <w:tc>
          <w:tcPr>
            <w:tcW w:type="dxa" w:w="1559"/>
          </w:tcPr>
          <w:p>
            <w:r>
              <w:rPr>
                <w:sz w:val="20"/>
              </w:rPr>
              <w:t>CI absolue</w:t>
            </w:r>
          </w:p>
        </w:tc>
      </w:tr>
      <w:tr>
        <w:tc>
          <w:tcPr>
            <w:tcW w:type="dxa" w:w="1559"/>
          </w:tcPr>
          <w:p>
            <w:r>
              <w:rPr>
                <w:sz w:val="20"/>
              </w:rPr>
              <w:t>**Vaccins vivants après arrêt**</w:t>
            </w:r>
          </w:p>
        </w:tc>
        <w:tc>
          <w:tcPr>
            <w:tcW w:type="dxa" w:w="1559"/>
          </w:tcPr>
          <w:p>
            <w:r>
              <w:rPr>
                <w:sz w:val="20"/>
              </w:rPr>
              <w:t>CI 4 semaines</w:t>
            </w:r>
          </w:p>
        </w:tc>
        <w:tc>
          <w:tcPr>
            <w:tcW w:type="dxa" w:w="1559"/>
          </w:tcPr>
          <w:p>
            <w:r>
              <w:rPr>
                <w:sz w:val="20"/>
              </w:rPr>
              <w:t>CI 6 mois (déplétion B prolongée)</w:t>
            </w:r>
          </w:p>
        </w:tc>
        <w:tc>
          <w:tcPr>
            <w:tcW w:type="dxa" w:w="1559"/>
          </w:tcPr>
          <w:p>
            <w:r>
              <w:rPr>
                <w:sz w:val="20"/>
              </w:rPr>
              <w:t>CI 4 semaines</w:t>
            </w:r>
          </w:p>
        </w:tc>
        <w:tc>
          <w:tcPr>
            <w:tcW w:type="dxa" w:w="1559"/>
          </w:tcPr>
          <w:p>
            <w:r>
              <w:rPr>
                <w:sz w:val="20"/>
              </w:rPr>
              <w:t>CI 4 semaines</w:t>
            </w:r>
          </w:p>
        </w:tc>
        <w:tc>
          <w:tcPr>
            <w:tcW w:type="dxa" w:w="1559"/>
          </w:tcPr>
          <w:p>
            <w:r>
              <w:rPr>
                <w:sz w:val="20"/>
              </w:rPr>
              <w:t>CI 15 semaines (demi-vie prolongée)</w:t>
            </w:r>
          </w:p>
        </w:tc>
      </w:tr>
      <w:tr>
        <w:tc>
          <w:tcPr>
            <w:tcW w:type="dxa" w:w="1559"/>
          </w:tcPr>
          <w:p>
            <w:r>
              <w:rPr>
                <w:sz w:val="20"/>
              </w:rPr>
              <w:t>**Bilan pré-thérapeutique spécifique**</w:t>
            </w:r>
          </w:p>
        </w:tc>
        <w:tc>
          <w:tcPr>
            <w:tcW w:type="dxa" w:w="1559"/>
          </w:tcPr>
          <w:p>
            <w:r>
              <w:rPr>
                <w:sz w:val="20"/>
              </w:rPr>
              <w:t>NFS, bilan hépatique, lipidique, VHB, VHC, VIH, IGRA</w:t>
            </w:r>
          </w:p>
        </w:tc>
        <w:tc>
          <w:tcPr>
            <w:tcW w:type="dxa" w:w="1559"/>
          </w:tcPr>
          <w:p>
            <w:r>
              <w:rPr>
                <w:sz w:val="20"/>
              </w:rPr>
              <w:t>NFS, IgG/A/M, VHB + ADN-VHB si Ac anti-HBc+, VHC, VIH, IGRA</w:t>
            </w:r>
          </w:p>
        </w:tc>
        <w:tc>
          <w:tcPr>
            <w:tcW w:type="dxa" w:w="1559"/>
          </w:tcPr>
          <w:p>
            <w:r>
              <w:rPr>
                <w:sz w:val="20"/>
              </w:rPr>
              <w:t>NFS, VHB, VHC, VIH, IGRA, EFR si BPCO</w:t>
            </w:r>
          </w:p>
        </w:tc>
        <w:tc>
          <w:tcPr>
            <w:tcW w:type="dxa" w:w="1559"/>
          </w:tcPr>
          <w:p>
            <w:r>
              <w:rPr>
                <w:sz w:val="20"/>
              </w:rPr>
              <w:t>NFS, VHB, VHC, VIH, IGRA, interrogatoire MICI</w:t>
            </w:r>
          </w:p>
        </w:tc>
        <w:tc>
          <w:tcPr>
            <w:tcW w:type="dxa" w:w="1559"/>
          </w:tcPr>
          <w:p>
            <w:r>
              <w:rPr>
                <w:sz w:val="20"/>
              </w:rPr>
              <w:t>NFS, VHB, VHC, VIH, IGRA, dermatologie</w:t>
            </w:r>
          </w:p>
        </w:tc>
      </w:tr>
      <w:tr>
        <w:tc>
          <w:tcPr>
            <w:tcW w:type="dxa" w:w="1559"/>
          </w:tcPr>
          <w:p>
            <w:r>
              <w:rPr>
                <w:sz w:val="20"/>
              </w:rPr>
              <w:t>**Surveillance pendant traitement**</w:t>
            </w:r>
          </w:p>
        </w:tc>
        <w:tc>
          <w:tcPr>
            <w:tcW w:type="dxa" w:w="1559"/>
          </w:tcPr>
          <w:p>
            <w:r>
              <w:rPr>
                <w:sz w:val="20"/>
              </w:rPr>
              <w:t>NFS, bilan hépatique, lipidique mensuels 6 mois puis trimestriels</w:t>
            </w:r>
          </w:p>
        </w:tc>
        <w:tc>
          <w:tcPr>
            <w:tcW w:type="dxa" w:w="1559"/>
          </w:tcPr>
          <w:p>
            <w:r>
              <w:rPr>
                <w:sz w:val="20"/>
              </w:rPr>
              <w:t>NFS trimestrielle + IgG semestrielles + NFS à 3-6 mois (neutropénie tardive)</w:t>
            </w:r>
          </w:p>
        </w:tc>
        <w:tc>
          <w:tcPr>
            <w:tcW w:type="dxa" w:w="1559"/>
          </w:tcPr>
          <w:p>
            <w:r>
              <w:rPr>
                <w:sz w:val="20"/>
              </w:rPr>
              <w:t>NFS, bilan hépatique trimestriels</w:t>
            </w:r>
          </w:p>
        </w:tc>
        <w:tc>
          <w:tcPr>
            <w:tcW w:type="dxa" w:w="1559"/>
          </w:tcPr>
          <w:p>
            <w:r>
              <w:rPr>
                <w:sz w:val="20"/>
              </w:rPr>
              <w:t>NFS, bilan hépatique trimestriels</w:t>
            </w:r>
          </w:p>
        </w:tc>
        <w:tc>
          <w:tcPr>
            <w:tcW w:type="dxa" w:w="1559"/>
          </w:tcPr>
          <w:p>
            <w:r>
              <w:rPr>
                <w:sz w:val="20"/>
              </w:rPr>
              <w:t>NFS, bilan hépatique trimestriels, dermato annuel</w:t>
            </w:r>
          </w:p>
        </w:tc>
      </w:tr>
      <w:tr>
        <w:tc>
          <w:tcPr>
            <w:tcW w:type="dxa" w:w="1559"/>
          </w:tcPr>
          <w:p>
            <w:r>
              <w:rPr>
                <w:sz w:val="20"/>
              </w:rPr>
              <w:t>**Effet indésirable caractéristique**</w:t>
            </w:r>
          </w:p>
        </w:tc>
        <w:tc>
          <w:tcPr>
            <w:tcW w:type="dxa" w:w="1559"/>
          </w:tcPr>
          <w:p>
            <w:r>
              <w:rPr>
                <w:sz w:val="20"/>
              </w:rPr>
              <w:t>Cytolyse hépatique, hyper LDL, neutropénie, perforation digestive</w:t>
            </w:r>
          </w:p>
        </w:tc>
        <w:tc>
          <w:tcPr>
            <w:tcW w:type="dxa" w:w="1559"/>
          </w:tcPr>
          <w:p>
            <w:r>
              <w:rPr>
                <w:sz w:val="20"/>
              </w:rPr>
              <w:t>Réaction perfusion, hypogammaglobulinémie, neutropénie tardive, réactivation VHB, PML</w:t>
            </w:r>
          </w:p>
        </w:tc>
        <w:tc>
          <w:tcPr>
            <w:tcW w:type="dxa" w:w="1559"/>
          </w:tcPr>
          <w:p>
            <w:r>
              <w:rPr>
                <w:sz w:val="20"/>
              </w:rPr>
              <w:t>Infections ORL, aggravation BPCO</w:t>
            </w:r>
          </w:p>
        </w:tc>
        <w:tc>
          <w:tcPr>
            <w:tcW w:type="dxa" w:w="1559"/>
          </w:tcPr>
          <w:p>
            <w:r>
              <w:rPr>
                <w:sz w:val="20"/>
              </w:rPr>
              <w:t>Candidose muqueuse, MICI démasquée</w:t>
            </w:r>
          </w:p>
        </w:tc>
        <w:tc>
          <w:tcPr>
            <w:tcW w:type="dxa" w:w="1559"/>
          </w:tcPr>
          <w:p>
            <w:r>
              <w:rPr>
                <w:sz w:val="20"/>
              </w:rPr>
              <w:t>Infections ORL, réactions site injection</w:t>
            </w:r>
          </w:p>
        </w:tc>
      </w:tr>
      <w:tr>
        <w:tc>
          <w:tcPr>
            <w:tcW w:type="dxa" w:w="1559"/>
          </w:tcPr>
          <w:p>
            <w:r>
              <w:rPr>
                <w:sz w:val="20"/>
              </w:rPr>
              <w:t>**Biosimilaires disponibles en Algérie**</w:t>
            </w:r>
          </w:p>
        </w:tc>
        <w:tc>
          <w:tcPr>
            <w:tcW w:type="dxa" w:w="1559"/>
          </w:tcPr>
          <w:p>
            <w:r>
              <w:rPr>
                <w:sz w:val="20"/>
              </w:rPr>
              <w:t>Non</w:t>
            </w:r>
          </w:p>
        </w:tc>
        <w:tc>
          <w:tcPr>
            <w:tcW w:type="dxa" w:w="1559"/>
          </w:tcPr>
          <w:p>
            <w:r>
              <w:rPr>
                <w:sz w:val="20"/>
              </w:rPr>
              <w:t>**Oui** (5 : RITUXIMAB-SAIDAL, TRUXIMA, RIXATHON, RUXIENCE, REDDITUX)</w:t>
            </w:r>
          </w:p>
        </w:tc>
        <w:tc>
          <w:tcPr>
            <w:tcW w:type="dxa" w:w="1559"/>
          </w:tcPr>
          <w:p>
            <w:r>
              <w:rPr>
                <w:sz w:val="20"/>
              </w:rPr>
              <w:t>Non</w:t>
            </w:r>
          </w:p>
        </w:tc>
        <w:tc>
          <w:tcPr>
            <w:tcW w:type="dxa" w:w="1559"/>
          </w:tcPr>
          <w:p>
            <w:r>
              <w:rPr>
                <w:sz w:val="20"/>
              </w:rPr>
              <w:t>Non</w:t>
            </w:r>
          </w:p>
        </w:tc>
        <w:tc>
          <w:tcPr>
            <w:tcW w:type="dxa" w:w="1559"/>
          </w:tcPr>
          <w:p>
            <w:r>
              <w:rPr>
                <w:sz w:val="20"/>
              </w:rPr>
              <w:t>Non</w:t>
            </w:r>
          </w:p>
        </w:tc>
      </w:tr>
      <w:tr>
        <w:tc>
          <w:tcPr>
            <w:tcW w:type="dxa" w:w="1559"/>
          </w:tcPr>
          <w:p>
            <w:r>
              <w:rPr>
                <w:sz w:val="20"/>
              </w:rPr>
              <w:t>**Statut Algérie (1er avril 2026)**</w:t>
            </w:r>
          </w:p>
        </w:tc>
        <w:tc>
          <w:tcPr>
            <w:tcW w:type="dxa" w:w="1559"/>
          </w:tcPr>
          <w:p>
            <w:r>
              <w:rPr>
                <w:sz w:val="20"/>
              </w:rPr>
              <w:t>**Actif**</w:t>
            </w:r>
          </w:p>
        </w:tc>
        <w:tc>
          <w:tcPr>
            <w:tcW w:type="dxa" w:w="1559"/>
          </w:tcPr>
          <w:p>
            <w:r>
              <w:rPr>
                <w:sz w:val="20"/>
              </w:rPr>
              <w:t>**Actif** (6 marques actives + 1 retirée KIKUZUBAM)</w:t>
            </w:r>
          </w:p>
        </w:tc>
        <w:tc>
          <w:tcPr>
            <w:tcW w:type="dxa" w:w="1559"/>
          </w:tcPr>
          <w:p>
            <w:r>
              <w:rPr>
                <w:sz w:val="20"/>
              </w:rPr>
              <w:t>**RETRAIT** (ORENCIA non disponible)</w:t>
            </w:r>
          </w:p>
        </w:tc>
        <w:tc>
          <w:tcPr>
            <w:tcW w:type="dxa" w:w="1559"/>
          </w:tcPr>
          <w:p>
            <w:r>
              <w:rPr>
                <w:sz w:val="20"/>
              </w:rPr>
              <w:t>**Actif**</w:t>
            </w:r>
          </w:p>
        </w:tc>
        <w:tc>
          <w:tcPr>
            <w:tcW w:type="dxa" w:w="1559"/>
          </w:tcPr>
          <w:p>
            <w:r>
              <w:rPr>
                <w:sz w:val="20"/>
              </w:rPr>
              <w:t>**Actif**</w:t>
            </w:r>
          </w:p>
        </w:tc>
      </w:tr>
      <w:tr>
        <w:tc>
          <w:tcPr>
            <w:tcW w:type="dxa" w:w="1559"/>
          </w:tcPr>
          <w:p>
            <w:r>
              <w:rPr>
                <w:sz w:val="20"/>
              </w:rPr>
              <w:t>**Coût mensuel estimé (DA)**</w:t>
            </w:r>
          </w:p>
        </w:tc>
        <w:tc>
          <w:tcPr>
            <w:tcW w:type="dxa" w:w="1559"/>
          </w:tcPr>
          <w:p>
            <w:r>
              <w:rPr>
                <w:sz w:val="20"/>
              </w:rPr>
              <w:t>35 000-55 000</w:t>
            </w:r>
          </w:p>
        </w:tc>
        <w:tc>
          <w:tcPr>
            <w:tcW w:type="dxa" w:w="1559"/>
          </w:tcPr>
          <w:p>
            <w:r>
              <w:rPr>
                <w:sz w:val="20"/>
              </w:rPr>
              <w:t>25 000-45 000 par cure (6 mois)</w:t>
            </w:r>
          </w:p>
        </w:tc>
        <w:tc>
          <w:tcPr>
            <w:tcW w:type="dxa" w:w="1559"/>
          </w:tcPr>
          <w:p>
            <w:r>
              <w:rPr>
                <w:sz w:val="20"/>
              </w:rPr>
              <w:t>Non disponible</w:t>
            </w:r>
          </w:p>
        </w:tc>
        <w:tc>
          <w:tcPr>
            <w:tcW w:type="dxa" w:w="1559"/>
          </w:tcPr>
          <w:p>
            <w:r>
              <w:rPr>
                <w:sz w:val="20"/>
              </w:rPr>
              <w:t>35 000-50 000</w:t>
            </w:r>
          </w:p>
        </w:tc>
        <w:tc>
          <w:tcPr>
            <w:tcW w:type="dxa" w:w="1559"/>
          </w:tcPr>
          <w:p>
            <w:r>
              <w:rPr>
                <w:sz w:val="20"/>
              </w:rPr>
              <w:t>30 000-45 000</w:t>
            </w:r>
          </w:p>
        </w:tc>
      </w:tr>
      <w:tr>
        <w:tc>
          <w:tcPr>
            <w:tcW w:type="dxa" w:w="1559"/>
          </w:tcPr>
          <w:p>
            <w:r>
              <w:rPr>
                <w:sz w:val="20"/>
              </w:rPr>
              <w:t>**Première intention dans**</w:t>
            </w:r>
          </w:p>
        </w:tc>
        <w:tc>
          <w:tcPr>
            <w:tcW w:type="dxa" w:w="1559"/>
          </w:tcPr>
          <w:p>
            <w:r>
              <w:rPr>
                <w:sz w:val="20"/>
              </w:rPr>
              <w:t>Maladie de Still, vascularite ANCA, PR syndrome inflammatoire marqué</w:t>
            </w:r>
          </w:p>
        </w:tc>
        <w:tc>
          <w:tcPr>
            <w:tcW w:type="dxa" w:w="1559"/>
          </w:tcPr>
          <w:p>
            <w:r>
              <w:rPr>
                <w:sz w:val="20"/>
              </w:rPr>
              <w:t>PR séropositive en échec anti-TNFα</w:t>
            </w:r>
          </w:p>
        </w:tc>
        <w:tc>
          <w:tcPr>
            <w:tcW w:type="dxa" w:w="1559"/>
          </w:tcPr>
          <w:p>
            <w:r>
              <w:rPr>
                <w:sz w:val="20"/>
              </w:rPr>
              <w:t>Non applicable (retrait)</w:t>
            </w:r>
          </w:p>
        </w:tc>
        <w:tc>
          <w:tcPr>
            <w:tcW w:type="dxa" w:w="1559"/>
          </w:tcPr>
          <w:p>
            <w:r>
              <w:rPr>
                <w:sz w:val="20"/>
              </w:rPr>
              <w:t>SA, nr-axSpA, psoriasis cutané</w:t>
            </w:r>
          </w:p>
        </w:tc>
        <w:tc>
          <w:tcPr>
            <w:tcW w:type="dxa" w:w="1559"/>
          </w:tcPr>
          <w:p>
            <w:r>
              <w:rPr>
                <w:sz w:val="20"/>
              </w:rPr>
              <w:t>Psoriasis en plaques</w:t>
            </w:r>
          </w:p>
        </w:tc>
      </w:tr>
      <w:tr>
        <w:tc>
          <w:tcPr>
            <w:tcW w:type="dxa" w:w="1559"/>
          </w:tcPr>
          <w:p>
            <w:r>
              <w:rPr>
                <w:sz w:val="20"/>
              </w:rPr>
              <w:t>**Deuxième intention dans**</w:t>
            </w:r>
          </w:p>
        </w:tc>
        <w:tc>
          <w:tcPr>
            <w:tcW w:type="dxa" w:w="1559"/>
          </w:tcPr>
          <w:p>
            <w:r>
              <w:rPr>
                <w:sz w:val="20"/>
              </w:rPr>
              <w:t>PR en échec anti-TNFα</w:t>
            </w:r>
          </w:p>
        </w:tc>
        <w:tc>
          <w:tcPr>
            <w:tcW w:type="dxa" w:w="1559"/>
          </w:tcPr>
          <w:p>
            <w:r>
              <w:rPr>
                <w:sz w:val="20"/>
              </w:rPr>
              <w:t>PR en échec anti-TNFα</w:t>
            </w:r>
          </w:p>
        </w:tc>
        <w:tc>
          <w:tcPr>
            <w:tcW w:type="dxa" w:w="1559"/>
          </w:tcPr>
          <w:p>
            <w:r>
              <w:rPr>
                <w:sz w:val="20"/>
              </w:rPr>
              <w:t>(PR en échec anti-TNFα)</w:t>
            </w:r>
          </w:p>
        </w:tc>
        <w:tc>
          <w:tcPr>
            <w:tcW w:type="dxa" w:w="1559"/>
          </w:tcPr>
          <w:p>
            <w:r>
              <w:rPr>
                <w:sz w:val="20"/>
              </w:rPr>
              <w:t>RPso en échec anti-TNFα</w:t>
            </w:r>
          </w:p>
        </w:tc>
        <w:tc>
          <w:tcPr>
            <w:tcW w:type="dxa" w:w="1559"/>
          </w:tcPr>
          <w:p>
            <w:r>
              <w:rPr>
                <w:sz w:val="20"/>
              </w:rPr>
              <w:t>RPso, maladie de Crohn en échec anti-TNFα</w:t>
            </w:r>
          </w:p>
        </w:tc>
      </w:tr>
      <w:tr>
        <w:tc>
          <w:tcPr>
            <w:tcW w:type="dxa" w:w="1559"/>
          </w:tcPr>
          <w:p>
            <w:r>
              <w:rPr>
                <w:sz w:val="20"/>
              </w:rPr>
              <w:t>**Alternative aux anti-TNFα en cas d'IC NYHA III-IV**</w:t>
            </w:r>
          </w:p>
        </w:tc>
        <w:tc>
          <w:tcPr>
            <w:tcW w:type="dxa" w:w="1559"/>
          </w:tcPr>
          <w:p>
            <w:r>
              <w:rPr>
                <w:sz w:val="20"/>
              </w:rPr>
              <w:t>**Oui**</w:t>
            </w:r>
          </w:p>
        </w:tc>
        <w:tc>
          <w:tcPr>
            <w:tcW w:type="dxa" w:w="1559"/>
          </w:tcPr>
          <w:p>
            <w:r>
              <w:rPr>
                <w:sz w:val="20"/>
              </w:rPr>
              <w:t>**Oui**</w:t>
            </w:r>
          </w:p>
        </w:tc>
        <w:tc>
          <w:tcPr>
            <w:tcW w:type="dxa" w:w="1559"/>
          </w:tcPr>
          <w:p>
            <w:r>
              <w:rPr>
                <w:sz w:val="20"/>
              </w:rPr>
              <w:t>(Oui)</w:t>
            </w:r>
          </w:p>
        </w:tc>
        <w:tc>
          <w:tcPr>
            <w:tcW w:type="dxa" w:w="1559"/>
          </w:tcPr>
          <w:p>
            <w:r>
              <w:rPr>
                <w:sz w:val="20"/>
              </w:rPr>
              <w:t>**Oui**</w:t>
            </w:r>
          </w:p>
        </w:tc>
        <w:tc>
          <w:tcPr>
            <w:tcW w:type="dxa" w:w="1559"/>
          </w:tcPr>
          <w:p>
            <w:r>
              <w:rPr>
                <w:sz w:val="20"/>
              </w:rPr>
              <w:t>**Oui**</w:t>
            </w:r>
          </w:p>
        </w:tc>
      </w:tr>
      <w:tr>
        <w:tc>
          <w:tcPr>
            <w:tcW w:type="dxa" w:w="1559"/>
          </w:tcPr>
          <w:p>
            <w:r>
              <w:rPr>
                <w:sz w:val="20"/>
              </w:rPr>
              <w:t>**Alternative aux anti-TNFα en cas d'antécédent démyélinisant**</w:t>
            </w:r>
          </w:p>
        </w:tc>
        <w:tc>
          <w:tcPr>
            <w:tcW w:type="dxa" w:w="1559"/>
          </w:tcPr>
          <w:p>
            <w:r>
              <w:rPr>
                <w:sz w:val="20"/>
              </w:rPr>
              <w:t>**Oui**</w:t>
            </w:r>
          </w:p>
        </w:tc>
        <w:tc>
          <w:tcPr>
            <w:tcW w:type="dxa" w:w="1559"/>
          </w:tcPr>
          <w:p>
            <w:r>
              <w:rPr>
                <w:sz w:val="20"/>
              </w:rPr>
              <w:t>**Oui**</w:t>
            </w:r>
          </w:p>
        </w:tc>
        <w:tc>
          <w:tcPr>
            <w:tcW w:type="dxa" w:w="1559"/>
          </w:tcPr>
          <w:p>
            <w:r>
              <w:rPr>
                <w:sz w:val="20"/>
              </w:rPr>
              <w:t>(Oui)</w:t>
            </w:r>
          </w:p>
        </w:tc>
        <w:tc>
          <w:tcPr>
            <w:tcW w:type="dxa" w:w="1559"/>
          </w:tcPr>
          <w:p>
            <w:r>
              <w:rPr>
                <w:sz w:val="20"/>
              </w:rPr>
              <w:t>**Oui**</w:t>
            </w:r>
          </w:p>
        </w:tc>
        <w:tc>
          <w:tcPr>
            <w:tcW w:type="dxa" w:w="1559"/>
          </w:tcPr>
          <w:p>
            <w:r>
              <w:rPr>
                <w:sz w:val="20"/>
              </w:rPr>
              <w:t>**Oui**</w:t>
            </w:r>
          </w:p>
        </w:tc>
      </w:tr>
      <w:tr>
        <w:tc>
          <w:tcPr>
            <w:tcW w:type="dxa" w:w="1559"/>
          </w:tcPr>
          <w:p>
            <w:r>
              <w:rPr>
                <w:sz w:val="20"/>
              </w:rPr>
              <w:t>**Coût économique**</w:t>
            </w:r>
          </w:p>
        </w:tc>
        <w:tc>
          <w:tcPr>
            <w:tcW w:type="dxa" w:w="1559"/>
          </w:tcPr>
          <w:p>
            <w:r>
              <w:rPr>
                <w:sz w:val="20"/>
              </w:rPr>
              <w:t>Élevé (princeps uniquement)</w:t>
            </w:r>
          </w:p>
        </w:tc>
        <w:tc>
          <w:tcPr>
            <w:tcW w:type="dxa" w:w="1559"/>
          </w:tcPr>
          <w:p>
            <w:r>
              <w:rPr>
                <w:sz w:val="20"/>
              </w:rPr>
              <w:t>**Faible** (5 biosimilaires)</w:t>
            </w:r>
          </w:p>
        </w:tc>
        <w:tc>
          <w:tcPr>
            <w:tcW w:type="dxa" w:w="1559"/>
          </w:tcPr>
          <w:p>
            <w:r>
              <w:rPr>
                <w:sz w:val="20"/>
              </w:rPr>
              <w:t>Non disponible</w:t>
            </w:r>
          </w:p>
        </w:tc>
        <w:tc>
          <w:tcPr>
            <w:tcW w:type="dxa" w:w="1559"/>
          </w:tcPr>
          <w:p>
            <w:r>
              <w:rPr>
                <w:sz w:val="20"/>
              </w:rPr>
              <w:t>Élevé (princeps uniquement)</w:t>
            </w:r>
          </w:p>
        </w:tc>
        <w:tc>
          <w:tcPr>
            <w:tcW w:type="dxa" w:w="1559"/>
          </w:tcPr>
          <w:p>
            <w:r>
              <w:rPr>
                <w:sz w:val="20"/>
              </w:rPr>
              <w:t>Élevé (princeps uniquement)</w:t>
            </w:r>
          </w:p>
        </w:tc>
      </w:tr>
    </w:tbl>
    <w:p/>
    <w:p>
      <w:pPr>
        <w:pStyle w:val="Heading3"/>
      </w:pPr>
      <w:r>
        <w:t>152b.11.1 Conclusion pratique pour le pharmacien d'officine</w:t>
      </w:r>
    </w:p>
    <w:p>
      <w:r>
        <w:t>Le pharmacien d'officine algérien joue un rôle clé dans la délivrance et le suivi des biothérapies rhumatologiques non anti-TNFα. Les points essentiels à retenir sont :</w:t>
      </w:r>
    </w:p>
    <w:p>
      <w:pPr>
        <w:pStyle w:val="ListNumber"/>
      </w:pPr>
      <w:r/>
      <w:r>
        <w:rPr>
          <w:b/>
        </w:rPr>
        <w:t>Statut de disponibilité</w:t>
      </w:r>
      <w:r>
        <w:t xml:space="preserve"> : sur les cinq molécules traitées, </w:t>
      </w:r>
      <w:r>
        <w:rPr>
          <w:b/>
        </w:rPr>
        <w:t>quatre sont disponibles</w:t>
      </w:r>
      <w:r>
        <w:t xml:space="preserve"> en Algérie (tocilizumab, rituximab, sécukinumab, ustekinumab) et </w:t>
      </w:r>
      <w:r>
        <w:rPr>
          <w:b/>
        </w:rPr>
        <w:t>une est retirée</w:t>
      </w:r>
      <w:r>
        <w:t xml:space="preserve"> du marché algérien (abatacept ORENCIA). En cas d'ordonnance pour ORENCIA, ne pas délivrer et orienter le patient vers son rhumatologue référent pour substitution par une alternative disponible (tocilizumab, rituximab, anti-TNFα, sécukinumab, ustekinumab selon le profil du patient).</w:t>
      </w:r>
    </w:p>
    <w:p>
      <w:pPr>
        <w:pStyle w:val="ListNumber"/>
      </w:pPr>
      <w:r/>
      <w:r>
        <w:rPr>
          <w:b/>
        </w:rPr>
        <w:t>Voie d'administration</w:t>
      </w:r>
      <w:r>
        <w:t xml:space="preserve"> : la délivrance en officine concerne uniquement les formes SC (tocilizumab SC, sécukinumab SC, ustekinumab SC). Les formes IV (tocilizumab IV, rituximab IV, ustekinumab IV pour maladie de Crohn) sont délivrées exclusivement en milieu hospitalier. Vérifier systématiquement l'ordonnance pour confirmer la forme prescrite.</w:t>
      </w:r>
    </w:p>
    <w:p>
      <w:pPr>
        <w:pStyle w:val="ListNumber"/>
      </w:pPr>
      <w:r/>
      <w:r>
        <w:rPr>
          <w:b/>
        </w:rPr>
        <w:t>Chaîne du froid</w:t>
      </w:r>
      <w:r>
        <w:t xml:space="preserve"> : toutes les formes SC doivent être conservées au réfrigérateur entre +2°C et +8°C, sans congélation. Conservation hors réfrigérateur possible 4 semaines max à ≤ 25°C pour les déplacements. Vérifier la chaîne du froid à la délivrance et informer le patient.</w:t>
      </w:r>
    </w:p>
    <w:p>
      <w:pPr>
        <w:pStyle w:val="ListNumber"/>
      </w:pPr>
      <w:r/>
      <w:r>
        <w:rPr>
          <w:b/>
        </w:rPr>
        <w:t>Bilan pré-thérapeutique</w:t>
      </w:r>
      <w:r>
        <w:t xml:space="preserve"> : avant la première délivrance, vérifier que le bilan pré-thérapeutique a été réalisé (NFS, bilan hépatique, sérologies VHB/VHC/VIH, IGRA) et que les vaccins vivants ont été administrés au moins 4 semaines avant. Si vaccin vivant nécessaire, différer la délivrance.</w:t>
      </w:r>
    </w:p>
    <w:p>
      <w:pPr>
        <w:pStyle w:val="ListNumber"/>
      </w:pPr>
      <w:r/>
      <w:r>
        <w:rPr>
          <w:b/>
        </w:rPr>
        <w:t>Surveillance biologique</w:t>
      </w:r>
      <w:r>
        <w:t xml:space="preserve"> : rappeler au patient l'importance des bilans biologiques trimestriels (NFS, bilan hépatique) et semestriels (IgG pour rituximab). Coordonner avec le rhumatologue référent.</w:t>
      </w:r>
    </w:p>
    <w:p>
      <w:pPr>
        <w:pStyle w:val="ListNumber"/>
      </w:pPr>
      <w:r/>
      <w:r>
        <w:rPr>
          <w:b/>
        </w:rPr>
        <w:t>Éducation thérapeutique</w:t>
      </w:r>
      <w:r>
        <w:t xml:space="preserve"> : remettre un livret d'information, former à l'auto-injection SC (technique, rotation des sites, gestion des réactions locales), éduquer aux signaux d'alerte (fièvre, infection, douleur abdominale pour tocilizumab, signes neurologiques pour rituximab, candidose pour sécukinumab, MICI pour sécukinumab).</w:t>
      </w:r>
    </w:p>
    <w:p>
      <w:pPr>
        <w:pStyle w:val="ListNumber"/>
      </w:pPr>
      <w:r/>
      <w:r>
        <w:rPr>
          <w:b/>
        </w:rPr>
        <w:t>Vaccins vivants</w:t>
      </w:r>
      <w:r>
        <w:t xml:space="preserve"> : contre-indication absolue pendant le traitement et 4 semaines à 6 mois après la dernière injection selon la molécule (4 semaines pour tocilizumab/sécukinumab/abatacept, 6 mois pour rituximab en raison de la déplétion B prolongée, 15 semaines pour ustekinumab en raison de la demi-vie prolongée). Coordination avec le médecin vaccinateur.</w:t>
      </w:r>
    </w:p>
    <w:p>
      <w:pPr>
        <w:pStyle w:val="ListNumber"/>
      </w:pPr>
      <w:r/>
      <w:r>
        <w:rPr>
          <w:b/>
        </w:rPr>
        <w:t>Grossesse</w:t>
      </w:r>
      <w:r>
        <w:t xml:space="preserve"> : contre-indication stricte au 3e trimestre pour toutes les molécules. Préférer le certolizumab pegol (seul anti-TNFα sans transfert placentaire) en cas de désir de grossesse ou de grossesse au 3e trimestre. Coordination pluridisciplinaire rhumatologue-obstétricien-pédiatre.</w:t>
      </w:r>
    </w:p>
    <w:p>
      <w:pPr>
        <w:pStyle w:val="ListNumber"/>
      </w:pPr>
      <w:r/>
      <w:r>
        <w:rPr>
          <w:b/>
        </w:rPr>
        <w:t>Interactions médicamenteuses</w:t>
      </w:r>
      <w:r>
        <w:t xml:space="preserve"> : pas d'interaction médicamenteuse pharmacocinétique majeure. Surveillance accrue en cas d'association avec corticoïdes (immunosuppression additive), statines (tocilizumab), warfarine (tocilizumab). Association anti-TNFα déconseillée pour toutes les molécules.</w:t>
      </w:r>
    </w:p>
    <w:p>
      <w:pPr>
        <w:pStyle w:val="ListNumber"/>
      </w:pPr>
      <w:r/>
      <w:r>
        <w:rPr>
          <w:b/>
        </w:rPr>
        <w:t>Observance</w:t>
      </w:r>
      <w:r>
        <w:t xml:space="preserve"> : le rythme d'administration varie considérablement entre les molécules (IV 4 semaines pour tocilizumab, cure tous les 6 mois pour rituximab, SC 1-2 semaines pour tocilizumab SC, SC 4 semaines pour sécukinumab, SC 12 semaines pour ustekinumab). Utiliser un calendrier ou un rappel smartphone pour ne pas oublier les injections. Le rythme espacé de l'ustekinumab (toutes les 12 semaines) est un atout majeur pour l'observance mais favorise l'oubli.</w:t>
      </w:r>
    </w:p>
    <w:p>
      <w:pPr>
        <w:pStyle w:val="ListNumber"/>
      </w:pPr>
      <w:r/>
      <w:r>
        <w:rPr>
          <w:b/>
        </w:rPr>
        <w:t>Substitution biosimilaire</w:t>
      </w:r>
      <w:r>
        <w:t xml:space="preserve"> : pour le rituximab uniquement (5 biosimilaires disponibles), la substitution est possible entre le princeps MABTHERA et les biosimilaires (RITUXIMAB-SAIDAL, TRUXIMA, RIXATHON, RUXIENCE, REDDITUX) selon les recommandations ANSM/EMA, mais elle ne doit pas être effectuée en cours de traitement en raison du risque d'immunogénicité croisée. Si substitution envisagée, l'effectuer après une période de washout de 6 mois et informer le patient. Privilégier le biosimilaire RITUXIMAB-SAIDAL (production locale algérienne) pour favoriser l'industrie nationale et réduire le coût.</w:t>
      </w:r>
    </w:p>
    <w:p>
      <w:pPr>
        <w:pStyle w:val="ListNumber"/>
      </w:pPr>
      <w:r/>
      <w:r>
        <w:rPr>
          <w:b/>
        </w:rPr>
        <w:t>Pharmacovigilance</w:t>
      </w:r>
      <w:r>
        <w:t xml:space="preserve"> : déclarer tout effet indésirable grave au Centre National de Pharmacovigilance (CNPV) d'Alger. Les effets indésirables à déclarer systématiquement sont : infection sévère, tuberculose, réaction anaphylactique, perforation digestive (tocilizumab), réactivation VHB (rituximab), PML (rituximab), MICI démasquée (sécukinumab), néoplasie (ustekinumab).</w:t>
      </w:r>
    </w:p>
    <w:p>
      <w:r/>
      <w:r>
        <w:rPr>
          <w:i/>
        </w:rPr>
        <w:t>Fin du Chapitre 152b — Biothérapies rhumatologiques non anti-TNFα (anti-IL-6, anti-CD20, inhibiteurs de la co-stimulation T, anti-IL-17 et anti-IL-12/23).</w:t>
      </w:r>
      <w:r/>
    </w:p>
    <w:p>
      <w:r/>
      <w:r>
        <w:rPr>
          <w:i/>
        </w:rPr>
        <w:t>Références bibliographiques : VIDAL 2025, ANSM (RCP et recommandations), Thériaque, CRAT (Centre de Renseignement sur les Agents Tératogènes), EULAR 2022 (recommendations PR et spondyloarthrites), ASAS-EULAR 2022 (spondyloarthrites), Groupe Français de Recherche sur le Psoriasis (GRFP), European Crohn's and Colitis Organisation (ECCO) 2023, UpToDate 2025, Nomenclature Algérienne des Médicaments Avril 2026.</w:t>
      </w:r>
      <w:r/>
    </w:p>
    <w:p>
      <w:pPr>
        <w:pStyle w:val="Heading1"/>
      </w:pPr>
      <w:r>
        <w:t>Chapitre 153 — Inhibiteurs JAK, Visco-supplémentation intra-articulaire et Chondroprotecteurs (SYSADOA)</w:t>
      </w:r>
    </w:p>
    <w:p>
      <w:pPr>
        <w:pStyle w:val="Heading2"/>
      </w:pPr>
      <w:r>
        <w:t>153.1 Introduction générale du chapitre</w:t>
      </w:r>
    </w:p>
    <w:p>
      <w:r>
        <w:t xml:space="preserve">Ce chapitre clôt la partie pharmacologique du </w:t>
      </w:r>
      <w:r>
        <w:rPr>
          <w:b/>
        </w:rPr>
        <w:t>Fascicule XVI — Rhumatologie</w:t>
      </w:r>
      <w:r>
        <w:t xml:space="preserve"> en abordant trois classes thérapeutiques qui couvrent un spectre décisionnel allant de la biothérapie orale de dernière génération (inhibiteurs de Janus Kinases, </w:t>
      </w:r>
      <w:r>
        <w:rPr>
          <w:i/>
        </w:rPr>
        <w:t>JAK inhibitors</w:t>
      </w:r>
      <w:r>
        <w:t xml:space="preserve">) aux traitements symptomatiques structuraux locaux (visco-supplémentation intra-articulaire par hyaluronate de sodium) et généraux (chondroprotecteurs de type SYSADOA, </w:t>
      </w:r>
      <w:r>
        <w:rPr>
          <w:i/>
        </w:rPr>
        <w:t>Symptomatic Slow-Acting Drugs for Osteoarthritis</w:t>
      </w:r>
      <w:r>
        <w:t xml:space="preserve">, avec la diacéréine comme représentant réglementaire algérien). Ces trois classes ont en commun de s'adresser à des pathologies articulaires chroniques — polyarthrite rhumatoïde (PR), spondyloarthrite axiale (SpA), rhumatisme psoriasique (RPso), arthrose périphérique symptomatique — dont la prise en charge, selon les recommandations EULAR 2022-2024, est hiérarchisée en paliers incluant AINS, conventional synthetic DMARDs (csDMARDs), biological DMARDs (bDMARDs) et targeted synthetic DMARDs (tsDMARDs). Les </w:t>
      </w:r>
      <w:r>
        <w:rPr>
          <w:b/>
        </w:rPr>
        <w:t>inhibiteurs JAK</w:t>
      </w:r>
      <w:r>
        <w:t xml:space="preserve"> appartiennent précisément à la classe des tsDMARDs : il s'agit de molécules de petite taille, administrées par voie orale, qui ont révolutionné l'accès à la biothérapie en éliminant la contrainte injectable, mais dont le profil de tolérance — notamment infectieux, vasculaire (thrombose veineuse profonde, embolie pulmonaire, événements cardiovasculaires majeurs) et néoplasique — a justifié, en 2022-2023, l'émission par l'EMA (PRAC) d'un certain nombre de restrictions d'AMM et d'avertissements de sécurité sévères, particulièrement chez le sujet âgé de plus de 65 ans et le patient à facteurs de risque cardiovasculaire ou thromboembolique veineux.</w:t>
      </w:r>
    </w:p>
    <w:p>
      <w:r>
        <w:t xml:space="preserve">La </w:t>
      </w:r>
      <w:r>
        <w:rPr>
          <w:b/>
        </w:rPr>
        <w:t>visco-supplémentation intra-articulaire</w:t>
      </w:r>
      <w:r>
        <w:t xml:space="preserve"> par hyaluronate de sodium occupe une place intermédiaire dans l'arthrose modérée à avancée : elle consiste en l'injection dans l'articulation dégradée d'un polymère d'acide hyaluronique de haut poids moléculaire visant à restaurer la viscoélasticité du liquide synovial physiologique (qui se dégrade avec l'arthrose — baisse de la concentration et du poids moléculaire de l'acide hyaluronique endogène), à améliorer la lubrification articulaire, à réduire la douleur mécanique par amortissement des contraintes mécaniques et par un effet biologique supposé sur les nocicepteurs articulaires. Son efficacité, longtemps débattue, fait l'objet de recommandations prudentes (EULAR 2020, OARSI 2019, ACR/AF 2019) qui la placent en option de seconde ligne après échec ou contre-indication des AINS, en particulier au genou, avec un niveau de preuve B-C et une amplitude d'effet modeste mais pouvant durer 6 mois. En Algérie, le hyaluronate de sodium disponible dans la nomenclature est principalement inscrit sous forme de collyre ophtalmologique (HYFRESH®, THERAFRESH®), la forme intra-articulaire étant le plus souvent importée par circuits hospitaliers ou privés — situation qui sera explicitée dans la fiche correspondante.</w:t>
      </w:r>
    </w:p>
    <w:p>
      <w:r>
        <w:t xml:space="preserve">Les </w:t>
      </w:r>
      <w:r>
        <w:rPr>
          <w:b/>
        </w:rPr>
        <w:t>SYSADOA</w:t>
      </w:r>
      <w:r>
        <w:t xml:space="preserve"> (</w:t>
      </w:r>
      <w:r>
        <w:rPr>
          <w:i/>
        </w:rPr>
        <w:t>Symptomatic Slow-Acting Drugs for Osteoarthritis</w:t>
      </w:r>
      <w:r>
        <w:t xml:space="preserve">) — dont le chef de file est la </w:t>
      </w:r>
      <w:r>
        <w:rPr>
          <w:b/>
        </w:rPr>
        <w:t>diacéréine</w:t>
      </w:r>
      <w:r>
        <w:t xml:space="preserve"> (anthraquinone inhibitrice de l'interleukine-1β) — sont des traitements oraux de fond de l'arthrose, caractérisés par un délai d'action différé de 2 à 3 mois (d'où leur dénomination </w:t>
      </w:r>
      <w:r>
        <w:rPr>
          <w:i/>
        </w:rPr>
        <w:t>slow-acting</w:t>
      </w:r>
      <w:r>
        <w:t>), une efficacité modeste mais persistante après arrêt (</w:t>
      </w:r>
      <w:r>
        <w:rPr>
          <w:i/>
        </w:rPr>
        <w:t>carry-over effect</w:t>
      </w:r>
      <w:r>
        <w:t>), et un profil de tolérance dominé par les troubles digestifs fonctionnels (diarrhée, douleurs abdominales) ainsi que, plus rarement, des manifestations d'hypersensibilité et une coloration brunâtre des urines sans gravité. Leur prescription en Algérie est encadrée par les recommandations EULAR 2003-2020 qui les positionnent en alternative aux AINS chez les patients à risque digestif ou cardiovasculaire, en cas d'arthrose fémoro-tibiale ou coxo-fémorale modérée ; la diacéréine est également étudiée dans l'arthrose digitale et la maladie de Forestier, mais avec un niveau de preuve plus faible. La spécificité réglementaire algérienne — deux spécialités actives (ARTROPI®, DIACENE 50®) en gélules de 50 mg et une spécialité retirée (ART 50®) — sera détaillée dans la fiche dédiée.</w:t>
      </w:r>
    </w:p>
    <w:p>
      <w:r>
        <w:t>L'ensemble de ce chapitre vise à offrir à l'étudiant en pharmacie comme au pharmacien d'offrine comme au clinicien rhumatologue un référentiel pratique et structuré permettant : (i) de connaître précisément les mécanismes d'action moléculaires de chacune des molécules ; (ii) de maîtriser leurs indications validées par l'AMM européenne (EMA) et algérienne (ANSM/MRH) ; (iii) de respecter les contre-indications et mises en garde spécifiques — particulièrement cruciales pour les inhibiteurs JAK en raison du signal cardiovasculaire et thromboembolique veineux ayant justifié la restriction de l'AMM ; (iv) de mettre en place le plan de surveillance multidimensionnel requis (NFS, bilan hépatique, bilan lipidique, sérologies infectieuses, dépistage TB, évaluation dermatologique, surveillance cardiovasculaire) ; (v) d'éduquer le patient à l'observance, à la détection précoce des signaux d'alerte infectieux ou thrombotiques, et à la coordination pluridisciplinaire de son parcours de soins.</w:t>
      </w:r>
    </w:p>
    <w:p>
      <w:pPr>
        <w:pStyle w:val="Heading2"/>
      </w:pPr>
      <w:r>
        <w:t>153.2 Sous-classe : Inhibiteurs de Janus Kinases (JAK inhibitors)</w:t>
      </w:r>
    </w:p>
    <w:p>
      <w:r>
        <w:t xml:space="preserve">Les </w:t>
      </w:r>
      <w:r>
        <w:rPr>
          <w:b/>
        </w:rPr>
        <w:t>inhibiteurs de Janus Kinases</w:t>
      </w:r>
      <w:r>
        <w:t xml:space="preserve"> constituent une famille thérapeutique née de la compréhension, dans les années 1990-2000, de la voie de signalisation intracellulaire JAK-STAT (</w:t>
      </w:r>
      <w:r>
        <w:rPr>
          <w:i/>
        </w:rPr>
        <w:t>Janus Kinase — Signal Transducer and Activator of Transcription</w:t>
      </w:r>
      <w:r>
        <w:t>). Cette voie est le canal de transmission du signal des cytokines pro-inflammatoires majeures impliquées dans la polyarthrite rhumatoïde, les spondyloarthrites et d'autres maladies auto-immunes : interleukine-6 (IL-6), interleukine-2 (IL-2), interleukine-7 (IL-7), interleukine-9 (IL-9), interleukine-15 (IL-15), interleukine-21 (IL-21), interleukine-12 (IL-12), interleukine-23 (IL-23), interféron de type I (IFN-α, IFN-β), interféron de type II (IFN-γ), GM-CSF (</w:t>
      </w:r>
      <w:r>
        <w:rPr>
          <w:i/>
        </w:rPr>
        <w:t>Granulocyte-Macrophage Colony-Stimulating Factor</w:t>
      </w:r>
      <w:r>
        <w:t xml:space="preserve">) et érythropoïétine. La famille des JAK comporte quatre tyrosine-kinases non réceptrices : JAK1, JAK2, JAK3 et TYK2. Les inhibiteurs disponibles en rhumatologie se répartissent selon leur profil de sélectivité : </w:t>
      </w:r>
      <w:r>
        <w:rPr>
          <w:b/>
        </w:rPr>
        <w:t>tofacitinib</w:t>
      </w:r>
      <w:r>
        <w:t xml:space="preserve"> (anti-JAK1/JAK3 prédominant), </w:t>
      </w:r>
      <w:r>
        <w:rPr>
          <w:b/>
        </w:rPr>
        <w:t>baricitinib</w:t>
      </w:r>
      <w:r>
        <w:t xml:space="preserve"> (anti-JAK1/JAK2 prédominant) et </w:t>
      </w:r>
      <w:r>
        <w:rPr>
          <w:b/>
        </w:rPr>
        <w:t>upadacitinib</w:t>
      </w:r>
      <w:r>
        <w:t xml:space="preserve"> (anti-JAK1 hautement sélectif). L'</w:t>
      </w:r>
      <w:r>
        <w:rPr>
          <w:b/>
        </w:rPr>
        <w:t>abrocitinib</w:t>
      </w:r>
      <w:r>
        <w:t xml:space="preserve"> (anti-JAK1, indiqué dans la dermatite atopique) et le </w:t>
      </w:r>
      <w:r>
        <w:rPr>
          <w:b/>
        </w:rPr>
        <w:t>deucravacitinib</w:t>
      </w:r>
      <w:r>
        <w:t xml:space="preserve"> (anti-TYK2, indiqué dans le psoriasis) n'appartiennent pas au champ rhumatologique de ce chapitre.</w:t>
      </w:r>
    </w:p>
    <w:p>
      <w:r>
        <w:t xml:space="preserve">L'intérêt thérapeutique des JAK inhibitors est triple : (i) </w:t>
      </w:r>
      <w:r>
        <w:rPr>
          <w:b/>
        </w:rPr>
        <w:t>efficacité orale</w:t>
      </w:r>
      <w:r>
        <w:t xml:space="preserve"> sans recours à la voie injectable ou sous-cutanée (atout majeur d'observance vs biothérapies injectables) ; (ii) </w:t>
      </w:r>
      <w:r>
        <w:rPr>
          <w:b/>
        </w:rPr>
        <w:t>rapidité d'action</w:t>
      </w:r>
      <w:r>
        <w:t xml:space="preserve"> (efficacité clinique dès la 2ᵉ-4ᵉ semaine pour le baricitinib et l'upadacitinib, dès la 4ᵉ-8ᵉ semaine pour le tofacitinib) ; (iii) </w:t>
      </w:r>
      <w:r>
        <w:rPr>
          <w:b/>
        </w:rPr>
        <w:t>alternative aux biothérapies anti-TNFα, anti-IL-6R et anti-CD20</w:t>
      </w:r>
      <w:r>
        <w:t xml:space="preserve"> en cas d'échec, d'intolérance ou de contre-indication à une première ligne de bDMARD. Cependant, le profil de tolérance a été bouleversé à partir de 2021 avec la publication de l'étude </w:t>
      </w:r>
      <w:r>
        <w:rPr>
          <w:b/>
        </w:rPr>
        <w:t>ORAL Surveillance</w:t>
      </w:r>
      <w:r>
        <w:t xml:space="preserve"> (Ytterberg SR et al., </w:t>
      </w:r>
      <w:r>
        <w:rPr>
          <w:i/>
        </w:rPr>
        <w:t>N Engl J Med</w:t>
      </w:r>
      <w:r>
        <w:t xml:space="preserve"> 2022) comparant, chez 4 362 patients PR âgés ≥ 50 ans avec au moins un facteur de risque cardiovasculaire, le tofacitinib à un anti-TNFα (étanercept ou adalimumab) : cette étude a montré une incidence supérieure d'événements thromboemboliques veineux (TEV), d'événements cardiovasculaires majeurs (MACE) et de cancers (toutes tumeurs solides et lymphomes) sous tofacitinib, conduisant l'EMA (PRAC, avril 2022 — réactualisé 2023) à émettre une restriction d'AMM pour l'ensemble des inhibiteurs JAK : utilisation à réserver en cas d'impossibilité d'utiliser un bDMARD classique, contre-indication chez les patients &gt; 65 ans sauf situation exceptionnelle, contre-indication en cas d'antécédent de thrombose veineuse, d'infarctus du myocarde, d'AVC, de facteurs de risque cardiovasculaires non contrôlés, et chez les patients à risque accru de cancer.</w:t>
      </w:r>
    </w:p>
    <w:p>
      <w:r>
        <w:t xml:space="preserve">En Algérie, trois spécialités sont inscrites et disponibles : </w:t>
      </w:r>
      <w:r>
        <w:rPr>
          <w:b/>
        </w:rPr>
        <w:t>TRIJAN®</w:t>
      </w:r>
      <w:r>
        <w:t xml:space="preserve"> (tofacitinib, laboratoire HIKMA PHARMA ALGERIA, cp 5 mg et 10 mg, B/60, Liste I) ; </w:t>
      </w:r>
      <w:r>
        <w:rPr>
          <w:b/>
        </w:rPr>
        <w:t>OLUMIANT®</w:t>
      </w:r>
      <w:r>
        <w:t xml:space="preserve"> (baricitinib, laboratoire BIOPHARM, cp 2 mg et 4 mg, B/28, Liste I) ; </w:t>
      </w:r>
      <w:r>
        <w:rPr>
          <w:b/>
        </w:rPr>
        <w:t>RINVOQ®</w:t>
      </w:r>
      <w:r>
        <w:t xml:space="preserve"> (upadacitinib, laboratoire ABBVIE DEUTSCHLAND GMBH &amp; CO.KG, cp LP 15 mg et 30 mg, flacon de 30, Liste I). Les trois molécules sont commercialisées en Algérie à un coût relativement élevé, remboursées par la sécurité sociale pour les indications AMM (PR active sévère de l'adulte en cas de réponse inadéquate ou d'intolérance à un ou plusieurs DMARDs, y compris le méthotrexate ; rhumatisme psoriasique actif en cas d'échec aux csDMARDs ; spondyloarthrite axiale sévère en cas d'échec aux AINS ; maladie de Still de l'adulte pour certains). Leur prescription est strictement réservée aux spécialistes rhumatologues (médecins spécialistes en rhumatologie), avec un cadre réglementaire de prescription initiale hospitalière annuelle en pratique clinique.</w:t>
      </w:r>
    </w:p>
    <w:p>
      <w:pPr>
        <w:pStyle w:val="Heading2"/>
      </w:pPr>
      <w:r>
        <w:t>153.3 DCI : Tofacitinib (usage rhumatologique)</w:t>
      </w:r>
    </w:p>
    <w:p>
      <w:pPr>
        <w:pStyle w:val="Heading3"/>
      </w:pPr>
      <w:r>
        <w:t>153.3.1 Catégories thérapeutiques et place dans la stratégie</w:t>
      </w:r>
    </w:p>
    <w:p>
      <w:pPr>
        <w:pStyle w:val="ListBullet"/>
      </w:pPr>
      <w:r/>
      <w:r>
        <w:rPr>
          <w:b/>
        </w:rPr>
        <w:t>Classe ATC</w:t>
      </w:r>
      <w:r>
        <w:t xml:space="preserve"> : L04AA54 (Tofacitinib)</w:t>
      </w:r>
    </w:p>
    <w:p>
      <w:pPr>
        <w:pStyle w:val="ListBullet"/>
      </w:pPr>
      <w:r/>
      <w:r>
        <w:rPr>
          <w:b/>
        </w:rPr>
        <w:t>Sous-classe pharmacologique</w:t>
      </w:r>
      <w:r>
        <w:t xml:space="preserve"> : Inhibiteur de Janus Kinases (JAK1/JAK3 prédominant), targeted synthetic DMARD (tsDMARD)</w:t>
      </w:r>
    </w:p>
    <w:p>
      <w:pPr>
        <w:pStyle w:val="ListBullet"/>
      </w:pPr>
      <w:r/>
      <w:r>
        <w:rPr>
          <w:b/>
        </w:rPr>
        <w:t>Liste des médicaments</w:t>
      </w:r>
      <w:r>
        <w:t xml:space="preserve"> : Liste I (prescription médicale obligatoire)</w:t>
      </w:r>
    </w:p>
    <w:p>
      <w:pPr>
        <w:pStyle w:val="ListBullet"/>
      </w:pPr>
      <w:r/>
      <w:r>
        <w:rPr>
          <w:b/>
        </w:rPr>
        <w:t>Statut réglementaire Algérie</w:t>
      </w:r>
      <w:r>
        <w:t xml:space="preserve"> : Liste I, commercialisé sous le nom de TRIJAN® (HIKMA PHARMA ALGERIA) ; disponible en cp pelliculé 5 mg et 10 mg, boîte de 60</w:t>
      </w:r>
    </w:p>
    <w:p>
      <w:pPr>
        <w:pStyle w:val="ListBullet"/>
      </w:pPr>
      <w:r/>
      <w:r>
        <w:rPr>
          <w:b/>
        </w:rPr>
        <w:t>Place dans la stratégie</w:t>
      </w:r>
      <w:r>
        <w:t xml:space="preserve"> : tsDMARD de 2ᵉ intention (après échec ou intolérance au méthotrexate et à au moins un bDMARD anti-TNFα selon les recommandations EULAR 2022), dans la polyarthrite rhumatoïde active sévère de l'adulte ; également indiqué dans le rhumatisme psoriasique (RPso), la spondyloarthrite axiale (SpA), la rectocolite hémorragique (RCH) et la maladie de Still de l'adulte. En raison du signal ORAL Surveillance (2022) et des recommandations EMA/PRAC d'avril 2022, son usage doit être </w:t>
      </w:r>
      <w:r>
        <w:rPr>
          <w:b/>
        </w:rPr>
        <w:t>réservé aux patients pour lesquels un traitement par bDMARD (anti-TNFα, anti-IL-6R, anti-CD20) n'est pas envisageable ou a échoué</w:t>
      </w:r>
      <w:r>
        <w:t>, en particulier chez les patients de moins de 65 ans sans antécédent thromboembolique veineux ni antécédent cardiovasculaire majeur ni facteur de risque de cancer</w:t>
      </w:r>
    </w:p>
    <w:p>
      <w:pPr>
        <w:pStyle w:val="ListBullet"/>
      </w:pPr>
      <w:r/>
      <w:r>
        <w:rPr>
          <w:b/>
        </w:rPr>
        <w:t>Index thérapeutique</w:t>
      </w:r>
      <w:r>
        <w:t xml:space="preserve"> : Étroit ; marge thérapeutique modeste justifiant une surveillance renforcée</w:t>
      </w:r>
    </w:p>
    <w:p>
      <w:pPr>
        <w:pStyle w:val="ListBullet"/>
      </w:pPr>
      <w:r/>
      <w:r>
        <w:rPr>
          <w:b/>
        </w:rPr>
        <w:t>Grossesse/Allaitement</w:t>
      </w:r>
      <w:r>
        <w:t xml:space="preserve"> : Contre-indiqué (données animales tératogènes, données humaines limitées — CRAT : déconseillé, à éviter)</w:t>
      </w:r>
    </w:p>
    <w:p>
      <w:r>
        <w:t>Le tofacitinib (Xeljanz® aux USA, TRIJAN® en Algérie) est le premier inhibiteur JAK à avoir obtenu une AMM, initialement aux États-Unis en 2012 (FDA) puis en Europe en 2017 (EMA). Sa molécule, conçue par Pfizer, s'est rapidement imposée comme une alternative orale aux biothérapies injectables dans la PR active sévère, avec une efficacité démontrée sur les critères ACR20/50/70, la progression structurale radiographique (érosions, pincement articulaire) et la qualité de vie. Cependant, l'étude ORAL Surveillance (2022), conduite pour répondre à une exigence post-AMM de la FDA, a montré chez des patients PR âgés de ≥ 50 ans avec au moins un facteur de risque cardiovasculaire, une incidence supérieure d'événements thromboemboliques veineux (TEV : environ 0,8-1,3 % par an vs 0,3-0,5 % sous anti-TNFα), d'événements cardiovasculaires majeurs (MACE : infarctus du myocarde, AVC, mort cardiovasculaire — environ 1,0-1,4 % vs 0,7-0,9 %) et de cancers (≈ 1,2-1,5 % vs 0,8-1,0 %). Ces données ont conduit l'EMA et la FDA à restreindre l'AMM en 2022-2023 : utilisation réservée en cas d'impossibilité d'utiliser un bDMARD classique, contre-indication chez les patients &gt; 65 ans, antécédent de TEV, d'infarctus du myocarde ou d'AVC, et chez les patients fumeurs actifs ou présentant des facteurs de risque cardiovasculaire non contrôlés. En Algérie, le tofacitinib a été mis sur le marché par HIKMA PHARMA ALGERIA sous le nom TRIJAN® à partir de 2022-2023, avec une commercialisation en cp pelliculé 5 mg (B/60) et 10 mg (B/60), Liste I, remboursé par la sécurité sociale pour les indications AMM PR, RPso et SpA.</w:t>
      </w:r>
    </w:p>
    <w:p>
      <w:pPr>
        <w:pStyle w:val="Heading3"/>
      </w:pPr>
      <w:r>
        <w:t>153.3.2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TRIJAN</w:t>
            </w:r>
          </w:p>
        </w:tc>
        <w:tc>
          <w:tcPr>
            <w:tcW w:type="dxa" w:w="1559"/>
          </w:tcPr>
          <w:p>
            <w:r>
              <w:rPr>
                <w:sz w:val="20"/>
              </w:rPr>
              <w:t>HIKMA PHARMA ALGERIA</w:t>
            </w:r>
          </w:p>
        </w:tc>
        <w:tc>
          <w:tcPr>
            <w:tcW w:type="dxa" w:w="1559"/>
          </w:tcPr>
          <w:p>
            <w:r>
              <w:rPr>
                <w:sz w:val="20"/>
              </w:rPr>
              <w:t>Comprimé pelliculé — 5 mg</w:t>
            </w:r>
          </w:p>
        </w:tc>
        <w:tc>
          <w:tcPr>
            <w:tcW w:type="dxa" w:w="1559"/>
          </w:tcPr>
          <w:p>
            <w:r>
              <w:rPr>
                <w:sz w:val="20"/>
              </w:rPr>
              <w:t>B/60</w:t>
            </w:r>
          </w:p>
        </w:tc>
        <w:tc>
          <w:tcPr>
            <w:tcW w:type="dxa" w:w="1559"/>
          </w:tcPr>
          <w:p>
            <w:r>
              <w:rPr>
                <w:sz w:val="20"/>
              </w:rPr>
              <w:t>LISTE I</w:t>
            </w:r>
          </w:p>
        </w:tc>
        <w:tc>
          <w:tcPr>
            <w:tcW w:type="dxa" w:w="1559"/>
          </w:tcPr>
          <w:p>
            <w:r>
              <w:rPr>
                <w:sz w:val="20"/>
              </w:rPr>
              <w:t>ACTIF</w:t>
            </w:r>
          </w:p>
        </w:tc>
      </w:tr>
      <w:tr>
        <w:tc>
          <w:tcPr>
            <w:tcW w:type="dxa" w:w="1559"/>
          </w:tcPr>
          <w:p>
            <w:r>
              <w:rPr>
                <w:sz w:val="20"/>
              </w:rPr>
              <w:t>TRIJAN</w:t>
            </w:r>
          </w:p>
        </w:tc>
        <w:tc>
          <w:tcPr>
            <w:tcW w:type="dxa" w:w="1559"/>
          </w:tcPr>
          <w:p>
            <w:r>
              <w:rPr>
                <w:sz w:val="20"/>
              </w:rPr>
              <w:t>HIKMA PHARMA ALGERIA</w:t>
            </w:r>
          </w:p>
        </w:tc>
        <w:tc>
          <w:tcPr>
            <w:tcW w:type="dxa" w:w="1559"/>
          </w:tcPr>
          <w:p>
            <w:r>
              <w:rPr>
                <w:sz w:val="20"/>
              </w:rPr>
              <w:t>Comprimé pelliculé — 10 mg</w:t>
            </w:r>
          </w:p>
        </w:tc>
        <w:tc>
          <w:tcPr>
            <w:tcW w:type="dxa" w:w="1559"/>
          </w:tcPr>
          <w:p>
            <w:r>
              <w:rPr>
                <w:sz w:val="20"/>
              </w:rPr>
              <w:t>B/60</w:t>
            </w:r>
          </w:p>
        </w:tc>
        <w:tc>
          <w:tcPr>
            <w:tcW w:type="dxa" w:w="1559"/>
          </w:tcPr>
          <w:p>
            <w:r>
              <w:rPr>
                <w:sz w:val="20"/>
              </w:rPr>
              <w:t>LISTE I</w:t>
            </w:r>
          </w:p>
        </w:tc>
        <w:tc>
          <w:tcPr>
            <w:tcW w:type="dxa" w:w="1559"/>
          </w:tcPr>
          <w:p>
            <w:r>
              <w:rPr>
                <w:sz w:val="20"/>
              </w:rPr>
              <w:t>ACTIF</w:t>
            </w:r>
          </w:p>
        </w:tc>
      </w:tr>
    </w:tbl>
    <w:p/>
    <w:p>
      <w:r/>
      <w:r>
        <w:rPr>
          <w:b/>
        </w:rPr>
        <w:t>Spécificités de dispensation</w:t>
      </w:r>
      <w:r>
        <w:t xml:space="preserve"> : Liste I (prescription médicale obligatoire). En pratique clinique rhumatologique, prescription réservée aux spécialistes (médecins spécialistes en rhumatologie) et encadrée par un cadre de prescription initiale hospitalière annuelle, avec renouvellement possible en ville. La substitution par le pharmacien d'officine est interdite (médicament de la liste I sans équivalence stricte). Le générique n'est pas disponible en Algérie. Conservation : à température ambiante ≤ 25 °C, à l'abri de l'humidité et de la lumière, dans l'emballage d'origine. Durée de conservation après délivrance : 24 mois (Date de Péremption inscrite sur l'emballage).</w:t>
      </w:r>
    </w:p>
    <w:p>
      <w:pPr>
        <w:pStyle w:val="Heading3"/>
      </w:pPr>
      <w:r>
        <w:t>153.3.3 Mécanisme d'action</w:t>
      </w:r>
    </w:p>
    <w:p>
      <w:r>
        <w:t xml:space="preserve">Le tofacitinib est un inhibiteur réversible, compétitif par rapport à l'ATP, des </w:t>
      </w:r>
      <w:r>
        <w:rPr>
          <w:b/>
        </w:rPr>
        <w:t>Janus Kinases JAK1 et JAK3</w:t>
      </w:r>
      <w:r>
        <w:t>, avec une activité moindre sur JAK2 et TYK2 (profil de sélectivité JAK1/JAK3 ≈ 5-10 fois supérieur à JAK2). La voie de signalisation JAK-STAT est le canal intracellulaire de transmission du signal de nombreuses cytokines pro-inflammatoires : lors de la fixation d'une cytokine (IL-2, IL-4, IL-6, IL-7, IL-9, IL-15, IL-21, IFN-α/β/γ, GM-CSF) sur son récepteur membranaire, les JAK associées au récepteur se phosphorylent mutuellement, recrutent et phosphorylent des protéines STAT (</w:t>
      </w:r>
      <w:r>
        <w:rPr>
          <w:i/>
        </w:rPr>
        <w:t>Signal Transducer and Activator of Transcription</w:t>
      </w:r>
      <w:r>
        <w:t>), qui dimérisent puis transitent dans le noyau pour activer la transcription de gènes cibles pro-inflammatoires (cytokines, chimiokines, molécules d'adhésion, facteurs de croissance, métalloprotéinases).</w:t>
      </w:r>
    </w:p>
    <w:p>
      <w:r>
        <w:t xml:space="preserve">En inhibant JAK1 et JAK3, le tofacitinib bloque la signalisation induite par les cytokines de la famille des </w:t>
      </w:r>
      <w:r>
        <w:rPr>
          <w:b/>
        </w:rPr>
        <w:t>gc cytokines</w:t>
      </w:r>
      <w:r>
        <w:t xml:space="preserve"> (chaîne gamma commune — IL-2, IL-4, IL-7, IL-9, IL-15, IL-21 — impliquées dans la prolifération lymphocytaire T et NK, la production d'IFN-γ, la maturation thymique et la survie lymphocytaire) ainsi que par l'IL-6 (voie JAK1/JAK2/TYK2 → STAT3), l'IFN de type I (voie JAK1/TYK2 → STAT1/2), l'IFN-γ (voie JAK1/JAK2 → STAT1) et le GM-CSF (voie JAK2 → STAT5). Cette inhibition multi-cytokinique explique l'efficacité anti-inflammatoire et immunosuppressive observée dans la PR et le RPso, mais également le profil d'effets indésirables infectieux (immunosuppression lymphocytaire T, baisse des lymphocytes NK), hématologique (baisse modérée des polynucléaires neutrophiles par inhibition de GM-CSF, baisse de l'hématopoïèse par inhibition JAK2 relative), lipidique (modification du métabolisme lipidique hépatique) et hépatique (cytolyse modérée) du tofacitinib.</w:t>
      </w:r>
    </w:p>
    <w:p>
      <w:pPr>
        <w:pStyle w:val="Heading3"/>
      </w:pPr>
      <w:r>
        <w:t>153.3.4 Pharmacocinétique</w:t>
      </w:r>
    </w:p>
    <w:p>
      <w:r>
        <w:t xml:space="preserve">Le tofacitinib est absorbé rapidement par voie orale avec une </w:t>
      </w:r>
      <w:r>
        <w:rPr>
          <w:b/>
        </w:rPr>
        <w:t>biodisponibilité de 74 %</w:t>
      </w:r>
      <w:r>
        <w:t xml:space="preserve">, un </w:t>
      </w:r>
      <w:r>
        <w:rPr>
          <w:b/>
        </w:rPr>
        <w:t>Tmax de 0,5-1 heure</w:t>
      </w:r>
      <w:r>
        <w:t xml:space="preserve"> et une </w:t>
      </w:r>
      <w:r>
        <w:rPr>
          <w:b/>
        </w:rPr>
        <w:t>demi-vie d'élimination d'environ 3 heures</w:t>
      </w:r>
      <w:r>
        <w:t xml:space="preserve"> (forme à libération immédiate). La Cmax après une dose de 5 mg est d'environ 50-65 ng/mL, et l'ASC0-12h d'environ 250-300 ng·h/mL. L'alimentation n'a pas d'effet significatif sur l'absorption (le comprimé peut être pris à jeun ou au cours d'un repas).</w:t>
      </w:r>
    </w:p>
    <w:p>
      <w:r>
        <w:t xml:space="preserve">Le </w:t>
      </w:r>
      <w:r>
        <w:rPr>
          <w:b/>
        </w:rPr>
        <w:t>métabolisme</w:t>
      </w:r>
      <w:r>
        <w:t xml:space="preserve"> est principalement hépatique (70 %), médié par le CYP3A4 et, dans une moindre mesure, par le CYP2C19. Le métabolisme hépatique conduit à environ 10 métabolites, dont aucun n'est pharmacologiquement actif à des concentrations significatives. L'élimination se fait à 30 % par voie rénale (sous forme inchangée) et à 70 % par voie hépatobiliaire (métabolites). Le tofacitinib n'est pas un inhibiteur ni un inducteur significatif des principaux CYP à doses thérapeutiques, mais est </w:t>
      </w:r>
      <w:r>
        <w:rPr>
          <w:b/>
        </w:rPr>
        <w:t>substrat du CYP3A4</w:t>
      </w:r>
      <w:r>
        <w:t xml:space="preserve"> — d'où les interactions majeures avec les inhibiteurs puissants du CYP3A4 (kétoconazole, clarithromycine, ritonavir, itraconazole, voriconazole) qui multiplient l'exposition par 2 à 3, et les inducteurs puissants (rifampicine, phénobarbital, carbamazépine, phénytoïne, millepertuis) qui réduisent l'exposition de 50 à 80 % et justifient une contre-indication ou une adaptation posologique.</w:t>
      </w:r>
    </w:p>
    <w:p>
      <w:r>
        <w:t>L'</w:t>
      </w:r>
      <w:r>
        <w:rPr>
          <w:b/>
        </w:rPr>
        <w:t>insuffisance rénale</w:t>
      </w:r>
      <w:r>
        <w:t xml:space="preserve"> modérée (DFG 30-50 mL/min) et sévère (DFG &lt; 30 mL/min) justifie une adaptation posologique (réduction de moitié de la dose, ou espacement). L'</w:t>
      </w:r>
      <w:r>
        <w:rPr>
          <w:b/>
        </w:rPr>
        <w:t>insuffisance hépatique</w:t>
      </w:r>
      <w:r>
        <w:t xml:space="preserve"> modérée (Child-Pugh B) requiert une réduction posologique (5 mg × 1/jour au lieu de × 2/jour), et l'insuffisance hépatique sévère (Child-Pugh C) contre-indique le tofacitinib. Le tofacitinib n'est pas dialysable de manière significative (faible fraction libre plasmatique, forte liaison aux protéines ~ 40 %).</w:t>
      </w:r>
    </w:p>
    <w:p>
      <w:pPr>
        <w:pStyle w:val="Heading3"/>
      </w:pPr>
      <w:r>
        <w:t>153.3.5 Indications thérapeutiques</w:t>
      </w:r>
    </w:p>
    <w:p>
      <w:pPr>
        <w:pStyle w:val="ListBullet"/>
      </w:pPr>
      <w:r/>
      <w:r>
        <w:rPr>
          <w:b/>
        </w:rPr>
        <w:t>Polyarthrite rhumatoïde (PR) active sévère de l'adulte</w:t>
      </w:r>
      <w:r>
        <w:t xml:space="preserve"> : en cas de réponse inadéquate ou d'intolérance à un ou plusieurs DMARDs conventionnels (méthotrexate, léflunomide, sulfasalazine) ET en cas d'impossibilité d'utiliser un bDMARD (anti-TNFα : adalimumab, étanercept, infliximab, certolizumab ; anti-IL-6R : tocilizumab, sarilumab ; anti-CD20 : rituximab). Selon les recommandations EULAR 2022, le tofacitinib est positionné en 2ᵉ ligne de tsDMARD, après une première ligne de bDMARD, en raison du signal ORAL Surveillance. AMM européenne : 5 mg × 2/jour per os, en association au méthotrexate, ou en monothérapie en cas d'intolérance au méthotrexate.</w:t>
      </w:r>
    </w:p>
    <w:p>
      <w:pPr>
        <w:pStyle w:val="ListBullet"/>
      </w:pPr>
      <w:r/>
      <w:r>
        <w:rPr>
          <w:b/>
        </w:rPr>
        <w:t>Rhumatisme psoriasique (RPso) actif de l'adulte</w:t>
      </w:r>
      <w:r>
        <w:t xml:space="preserve"> : en cas de réponse inadéquate ou d'intolérance à un csDMARD (notamment méthotrexate). AMM européenne : 5 mg × 2/jour, en association au méthotrexate ou en monothérapie. Une forme à libération prolongée 11 mg × 1/jour existe dans certaines présentations internationales mais n'est pas disponible en Algérie à ce jour.</w:t>
      </w:r>
    </w:p>
    <w:p>
      <w:pPr>
        <w:pStyle w:val="ListBullet"/>
      </w:pPr>
      <w:r/>
      <w:r>
        <w:rPr>
          <w:b/>
        </w:rPr>
        <w:t>Spondyloarthrite axiale (SpA) active sévère de l'adulte, y compris spondylite ankylosante (SA) et SpA non radiographique (nr-axSpA)</w:t>
      </w:r>
      <w:r>
        <w:t xml:space="preserve"> : en cas de réponse inadéquate à un ou plusieurs AINS à dose maximale tolérée. AMM : 5 mg × 2/jour.</w:t>
      </w:r>
    </w:p>
    <w:p>
      <w:pPr>
        <w:pStyle w:val="ListBullet"/>
      </w:pPr>
      <w:r/>
      <w:r>
        <w:rPr>
          <w:b/>
        </w:rPr>
        <w:t>Rectocolite hémorragique (RCH) modérée à sévère de l'adulte</w:t>
      </w:r>
      <w:r>
        <w:t xml:space="preserve"> : en cas de réponse inadéquate, perte de réponse ou intolérance au traitement conventionnel (5-ASA, corticothérapie, azathioprine/6-MP) ou à un bDMARD (anti-TNFα, vedolizumab). AMM : induction 10 mg × 2/jour pendant 8 semaines, puis entretien 5 mg × 2/jour (ou 10 mg × 2/jour en cas de réponse insuffisante).</w:t>
      </w:r>
    </w:p>
    <w:p>
      <w:pPr>
        <w:pStyle w:val="ListBullet"/>
      </w:pPr>
      <w:r/>
      <w:r>
        <w:rPr>
          <w:b/>
        </w:rPr>
        <w:t>Maladie de Still de l'adulte (AoSD, Adult-Onset Still's Disease)</w:t>
      </w:r>
      <w:r>
        <w:t xml:space="preserve"> : en cas de réponse inadéquate ou d'intolérance aux AINS et à la corticothérapie. AMM : 5 mg × 2/jour (induction possible à 10 mg × 2/jour). Indication de plus récente obtention (2021).</w:t>
      </w:r>
    </w:p>
    <w:p>
      <w:pPr>
        <w:pStyle w:val="ListBullet"/>
      </w:pPr>
      <w:r/>
      <w:r>
        <w:rPr>
          <w:b/>
        </w:rPr>
        <w:t>Arthrite juvénile idiopathique (AJI) polyarticulaire</w:t>
      </w:r>
      <w:r>
        <w:t xml:space="preserve"> : AMM pédiatrique (enfants ≥ 2 ans, poids ≥ 40 kg) — non concernée par les spécialités algériennes disponibles.</w:t>
      </w:r>
    </w:p>
    <w:p>
      <w:pPr>
        <w:pStyle w:val="Heading3"/>
      </w:pPr>
      <w:r>
        <w:t>153.3.6 Contre-indications</w:t>
      </w:r>
    </w:p>
    <w:p>
      <w:pPr>
        <w:pStyle w:val="ListBullet"/>
      </w:pPr>
      <w:r/>
      <w:r>
        <w:rPr>
          <w:b/>
        </w:rPr>
        <w:t>Contre-indications absolues</w:t>
      </w:r>
      <w:r>
        <w:t xml:space="preserve"> :</w:t>
      </w:r>
    </w:p>
    <w:p>
      <w:pPr>
        <w:pStyle w:val="ListBullet"/>
      </w:pPr>
      <w:r>
        <w:t>Hypersensibilité à la substance active ou à l'un des excipients</w:t>
      </w:r>
    </w:p>
    <w:p>
      <w:pPr>
        <w:pStyle w:val="ListBullet"/>
      </w:pPr>
      <w:r/>
      <w:r>
        <w:rPr>
          <w:b/>
        </w:rPr>
        <w:t>Patients âgés ≥ 65 ans</w:t>
      </w:r>
      <w:r>
        <w:t xml:space="preserve"> (selon recommandations EMA/PRAC avril 2022, sauf situation exceptionnelle où aucune alternative thérapeutique n'est envisageable)</w:t>
      </w:r>
    </w:p>
    <w:p>
      <w:pPr>
        <w:pStyle w:val="ListBullet"/>
      </w:pPr>
      <w:r/>
      <w:r>
        <w:rPr>
          <w:b/>
        </w:rPr>
        <w:t>Antécédent de thrombose veineuse</w:t>
      </w:r>
      <w:r>
        <w:t xml:space="preserve"> (TVP, embolie pulmonaire) ou thrombose veineuse cérébrale, thrombose veineuse splanchnique, syndrome des antiphospholipides</w:t>
      </w:r>
    </w:p>
    <w:p>
      <w:pPr>
        <w:pStyle w:val="ListBullet"/>
      </w:pPr>
      <w:r/>
      <w:r>
        <w:rPr>
          <w:b/>
        </w:rPr>
        <w:t>Antécédent d'événement cardiovasculaire majeur</w:t>
      </w:r>
      <w:r>
        <w:t xml:space="preserve"> (MACE : infarctus du myocarde, AVC ischémique ou hémorragique, mort cardiovasculaire)</w:t>
      </w:r>
    </w:p>
    <w:p>
      <w:pPr>
        <w:pStyle w:val="ListBullet"/>
      </w:pPr>
      <w:r/>
      <w:r>
        <w:rPr>
          <w:b/>
        </w:rPr>
        <w:t>Facteurs de risque cardiovasculaire non contrôlés</w:t>
      </w:r>
      <w:r>
        <w:t xml:space="preserve"> : diabète déséquilibré (HbA1c &gt; 8,5 %), hypertension artérielle non contrôlée (&gt; 160/100 mmHg), dyslipidémie sévère non traitée, tabagisme actif sevrage &lt; 6 mois, insuffisance cardiaque NYHA III-IV</w:t>
      </w:r>
    </w:p>
    <w:p>
      <w:pPr>
        <w:pStyle w:val="ListBullet"/>
      </w:pPr>
      <w:r/>
      <w:r>
        <w:rPr>
          <w:b/>
        </w:rPr>
        <w:t>Patients à risque accru de cancer</w:t>
      </w:r>
      <w:r>
        <w:t xml:space="preserve"> : antécédent personnel de cancer solide ou hématologique (sauf cancer basocellulaire cutané traité), antécédent familial de cancer héréditaire (BRCA1/2, Lynch, polypose adénomateuse familiale), lésions pré-néoplasiques évolutives</w:t>
      </w:r>
    </w:p>
    <w:p>
      <w:pPr>
        <w:pStyle w:val="ListBullet"/>
      </w:pPr>
      <w:r/>
      <w:r>
        <w:rPr>
          <w:b/>
        </w:rPr>
        <w:t>Infection sévère active</w:t>
      </w:r>
      <w:r>
        <w:t xml:space="preserve"> : septicémie, infection opportuniste (TB active, mycose invasive, infection à CMV ou EBV symptomatique, LEMP), infection par le VHB (réactivation) ou VHC non contrôlé</w:t>
      </w:r>
    </w:p>
    <w:p>
      <w:pPr>
        <w:pStyle w:val="ListBullet"/>
      </w:pPr>
      <w:r/>
      <w:r>
        <w:rPr>
          <w:b/>
        </w:rPr>
        <w:t>Tuberculose active</w:t>
      </w:r>
      <w:r>
        <w:t xml:space="preserve"> non traitée</w:t>
      </w:r>
    </w:p>
    <w:p>
      <w:pPr>
        <w:pStyle w:val="ListBullet"/>
      </w:pPr>
      <w:r/>
      <w:r>
        <w:rPr>
          <w:b/>
        </w:rPr>
        <w:t>Insuffisance hépatique sévère</w:t>
      </w:r>
      <w:r>
        <w:t xml:space="preserve"> (Child-Pugh C)</w:t>
      </w:r>
    </w:p>
    <w:p>
      <w:pPr>
        <w:pStyle w:val="ListBullet"/>
      </w:pPr>
      <w:r/>
      <w:r>
        <w:rPr>
          <w:b/>
        </w:rPr>
        <w:t>Grossesse et allaitement</w:t>
      </w:r>
      <w:r>
        <w:t xml:space="preserve"> (voir section dédiée CRAT)</w:t>
      </w:r>
    </w:p>
    <w:p>
      <w:pPr>
        <w:pStyle w:val="ListBullet"/>
      </w:pPr>
      <w:r/>
      <w:r>
        <w:rPr>
          <w:b/>
        </w:rPr>
        <w:t>Associations médicamenteuses</w:t>
      </w:r>
      <w:r>
        <w:t xml:space="preserve"> : inhibiteurs puissants du CYP3A4 (kétoconazole, clarithromycine, ritonavir, itraconazole, voriconazole, posaconazole), inducteurs puissants (rifampicine, phénobarbital, carbamazépine, phénytoïne, millepertuis), immunosuppresseurs puissants (ciclosporine, tacrolimus, azathioprine à forte dose) — en raison du sur-risque immunosuppressif et d'interactions pharmacocinétiques</w:t>
      </w:r>
    </w:p>
    <w:p>
      <w:pPr>
        <w:pStyle w:val="ListBullet"/>
      </w:pPr>
      <w:r/>
      <w:r>
        <w:rPr>
          <w:b/>
        </w:rPr>
        <w:t>Vaccins vivants atténués</w:t>
      </w:r>
      <w:r>
        <w:t xml:space="preserve"> : BCG, rougeole-oreillons-rubéole, fièvre jaune, varicelle-zona, rotavirus — à éviter pendant le traitement et jusqu'à 4 semaines après l'arrêt</w:t>
      </w:r>
    </w:p>
    <w:p>
      <w:pPr>
        <w:pStyle w:val="ListBullet"/>
      </w:pPr>
      <w:r/>
      <w:r>
        <w:rPr>
          <w:b/>
        </w:rPr>
        <w:t>Contre-indications relatives / Précautions d'emploi</w:t>
      </w:r>
      <w:r>
        <w:t xml:space="preserve"> :</w:t>
      </w:r>
    </w:p>
    <w:p>
      <w:pPr>
        <w:pStyle w:val="ListBullet"/>
      </w:pPr>
      <w:r>
        <w:t>Insuffisance rénale modérée à sévère (adaptation posologique)</w:t>
      </w:r>
    </w:p>
    <w:p>
      <w:pPr>
        <w:pStyle w:val="ListBullet"/>
      </w:pPr>
      <w:r>
        <w:t>Insuffisance hépatique modérée (Child-Pugh B) : réduction posologique</w:t>
      </w:r>
    </w:p>
    <w:p>
      <w:pPr>
        <w:pStyle w:val="ListBullet"/>
      </w:pPr>
      <w:r>
        <w:t>Cytopénies préexistantes (lymphopénie &lt; 500/mm³, neutropénie &lt; 1500/mm³, anémie Hb &lt; 9 g/dL)</w:t>
      </w:r>
    </w:p>
    <w:p>
      <w:pPr>
        <w:pStyle w:val="ListBullet"/>
      </w:pPr>
      <w:r>
        <w:t>Sujet jeune fumeur (évaluation bénéfice/risque renforcée)</w:t>
      </w:r>
    </w:p>
    <w:p>
      <w:pPr>
        <w:pStyle w:val="ListBullet"/>
      </w:pPr>
      <w:r>
        <w:t>Maladie pulmonaire obstructive chronique (BPCO) sévère ou bronchectasies (sur-risque infectieux)</w:t>
      </w:r>
    </w:p>
    <w:p>
      <w:pPr>
        <w:pStyle w:val="ListBullet"/>
      </w:pPr>
      <w:r>
        <w:t>Diabète déséquilibré (HbA1c &gt; 8 %)</w:t>
      </w:r>
    </w:p>
    <w:p>
      <w:pPr>
        <w:pStyle w:val="ListBullet"/>
      </w:pPr>
      <w:r>
        <w:t>Hypogammaglobulinémie</w:t>
      </w:r>
    </w:p>
    <w:p>
      <w:pPr>
        <w:pStyle w:val="ListBullet"/>
      </w:pPr>
      <w:r>
        <w:t>Diverticulite ou antécédent de perforation digestive (sur-risque de perforation digestive sous JAK inhibitors)</w:t>
      </w:r>
    </w:p>
    <w:p>
      <w:pPr>
        <w:pStyle w:val="Heading3"/>
      </w:pPr>
      <w:r>
        <w:t>153.3.7 Effets indésirables</w:t>
      </w:r>
    </w:p>
    <w:p>
      <w:r/>
      <w:r>
        <w:rPr>
          <w:b/>
        </w:rPr>
        <w:t>Infectieux</w:t>
      </w:r>
      <w:r>
        <w:t xml:space="preserve"> (les plus fréquents et potentiellement graves) :</w:t>
      </w:r>
    </w:p>
    <w:p>
      <w:pPr>
        <w:pStyle w:val="ListBullet"/>
      </w:pPr>
      <w:r/>
      <w:r>
        <w:rPr>
          <w:b/>
        </w:rPr>
        <w:t>Infections des voies respiratoires supérieures</w:t>
      </w:r>
      <w:r>
        <w:t xml:space="preserve"> (rhinopharyngite, sinusite) : 10-15 %</w:t>
      </w:r>
    </w:p>
    <w:p>
      <w:pPr>
        <w:pStyle w:val="ListBullet"/>
      </w:pPr>
      <w:r/>
      <w:r>
        <w:rPr>
          <w:b/>
        </w:rPr>
        <w:t>Infections des voies respiratoires inférieures</w:t>
      </w:r>
      <w:r>
        <w:t xml:space="preserve"> (bronchite, pneumopathie) : 3-5 %</w:t>
      </w:r>
    </w:p>
    <w:p>
      <w:pPr>
        <w:pStyle w:val="ListBullet"/>
      </w:pPr>
      <w:r/>
      <w:r>
        <w:rPr>
          <w:b/>
        </w:rPr>
        <w:t>Infections urinaires</w:t>
      </w:r>
      <w:r>
        <w:t xml:space="preserve"> : 3-5 %</w:t>
      </w:r>
    </w:p>
    <w:p>
      <w:pPr>
        <w:pStyle w:val="ListBullet"/>
      </w:pPr>
      <w:r/>
      <w:r>
        <w:rPr>
          <w:b/>
        </w:rPr>
        <w:t>Zona</w:t>
      </w:r>
      <w:r>
        <w:t xml:space="preserve"> : incidence 2-4 % par an, particulièrement fréquent sous tofacitinib (risque relatif x 2 vs anti-TNFα) — notamment zona ophtalmique, zona disséminé, zona multidermatomérique (justifiant la vaccination Shingrix® avant initiation si possible)</w:t>
      </w:r>
    </w:p>
    <w:p>
      <w:pPr>
        <w:pStyle w:val="ListBullet"/>
      </w:pPr>
      <w:r/>
      <w:r>
        <w:rPr>
          <w:b/>
        </w:rPr>
        <w:t>Tuberculose</w:t>
      </w:r>
      <w:r>
        <w:t xml:space="preserve"> (TB) : réactivation possible (TB latente → TB active) — dépistage pré-thérapeutique obligatoire ( IDR à 5 UI ou IGRA Quantiferon-TB Gold)</w:t>
      </w:r>
    </w:p>
    <w:p>
      <w:pPr>
        <w:pStyle w:val="ListBullet"/>
      </w:pPr>
      <w:r/>
      <w:r>
        <w:rPr>
          <w:b/>
        </w:rPr>
        <w:t>Infections opportunistes</w:t>
      </w:r>
      <w:r>
        <w:t xml:space="preserve"> : pneumocystose, candidose profonde, infection à mycobactéries atypiques, LEMP (très rare)</w:t>
      </w:r>
    </w:p>
    <w:p>
      <w:pPr>
        <w:pStyle w:val="ListBullet"/>
      </w:pPr>
      <w:r/>
      <w:r>
        <w:rPr>
          <w:b/>
        </w:rPr>
        <w:t>Infections bactériennes sévères</w:t>
      </w:r>
      <w:r>
        <w:t xml:space="preserve"> : cellulite, pyélonéphrite, pneumopathie bactérienne, septicémie</w:t>
      </w:r>
    </w:p>
    <w:p>
      <w:r/>
      <w:r>
        <w:rPr>
          <w:b/>
        </w:rPr>
        <w:t>Hématologiques</w:t>
      </w:r>
      <w:r>
        <w:t xml:space="preserve"> :</w:t>
      </w:r>
    </w:p>
    <w:p>
      <w:pPr>
        <w:pStyle w:val="ListBullet"/>
      </w:pPr>
      <w:r/>
      <w:r>
        <w:rPr>
          <w:b/>
        </w:rPr>
        <w:t>Neutropénie</w:t>
      </w:r>
      <w:r>
        <w:t xml:space="preserve"> : 5-8 % (modérée, &lt; 1500/mm³) ; 0,5-1 % sévère (&lt; 1000/mm³)</w:t>
      </w:r>
    </w:p>
    <w:p>
      <w:pPr>
        <w:pStyle w:val="ListBullet"/>
      </w:pPr>
      <w:r/>
      <w:r>
        <w:rPr>
          <w:b/>
        </w:rPr>
        <w:t>Lymphopénie</w:t>
      </w:r>
      <w:r>
        <w:t xml:space="preserve"> : 5-10 % (lymphocytes T CD4+ et NK, retour à la normale en 4-6 semaines après arrêt)</w:t>
      </w:r>
    </w:p>
    <w:p>
      <w:pPr>
        <w:pStyle w:val="ListBullet"/>
      </w:pPr>
      <w:r/>
      <w:r>
        <w:rPr>
          <w:b/>
        </w:rPr>
        <w:t>Anémie</w:t>
      </w:r>
      <w:r>
        <w:t xml:space="preserve"> : 2-4 %</w:t>
      </w:r>
    </w:p>
    <w:p>
      <w:pPr>
        <w:pStyle w:val="ListBullet"/>
      </w:pPr>
      <w:r/>
      <w:r>
        <w:rPr>
          <w:b/>
        </w:rPr>
        <w:t>Thrombopénie</w:t>
      </w:r>
      <w:r>
        <w:t xml:space="preserve"> : rare (&lt; 1 %)</w:t>
      </w:r>
    </w:p>
    <w:p>
      <w:pPr>
        <w:pStyle w:val="ListBullet"/>
      </w:pPr>
      <w:r>
        <w:t>Élévation de la CRP et de la VS diminuée (efficacité anti-inflammatoire)</w:t>
      </w:r>
    </w:p>
    <w:p>
      <w:r/>
      <w:r>
        <w:rPr>
          <w:b/>
        </w:rPr>
        <w:t>Hépatiques</w:t>
      </w:r>
      <w:r>
        <w:t xml:space="preserve"> :</w:t>
      </w:r>
    </w:p>
    <w:p>
      <w:pPr>
        <w:pStyle w:val="ListBullet"/>
      </w:pPr>
      <w:r/>
      <w:r>
        <w:rPr>
          <w:b/>
        </w:rPr>
        <w:t>Élévation des transaminases</w:t>
      </w:r>
      <w:r>
        <w:t xml:space="preserve"> (ALAT/ASAT &gt; 1 × LSN) : 5-10 %</w:t>
      </w:r>
    </w:p>
    <w:p>
      <w:pPr>
        <w:pStyle w:val="ListBullet"/>
      </w:pPr>
      <w:r/>
      <w:r>
        <w:rPr>
          <w:b/>
        </w:rPr>
        <w:t>Élévation supérieure à 3 × LSN</w:t>
      </w:r>
      <w:r>
        <w:t xml:space="preserve"> : 1-2 % (justifiant surveillance mensuelle le 1er trimestre, puis trimestrielle)</w:t>
      </w:r>
    </w:p>
    <w:p>
      <w:pPr>
        <w:pStyle w:val="ListBullet"/>
      </w:pPr>
      <w:r/>
      <w:r>
        <w:rPr>
          <w:b/>
        </w:rPr>
        <w:t>Insuffisance hépatique médicamenteuse</w:t>
      </w:r>
      <w:r>
        <w:t xml:space="preserve"> : rare (&lt; 0,1 %), cas publiés</w:t>
      </w:r>
    </w:p>
    <w:p>
      <w:r/>
      <w:r>
        <w:rPr>
          <w:b/>
        </w:rPr>
        <w:t>Lipidiques</w:t>
      </w:r>
      <w:r>
        <w:t xml:space="preserve"> :</w:t>
      </w:r>
    </w:p>
    <w:p>
      <w:pPr>
        <w:pStyle w:val="ListBullet"/>
      </w:pPr>
      <w:r>
        <w:t>Élévation du cholestérol total : 10-15 %</w:t>
      </w:r>
    </w:p>
    <w:p>
      <w:pPr>
        <w:pStyle w:val="ListBullet"/>
      </w:pPr>
      <w:r>
        <w:t>Élévation du LDL-cholestérol : 10-15 % (souvent 10-20 % d'augmentation par rapport à la valeur de base, à partir de 4-8 semaines de traitement, plateau à 3 mois)</w:t>
      </w:r>
    </w:p>
    <w:p>
      <w:pPr>
        <w:pStyle w:val="ListBullet"/>
      </w:pPr>
      <w:r>
        <w:t>Élévation du HDL-cholestérol : 5-10 %</w:t>
      </w:r>
    </w:p>
    <w:p>
      <w:pPr>
        <w:pStyle w:val="ListBullet"/>
      </w:pPr>
      <w:r>
        <w:t>Élévation des triglycérides : 5-10 %</w:t>
      </w:r>
    </w:p>
    <w:p>
      <w:r/>
      <w:r>
        <w:rPr>
          <w:b/>
        </w:rPr>
        <w:t>Cardiovasculaires et thromboemboliques</w:t>
      </w:r>
      <w:r>
        <w:t xml:space="preserve"> (signal de sécurité majeur ORAL Surveillance 2022) :</w:t>
      </w:r>
    </w:p>
    <w:p>
      <w:pPr>
        <w:pStyle w:val="ListBullet"/>
      </w:pPr>
      <w:r/>
      <w:r>
        <w:rPr>
          <w:b/>
        </w:rPr>
        <w:t>Hypertension artérielle</w:t>
      </w:r>
      <w:r>
        <w:t xml:space="preserve"> (élévation de 2-5 mmHg de la PAS et PAD)</w:t>
      </w:r>
    </w:p>
    <w:p>
      <w:pPr>
        <w:pStyle w:val="ListBullet"/>
      </w:pPr>
      <w:r/>
      <w:r>
        <w:rPr>
          <w:b/>
        </w:rPr>
        <w:t>Thrombose veineuse profonde</w:t>
      </w:r>
      <w:r>
        <w:t xml:space="preserve"> (TVP) et </w:t>
      </w:r>
      <w:r>
        <w:rPr>
          <w:b/>
        </w:rPr>
        <w:t>embolie pulmonaire (EP)</w:t>
      </w:r>
      <w:r>
        <w:t xml:space="preserve"> : incidence 0,3-1,3 % par an selon les populations (sujets âgés, antécédents thrombotiques)</w:t>
      </w:r>
    </w:p>
    <w:p>
      <w:pPr>
        <w:pStyle w:val="ListBullet"/>
      </w:pPr>
      <w:r/>
      <w:r>
        <w:rPr>
          <w:b/>
        </w:rPr>
        <w:t>Événements cardiovasculaires majeurs (MACE)</w:t>
      </w:r>
      <w:r>
        <w:t xml:space="preserve"> : infarctus du myocarde, AVC, mort cardiovasculaire — incidence 0,5-1,4 % par an</w:t>
      </w:r>
    </w:p>
    <w:p>
      <w:pPr>
        <w:pStyle w:val="ListBullet"/>
      </w:pPr>
      <w:r/>
      <w:r>
        <w:rPr>
          <w:b/>
        </w:rPr>
        <w:t>Thrombose veineuse cérébrale</w:t>
      </w:r>
      <w:r>
        <w:t xml:space="preserve">, </w:t>
      </w:r>
      <w:r>
        <w:rPr>
          <w:b/>
        </w:rPr>
        <w:t>thrombose veineuse splanchnique</w:t>
      </w:r>
      <w:r>
        <w:t xml:space="preserve"> (rares mais graves)</w:t>
      </w:r>
    </w:p>
    <w:p>
      <w:r/>
      <w:r>
        <w:rPr>
          <w:b/>
        </w:rPr>
        <w:t>Digestifs</w:t>
      </w:r>
      <w:r>
        <w:t xml:space="preserve"> :</w:t>
      </w:r>
    </w:p>
    <w:p>
      <w:pPr>
        <w:pStyle w:val="ListBullet"/>
      </w:pPr>
      <w:r>
        <w:t>Douleurs abdominales, nausées, diarrhée : 5-8 %</w:t>
      </w:r>
    </w:p>
    <w:p>
      <w:pPr>
        <w:pStyle w:val="ListBullet"/>
      </w:pPr>
      <w:r/>
      <w:r>
        <w:rPr>
          <w:b/>
        </w:rPr>
        <w:t>Perforation digestive</w:t>
      </w:r>
      <w:r>
        <w:t xml:space="preserve"> (particulièrement diverticulaire) : rare (&lt; 0,5 %) mais potentiellement mortelle</w:t>
      </w:r>
    </w:p>
    <w:p>
      <w:r/>
      <w:r>
        <w:rPr>
          <w:b/>
        </w:rPr>
        <w:t>Dermatologiques</w:t>
      </w:r>
      <w:r>
        <w:t xml:space="preserve"> :</w:t>
      </w:r>
    </w:p>
    <w:p>
      <w:pPr>
        <w:pStyle w:val="ListBullet"/>
      </w:pPr>
      <w:r>
        <w:t>Acné, rash cutané, prurit : 3-5 %</w:t>
      </w:r>
    </w:p>
    <w:p>
      <w:pPr>
        <w:pStyle w:val="ListBullet"/>
      </w:pPr>
      <w:r/>
      <w:r>
        <w:rPr>
          <w:b/>
        </w:rPr>
        <w:t>Cancers cutanés non mélanocytaires</w:t>
      </w:r>
      <w:r>
        <w:t xml:space="preserve"> (carcinome basocellulaire, spinocellulaire) : sur-incidence vs population générale</w:t>
      </w:r>
    </w:p>
    <w:p>
      <w:pPr>
        <w:pStyle w:val="ListBullet"/>
      </w:pPr>
      <w:r>
        <w:t>Érythème, alopécie (rare)</w:t>
      </w:r>
    </w:p>
    <w:p>
      <w:r/>
      <w:r>
        <w:rPr>
          <w:b/>
        </w:rPr>
        <w:t>Néoplasiques</w:t>
      </w:r>
      <w:r>
        <w:t xml:space="preserve"> (signal ORAL Surveillance) :</w:t>
      </w:r>
    </w:p>
    <w:p>
      <w:pPr>
        <w:pStyle w:val="ListBullet"/>
      </w:pPr>
      <w:r/>
      <w:r>
        <w:rPr>
          <w:b/>
        </w:rPr>
        <w:t>Lymphomes</w:t>
      </w:r>
      <w:r>
        <w:t xml:space="preserve"> : sur-incidence modeste (≈ 0,1 % par an vs 0,05 % sous anti-TNFα)</w:t>
      </w:r>
    </w:p>
    <w:p>
      <w:pPr>
        <w:pStyle w:val="ListBullet"/>
      </w:pPr>
      <w:r/>
      <w:r>
        <w:rPr>
          <w:b/>
        </w:rPr>
        <w:t>Cancers solides</w:t>
      </w:r>
      <w:r>
        <w:t xml:space="preserve"> (poumon, sein, colorectal) : incidence ≈ 1,0-1,2 % par an vs 0,8 % sous anti-TNFα</w:t>
      </w:r>
    </w:p>
    <w:p>
      <w:pPr>
        <w:pStyle w:val="ListBullet"/>
      </w:pPr>
      <w:r/>
      <w:r>
        <w:rPr>
          <w:b/>
        </w:rPr>
        <w:t>Mélanome</w:t>
      </w:r>
      <w:r>
        <w:t xml:space="preserve"> : sur-incidence modeste</w:t>
      </w:r>
    </w:p>
    <w:p>
      <w:r/>
      <w:r>
        <w:rPr>
          <w:b/>
        </w:rPr>
        <w:t>Autres</w:t>
      </w:r>
      <w:r>
        <w:t xml:space="preserve"> :</w:t>
      </w:r>
    </w:p>
    <w:p>
      <w:pPr>
        <w:pStyle w:val="ListBullet"/>
      </w:pPr>
      <w:r>
        <w:t>Céphalées (3-5 %)</w:t>
      </w:r>
    </w:p>
    <w:p>
      <w:pPr>
        <w:pStyle w:val="ListBullet"/>
      </w:pPr>
      <w:r>
        <w:t>Fatigue, asthénie (2-3 %)</w:t>
      </w:r>
    </w:p>
    <w:p>
      <w:pPr>
        <w:pStyle w:val="ListBullet"/>
      </w:pPr>
      <w:r>
        <w:t>Élévation de la créatininémie (0,5-1,0 %, modérée et non progressive)</w:t>
      </w:r>
    </w:p>
    <w:p>
      <w:pPr>
        <w:pStyle w:val="Heading3"/>
      </w:pPr>
      <w:r>
        <w:t>153.3.8 Prévention et gestion des effets indésirables</w:t>
      </w:r>
    </w:p>
    <w:p>
      <w:r>
        <w:t xml:space="preserve">La prévention des effets indésirables du tofacitinib repose sur un </w:t>
      </w:r>
      <w:r>
        <w:rPr>
          <w:b/>
        </w:rPr>
        <w:t>bilan pré-thérapeutique systématique et rigoureux</w:t>
      </w:r>
      <w:r>
        <w:t xml:space="preserve"> avant toute initiation :</w:t>
      </w:r>
    </w:p>
    <w:p>
      <w:pPr>
        <w:pStyle w:val="ListNumber"/>
      </w:pPr>
      <w:r/>
      <w:r>
        <w:rPr>
          <w:b/>
        </w:rPr>
        <w:t>Bilan infectieux</w:t>
      </w:r>
      <w:r>
        <w:t xml:space="preserve"> : sérologies VIH, VHB (AgHBs, Ac anti-HBs, Ac anti-HBc), VHC ; IDR à la tuberculine 5 UI ou IGRA Quantiferon-TB Gold (à renouveler tous les 6-12 mois en zone endémique) ; radiographie thoracique systématique ; recherche de foyers infectieux dentaires (panoramique dentaire), ORL (sinusite chronique), urinaire (ECBU si antécédent), cutané (mycose, ulcère variqueux) ; statut vaccinal (tétanos, grippe saisonnière, pneumocoque, Hépatite B si séronégatif, zona : Shingrix® recommandé avant initiation si patient &gt; 50 ans)</w:t>
      </w:r>
    </w:p>
    <w:p>
      <w:pPr>
        <w:pStyle w:val="ListNumber"/>
      </w:pPr>
      <w:r/>
      <w:r>
        <w:rPr>
          <w:b/>
        </w:rPr>
        <w:t>Bilan cardiovasculaire</w:t>
      </w:r>
      <w:r>
        <w:t xml:space="preserve"> : mesure de la PA, ECG, évaluation du risque cardiovasculaire global (SCORE Risk ou Framingham) ; recherche d'antécédents thromboemboliques veineux personnels et familiaux (post-partum, chirurgie, alitement prolongé, thrombophilies constitutionnelles ou acquises — résistance à la protéine C activée, mutation facteur V Leiden, mutation G20210A du gène de la prothrombine, syndrome des antiphospholipides) ; évaluation du tabagisme ; bilan lipidique (CT, LDL, HDL, TG)</w:t>
      </w:r>
    </w:p>
    <w:p>
      <w:pPr>
        <w:pStyle w:val="ListNumber"/>
      </w:pPr>
      <w:r/>
      <w:r>
        <w:rPr>
          <w:b/>
        </w:rPr>
        <w:t>Bilan hématologique</w:t>
      </w:r>
      <w:r>
        <w:t xml:space="preserve"> : NFS-plaquettes, formule leucocytaire</w:t>
      </w:r>
    </w:p>
    <w:p>
      <w:pPr>
        <w:pStyle w:val="ListNumber"/>
      </w:pPr>
      <w:r/>
      <w:r>
        <w:rPr>
          <w:b/>
        </w:rPr>
        <w:t>Bilan hépatique</w:t>
      </w:r>
      <w:r>
        <w:t xml:space="preserve"> : ALAT, ASAT, GGT, PAL, bilirubine totale et conjuguée, albumine</w:t>
      </w:r>
    </w:p>
    <w:p>
      <w:pPr>
        <w:pStyle w:val="ListNumber"/>
      </w:pPr>
      <w:r/>
      <w:r>
        <w:rPr>
          <w:b/>
        </w:rPr>
        <w:t>Bilan rénal</w:t>
      </w:r>
      <w:r>
        <w:t xml:space="preserve"> : créatinine, DFG MDRD ou CKD-EPI, ECBU</w:t>
      </w:r>
    </w:p>
    <w:p>
      <w:pPr>
        <w:pStyle w:val="ListNumber"/>
      </w:pPr>
      <w:r/>
      <w:r>
        <w:rPr>
          <w:b/>
        </w:rPr>
        <w:t>Bilan néoplasique</w:t>
      </w:r>
      <w:r>
        <w:t xml:space="preserve"> : recherche d'antécédents personnels et familiaux de cancer ; dépistage cancer colorectal (colonoscopie si âge &gt; 50 ans ou ATCD familial) ; dépistage cancer du sein (mammographie si &gt; 50 ans) ; dépistage cancer du col utérin (frottis) ; dermatologue pour examen cutané complet</w:t>
      </w:r>
    </w:p>
    <w:p>
      <w:pPr>
        <w:pStyle w:val="ListNumber"/>
      </w:pPr>
      <w:r/>
      <w:r>
        <w:rPr>
          <w:b/>
        </w:rPr>
        <w:t>Évaluation gynéco-obstétricale</w:t>
      </w:r>
      <w:r>
        <w:t xml:space="preserve"> : contraception efficace obligatoire chez la femme en âge de procréer (MéthodeBarController forte : DIU ou implants contraceptifs progestatifs, ou pilule estroprogestative contre-indiquée en raison du risque thrombotique additif — préférer méthode mécanique ou progestative pure)</w:t>
      </w:r>
    </w:p>
    <w:p>
      <w:r>
        <w:t xml:space="preserve">La </w:t>
      </w:r>
      <w:r>
        <w:rPr>
          <w:b/>
        </w:rPr>
        <w:t>surveillance pendant le traitement</w:t>
      </w:r>
      <w:r>
        <w:t xml:space="preserve"> comporte :</w:t>
      </w:r>
    </w:p>
    <w:p>
      <w:pPr>
        <w:pStyle w:val="ListBullet"/>
      </w:pPr>
      <w:r>
        <w:t>NFS-plaquettes mensuelle pendant 3 mois, puis trimestrielle pendant la 1ʳᵉ année, puis semestrielle</w:t>
      </w:r>
    </w:p>
    <w:p>
      <w:pPr>
        <w:pStyle w:val="ListBullet"/>
      </w:pPr>
      <w:r>
        <w:t>Bilan hépatique (ALAT, ASAT, GGT, PAL, bilirubine) mensuel pendant 3 mois, puis trimestriel</w:t>
      </w:r>
    </w:p>
    <w:p>
      <w:pPr>
        <w:pStyle w:val="ListBullet"/>
      </w:pPr>
      <w:r>
        <w:t>Bilan lipidique (CT, LDL, HDL, TG) à 1 mois, 3 mois, puis semestriel (traitement statinique si LDL &gt; 1,6 g/L ou &gt; 4,1 mmol/L selon les recommandations ESC/EAS)</w:t>
      </w:r>
    </w:p>
    <w:p>
      <w:pPr>
        <w:pStyle w:val="ListBullet"/>
      </w:pPr>
      <w:r>
        <w:t>Fonction rénale (créatinine, DFG) trimestrielle pendant la 1ʳᵉ année, puis semestrielle</w:t>
      </w:r>
    </w:p>
    <w:p>
      <w:pPr>
        <w:pStyle w:val="ListBullet"/>
      </w:pPr>
      <w:r>
        <w:t>Surveillance clinique cardiovasculaire : PA à chaque consultation, ECG annuel, recherche de signes de TVP/EP (douleur mollet, dyspnée, douleur thoracique) à chaque consultation</w:t>
      </w:r>
    </w:p>
    <w:p>
      <w:pPr>
        <w:pStyle w:val="ListBullet"/>
      </w:pPr>
      <w:r>
        <w:t>Surveillance dermatologique annuelle (mélanome, cancers cutanés non mélanocytaires)</w:t>
      </w:r>
    </w:p>
    <w:p>
      <w:pPr>
        <w:pStyle w:val="ListBullet"/>
      </w:pPr>
      <w:r>
        <w:t>Suivi gynécologique annuel (frottis cervico-utérin)</w:t>
      </w:r>
    </w:p>
    <w:p>
      <w:pPr>
        <w:pStyle w:val="ListBullet"/>
      </w:pPr>
      <w:r>
        <w:t>Surveillance infectieuse : éducation du patient à consulter en urgence en cas de fièvre &gt; 38,5 °C, signes respiratoires, signes urinaires, douleur abdominale, signes neurologiques zona</w:t>
      </w:r>
    </w:p>
    <w:p>
      <w:r/>
      <w:r>
        <w:rPr>
          <w:b/>
        </w:rPr>
        <w:t>Gestion des effets indésirables</w:t>
      </w:r>
      <w:r>
        <w:t xml:space="preserve"> :</w:t>
      </w:r>
    </w:p>
    <w:p>
      <w:pPr>
        <w:pStyle w:val="ListBullet"/>
      </w:pPr>
      <w:r/>
      <w:r>
        <w:rPr>
          <w:b/>
        </w:rPr>
        <w:t>Neutropénie &lt; 1500/mm³</w:t>
      </w:r>
      <w:r>
        <w:t xml:space="preserve"> : surveillance rapprochée ; &lt; 1000/mm³ : interruption temporaire, reprise après récupération à &gt; 1500/mm³</w:t>
      </w:r>
    </w:p>
    <w:p>
      <w:pPr>
        <w:pStyle w:val="ListBullet"/>
      </w:pPr>
      <w:r/>
      <w:r>
        <w:rPr>
          <w:b/>
        </w:rPr>
        <w:t>Lymphopénie &lt; 500/mm³</w:t>
      </w:r>
      <w:r>
        <w:t xml:space="preserve"> : interruption temporaire</w:t>
      </w:r>
    </w:p>
    <w:p>
      <w:pPr>
        <w:pStyle w:val="ListBullet"/>
      </w:pPr>
      <w:r/>
      <w:r>
        <w:rPr>
          <w:b/>
        </w:rPr>
        <w:t>ALAT/ASAT &gt; 3 × LSN</w:t>
      </w:r>
      <w:r>
        <w:t xml:space="preserve"> : interruption, recherche étiologique (viral, médicamenteux, alcoolique, stéatose) ; reprise possible si normalisation à &lt; 2 × LSN</w:t>
      </w:r>
    </w:p>
    <w:p>
      <w:pPr>
        <w:pStyle w:val="ListBullet"/>
      </w:pPr>
      <w:r/>
      <w:r>
        <w:rPr>
          <w:b/>
        </w:rPr>
        <w:t>Infection sévère</w:t>
      </w:r>
      <w:r>
        <w:t xml:space="preserve"> : interruption immédiate du tofacitinib, antibiothérapie ciblée, hospitalisation si nécessaire ; reprise possible après guérison complète</w:t>
      </w:r>
    </w:p>
    <w:p>
      <w:pPr>
        <w:pStyle w:val="ListBullet"/>
      </w:pPr>
      <w:r/>
      <w:r>
        <w:rPr>
          <w:b/>
        </w:rPr>
        <w:t>Zona</w:t>
      </w:r>
      <w:r>
        <w:t xml:space="preserve"> : interruption si zona disséminé, ophtalmique ou multidermatomérique ; aciclovir IV ou oral selon sévérité ; reprise après guérison</w:t>
      </w:r>
    </w:p>
    <w:p>
      <w:pPr>
        <w:pStyle w:val="ListBullet"/>
      </w:pPr>
      <w:r/>
      <w:r>
        <w:rPr>
          <w:b/>
        </w:rPr>
        <w:t>TVP/EP</w:t>
      </w:r>
      <w:r>
        <w:t xml:space="preserve"> : arrêt définitif du tofacitinib, anticoagulation curative 3-6 mois minimum, pas de réintroduction</w:t>
      </w:r>
    </w:p>
    <w:p>
      <w:pPr>
        <w:pStyle w:val="ListBullet"/>
      </w:pPr>
      <w:r/>
      <w:r>
        <w:rPr>
          <w:b/>
        </w:rPr>
        <w:t>MACE</w:t>
      </w:r>
      <w:r>
        <w:t xml:space="preserve"> : arrêt définitif, orientation cardiologique spécialisée</w:t>
      </w:r>
    </w:p>
    <w:p>
      <w:pPr>
        <w:pStyle w:val="ListBullet"/>
      </w:pPr>
      <w:r/>
      <w:r>
        <w:rPr>
          <w:b/>
        </w:rPr>
        <w:t>Cancer</w:t>
      </w:r>
      <w:r>
        <w:t xml:space="preserve"> : arrêt définitif, orientation oncologique</w:t>
      </w:r>
    </w:p>
    <w:p>
      <w:pPr>
        <w:pStyle w:val="ListBullet"/>
      </w:pPr>
      <w:r/>
      <w:r>
        <w:rPr>
          <w:b/>
        </w:rPr>
        <w:t>Perforation digestive</w:t>
      </w:r>
      <w:r>
        <w:t xml:space="preserve"> : arrêt définitif, chirurgie en urgence</w:t>
      </w:r>
    </w:p>
    <w:p>
      <w:pPr>
        <w:pStyle w:val="Heading3"/>
      </w:pPr>
      <w:r>
        <w:t>153.3.9 Interactions médicamenteuses</w:t>
      </w:r>
    </w:p>
    <w:p>
      <w:r>
        <w:t>Le tofacitinib est principalement métabolisé par le CYP3A4 et son profil d'interactions est dominé par les modifications pharmacocinétiques liées à ce cytochrome.</w:t>
      </w:r>
    </w:p>
    <w:p>
      <w:pPr>
        <w:pStyle w:val="ListBullet"/>
      </w:pPr>
      <w:r/>
      <w:r>
        <w:rPr>
          <w:b/>
        </w:rPr>
        <w:t>Associations contre-indiquées</w:t>
      </w:r>
      <w:r>
        <w:t xml:space="preserve"> :</w:t>
      </w:r>
    </w:p>
    <w:p>
      <w:pPr>
        <w:pStyle w:val="ListBullet"/>
      </w:pPr>
      <w:r/>
      <w:r>
        <w:rPr>
          <w:b/>
        </w:rPr>
        <w:t>Inhibiteurs puissants du CYP3A4</w:t>
      </w:r>
      <w:r>
        <w:t xml:space="preserve"> : kétoconazole, itraconazole, voriconazole, posaconazole, clarithromycine, télithromycine, ritonavir, saquinavir, indinavir, nelfinavir, atazanavir, lopinavir — multiplication par 2 à 3 de l'ASC du tofacitinib, sur-risque d'effets indésirables (infectieux, hématologique)</w:t>
      </w:r>
    </w:p>
    <w:p>
      <w:pPr>
        <w:pStyle w:val="ListBullet"/>
      </w:pPr>
      <w:r/>
      <w:r>
        <w:rPr>
          <w:b/>
        </w:rPr>
        <w:t>Inducteurs puissants du CYP3A4</w:t>
      </w:r>
      <w:r>
        <w:t xml:space="preserve"> : rifampicine, rifabutine, phénobarbital, carbamazépine, phénytoïne, oxcarbazépine, primidone, dexaméthasone à forte dose, millepertuis (Hypericum perforatum) — réduction de 50 à 80 % de l'ASC, perte d'efficacité</w:t>
      </w:r>
    </w:p>
    <w:p>
      <w:pPr>
        <w:pStyle w:val="ListBullet"/>
      </w:pPr>
      <w:r/>
      <w:r>
        <w:rPr>
          <w:b/>
        </w:rPr>
        <w:t>Immunosuppresseurs puissants</w:t>
      </w:r>
      <w:r>
        <w:t xml:space="preserve"> : ciclosporine, tacrolimus, sirolimus, azathioprine à forte dose, mycophénolate mofétil — sur-risque infectieux et hématologique additif</w:t>
      </w:r>
    </w:p>
    <w:p>
      <w:pPr>
        <w:pStyle w:val="ListBullet"/>
      </w:pPr>
      <w:r/>
      <w:r>
        <w:rPr>
          <w:b/>
        </w:rPr>
        <w:t>Vaccins vivants atténués</w:t>
      </w:r>
      <w:r>
        <w:t xml:space="preserve"> : BCG, ROR, fièvre jaune, varicelle-zona, rotavirus — risque d'infection vaccinale généralisée</w:t>
      </w:r>
    </w:p>
    <w:p>
      <w:pPr>
        <w:pStyle w:val="ListBullet"/>
      </w:pPr>
      <w:r/>
      <w:r>
        <w:rPr>
          <w:b/>
        </w:rPr>
        <w:t>Associations déconseillées</w:t>
      </w:r>
      <w:r>
        <w:t xml:space="preserve"> :</w:t>
      </w:r>
    </w:p>
    <w:p>
      <w:pPr>
        <w:pStyle w:val="ListBullet"/>
      </w:pPr>
      <w:r/>
      <w:r>
        <w:rPr>
          <w:b/>
        </w:rPr>
        <w:t>Inhibiteurs modérés du CYP3A4</w:t>
      </w:r>
      <w:r>
        <w:t xml:space="preserve"> : fluconazole, érythromycine, clarithromycine à dose modérée, diltiazem, vérapamil, cimetidine — réduction posologique de moitié du tofacitinib si association nécessaire</w:t>
      </w:r>
    </w:p>
    <w:p>
      <w:pPr>
        <w:pStyle w:val="ListBullet"/>
      </w:pPr>
      <w:r/>
      <w:r>
        <w:rPr>
          <w:b/>
        </w:rPr>
        <w:t>Biothérapies</w:t>
      </w:r>
      <w:r>
        <w:t xml:space="preserve"> (anti-TNFα, anti-IL-6R, anti-CD20, abatacept) : association déconseillée en raison du sur-risque infectieux additif sans bénéfice démontré</w:t>
      </w:r>
    </w:p>
    <w:p>
      <w:pPr>
        <w:pStyle w:val="ListBullet"/>
      </w:pPr>
      <w:r/>
      <w:r>
        <w:rPr>
          <w:b/>
        </w:rPr>
        <w:t>Corticothérapie orale prolongée &gt; 7,5 mg/jour prednisone équivalent</w:t>
      </w:r>
      <w:r>
        <w:t xml:space="preserve"> : augmentation du risque infectieux, osseux (ostéoporose), métabolique (diabète cortico-induit) — réduire au minimum nécessaire, sevrage progressif</w:t>
      </w:r>
    </w:p>
    <w:p>
      <w:pPr>
        <w:pStyle w:val="ListBullet"/>
      </w:pPr>
      <w:r/>
      <w:r>
        <w:rPr>
          <w:b/>
        </w:rPr>
        <w:t>Antiagrégants plaquettaires</w:t>
      </w:r>
      <w:r>
        <w:t xml:space="preserve"> (aspirine &gt; 500 mg, clopidogrel, prasugrel, ticagrelor) : sur-risque hémorragique en cas de thrombopénie</w:t>
      </w:r>
    </w:p>
    <w:p>
      <w:pPr>
        <w:pStyle w:val="ListBullet"/>
      </w:pPr>
      <w:r/>
      <w:r>
        <w:rPr>
          <w:b/>
        </w:rPr>
        <w:t>Anticoagulants oraux</w:t>
      </w:r>
      <w:r>
        <w:t xml:space="preserve"> (AVK, AOD) : surveillance renforcée (sur-risque thrombopénie + infection, mais pas de contre-indication absolue en cas de nécessité absolue)</w:t>
      </w:r>
    </w:p>
    <w:p>
      <w:pPr>
        <w:pStyle w:val="ListBullet"/>
      </w:pPr>
      <w:r/>
      <w:r>
        <w:rPr>
          <w:b/>
        </w:rPr>
        <w:t>Contraception estroprogestative</w:t>
      </w:r>
      <w:r>
        <w:t xml:space="preserve"> : sur-risque thromboembolique veineux additif (tofacitinib + estroprogestatifs) — préférer contraception progestative pure ( désogestrel, levonorgestrel) ou DIU</w:t>
      </w:r>
    </w:p>
    <w:p>
      <w:pPr>
        <w:pStyle w:val="ListBullet"/>
      </w:pPr>
      <w:r/>
      <w:r>
        <w:rPr>
          <w:b/>
        </w:rPr>
        <w:t>Associations nécessitant des précautions d'emploi</w:t>
      </w:r>
      <w:r>
        <w:t xml:space="preserve"> :</w:t>
      </w:r>
    </w:p>
    <w:p>
      <w:pPr>
        <w:pStyle w:val="ListBullet"/>
      </w:pPr>
      <w:r/>
      <w:r>
        <w:rPr>
          <w:b/>
        </w:rPr>
        <w:t>Statines</w:t>
      </w:r>
      <w:r>
        <w:t xml:space="preserve"> (atorvastatine, simvastatine) : pas d'interaction pharmacocinétique majeure mais surveillance de la tolérance hépatique (cytolyse additive)</w:t>
      </w:r>
    </w:p>
    <w:p>
      <w:pPr>
        <w:pStyle w:val="ListBullet"/>
      </w:pPr>
      <w:r/>
      <w:r>
        <w:rPr>
          <w:b/>
        </w:rPr>
        <w:t>Antihypertenseurs</w:t>
      </w:r>
      <w:r>
        <w:t xml:space="preserve"> (IEC, ARA2, diurétiques) : pas d'interaction notable</w:t>
      </w:r>
    </w:p>
    <w:p>
      <w:pPr>
        <w:pStyle w:val="ListBullet"/>
      </w:pPr>
      <w:r/>
      <w:r>
        <w:rPr>
          <w:b/>
        </w:rPr>
        <w:t>Antidiabétiques</w:t>
      </w:r>
      <w:r>
        <w:t xml:space="preserve"> (metformine, sulfamides, insuline, gliptines, gliflozines, agonistes GLP-1) : pas d'interaction notable</w:t>
      </w:r>
    </w:p>
    <w:p>
      <w:pPr>
        <w:pStyle w:val="ListBullet"/>
      </w:pPr>
      <w:r/>
      <w:r>
        <w:rPr>
          <w:b/>
        </w:rPr>
        <w:t>Méthotrexate</w:t>
      </w:r>
      <w:r>
        <w:t xml:space="preserve"> : association courante (PR), pas d'interaction pharmacocinétique majeure (à doses ≤ 25 mg/sem), surveillance hématologique et hépatique renforcée</w:t>
      </w:r>
    </w:p>
    <w:p>
      <w:pPr>
        <w:pStyle w:val="ListBullet"/>
      </w:pPr>
      <w:r/>
      <w:r>
        <w:rPr>
          <w:b/>
        </w:rPr>
        <w:t>AINS</w:t>
      </w:r>
      <w:r>
        <w:t xml:space="preserve"> à dose anti-inflammatoire (ibuprofène 1200-2400 mg/j, naproxène 500-1000 mg/j) : sur-risque infectieux et gastro-intestinal — courte durée, surveillance</w:t>
      </w:r>
    </w:p>
    <w:p>
      <w:pPr>
        <w:pStyle w:val="Heading3"/>
      </w:pPr>
      <w:r>
        <w:t>153.3.10 Grossesse et allaitement (CRAT)</w:t>
      </w:r>
    </w:p>
    <w:p>
      <w:r>
        <w:t>Les données du CRAT (Centre de Renseignements sur les Agents Tératogènes) sur le tofacitinib sont les suivantes :</w:t>
      </w:r>
    </w:p>
    <w:p>
      <w:pPr>
        <w:pStyle w:val="ListBullet"/>
      </w:pPr>
      <w:r/>
      <w:r>
        <w:rPr>
          <w:b/>
        </w:rPr>
        <w:t>Grossesse</w:t>
      </w:r>
      <w:r>
        <w:t xml:space="preserve"> :</w:t>
      </w:r>
    </w:p>
    <w:p>
      <w:pPr>
        <w:pStyle w:val="ListBullet"/>
      </w:pPr>
      <w:r>
        <w:t>Le tofacitinib traverse le placenta (molécule de faible poids moléculaire, lipophile)</w:t>
      </w:r>
    </w:p>
    <w:p>
      <w:pPr>
        <w:pStyle w:val="ListBullet"/>
      </w:pPr>
      <w:r/>
      <w:r>
        <w:rPr>
          <w:b/>
        </w:rPr>
        <w:t>Données animales</w:t>
      </w:r>
      <w:r>
        <w:t xml:space="preserve"> : tératogénicité démontrée chez l'animal (rat, lapin) à doses thérapeutiques et supra-thérapeutiques — anomalies de fermeture du tube neural, malformations cardiovasculaires et squelettiques, diminution de la viabilité fœtale et de la fertilité</w:t>
      </w:r>
    </w:p>
    <w:p>
      <w:pPr>
        <w:pStyle w:val="ListBullet"/>
      </w:pPr>
      <w:r/>
      <w:r>
        <w:rPr>
          <w:b/>
        </w:rPr>
        <w:t>Données humaines</w:t>
      </w:r>
      <w:r>
        <w:t xml:space="preserve"> : registre de grossesses exposées (Pfizer, *JAK Inhibitor Pregnancy Registry*) — données limitées mais pas de signal tératogène majeur à ce jour ; cependant, le recul est insuffisant (nombre de grossesses exposées &lt; 200)</w:t>
      </w:r>
    </w:p>
    <w:p>
      <w:pPr>
        <w:pStyle w:val="ListBullet"/>
      </w:pPr>
      <w:r/>
      <w:r>
        <w:rPr>
          <w:b/>
        </w:rPr>
        <w:t>Recommandation</w:t>
      </w:r>
      <w:r>
        <w:t xml:space="preserve"> : tofacitinib </w:t>
      </w:r>
      <w:r>
        <w:rPr>
          <w:b/>
        </w:rPr>
        <w:t>contre-indiqué pendant la grossesse</w:t>
      </w:r>
      <w:r>
        <w:t xml:space="preserve"> ; contraception efficace obligatoire pendant toute la durée du traitement et pendant au moins </w:t>
      </w:r>
      <w:r>
        <w:rPr>
          <w:b/>
        </w:rPr>
        <w:t>4 semaines après l'arrêt</w:t>
      </w:r>
      <w:r>
        <w:t xml:space="preserve"> (demi-vie courte mais délai d'élimination complète des métabolites)</w:t>
      </w:r>
    </w:p>
    <w:p>
      <w:pPr>
        <w:pStyle w:val="ListBullet"/>
      </w:pPr>
      <w:r>
        <w:t xml:space="preserve">En cas de désir de grossesse chez une patiente PR sous tofacitinib : </w:t>
      </w:r>
      <w:r>
        <w:rPr>
          <w:b/>
        </w:rPr>
        <w:t>arrêt 1 mois avant le début des tentatives</w:t>
      </w:r>
      <w:r>
        <w:t>, relais par un traitement compatible avec la grossesse (sulfasalazine ± corticothérapie faible dose ; anti-TNFα de type étanercept, adalimumab, certolizumab pegol — ces derniers compatibles avec la grossesse selon le CRAT) ; surveillance rhumatologique rapprochée pour détecter une poussée</w:t>
      </w:r>
    </w:p>
    <w:p>
      <w:pPr>
        <w:pStyle w:val="ListBullet"/>
      </w:pPr>
      <w:r>
        <w:t xml:space="preserve">En cas de grossesse non programmée sous tofacitinib : </w:t>
      </w:r>
      <w:r>
        <w:rPr>
          <w:b/>
        </w:rPr>
        <w:t>arrêt immédiat</w:t>
      </w:r>
      <w:r>
        <w:t>, échographie morphologique de référence à 22-24 SA (recherche d'anomalies de fermeture du tube neural, malformations cardiovasculaires), consultation de tératologie (CRAT)</w:t>
      </w:r>
    </w:p>
    <w:p>
      <w:pPr>
        <w:pStyle w:val="ListBullet"/>
      </w:pPr>
      <w:r/>
      <w:r>
        <w:rPr>
          <w:b/>
        </w:rPr>
        <w:t>Allaitement</w:t>
      </w:r>
      <w:r>
        <w:t xml:space="preserve"> :</w:t>
      </w:r>
    </w:p>
    <w:p>
      <w:pPr>
        <w:pStyle w:val="ListBullet"/>
      </w:pPr>
      <w:r>
        <w:t>Le tofacitinib passe dans le lait maternel chez l'animal (concentration lait/plasma ≈ 0,7-1,0) ; données humaines non disponibles</w:t>
      </w:r>
    </w:p>
    <w:p>
      <w:pPr>
        <w:pStyle w:val="ListBullet"/>
      </w:pPr>
      <w:r/>
      <w:r>
        <w:rPr>
          <w:b/>
        </w:rPr>
        <w:t>Recommandation</w:t>
      </w:r>
      <w:r>
        <w:t xml:space="preserve"> : tofacitinib </w:t>
      </w:r>
      <w:r>
        <w:rPr>
          <w:b/>
        </w:rPr>
        <w:t>contre-indiqué pendant l'allaitement</w:t>
      </w:r>
      <w:r>
        <w:t xml:space="preserve"> ; choix entre interruption de l'allaitement si poursuite indispensable du traitement, ou arrêt du traitement si allaitement souhaité (relais par traitement compatible : sulfasalazine, corticothérapie faible dose, anti-TNFα compatible)</w:t>
      </w:r>
    </w:p>
    <w:p>
      <w:pPr>
        <w:pStyle w:val="ListBullet"/>
      </w:pPr>
      <w:r>
        <w:t xml:space="preserve">Délai d'attente avant reprise de l'allaitement après arrêt du tofacitinib : au moins </w:t>
      </w:r>
      <w:r>
        <w:rPr>
          <w:b/>
        </w:rPr>
        <w:t>1 semaine</w:t>
      </w:r>
      <w:r>
        <w:t xml:space="preserve"> (5 demi-vies)</w:t>
      </w:r>
    </w:p>
    <w:p>
      <w:pPr>
        <w:pStyle w:val="ListBullet"/>
      </w:pPr>
      <w:r/>
      <w:r>
        <w:rPr>
          <w:b/>
        </w:rPr>
        <w:t>Fertilité</w:t>
      </w:r>
      <w:r>
        <w:t xml:space="preserve"> :</w:t>
      </w:r>
    </w:p>
    <w:p>
      <w:pPr>
        <w:pStyle w:val="ListBullet"/>
      </w:pPr>
      <w:r>
        <w:t>Pas d'effet démontré sur la fertilité féminine à doses thérapeutiques (mais données animales évocatrices d'une diminution de la fertilité à doses supra-thérapeutiques)</w:t>
      </w:r>
    </w:p>
    <w:p>
      <w:pPr>
        <w:pStyle w:val="ListBullet"/>
      </w:pPr>
      <w:r>
        <w:t>Chez l'homme : pas d'étude spécifique, pas de contre-indication à paterner sous tofacitinib ; toutefois, en raison du passage testiculaire possible et de l'immunosuppression, conseiller un recueil et une congélation de sperme avant initiation si projet paternel récent</w:t>
      </w:r>
    </w:p>
    <w:p>
      <w:pPr>
        <w:pStyle w:val="Heading3"/>
      </w:pPr>
      <w:r>
        <w:t>153.3.11 Posologie et adaptation posologique</w:t>
      </w:r>
    </w:p>
    <w:p>
      <w:pPr>
        <w:pStyle w:val="ListBullet"/>
      </w:pPr>
      <w:r/>
      <w:r>
        <w:rPr>
          <w:b/>
        </w:rPr>
        <w:t>Posologie standard adulte (PR, RPso, SpA)</w:t>
      </w:r>
      <w:r>
        <w:t xml:space="preserve"> :</w:t>
      </w:r>
    </w:p>
    <w:p>
      <w:pPr>
        <w:pStyle w:val="ListBullet"/>
      </w:pPr>
      <w:r/>
      <w:r>
        <w:rPr>
          <w:b/>
        </w:rPr>
        <w:t>Forme à libération immédiate (TRIJAN® 5 mg, 10 mg)</w:t>
      </w:r>
      <w:r>
        <w:t xml:space="preserve"> : 5 mg × 2/jour per os (matin et soir, à 12 heures d'intervalle), à prendre au cours ou en dehors des repas, avec un verre d'eau</w:t>
      </w:r>
    </w:p>
    <w:p>
      <w:pPr>
        <w:pStyle w:val="ListBullet"/>
      </w:pPr>
      <w:r>
        <w:t>En association au méthotrexate (10-25 mg/sem) ou en monothérapie en cas d'intolérance au méthotrexate</w:t>
      </w:r>
    </w:p>
    <w:p>
      <w:pPr>
        <w:pStyle w:val="ListBullet"/>
      </w:pPr>
      <w:r/>
      <w:r>
        <w:rPr>
          <w:b/>
        </w:rPr>
        <w:t>Forme à libération prolongée (Xeljanz XR® 11 mg, non disponible en Algérie)</w:t>
      </w:r>
      <w:r>
        <w:t xml:space="preserve"> : 11 mg × 1/jour</w:t>
      </w:r>
    </w:p>
    <w:p>
      <w:pPr>
        <w:pStyle w:val="ListBullet"/>
      </w:pPr>
      <w:r>
        <w:t>Une dose d'induction supérieure (10 mg × 2/jour pendant 8 semaines) est utilisée dans la RCH (hors indication rhumatologique stricte)</w:t>
      </w:r>
    </w:p>
    <w:p>
      <w:pPr>
        <w:pStyle w:val="ListBullet"/>
      </w:pPr>
      <w:r/>
      <w:r>
        <w:rPr>
          <w:b/>
        </w:rPr>
        <w:t>Adaptation posologique</w:t>
      </w:r>
      <w:r>
        <w:t xml:space="preserve"> :</w:t>
      </w:r>
    </w:p>
    <w:p>
      <w:pPr>
        <w:pStyle w:val="ListBullet"/>
      </w:pPr>
      <w:r/>
      <w:r>
        <w:rPr>
          <w:b/>
        </w:rPr>
        <w:t>Insuffisance rénale modérée (DFG 30-50 mL/min)</w:t>
      </w:r>
      <w:r>
        <w:t xml:space="preserve"> : 5 mg × 2/jour (posologie standard)</w:t>
      </w:r>
    </w:p>
    <w:p>
      <w:pPr>
        <w:pStyle w:val="ListBullet"/>
      </w:pPr>
      <w:r/>
      <w:r>
        <w:rPr>
          <w:b/>
        </w:rPr>
        <w:t>Insuffisance rénale sévère (DFG &lt; 30 mL/min)</w:t>
      </w:r>
      <w:r>
        <w:t xml:space="preserve"> : 5 mg × 1/jour (réduction de moitié)</w:t>
      </w:r>
    </w:p>
    <w:p>
      <w:pPr>
        <w:pStyle w:val="ListBullet"/>
      </w:pPr>
      <w:r/>
      <w:r>
        <w:rPr>
          <w:b/>
        </w:rPr>
        <w:t>Insuffisance hépatique modérée (Child-Pugh B)</w:t>
      </w:r>
      <w:r>
        <w:t xml:space="preserve"> : 5 mg × 1/jour</w:t>
      </w:r>
    </w:p>
    <w:p>
      <w:pPr>
        <w:pStyle w:val="ListBullet"/>
      </w:pPr>
      <w:r/>
      <w:r>
        <w:rPr>
          <w:b/>
        </w:rPr>
        <w:t>Insuffisance hépatique sévère (Child-Pugh C)</w:t>
      </w:r>
      <w:r>
        <w:t xml:space="preserve"> : contre-indication</w:t>
      </w:r>
    </w:p>
    <w:p>
      <w:pPr>
        <w:pStyle w:val="ListBullet"/>
      </w:pPr>
      <w:r/>
      <w:r>
        <w:rPr>
          <w:b/>
        </w:rPr>
        <w:t>Sujet âgé ≥ 65 ans</w:t>
      </w:r>
      <w:r>
        <w:t xml:space="preserve"> : contre-indication relative selon EMA/PRAC avril 2022 ; si utilisation indispensable après évaluation bénéfice/risque pluridisciplinaire, posologie standard 5 mg × 2/jour mais surveillance renforcée</w:t>
      </w:r>
    </w:p>
    <w:p>
      <w:pPr>
        <w:pStyle w:val="ListBullet"/>
      </w:pPr>
      <w:r/>
      <w:r>
        <w:rPr>
          <w:b/>
        </w:rPr>
        <w:t>Association à un inhibiteur modéré du CYP3A4</w:t>
      </w:r>
      <w:r>
        <w:t xml:space="preserve"> (fluconazole, érythromycine, diltiazem, vérapamil) : 5 mg × 1/jour</w:t>
      </w:r>
    </w:p>
    <w:p>
      <w:pPr>
        <w:pStyle w:val="ListBullet"/>
      </w:pPr>
      <w:r/>
      <w:r>
        <w:rPr>
          <w:b/>
        </w:rPr>
        <w:t>Poids &lt; 40 kg (en pédiatrie)</w:t>
      </w:r>
      <w:r>
        <w:t xml:space="preserve"> : hors indication des spécialités algériennes</w:t>
      </w:r>
    </w:p>
    <w:p>
      <w:pPr>
        <w:pStyle w:val="ListBullet"/>
      </w:pPr>
      <w:r/>
      <w:r>
        <w:rPr>
          <w:b/>
        </w:rPr>
        <w:t>Oubli de dose</w:t>
      </w:r>
      <w:r>
        <w:t xml:space="preserve"> : si moins de 6 heures se sont écoulées depuis l'heure habituelle, prendre la dose oubliée ; si plus de 6 heures, sauter la dose et reprendre à l'heure normale suivante ; ne jamais doubler la dose</w:t>
      </w:r>
    </w:p>
    <w:p>
      <w:pPr>
        <w:pStyle w:val="ListBullet"/>
      </w:pPr>
      <w:r/>
      <w:r>
        <w:rPr>
          <w:b/>
        </w:rPr>
        <w:t>Arrêt du traitement</w:t>
      </w:r>
      <w:r>
        <w:t xml:space="preserve"> : pas de sevrage progressif obligatoire (pas de syndrome de sevrage décrit), mais surveillance renforcée de la poussée rhumatologique dans les 4-8 semaines suivant l'arrêt ; relais éventuel par bDMARD ou csDMARD à anticiper</w:t>
      </w:r>
    </w:p>
    <w:p>
      <w:pPr>
        <w:pStyle w:val="ListBullet"/>
      </w:pPr>
      <w:r/>
      <w:r>
        <w:rPr>
          <w:b/>
        </w:rPr>
        <w:t>Durée du traitement</w:t>
      </w:r>
      <w:r>
        <w:t xml:space="preserve"> : traitement chronique au long cours, à poursuivre tant que la tolérance est bonne et l'efficacité maintenue ; réévaluation annuelle du rapport bénéfice/risque par le rhumatologue référent</w:t>
      </w:r>
    </w:p>
    <w:p>
      <w:pPr>
        <w:pStyle w:val="Heading3"/>
      </w:pPr>
      <w:r>
        <w:t>153.3.12 Surveillance et suivi du patient</w:t>
      </w:r>
    </w:p>
    <w:p>
      <w:r/>
      <w:r>
        <w:rPr>
          <w:b/>
        </w:rPr>
        <w:t>Bilan pré-thérapeutique</w:t>
      </w:r>
      <w:r>
        <w:t xml:space="preserve"> (à réaliser dans le mois précédant l'initiation) :</w:t>
      </w:r>
    </w:p>
    <w:p>
      <w:pPr>
        <w:pStyle w:val="ListBullet"/>
      </w:pPr>
      <w:r>
        <w:t>Examen clinique complet (poids, taille, IMC, PA, auscultation cardio-pulmonaire, examen articulaire, examen dermatologique complet, recherche de foyers infectieux)</w:t>
      </w:r>
    </w:p>
    <w:p>
      <w:pPr>
        <w:pStyle w:val="ListBullet"/>
      </w:pPr>
      <w:r>
        <w:t>NFS-plaquettes, formule leucocytaire, hémoglobine</w:t>
      </w:r>
    </w:p>
    <w:p>
      <w:pPr>
        <w:pStyle w:val="ListBullet"/>
      </w:pPr>
      <w:r>
        <w:t>Bilan hépatique complet (ALAT, ASAT, GGT, PAL, bilirubine totale et conjuguée, albumine)</w:t>
      </w:r>
    </w:p>
    <w:p>
      <w:pPr>
        <w:pStyle w:val="ListBullet"/>
      </w:pPr>
      <w:r>
        <w:t>Bilan rénal (créatinine, DFG CKD-EPI, ECBU)</w:t>
      </w:r>
    </w:p>
    <w:p>
      <w:pPr>
        <w:pStyle w:val="ListBullet"/>
      </w:pPr>
      <w:r>
        <w:t>Bilan lipidique à jeun (CT, LDL, HDL, TG)</w:t>
      </w:r>
    </w:p>
    <w:p>
      <w:pPr>
        <w:pStyle w:val="ListBullet"/>
      </w:pPr>
      <w:r>
        <w:t>Bilan inflammatoire (CRP, VS, électrophorèse des protéines sériques)</w:t>
      </w:r>
    </w:p>
    <w:p>
      <w:pPr>
        <w:pStyle w:val="ListBullet"/>
      </w:pPr>
      <w:r>
        <w:t>Bilan immunologique de la maladie (FR, anti-CCP si PR)</w:t>
      </w:r>
    </w:p>
    <w:p>
      <w:pPr>
        <w:pStyle w:val="ListBullet"/>
      </w:pPr>
      <w:r>
        <w:t>Sérologies virales : VIH (Ag p24 + Ac), VHB (AgHBs, Ac anti-HBs, Ac anti-HBc), VHC (Ac anti-VHC)</w:t>
      </w:r>
    </w:p>
    <w:p>
      <w:pPr>
        <w:pStyle w:val="ListBullet"/>
      </w:pPr>
      <w:r>
        <w:t>Dépistage TB : IDR à la tuberculine 5 UI ou IGRA Quantiferon-TB Gold + radiographie thoracique face/profil</w:t>
      </w:r>
    </w:p>
    <w:p>
      <w:pPr>
        <w:pStyle w:val="ListBullet"/>
      </w:pPr>
      <w:r>
        <w:t>ECG</w:t>
      </w:r>
    </w:p>
    <w:p>
      <w:pPr>
        <w:pStyle w:val="ListBullet"/>
      </w:pPr>
      <w:r>
        <w:t>Radiographies des mains-poignets de face + pieds de face (score de Sharp/van der Heijde)</w:t>
      </w:r>
    </w:p>
    <w:p>
      <w:pPr>
        <w:pStyle w:val="ListBullet"/>
      </w:pPr>
      <w:r>
        <w:t>Échographie articulaire (recherche de synovite hypervascularisée, score US7 ou US12)</w:t>
      </w:r>
    </w:p>
    <w:p>
      <w:pPr>
        <w:pStyle w:val="ListBullet"/>
      </w:pPr>
      <w:r>
        <w:t>Densitométrie osseuse (DXA) si patiente ménopausée ou corticothérapie prolongée</w:t>
      </w:r>
    </w:p>
    <w:p>
      <w:pPr>
        <w:pStyle w:val="ListBullet"/>
      </w:pPr>
      <w:r>
        <w:t>Examen dermatologique complet</w:t>
      </w:r>
    </w:p>
    <w:p>
      <w:pPr>
        <w:pStyle w:val="ListBullet"/>
      </w:pPr>
      <w:r>
        <w:t>Frottis cervico-utérin à jour (femme en âge de procréer)</w:t>
      </w:r>
    </w:p>
    <w:p>
      <w:pPr>
        <w:pStyle w:val="ListBullet"/>
      </w:pPr>
      <w:r>
        <w:t>Mammographie si &gt; 50 ans</w:t>
      </w:r>
    </w:p>
    <w:p>
      <w:pPr>
        <w:pStyle w:val="ListBullet"/>
      </w:pPr>
      <w:r>
        <w:t>Colonoscopie si &gt; 50 ans ou ATCD familial</w:t>
      </w:r>
    </w:p>
    <w:p>
      <w:pPr>
        <w:pStyle w:val="ListBullet"/>
      </w:pPr>
      <w:r>
        <w:t>Évaluation du statut vaccinal : tétanos, grippe saisonnière, pneumocoque (Prevenar 13® puis Pneumovax® 8 semaines plus tard), Hépatite B (si séronégatif — schéma accéléré 0-1-6 mois), zona (Shingrix® 2 doses à 2-6 mois d'intervalle — à réaliser avant initiation)</w:t>
      </w:r>
    </w:p>
    <w:p>
      <w:r/>
      <w:r>
        <w:rPr>
          <w:b/>
        </w:rPr>
        <w:t>Surveillance pendant le traitement</w:t>
      </w:r>
      <w:r>
        <w:t xml:space="preserve"> :</w:t>
      </w:r>
    </w:p>
    <w:p>
      <w:pPr>
        <w:pStyle w:val="ListBullet"/>
      </w:pPr>
      <w:r/>
      <w:r>
        <w:rPr>
          <w:b/>
        </w:rPr>
        <w:t>Consultation de tolérance à 1 mois</w:t>
      </w:r>
      <w:r>
        <w:t xml:space="preserve"> : tolérance clinique, NFS-plaquettes, bilan hépatique, bilan lipidique, créatinine</w:t>
      </w:r>
    </w:p>
    <w:p>
      <w:pPr>
        <w:pStyle w:val="ListBullet"/>
      </w:pPr>
      <w:r/>
      <w:r>
        <w:rPr>
          <w:b/>
        </w:rPr>
        <w:t>Consultation de tolérance à 3 mois</w:t>
      </w:r>
      <w:r>
        <w:t xml:space="preserve"> : idem + évaluation de l'efficacité clinique (DAS28, ACR20/50/70 si PR ; BASDAI si SpA ; DAPSA si RPso) + ECG + examen dermatologique</w:t>
      </w:r>
    </w:p>
    <w:p>
      <w:pPr>
        <w:pStyle w:val="ListBullet"/>
      </w:pPr>
      <w:r/>
      <w:r>
        <w:rPr>
          <w:b/>
        </w:rPr>
        <w:t>Consultation trimestrielle pendant la 1ʳᵉ année</w:t>
      </w:r>
      <w:r>
        <w:t xml:space="preserve"> : idem</w:t>
      </w:r>
    </w:p>
    <w:p>
      <w:pPr>
        <w:pStyle w:val="ListBullet"/>
      </w:pPr>
      <w:r/>
      <w:r>
        <w:rPr>
          <w:b/>
        </w:rPr>
        <w:t>Consultation semestrielle à vie</w:t>
      </w:r>
      <w:r>
        <w:t xml:space="preserve"> : clinique + biologie + ECG + examen dermatologique + recherche de signaux cardiovasculaires et thromboemboliques</w:t>
      </w:r>
    </w:p>
    <w:p>
      <w:pPr>
        <w:pStyle w:val="ListBullet"/>
      </w:pPr>
      <w:r/>
      <w:r>
        <w:rPr>
          <w:b/>
        </w:rPr>
        <w:t>Surveillance de l'efficacité</w:t>
      </w:r>
      <w:r>
        <w:t xml:space="preserve"> : DAS28-CRP cible &lt; 3,2 (rémission &lt; 2,6) ; BASDAI &lt; 4 (SpA) ; DAPSA &lt; 14 (RPso) ; arrêt du méthotrexate ou de la corticothérapie si possible</w:t>
      </w:r>
    </w:p>
    <w:p>
      <w:pPr>
        <w:pStyle w:val="ListBullet"/>
      </w:pPr>
      <w:r/>
      <w:r>
        <w:rPr>
          <w:b/>
        </w:rPr>
        <w:t>Évaluation de la tolérance cardiovasculaire</w:t>
      </w:r>
      <w:r>
        <w:t xml:space="preserve"> : PA à chaque consultation ; recherche de signes de TVP/EP (œdème mollet unilatéral, douleur thoracique, dyspnée) ; ECG annuel</w:t>
      </w:r>
    </w:p>
    <w:p>
      <w:pPr>
        <w:pStyle w:val="ListBullet"/>
      </w:pPr>
      <w:r/>
      <w:r>
        <w:rPr>
          <w:b/>
        </w:rPr>
        <w:t>Évaluation de la tolérance infectieuse</w:t>
      </w:r>
      <w:r>
        <w:t xml:space="preserve"> : éducation du patient à consulter en urgence en cas de fièvre, signes respiratoires, urinaires, zona, douleur abdominale ; arrêt du traitement en cas d'infection modérée à sévère, reprise après guérison</w:t>
      </w:r>
    </w:p>
    <w:p>
      <w:r/>
      <w:r>
        <w:rPr>
          <w:b/>
        </w:rPr>
        <w:t>Critères d'arrêt définitif</w:t>
      </w:r>
      <w:r>
        <w:t xml:space="preserve"> :</w:t>
      </w:r>
    </w:p>
    <w:p>
      <w:pPr>
        <w:pStyle w:val="ListBullet"/>
      </w:pPr>
      <w:r>
        <w:t>Effet indésirable grave (TVP/EP, MACE, infection sévère, cancer, perforation digestive, cytolyse hépatique &gt; 5 × LSN, neutropénie sévère persistante)</w:t>
      </w:r>
    </w:p>
    <w:p>
      <w:pPr>
        <w:pStyle w:val="ListBullet"/>
      </w:pPr>
      <w:r>
        <w:t>Grossesse projetée ou en cours</w:t>
      </w:r>
    </w:p>
    <w:p>
      <w:pPr>
        <w:pStyle w:val="ListBullet"/>
      </w:pPr>
      <w:r>
        <w:t>Perte d'efficacité secondaire (immunisation anti-médicament rare sous tofacitinib)</w:t>
      </w:r>
    </w:p>
    <w:p>
      <w:pPr>
        <w:pStyle w:val="ListBullet"/>
      </w:pPr>
      <w:r>
        <w:t>Non-observance thérapeutique avérée</w:t>
      </w:r>
    </w:p>
    <w:p>
      <w:pPr>
        <w:pStyle w:val="ListBullet"/>
      </w:pPr>
      <w:r>
        <w:t>Apparition d'une nouvelle contre-indication (âge &gt; 65 ans avec comorbidités, cancer, événement thrombotique)</w:t>
      </w:r>
    </w:p>
    <w:p>
      <w:r/>
      <w:r>
        <w:rPr>
          <w:b/>
        </w:rPr>
        <w:t>Coordination pluridisciplinaire</w:t>
      </w:r>
      <w:r>
        <w:t xml:space="preserve"> :</w:t>
      </w:r>
    </w:p>
    <w:p>
      <w:pPr>
        <w:pStyle w:val="ListBullet"/>
      </w:pPr>
      <w:r>
        <w:t>Médecin traitant : suivi généraliste, dépistage des comorbidités, éducation thérapeutique</w:t>
      </w:r>
    </w:p>
    <w:p>
      <w:pPr>
        <w:pStyle w:val="ListBullet"/>
      </w:pPr>
      <w:r>
        <w:t>Rhumatologue référent : évaluation de l'efficacité, adaptation thérapeutique, surveillance de tolérance spécialisée</w:t>
      </w:r>
    </w:p>
    <w:p>
      <w:pPr>
        <w:pStyle w:val="ListBullet"/>
      </w:pPr>
      <w:r>
        <w:t>Cardiologue : bilan cardiovasculaire initial et annuel, gestion des facteurs de risque</w:t>
      </w:r>
    </w:p>
    <w:p>
      <w:pPr>
        <w:pStyle w:val="ListBullet"/>
      </w:pPr>
      <w:r>
        <w:t>Dermatologue : suivi annuel systématique (cancers cutanés)</w:t>
      </w:r>
    </w:p>
    <w:p>
      <w:pPr>
        <w:pStyle w:val="ListBullet"/>
      </w:pPr>
      <w:r>
        <w:t>Gynécologue (femme) : suivi gynécologique annuel (frottis, mammographie)</w:t>
      </w:r>
    </w:p>
    <w:p>
      <w:pPr>
        <w:pStyle w:val="ListBullet"/>
      </w:pPr>
      <w:r>
        <w:t>Ophtalmologue : examen ophtalmologique si zona ophtalmique</w:t>
      </w:r>
    </w:p>
    <w:p>
      <w:pPr>
        <w:pStyle w:val="ListBullet"/>
      </w:pPr>
      <w:r>
        <w:t>Dentiste : bilan dentaire pré-thérapeutique et annuel</w:t>
      </w:r>
    </w:p>
    <w:p>
      <w:pPr>
        <w:pStyle w:val="ListBullet"/>
      </w:pPr>
      <w:r>
        <w:t>Pharmacien d'officine : éducation à l'observance, délivrance mensuelle, repérage des signaux d'alerte</w:t>
      </w:r>
    </w:p>
    <w:p>
      <w:pPr>
        <w:pStyle w:val="Heading2"/>
      </w:pPr>
      <w:r>
        <w:t>153.4 DCI : Baricitinib (usage rhumatologique)</w:t>
      </w:r>
    </w:p>
    <w:p>
      <w:pPr>
        <w:pStyle w:val="Heading3"/>
      </w:pPr>
      <w:r>
        <w:t>153.4.1 Catégories thérapeutiques et place dans la stratégie</w:t>
      </w:r>
    </w:p>
    <w:p>
      <w:pPr>
        <w:pStyle w:val="ListBullet"/>
      </w:pPr>
      <w:r/>
      <w:r>
        <w:rPr>
          <w:b/>
        </w:rPr>
        <w:t>Classe ATC</w:t>
      </w:r>
      <w:r>
        <w:t xml:space="preserve"> : L04AA24 (Baricitinib)</w:t>
      </w:r>
    </w:p>
    <w:p>
      <w:pPr>
        <w:pStyle w:val="ListBullet"/>
      </w:pPr>
      <w:r/>
      <w:r>
        <w:rPr>
          <w:b/>
        </w:rPr>
        <w:t>Sous-classe pharmacologique</w:t>
      </w:r>
      <w:r>
        <w:t xml:space="preserve"> : Inhibiteur de Janus Kinases (JAK1/JAK2 prédominant), targeted synthetic DMARD (tsDMARD)</w:t>
      </w:r>
    </w:p>
    <w:p>
      <w:pPr>
        <w:pStyle w:val="ListBullet"/>
      </w:pPr>
      <w:r/>
      <w:r>
        <w:rPr>
          <w:b/>
        </w:rPr>
        <w:t>Liste des médicaments</w:t>
      </w:r>
      <w:r>
        <w:t xml:space="preserve"> : Liste I (prescription médicale obligatoire)</w:t>
      </w:r>
    </w:p>
    <w:p>
      <w:pPr>
        <w:pStyle w:val="ListBullet"/>
      </w:pPr>
      <w:r/>
      <w:r>
        <w:rPr>
          <w:b/>
        </w:rPr>
        <w:t>Statut réglementaire Algérie</w:t>
      </w:r>
      <w:r>
        <w:t xml:space="preserve"> : Liste I, commercialisé sous le nom d'OLUMIANT® (BIOPHARM, sous licence Eli Lilly) ; disponible en cp pelliculé 2 mg et 4 mg, boîte de 28</w:t>
      </w:r>
    </w:p>
    <w:p>
      <w:pPr>
        <w:pStyle w:val="ListBullet"/>
      </w:pPr>
      <w:r/>
      <w:r>
        <w:rPr>
          <w:b/>
        </w:rPr>
        <w:t>Place dans la stratégie</w:t>
      </w:r>
      <w:r>
        <w:t xml:space="preserve"> : tsDMARD indiqué dans la PR active sévère de l'adulte en cas de réponse inadéquate ou d'intolérance à un ou plusieurs DMARDs conventionnels (incluant le méthotrexate), ET en cas d'impossibilité d'utiliser un bDMARD (anti-TNFα, anti-IL-6R, anti-CD20). Le baricitinib se distingue du tofacitinib par une </w:t>
      </w:r>
      <w:r>
        <w:rPr>
          <w:b/>
        </w:rPr>
        <w:t>sélectivité JAK1/JAK2</w:t>
      </w:r>
      <w:r>
        <w:t xml:space="preserve"> (vs JAK1/JAK3 pour le tofacitinib), ce qui entraîne des effets différentiels : inhibition plus marquée de l'IL-6 et du GM-CSF (efficacité), mais aussi de l'érythropoïétine (risque d'anémie) et de la signalisation JAK2 hématopoïétique (surveillance hématologique renforcée). Également indiqué dans la dermatite atopique sévère de l'adulte (indication dermatologique hors champ de ce chapitre). Comme pour tous les JAK inhibitors, les recommandations EMA/PRAC d'avril 2022 s'appliquent : utilisation réservée en cas d'impossibilité d'utiliser un bDMARD, contre-indication chez les patients &gt; 65 ans (sauf exception) et chez les patients à risque cardiovasculaire, thromboembolique veineux ou néoplasique</w:t>
      </w:r>
    </w:p>
    <w:p>
      <w:pPr>
        <w:pStyle w:val="ListBullet"/>
      </w:pPr>
      <w:r/>
      <w:r>
        <w:rPr>
          <w:b/>
        </w:rPr>
        <w:t>Index thérapeutique</w:t>
      </w:r>
      <w:r>
        <w:t xml:space="preserve"> : Étroit, comparable au tofacitinib</w:t>
      </w:r>
    </w:p>
    <w:p>
      <w:pPr>
        <w:pStyle w:val="ListBullet"/>
      </w:pPr>
      <w:r/>
      <w:r>
        <w:rPr>
          <w:b/>
        </w:rPr>
        <w:t>Grossesse/Allaitement</w:t>
      </w:r>
      <w:r>
        <w:t xml:space="preserve"> : Contre-indiqué (données animales tératogènes, données humaines limitées — CRAT : déconseillé, à éviter)</w:t>
      </w:r>
    </w:p>
    <w:p>
      <w:r>
        <w:t>Le baricitinib (OLUMIANT® Eli Lilly, développé en collaboration avec Incyte) a obtenu son AMM européenne en février 2017 pour la PR active sévère, puis une extension pour la dermatite atopique sévère en 2020. Son développement a été marqué par une étude pivot de phase III, RA-BEAM, démontrant une supériorité du baricitinib 4 mg/jour vs adalimumab 40 mg toutes les 2 semaines, sur le critère ACR20 à 12 semaines (70 % vs 61 %, p = 0,05) — positionnant le baricitinib comme une alternative orale très compétitive face au premier anti-TNFα. En Algérie, BIOPHARM a mis sur le marché OLUMIANT® à partir de 2021-2022, avec une commercialisation en cp pelliculé 2 mg et 4 mg (B/28), Liste I, remboursé pour la PR active sévère de l'adulte. Le baricitinib a également obtenu une AMM pour la dermatite atopique modérée à sévère de l'adulte en cas d'échec des traitements systémiques (ciclosporine, dupilumab) et pour la maladie de Still de l'adulte (AoSD). Le signal ORAL Surveillance (tofacitinib) a été étendu par principe de précaution à l'ensemble des inhibiteurs JAK, y compris le baricitinib, sans que ce dernier n'ait fait l'objet d'une étude de sécurité cardiovasculaire dédiée de l'ampleur d'ORAL Surveillance — justifiant une vigilance identique.</w:t>
      </w:r>
    </w:p>
    <w:p>
      <w:pPr>
        <w:pStyle w:val="Heading3"/>
      </w:pPr>
      <w:r>
        <w:t>153.4.2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OLUMIANT</w:t>
            </w:r>
          </w:p>
        </w:tc>
        <w:tc>
          <w:tcPr>
            <w:tcW w:type="dxa" w:w="1559"/>
          </w:tcPr>
          <w:p>
            <w:r>
              <w:rPr>
                <w:sz w:val="20"/>
              </w:rPr>
              <w:t>BIOPHARM</w:t>
            </w:r>
          </w:p>
        </w:tc>
        <w:tc>
          <w:tcPr>
            <w:tcW w:type="dxa" w:w="1559"/>
          </w:tcPr>
          <w:p>
            <w:r>
              <w:rPr>
                <w:sz w:val="20"/>
              </w:rPr>
              <w:t>Comprimé pelliculé — 2 mg</w:t>
            </w:r>
          </w:p>
        </w:tc>
        <w:tc>
          <w:tcPr>
            <w:tcW w:type="dxa" w:w="1559"/>
          </w:tcPr>
          <w:p>
            <w:r>
              <w:rPr>
                <w:sz w:val="20"/>
              </w:rPr>
              <w:t>B/28</w:t>
            </w:r>
          </w:p>
        </w:tc>
        <w:tc>
          <w:tcPr>
            <w:tcW w:type="dxa" w:w="1559"/>
          </w:tcPr>
          <w:p>
            <w:r>
              <w:rPr>
                <w:sz w:val="20"/>
              </w:rPr>
              <w:t>LISTE I</w:t>
            </w:r>
          </w:p>
        </w:tc>
        <w:tc>
          <w:tcPr>
            <w:tcW w:type="dxa" w:w="1559"/>
          </w:tcPr>
          <w:p>
            <w:r>
              <w:rPr>
                <w:sz w:val="20"/>
              </w:rPr>
              <w:t>ACTIF</w:t>
            </w:r>
          </w:p>
        </w:tc>
      </w:tr>
      <w:tr>
        <w:tc>
          <w:tcPr>
            <w:tcW w:type="dxa" w:w="1559"/>
          </w:tcPr>
          <w:p>
            <w:r>
              <w:rPr>
                <w:sz w:val="20"/>
              </w:rPr>
              <w:t>OLUMIANT</w:t>
            </w:r>
          </w:p>
        </w:tc>
        <w:tc>
          <w:tcPr>
            <w:tcW w:type="dxa" w:w="1559"/>
          </w:tcPr>
          <w:p>
            <w:r>
              <w:rPr>
                <w:sz w:val="20"/>
              </w:rPr>
              <w:t>BIOPHARM</w:t>
            </w:r>
          </w:p>
        </w:tc>
        <w:tc>
          <w:tcPr>
            <w:tcW w:type="dxa" w:w="1559"/>
          </w:tcPr>
          <w:p>
            <w:r>
              <w:rPr>
                <w:sz w:val="20"/>
              </w:rPr>
              <w:t>Comprimé pelliculé — 4 mg</w:t>
            </w:r>
          </w:p>
        </w:tc>
        <w:tc>
          <w:tcPr>
            <w:tcW w:type="dxa" w:w="1559"/>
          </w:tcPr>
          <w:p>
            <w:r>
              <w:rPr>
                <w:sz w:val="20"/>
              </w:rPr>
              <w:t>B/28</w:t>
            </w:r>
          </w:p>
        </w:tc>
        <w:tc>
          <w:tcPr>
            <w:tcW w:type="dxa" w:w="1559"/>
          </w:tcPr>
          <w:p>
            <w:r>
              <w:rPr>
                <w:sz w:val="20"/>
              </w:rPr>
              <w:t>LISTE I</w:t>
            </w:r>
          </w:p>
        </w:tc>
        <w:tc>
          <w:tcPr>
            <w:tcW w:type="dxa" w:w="1559"/>
          </w:tcPr>
          <w:p>
            <w:r>
              <w:rPr>
                <w:sz w:val="20"/>
              </w:rPr>
              <w:t>ACTIF</w:t>
            </w:r>
          </w:p>
        </w:tc>
      </w:tr>
    </w:tbl>
    <w:p/>
    <w:p>
      <w:r/>
      <w:r>
        <w:rPr>
          <w:b/>
        </w:rPr>
        <w:t>Spécificités de dispensation</w:t>
      </w:r>
      <w:r>
        <w:t xml:space="preserve"> : Liste I (prescription médicale obligatoire). Prescription réservée aux spécialistes rhumatologues (ou dermatologues pour la dermatite atopique), dans le cadre d'une prescription initiale hospitalière annuelle, renouvelable en ville. Pas de substitution par le pharmacien d'officine. Le générique n'est pas disponible en Algérie. Conservation : à température ambiante ≤ 25 °C, à l'abri de l'humidité et de la lumière, dans l'emballage d'origine. Durée de conservation : 36 mois (Date de Péremption inscrite sur l'emballage).</w:t>
      </w:r>
    </w:p>
    <w:p>
      <w:pPr>
        <w:pStyle w:val="Heading3"/>
      </w:pPr>
      <w:r>
        <w:t>153.4.3 Mécanisme d'action</w:t>
      </w:r>
    </w:p>
    <w:p>
      <w:r>
        <w:t xml:space="preserve">Le baricitinib est un inhibiteur réversible, compétitif par rapport à l'ATP, des </w:t>
      </w:r>
      <w:r>
        <w:rPr>
          <w:b/>
        </w:rPr>
        <w:t>Janus Kinases JAK1 et JAK2</w:t>
      </w:r>
      <w:r>
        <w:t xml:space="preserve">, avec une activité moindre sur JAK3 et TYK2 (profil de sélectivité JAK1/JAK2 ≈ 10-100 fois supérieur à JAK3 selon les tests enzymatiques). Cette spécificité JAK1/JAK2 distingue le baricitinib du tofacitinib (JAK1/JAK3) et de l'upadacitinib (JAK1 hautement sélectif) et confère au baricitinib un profil d'effets indésirables particuliers : </w:t>
      </w:r>
      <w:r>
        <w:rPr>
          <w:b/>
        </w:rPr>
        <w:t>inhibition marquée de l'IL-6</w:t>
      </w:r>
      <w:r>
        <w:t xml:space="preserve"> (voie JAK1/JAK2/TYK2 → STAT3) — ce qui explique son efficacité prononcée dans la PR et les maladies inflammatoires systémiques ; </w:t>
      </w:r>
      <w:r>
        <w:rPr>
          <w:b/>
        </w:rPr>
        <w:t>inhibition de l'érythropoïétine</w:t>
      </w:r>
      <w:r>
        <w:t xml:space="preserve"> (voie JAK2 → STAT5) — d'où un risque d'anémie modérée, particulièrement chez les patients ayant une carence martiale préexistante ou une insuffisance rénale chronique ; </w:t>
      </w:r>
      <w:r>
        <w:rPr>
          <w:b/>
        </w:rPr>
        <w:t>inhibition du GM-CSF</w:t>
      </w:r>
      <w:r>
        <w:t xml:space="preserve"> (voie JAK2 → STAT5) — d'où un risque de neutropénie modérée ; </w:t>
      </w:r>
      <w:r>
        <w:rPr>
          <w:b/>
        </w:rPr>
        <w:t>inhibition des IFN de type I</w:t>
      </w:r>
      <w:r>
        <w:t xml:space="preserve"> (IFN-α, IFN-β — voie JAK1/TYK2 → STAT1/2) — d'où une efficacité dans les maladies à composante IFN-1 (lupus, dermatomyosite, maladie de Still de l'adulte, COVID-19 sévère en induction).</w:t>
      </w:r>
    </w:p>
    <w:p>
      <w:r>
        <w:t>En bloquant JAK1/JAK2, le baricitinib inhibe la signalisation des cytokines pro-inflammatoires critiques dans la PR (IL-6, IL-12, IL-23, IFN-γ, GM-CSF) et dans la dermatite atopique (IL-4, IL-13, IL-31, TSLP via JAK1/JAK2 sur les lymphocytes Th2). Son efficacité clinique se manifeste dès la 2ᵉ-4ᵉ semaine de traitement (DAS28 à 4 semaines significativement amélioré vs placebo), avec un effet de plateau à 12-16 semaines. L'effet structuro-protecteur (prévention des érosions osseuses et du pincement articulaire radiographique) est démontré à 24 semaines et persiste à 2 ans. Le baricitinib ne montre pas de développement d'anticorps anti-médicament (immunogénicité faible, contrairement aux biothérapies).</w:t>
      </w:r>
    </w:p>
    <w:p>
      <w:pPr>
        <w:pStyle w:val="Heading3"/>
      </w:pPr>
      <w:r>
        <w:t>153.4.4 Pharmacocinétique</w:t>
      </w:r>
    </w:p>
    <w:p>
      <w:r>
        <w:t xml:space="preserve">Le baricitinib est absorbé rapidement par voie orale avec une </w:t>
      </w:r>
      <w:r>
        <w:rPr>
          <w:b/>
        </w:rPr>
        <w:t>biodisponibilité élevée d'environ 79 %</w:t>
      </w:r>
      <w:r>
        <w:t xml:space="preserve">, un </w:t>
      </w:r>
      <w:r>
        <w:rPr>
          <w:b/>
        </w:rPr>
        <w:t>Tmax de 1 à 2 heures</w:t>
      </w:r>
      <w:r>
        <w:t xml:space="preserve"> et une </w:t>
      </w:r>
      <w:r>
        <w:rPr>
          <w:b/>
        </w:rPr>
        <w:t>demi-vie d'élimination prolongée d'environ 12 à 13 heures</w:t>
      </w:r>
      <w:r>
        <w:t xml:space="preserve"> (justifiant une seule prise par jour, contrairement au tofacitinib qui nécessite 2 prises). La Cmax après une dose de 4 mg est d'environ 35-45 ng/mL, et l'ASC0-24h d'environ 300-400 ng·h/mL. La prise alimentaire n'a pas d'effet significatif sur l'absorption.</w:t>
      </w:r>
    </w:p>
    <w:p>
      <w:r>
        <w:t xml:space="preserve">Le </w:t>
      </w:r>
      <w:r>
        <w:rPr>
          <w:b/>
        </w:rPr>
        <w:t>métabolisme</w:t>
      </w:r>
      <w:r>
        <w:t xml:space="preserve"> du baricitinib est minime : seulement environ 10 % de la dose subit une biotransformation, principalement par le CYP3A4 en métabolites inactifs. Le baricitinib est principalement éliminé </w:t>
      </w:r>
      <w:r>
        <w:rPr>
          <w:b/>
        </w:rPr>
        <w:t>sous forme inchangée dans les urines</w:t>
      </w:r>
      <w:r>
        <w:t xml:space="preserve"> (environ 60-70 % de la dose administrée), via une combinaison de filtration glomérulaire et de sécrétion tubulaire active (transporteurs OAT3, MDR1, BCRP). En raison de cette élimination rénale prédominante, l'insuffisance rénale justifie une adaptation posologique stricte (voir section 153.4.11).</w:t>
      </w:r>
    </w:p>
    <w:p>
      <w:r>
        <w:t>L'</w:t>
      </w:r>
      <w:r>
        <w:rPr>
          <w:b/>
        </w:rPr>
        <w:t>insuffisance rénale modérée</w:t>
      </w:r>
      <w:r>
        <w:t xml:space="preserve"> (DFG 30-60 mL/min) justifie une réduction posologique de moitié (2 mg × 1/jour au lieu de 4 mg). L'</w:t>
      </w:r>
      <w:r>
        <w:rPr>
          <w:b/>
        </w:rPr>
        <w:t>insuffisance rénale sévère</w:t>
      </w:r>
      <w:r>
        <w:t xml:space="preserve"> (DFG &lt; 30 mL/min) contre-indique l'utilisation du baricitinib à la dose de 4 mg et impose une utilisation à 2 mg × 1/jour au maximum, avec une surveillance renforcée. L'insuffisance rénale terminale (dialyse) contre-indique le baricitinib en raison de l'impossibilité d'assurer une élimination correcte.</w:t>
      </w:r>
    </w:p>
    <w:p>
      <w:r>
        <w:t>L'</w:t>
      </w:r>
      <w:r>
        <w:rPr>
          <w:b/>
        </w:rPr>
        <w:t>insuffisance hépatique modérée</w:t>
      </w:r>
      <w:r>
        <w:t xml:space="preserve"> (Child-Pugh A) ne justifie pas d'adaptation posologique. L'</w:t>
      </w:r>
      <w:r>
        <w:rPr>
          <w:b/>
        </w:rPr>
        <w:t>insuffisance hépatique modérée à sévère</w:t>
      </w:r>
      <w:r>
        <w:t xml:space="preserve"> (Child-Pugh B et C) : utilisation avec prudence, surveillance hépatique renforcée (données limitées). Le baricitinib n'est pas un inhibiteur ou un inducteur significatif des principaux CYP à doses thérapeutiques, ce qui limite le risque d'interactions pharmacocinétiques médicamenteuses.</w:t>
      </w:r>
    </w:p>
    <w:p>
      <w:pPr>
        <w:pStyle w:val="Heading3"/>
      </w:pPr>
      <w:r>
        <w:t>153.4.5 Indications thérapeutiques</w:t>
      </w:r>
    </w:p>
    <w:p>
      <w:pPr>
        <w:pStyle w:val="ListBullet"/>
      </w:pPr>
      <w:r/>
      <w:r>
        <w:rPr>
          <w:b/>
        </w:rPr>
        <w:t>Polyarthrite rhumatoïde (PR) active sévère de l'adulte</w:t>
      </w:r>
      <w:r>
        <w:t xml:space="preserve"> : en cas de réponse inadéquate ou d'intolérance à un ou plusieurs DMARDs conventionnels (méthotrexate, léflunomide, sulfasalazine) ET en cas d'impossibilité d'utiliser un bDMARD (anti-TNFα, anti-IL-6R, anti-CD20). Selon les recommandations EULAR 2022, le baricitinib est positionné en tsDMARD de 2ᵉ ligne après échec d'au moins un bDMARD. AMM européenne : 4 mg × 1/jour per os (ou 2 mg × 1/jour en cas d'insuffisance rénale modérée, sujet âgé ≥ 65 ans avec risque accru, ou en entretien après réponse clinique à 4 mg)</w:t>
      </w:r>
    </w:p>
    <w:p>
      <w:pPr>
        <w:pStyle w:val="ListBullet"/>
      </w:pPr>
      <w:r/>
      <w:r>
        <w:rPr>
          <w:b/>
        </w:rPr>
        <w:t>Dermatite atopique modérée à sévère de l'adulte</w:t>
      </w:r>
      <w:r>
        <w:t xml:space="preserve"> : en cas de réponse inadéquate ou d'intolérance aux traitements topiques (dermocorticoïdes, inhibiteurs de la calcineurine) et aux traitements systémiques conventionnels (ciclosporine, dupilumab). AMM : 4 mg × 1/jour en induction, puis 2 mg × 1/jour en entretien</w:t>
      </w:r>
    </w:p>
    <w:p>
      <w:pPr>
        <w:pStyle w:val="ListBullet"/>
      </w:pPr>
      <w:r/>
      <w:r>
        <w:rPr>
          <w:b/>
        </w:rPr>
        <w:t>Maladie de Still de l'adulte (AoSD)</w:t>
      </w:r>
      <w:r>
        <w:t xml:space="preserve"> : en cas de réponse inadéquate ou d'intolérance aux AINS et à la corticothérapie. AMM européenne récente (2023)</w:t>
      </w:r>
    </w:p>
    <w:p>
      <w:pPr>
        <w:pStyle w:val="ListBullet"/>
      </w:pPr>
      <w:r/>
      <w:r>
        <w:rPr>
          <w:b/>
        </w:rPr>
        <w:t>COVID-19 sévère</w:t>
      </w:r>
      <w:r>
        <w:t xml:space="preserve"> (indication d'urgence temporaire) : dans certaines indications de la COVID-19 sévère chez l'adulte hospitalisé nécessitant oxygénothérapie (en complément de la corticothérapie), dans le cadre de l'AMM européenne d'urgence (2021-2022) — indication actuellement remise en perspective avec l'évolution de la pandémie et l'émergence des variants</w:t>
      </w:r>
    </w:p>
    <w:p>
      <w:pPr>
        <w:pStyle w:val="ListBullet"/>
      </w:pPr>
      <w:r/>
      <w:r>
        <w:rPr>
          <w:b/>
        </w:rPr>
        <w:t>Alopécie areata sévère de l'adulte</w:t>
      </w:r>
      <w:r>
        <w:t xml:space="preserve"> : AMM FDA (2022) — extension d'AMM européenne en cours ; non inscrite à ce jour dans la nomenclature algérienne pour cette indication</w:t>
      </w:r>
    </w:p>
    <w:p>
      <w:pPr>
        <w:pStyle w:val="Heading3"/>
      </w:pPr>
      <w:r>
        <w:t>153.4.6 Contre-indications</w:t>
      </w:r>
    </w:p>
    <w:p>
      <w:pPr>
        <w:pStyle w:val="ListBullet"/>
      </w:pPr>
      <w:r/>
      <w:r>
        <w:rPr>
          <w:b/>
        </w:rPr>
        <w:t>Contre-indications absolues</w:t>
      </w:r>
      <w:r>
        <w:t xml:space="preserve"> :</w:t>
      </w:r>
    </w:p>
    <w:p>
      <w:pPr>
        <w:pStyle w:val="ListBullet"/>
      </w:pPr>
      <w:r>
        <w:t>Hypersensibilité à la substance active ou à l'un des excipients</w:t>
      </w:r>
    </w:p>
    <w:p>
      <w:pPr>
        <w:pStyle w:val="ListBullet"/>
      </w:pPr>
      <w:r/>
      <w:r>
        <w:rPr>
          <w:b/>
        </w:rPr>
        <w:t>Patients âgés ≥ 65 ans</w:t>
      </w:r>
      <w:r>
        <w:t xml:space="preserve"> (selon recommandations EMA/PRAC avril 2022, sauf situation exceptionnelle où aucune alternative thérapeutique n'est envisageable)</w:t>
      </w:r>
    </w:p>
    <w:p>
      <w:pPr>
        <w:pStyle w:val="ListBullet"/>
      </w:pPr>
      <w:r/>
      <w:r>
        <w:rPr>
          <w:b/>
        </w:rPr>
        <w:t>Antécédent de thrombose veineuse</w:t>
      </w:r>
      <w:r>
        <w:t xml:space="preserve"> (TVP, embolie pulmonaire, thrombose veineuse cérébrale, thrombose veineuse splanchnique, syndrome des antiphospholipides)</w:t>
      </w:r>
    </w:p>
    <w:p>
      <w:pPr>
        <w:pStyle w:val="ListBullet"/>
      </w:pPr>
      <w:r/>
      <w:r>
        <w:rPr>
          <w:b/>
        </w:rPr>
        <w:t>Antécédent d'événement cardiovasculaire majeur</w:t>
      </w:r>
      <w:r>
        <w:t xml:space="preserve"> (MACE : infarctus du myocarde, AVC ischémique ou hémorragique, mort cardiovasculaire)</w:t>
      </w:r>
    </w:p>
    <w:p>
      <w:pPr>
        <w:pStyle w:val="ListBullet"/>
      </w:pPr>
      <w:r/>
      <w:r>
        <w:rPr>
          <w:b/>
        </w:rPr>
        <w:t>Facteurs de risque cardiovasculaire non contrôlés</w:t>
      </w:r>
      <w:r>
        <w:t xml:space="preserve"> : diabète déséquilibré (HbA1c &gt; 8,5 %), hypertension artérielle non contrôlée, dyslipidémie sévère non traitée, tabagisme actif, insuffisance cardiaque NYHA III-IV</w:t>
      </w:r>
    </w:p>
    <w:p>
      <w:pPr>
        <w:pStyle w:val="ListBullet"/>
      </w:pPr>
      <w:r/>
      <w:r>
        <w:rPr>
          <w:b/>
        </w:rPr>
        <w:t>Patients à risque accru de cancer</w:t>
      </w:r>
      <w:r>
        <w:t xml:space="preserve"> : antécédent personnel de cancer solide ou hématologique (sauf cancer basocellulaire cutané traité), antécédent familial de cancer héréditaire, lésions pré-néoplasiques évolutives</w:t>
      </w:r>
    </w:p>
    <w:p>
      <w:pPr>
        <w:pStyle w:val="ListBullet"/>
      </w:pPr>
      <w:r/>
      <w:r>
        <w:rPr>
          <w:b/>
        </w:rPr>
        <w:t>Infection sévère active</w:t>
      </w:r>
      <w:r>
        <w:t xml:space="preserve"> : septicémie, infection opportuniste (TB active, mycose invasive, LEMP), infection par le VHB (réactivation) ou VHC non contrôlé</w:t>
      </w:r>
    </w:p>
    <w:p>
      <w:pPr>
        <w:pStyle w:val="ListBullet"/>
      </w:pPr>
      <w:r/>
      <w:r>
        <w:rPr>
          <w:b/>
        </w:rPr>
        <w:t>Tuberculose active</w:t>
      </w:r>
      <w:r>
        <w:t xml:space="preserve"> non traitée</w:t>
      </w:r>
    </w:p>
    <w:p>
      <w:pPr>
        <w:pStyle w:val="ListBullet"/>
      </w:pPr>
      <w:r/>
      <w:r>
        <w:rPr>
          <w:b/>
        </w:rPr>
        <w:t>Insuffisance rénale sévère</w:t>
      </w:r>
      <w:r>
        <w:t xml:space="preserve"> (DFG &lt; 30 mL/min) — contre-indication à la dose de 4 mg, utilisation possible à 2 mg × 1/jour</w:t>
      </w:r>
    </w:p>
    <w:p>
      <w:pPr>
        <w:pStyle w:val="ListBullet"/>
      </w:pPr>
      <w:r/>
      <w:r>
        <w:rPr>
          <w:b/>
        </w:rPr>
        <w:t>Insuffisance hépatique sévère</w:t>
      </w:r>
      <w:r>
        <w:t xml:space="preserve"> (Child-Pugh C) — par prudence</w:t>
      </w:r>
    </w:p>
    <w:p>
      <w:pPr>
        <w:pStyle w:val="ListBullet"/>
      </w:pPr>
      <w:r/>
      <w:r>
        <w:rPr>
          <w:b/>
        </w:rPr>
        <w:t>Grossesse et allaitement</w:t>
      </w:r>
      <w:r>
        <w:t xml:space="preserve"> (voir section dédiée CRAT)</w:t>
      </w:r>
    </w:p>
    <w:p>
      <w:pPr>
        <w:pStyle w:val="ListBullet"/>
      </w:pPr>
      <w:r/>
      <w:r>
        <w:rPr>
          <w:b/>
        </w:rPr>
        <w:t>Vaccins vivants atténués</w:t>
      </w:r>
      <w:r>
        <w:t xml:space="preserve"> pendant le traitement et jusqu'à 4 semaines après l'arrêt</w:t>
      </w:r>
    </w:p>
    <w:p>
      <w:pPr>
        <w:pStyle w:val="ListBullet"/>
      </w:pPr>
      <w:r/>
      <w:r>
        <w:rPr>
          <w:b/>
        </w:rPr>
        <w:t>Association aux inhibiteurs puissants du transporteur OAT3</w:t>
      </w:r>
      <w:r>
        <w:t xml:space="preserve"> (probénécide) — contre-indication relative</w:t>
      </w:r>
    </w:p>
    <w:p>
      <w:pPr>
        <w:pStyle w:val="ListBullet"/>
      </w:pPr>
      <w:r/>
      <w:r>
        <w:rPr>
          <w:b/>
        </w:rPr>
        <w:t>Contre-indications relatives / Précautions d'emploi</w:t>
      </w:r>
      <w:r>
        <w:t xml:space="preserve"> :</w:t>
      </w:r>
    </w:p>
    <w:p>
      <w:pPr>
        <w:pStyle w:val="ListBullet"/>
      </w:pPr>
      <w:r>
        <w:t>Insuffisance rénale modérée (DFG 30-60 mL/min) : posologie réduite à 2 mg × 1/jour</w:t>
      </w:r>
    </w:p>
    <w:p>
      <w:pPr>
        <w:pStyle w:val="ListBullet"/>
      </w:pPr>
      <w:r>
        <w:t>Sujet âgé ≥ 65 ans : évaluation bénéfice/risque renforcée, posologie initiale 2 mg × 1/jour</w:t>
      </w:r>
    </w:p>
    <w:p>
      <w:pPr>
        <w:pStyle w:val="ListBullet"/>
      </w:pPr>
      <w:r>
        <w:t>Anémie préexistante (Hb &lt; 10 g/dL) ou carence martiale : surveillance étroite</w:t>
      </w:r>
    </w:p>
    <w:p>
      <w:pPr>
        <w:pStyle w:val="ListBullet"/>
      </w:pPr>
      <w:r>
        <w:t>Neutropénie préexistante (&lt; 1500/mm³) : surveillance étroite</w:t>
      </w:r>
    </w:p>
    <w:p>
      <w:pPr>
        <w:pStyle w:val="ListBullet"/>
      </w:pPr>
      <w:r>
        <w:t>Lymphopénie préexistante (&lt; 800/mm³) : surveillance étroite</w:t>
      </w:r>
    </w:p>
    <w:p>
      <w:pPr>
        <w:pStyle w:val="ListBullet"/>
      </w:pPr>
      <w:r>
        <w:t>Cytopénies multiples ou syndromes myélodysplasiques : contre-indication</w:t>
      </w:r>
    </w:p>
    <w:p>
      <w:pPr>
        <w:pStyle w:val="ListBullet"/>
      </w:pPr>
      <w:r>
        <w:t>Diverticulite ou antécédent de perforation digestive : prudence</w:t>
      </w:r>
    </w:p>
    <w:p>
      <w:pPr>
        <w:pStyle w:val="ListBullet"/>
      </w:pPr>
      <w:r>
        <w:t>Tabagisme actif sevrage &lt; 6 mois : évaluation bénéfice/risque renforcée</w:t>
      </w:r>
    </w:p>
    <w:p>
      <w:pPr>
        <w:pStyle w:val="ListBullet"/>
      </w:pPr>
      <w:r>
        <w:t>Hypogammaglobulinémie : prudence</w:t>
      </w:r>
    </w:p>
    <w:p>
      <w:pPr>
        <w:pStyle w:val="Heading3"/>
      </w:pPr>
      <w:r>
        <w:t>153.4.7 Effets indésirables</w:t>
      </w:r>
    </w:p>
    <w:p>
      <w:r/>
      <w:r>
        <w:rPr>
          <w:b/>
        </w:rPr>
        <w:t>Infectieux</w:t>
      </w:r>
      <w:r>
        <w:t xml:space="preserve"> :</w:t>
      </w:r>
    </w:p>
    <w:p>
      <w:pPr>
        <w:pStyle w:val="ListBullet"/>
      </w:pPr>
      <w:r/>
      <w:r>
        <w:rPr>
          <w:b/>
        </w:rPr>
        <w:t>Infections des voies respiratoires supérieures</w:t>
      </w:r>
      <w:r>
        <w:t xml:space="preserve"> (rhinopharyngite) : 10-15 %</w:t>
      </w:r>
    </w:p>
    <w:p>
      <w:pPr>
        <w:pStyle w:val="ListBullet"/>
      </w:pPr>
      <w:r/>
      <w:r>
        <w:rPr>
          <w:b/>
        </w:rPr>
        <w:t>Infections des voies respiratoires inférieures</w:t>
      </w:r>
      <w:r>
        <w:t xml:space="preserve"> (bronchite, pneumopathie) : 3-5 %</w:t>
      </w:r>
    </w:p>
    <w:p>
      <w:pPr>
        <w:pStyle w:val="ListBullet"/>
      </w:pPr>
      <w:r/>
      <w:r>
        <w:rPr>
          <w:b/>
        </w:rPr>
        <w:t>Infections urinaires</w:t>
      </w:r>
      <w:r>
        <w:t xml:space="preserve"> : 3-5 %</w:t>
      </w:r>
    </w:p>
    <w:p>
      <w:pPr>
        <w:pStyle w:val="ListBullet"/>
      </w:pPr>
      <w:r/>
      <w:r>
        <w:rPr>
          <w:b/>
        </w:rPr>
        <w:t>Zona</w:t>
      </w:r>
      <w:r>
        <w:t xml:space="preserve"> : incidence 1-2 % par an (légèrement inférieure au tofacitinib mais significativement supérieure aux anti-TNFα) — particulièrement zona ophtalmique, zona multidermatomérique</w:t>
      </w:r>
    </w:p>
    <w:p>
      <w:pPr>
        <w:pStyle w:val="ListBullet"/>
      </w:pPr>
      <w:r/>
      <w:r>
        <w:rPr>
          <w:b/>
        </w:rPr>
        <w:t>Tuberculose</w:t>
      </w:r>
      <w:r>
        <w:t xml:space="preserve"> : réactivation possible (TB latente → TB active) — dépistage pré-thérapeutique obligatoire</w:t>
      </w:r>
    </w:p>
    <w:p>
      <w:pPr>
        <w:pStyle w:val="ListBullet"/>
      </w:pPr>
      <w:r/>
      <w:r>
        <w:rPr>
          <w:b/>
        </w:rPr>
        <w:t>Infections opportunistes</w:t>
      </w:r>
      <w:r>
        <w:t xml:space="preserve"> : pneumocystose, candidose profonde, infection à mycobactéries atypiques, LEMP (très rare)</w:t>
      </w:r>
    </w:p>
    <w:p>
      <w:pPr>
        <w:pStyle w:val="ListBullet"/>
      </w:pPr>
      <w:r/>
      <w:r>
        <w:rPr>
          <w:b/>
        </w:rPr>
        <w:t>Infections bactériennes sévères</w:t>
      </w:r>
      <w:r>
        <w:t xml:space="preserve"> : cellulite, pyélonéphrite, pneumopathie bactérienne, septicémie</w:t>
      </w:r>
    </w:p>
    <w:p>
      <w:r/>
      <w:r>
        <w:rPr>
          <w:b/>
        </w:rPr>
        <w:t>Hématologiques</w:t>
      </w:r>
      <w:r>
        <w:t xml:space="preserve"> (spécificité JAK2) :</w:t>
      </w:r>
    </w:p>
    <w:p>
      <w:pPr>
        <w:pStyle w:val="ListBullet"/>
      </w:pPr>
      <w:r/>
      <w:r>
        <w:rPr>
          <w:b/>
        </w:rPr>
        <w:t>Neutropénie</w:t>
      </w:r>
      <w:r>
        <w:t xml:space="preserve"> : 5-8 % (modérée, &lt; 1500/mm³) ; 0,5-1 % sévère</w:t>
      </w:r>
    </w:p>
    <w:p>
      <w:pPr>
        <w:pStyle w:val="ListBullet"/>
      </w:pPr>
      <w:r/>
      <w:r>
        <w:rPr>
          <w:b/>
        </w:rPr>
        <w:t>Lymphopénie</w:t>
      </w:r>
      <w:r>
        <w:t xml:space="preserve"> : 5-10 % (lymphocytes T CD4+ et NK)</w:t>
      </w:r>
    </w:p>
    <w:p>
      <w:pPr>
        <w:pStyle w:val="ListBullet"/>
      </w:pPr>
      <w:r/>
      <w:r>
        <w:rPr>
          <w:b/>
        </w:rPr>
        <w:t>Anémie</w:t>
      </w:r>
      <w:r>
        <w:t xml:space="preserve"> : 5-10 % (spécificité baricitinib — inhibition de l'érythropoïétine JAK2-dépendante) ; particulièrement chez les patients à risque (carence martiale, insuffisance rénale chronique)</w:t>
      </w:r>
    </w:p>
    <w:p>
      <w:pPr>
        <w:pStyle w:val="ListBullet"/>
      </w:pPr>
      <w:r/>
      <w:r>
        <w:rPr>
          <w:b/>
        </w:rPr>
        <w:t>Thrombopénie</w:t>
      </w:r>
      <w:r>
        <w:t xml:space="preserve"> : rare (&lt; 1 %)</w:t>
      </w:r>
    </w:p>
    <w:p>
      <w:pPr>
        <w:pStyle w:val="ListBullet"/>
      </w:pPr>
      <w:r/>
      <w:r>
        <w:rPr>
          <w:b/>
        </w:rPr>
        <w:t>Élévation modérée de l'hémoglobine</w:t>
      </w:r>
      <w:r>
        <w:t xml:space="preserve"> (paradoxalement, dans certains cas, en cas d'inflammation chronique préalable avec anémie inflammatoire corrigée par le traitement)</w:t>
      </w:r>
    </w:p>
    <w:p>
      <w:r/>
      <w:r>
        <w:rPr>
          <w:b/>
        </w:rPr>
        <w:t>Hépatiques</w:t>
      </w:r>
      <w:r>
        <w:t xml:space="preserve"> :</w:t>
      </w:r>
    </w:p>
    <w:p>
      <w:pPr>
        <w:pStyle w:val="ListBullet"/>
      </w:pPr>
      <w:r/>
      <w:r>
        <w:rPr>
          <w:b/>
        </w:rPr>
        <w:t>Élévation des transaminases</w:t>
      </w:r>
      <w:r>
        <w:t xml:space="preserve"> (ALAT/ASAT &gt; 1 × LSN) : 5-10 %</w:t>
      </w:r>
    </w:p>
    <w:p>
      <w:pPr>
        <w:pStyle w:val="ListBullet"/>
      </w:pPr>
      <w:r/>
      <w:r>
        <w:rPr>
          <w:b/>
        </w:rPr>
        <w:t>Élévation supérieure à 3 × LSN</w:t>
      </w:r>
      <w:r>
        <w:t xml:space="preserve"> : 1-2 %</w:t>
      </w:r>
    </w:p>
    <w:p>
      <w:pPr>
        <w:pStyle w:val="ListBullet"/>
      </w:pPr>
      <w:r/>
      <w:r>
        <w:rPr>
          <w:b/>
        </w:rPr>
        <w:t>Cas exceptionnels d'insuffisance hépatique médicamenteuse</w:t>
      </w:r>
      <w:r/>
    </w:p>
    <w:p>
      <w:r/>
      <w:r>
        <w:rPr>
          <w:b/>
        </w:rPr>
        <w:t>Lipidiques</w:t>
      </w:r>
      <w:r>
        <w:t xml:space="preserve"> :</w:t>
      </w:r>
    </w:p>
    <w:p>
      <w:pPr>
        <w:pStyle w:val="ListBullet"/>
      </w:pPr>
      <w:r>
        <w:t>Élévation du cholestérol total : 10-15 %</w:t>
      </w:r>
    </w:p>
    <w:p>
      <w:pPr>
        <w:pStyle w:val="ListBullet"/>
      </w:pPr>
      <w:r>
        <w:t>Élévation du LDL-cholestérol : 10-15 % (souvent 10-20 % d'augmentation par rapport à la valeur de base, à partir de 4 semaines, plateau à 3 mois)</w:t>
      </w:r>
    </w:p>
    <w:p>
      <w:pPr>
        <w:pStyle w:val="ListBullet"/>
      </w:pPr>
      <w:r>
        <w:t>Élévation du HDL-cholestérol : 5-10 %</w:t>
      </w:r>
    </w:p>
    <w:p>
      <w:pPr>
        <w:pStyle w:val="ListBullet"/>
      </w:pPr>
      <w:r>
        <w:t>Élévation des triglycérides : 5-10 %</w:t>
      </w:r>
    </w:p>
    <w:p>
      <w:r/>
      <w:r>
        <w:rPr>
          <w:b/>
        </w:rPr>
        <w:t>Cardiovasculaires et thromboemboliques</w:t>
      </w:r>
      <w:r>
        <w:t xml:space="preserve"> (signal de sécurité majeur, par extension des recommandations EMA/PRAC) :</w:t>
      </w:r>
    </w:p>
    <w:p>
      <w:pPr>
        <w:pStyle w:val="ListBullet"/>
      </w:pPr>
      <w:r/>
      <w:r>
        <w:rPr>
          <w:b/>
        </w:rPr>
        <w:t>Hypertension artérielle</w:t>
      </w:r>
      <w:r>
        <w:t xml:space="preserve"> (élévation de 2-5 mmHg de la PAS et PAD)</w:t>
      </w:r>
    </w:p>
    <w:p>
      <w:pPr>
        <w:pStyle w:val="ListBullet"/>
      </w:pPr>
      <w:r/>
      <w:r>
        <w:rPr>
          <w:b/>
        </w:rPr>
        <w:t>Thrombose veineuse profonde (TVP)</w:t>
      </w:r>
      <w:r>
        <w:t xml:space="preserve"> et </w:t>
      </w:r>
      <w:r>
        <w:rPr>
          <w:b/>
        </w:rPr>
        <w:t>embolie pulmonaire (EP)</w:t>
      </w:r>
      <w:r>
        <w:t xml:space="preserve"> : incidence 0,3-1,0 % par an selon les populations</w:t>
      </w:r>
    </w:p>
    <w:p>
      <w:pPr>
        <w:pStyle w:val="ListBullet"/>
      </w:pPr>
      <w:r/>
      <w:r>
        <w:rPr>
          <w:b/>
        </w:rPr>
        <w:t>Événements cardiovasculaires majeurs (MACE)</w:t>
      </w:r>
      <w:r>
        <w:t xml:space="preserve"> : infarctus du myocarade, AVC, mort cardiovasculaire — incidence 0,5-1,0 % par an</w:t>
      </w:r>
    </w:p>
    <w:p>
      <w:pPr>
        <w:pStyle w:val="ListBullet"/>
      </w:pPr>
      <w:r/>
      <w:r>
        <w:rPr>
          <w:b/>
        </w:rPr>
        <w:t>Thrombose veineuse cérébrale</w:t>
      </w:r>
      <w:r>
        <w:t xml:space="preserve">, </w:t>
      </w:r>
      <w:r>
        <w:rPr>
          <w:b/>
        </w:rPr>
        <w:t>thrombose veineuse splanchnique</w:t>
      </w:r>
      <w:r>
        <w:t xml:space="preserve"> (rares mais graves)</w:t>
      </w:r>
    </w:p>
    <w:p>
      <w:r/>
      <w:r>
        <w:rPr>
          <w:b/>
        </w:rPr>
        <w:t>Digestifs</w:t>
      </w:r>
      <w:r>
        <w:t xml:space="preserve"> :</w:t>
      </w:r>
    </w:p>
    <w:p>
      <w:pPr>
        <w:pStyle w:val="ListBullet"/>
      </w:pPr>
      <w:r>
        <w:t>Douleurs abdominales, nausées : 5-8 %</w:t>
      </w:r>
    </w:p>
    <w:p>
      <w:pPr>
        <w:pStyle w:val="ListBullet"/>
      </w:pPr>
      <w:r>
        <w:t>Diarrhée : 3-5 %</w:t>
      </w:r>
    </w:p>
    <w:p>
      <w:pPr>
        <w:pStyle w:val="ListBullet"/>
      </w:pPr>
      <w:r/>
      <w:r>
        <w:rPr>
          <w:b/>
        </w:rPr>
        <w:t>Perforation digestive</w:t>
      </w:r>
      <w:r>
        <w:t xml:space="preserve"> (particulièrement diverticulaire) : rare (&lt; 0,3 %) mais potentiellement mortelle</w:t>
      </w:r>
    </w:p>
    <w:p>
      <w:r/>
      <w:r>
        <w:rPr>
          <w:b/>
        </w:rPr>
        <w:t>Dermatologiques</w:t>
      </w:r>
      <w:r>
        <w:t xml:space="preserve"> :</w:t>
      </w:r>
    </w:p>
    <w:p>
      <w:pPr>
        <w:pStyle w:val="ListBullet"/>
      </w:pPr>
      <w:r>
        <w:t>Acné, rash cutané, prurit : 3-5 %</w:t>
      </w:r>
    </w:p>
    <w:p>
      <w:pPr>
        <w:pStyle w:val="ListBullet"/>
      </w:pPr>
      <w:r/>
      <w:r>
        <w:rPr>
          <w:b/>
        </w:rPr>
        <w:t>Cancers cutanés non mélanocytaires</w:t>
      </w:r>
      <w:r>
        <w:t xml:space="preserve"> (carcinome basocellulaire, spinocellulaire) : sur-incidence vs population générale</w:t>
      </w:r>
    </w:p>
    <w:p>
      <w:pPr>
        <w:pStyle w:val="ListBullet"/>
      </w:pPr>
      <w:r>
        <w:t>Érythème, alopécie (rare)</w:t>
      </w:r>
    </w:p>
    <w:p>
      <w:r/>
      <w:r>
        <w:rPr>
          <w:b/>
        </w:rPr>
        <w:t>Néoplasiques</w:t>
      </w:r>
      <w:r>
        <w:t xml:space="preserve"> :</w:t>
      </w:r>
    </w:p>
    <w:p>
      <w:pPr>
        <w:pStyle w:val="ListBullet"/>
      </w:pPr>
      <w:r/>
      <w:r>
        <w:rPr>
          <w:b/>
        </w:rPr>
        <w:t>Lymphomes</w:t>
      </w:r>
      <w:r>
        <w:t xml:space="preserve"> : incidence modeste</w:t>
      </w:r>
    </w:p>
    <w:p>
      <w:pPr>
        <w:pStyle w:val="ListBullet"/>
      </w:pPr>
      <w:r/>
      <w:r>
        <w:rPr>
          <w:b/>
        </w:rPr>
        <w:t>Cancers solides</w:t>
      </w:r>
      <w:r>
        <w:t xml:space="preserve"> : incidence ≈ 0,8-1,0 % par an</w:t>
      </w:r>
    </w:p>
    <w:p>
      <w:pPr>
        <w:pStyle w:val="ListBullet"/>
      </w:pPr>
      <w:r/>
      <w:r>
        <w:rPr>
          <w:b/>
        </w:rPr>
        <w:t>Mélanome</w:t>
      </w:r>
      <w:r>
        <w:t xml:space="preserve"> : sur-incidence modeste</w:t>
      </w:r>
    </w:p>
    <w:p>
      <w:r/>
      <w:r>
        <w:rPr>
          <w:b/>
        </w:rPr>
        <w:t>Autres</w:t>
      </w:r>
      <w:r>
        <w:t xml:space="preserve"> :</w:t>
      </w:r>
    </w:p>
    <w:p>
      <w:pPr>
        <w:pStyle w:val="ListBullet"/>
      </w:pPr>
      <w:r>
        <w:t>Céphalées (3-5 %)</w:t>
      </w:r>
    </w:p>
    <w:p>
      <w:pPr>
        <w:pStyle w:val="ListBullet"/>
      </w:pPr>
      <w:r>
        <w:t>Fatigue, asthénie (2-3 %)</w:t>
      </w:r>
    </w:p>
    <w:p>
      <w:pPr>
        <w:pStyle w:val="ListBullet"/>
      </w:pPr>
      <w:r>
        <w:t>Élévation de la créatininémie (0,5-1,0 %, modérée et non progressive)</w:t>
      </w:r>
    </w:p>
    <w:p>
      <w:pPr>
        <w:pStyle w:val="Heading3"/>
      </w:pPr>
      <w:r>
        <w:t>153.4.8 Prévention et gestion des effets indésirables</w:t>
      </w:r>
    </w:p>
    <w:p>
      <w:r>
        <w:t>Le plan de prévention et de gestion des effets indésirables du baricitinib reprend les principes décrits pour le tofacitinib (section 153.3.8), avec les particularités suivantes liées à la sélectivité JAK1/JAK2 et à la posologie unique quotidienne :</w:t>
      </w:r>
    </w:p>
    <w:p>
      <w:pPr>
        <w:pStyle w:val="ListNumber"/>
      </w:pPr>
      <w:r/>
      <w:r>
        <w:rPr>
          <w:b/>
        </w:rPr>
        <w:t>Bilan pré-thérapeutique</w:t>
      </w:r>
      <w:r>
        <w:t xml:space="preserve"> identique au tofacitinib (bilan infectieux, cardiovasculaire, hématologique, hépatique, rénal, lipidique, néoplasique, gynéco-obstétrical)</w:t>
      </w:r>
    </w:p>
    <w:p>
      <w:pPr>
        <w:pStyle w:val="ListNumber"/>
      </w:pPr>
      <w:r/>
      <w:r>
        <w:rPr>
          <w:b/>
        </w:rPr>
        <w:t>Surveillance hématologique renforcée</w:t>
      </w:r>
      <w:r>
        <w:t xml:space="preserve"> en raison du risque spécifique d'anémie lié à l'inhibition JAK2 : NFS à 1 mois, 3 mois, puis trimestrielle pendant la 1ʳᵉ année, puis semestrielle. Recherche d'une carence martiale préalable (ferritine, CST) et supplémentation martiale si nécessaire avant initiation.</w:t>
      </w:r>
    </w:p>
    <w:p>
      <w:pPr>
        <w:pStyle w:val="ListNumber"/>
      </w:pPr>
      <w:r/>
      <w:r>
        <w:rPr>
          <w:b/>
        </w:rPr>
        <w:t>Surveillance lipidique</w:t>
      </w:r>
      <w:r>
        <w:t xml:space="preserve"> : bilan lipidique à 1 mois, 3 mois, puis semestriel ; introduction d'une statine si LDL &gt; 1,6 g/L ou &gt; 4,1 mmol/L (ESC/EAS 2019)</w:t>
      </w:r>
    </w:p>
    <w:p>
      <w:pPr>
        <w:pStyle w:val="ListNumber"/>
      </w:pPr>
      <w:r/>
      <w:r>
        <w:rPr>
          <w:b/>
        </w:rPr>
        <w:t>Surveillance cardiovasculaire et thromboembolique veineuse</w:t>
      </w:r>
      <w:r>
        <w:t xml:space="preserve"> : éducation du patient à reconnaître les signes de TVP (œdème mollet unilatéral, douleur mollet, chaleur locale) et d'EP (dyspnée brutale, douleur thoracique, hémoptysie) ; consultation en urgence si survenue</w:t>
      </w:r>
    </w:p>
    <w:p>
      <w:pPr>
        <w:pStyle w:val="ListNumber"/>
      </w:pPr>
      <w:r/>
      <w:r>
        <w:rPr>
          <w:b/>
        </w:rPr>
        <w:t>Surveillance de la tolérance digestive</w:t>
      </w:r>
      <w:r>
        <w:t xml:space="preserve"> : recherche de douleurs abdominales, particulièrement chez le sujet âgé avec antécédent de diverticulose — arrêt immédiat et consultation en urgence si douleur abdominale fébrile intense (suspicion de péritonite par perforation)</w:t>
      </w:r>
    </w:p>
    <w:p>
      <w:pPr>
        <w:pStyle w:val="ListNumber"/>
      </w:pPr>
      <w:r/>
      <w:r>
        <w:rPr>
          <w:b/>
        </w:rPr>
        <w:t>Vaccination Shingrix® (zona)</w:t>
      </w:r>
      <w:r>
        <w:t xml:space="preserve"> : recommandée avant initiation chez les patients &gt; 50 ans (schéma 2 doses à 2-6 mois d'intervalle, à réaliser idéalement avant initiation ou en cours de traitement si non réalisée avant)</w:t>
      </w:r>
    </w:p>
    <w:p>
      <w:r/>
      <w:r>
        <w:rPr>
          <w:b/>
        </w:rPr>
        <w:t>Gestion des effets indésirables spécifiques</w:t>
      </w:r>
      <w:r>
        <w:t xml:space="preserve"> :</w:t>
      </w:r>
    </w:p>
    <w:p>
      <w:pPr>
        <w:pStyle w:val="ListBullet"/>
      </w:pPr>
      <w:r/>
      <w:r>
        <w:rPr>
          <w:b/>
        </w:rPr>
        <w:t>Anémie (Hb &lt; 10 g/dL)</w:t>
      </w:r>
      <w:r>
        <w:t xml:space="preserve"> : surveillance rapprochée ; si Hb &lt; 9 g/dL ou symptômatique : interruption temporaire, recherche d'une cause associée (carence martiale, hémorragie occulte), reprise à dose réduite (2 mg × 1/jour) après récupération</w:t>
      </w:r>
    </w:p>
    <w:p>
      <w:pPr>
        <w:pStyle w:val="ListBullet"/>
      </w:pPr>
      <w:r/>
      <w:r>
        <w:rPr>
          <w:b/>
        </w:rPr>
        <w:t>Neutropénie &lt; 1500/mm³</w:t>
      </w:r>
      <w:r>
        <w:t xml:space="preserve"> : surveillance rapprochée ; &lt; 1000/mm³ : interruption temporaire, reprise après récupération à &gt; 1500/mm³</w:t>
      </w:r>
    </w:p>
    <w:p>
      <w:pPr>
        <w:pStyle w:val="ListBullet"/>
      </w:pPr>
      <w:r/>
      <w:r>
        <w:rPr>
          <w:b/>
        </w:rPr>
        <w:t>Lymphopénie &lt; 500/mm³</w:t>
      </w:r>
      <w:r>
        <w:t xml:space="preserve"> : interruption temporaire</w:t>
      </w:r>
    </w:p>
    <w:p>
      <w:pPr>
        <w:pStyle w:val="ListBullet"/>
      </w:pPr>
      <w:r/>
      <w:r>
        <w:rPr>
          <w:b/>
        </w:rPr>
        <w:t>ALAT/ASAT &gt; 3 × LSN</w:t>
      </w:r>
      <w:r>
        <w:t xml:space="preserve"> : interruption, recherche étiologique ; reprise possible si normalisation à &lt; 2 × LSN</w:t>
      </w:r>
    </w:p>
    <w:p>
      <w:pPr>
        <w:pStyle w:val="ListBullet"/>
      </w:pPr>
      <w:r/>
      <w:r>
        <w:rPr>
          <w:b/>
        </w:rPr>
        <w:t>Infection sévère</w:t>
      </w:r>
      <w:r>
        <w:t xml:space="preserve"> : interruption immédiate, antibiothérapie ciblée, hospitalisation si nécessaire ; reprise après guérison complète</w:t>
      </w:r>
    </w:p>
    <w:p>
      <w:pPr>
        <w:pStyle w:val="ListBullet"/>
      </w:pPr>
      <w:r/>
      <w:r>
        <w:rPr>
          <w:b/>
        </w:rPr>
        <w:t>Zona</w:t>
      </w:r>
      <w:r>
        <w:t xml:space="preserve"> : interruption si zona disséminé, ophtalmique ou multidermatomérique ; aciclovir IV ou oral selon sévérité ; reprise après guérison</w:t>
      </w:r>
    </w:p>
    <w:p>
      <w:pPr>
        <w:pStyle w:val="ListBullet"/>
      </w:pPr>
      <w:r/>
      <w:r>
        <w:rPr>
          <w:b/>
        </w:rPr>
        <w:t>TVP/EP</w:t>
      </w:r>
      <w:r>
        <w:t xml:space="preserve"> : arrêt définitif du baricitinib, anticoagulation curative 3-6 mois minimum, pas de réintroduction</w:t>
      </w:r>
    </w:p>
    <w:p>
      <w:pPr>
        <w:pStyle w:val="ListBullet"/>
      </w:pPr>
      <w:r/>
      <w:r>
        <w:rPr>
          <w:b/>
        </w:rPr>
        <w:t>MACE</w:t>
      </w:r>
      <w:r>
        <w:t xml:space="preserve"> : arrêt définitif, orientation cardiologique spécialisée</w:t>
      </w:r>
    </w:p>
    <w:p>
      <w:pPr>
        <w:pStyle w:val="ListBullet"/>
      </w:pPr>
      <w:r/>
      <w:r>
        <w:rPr>
          <w:b/>
        </w:rPr>
        <w:t>Cancer</w:t>
      </w:r>
      <w:r>
        <w:t xml:space="preserve"> : arrêt définitif, orientation oncologique</w:t>
      </w:r>
    </w:p>
    <w:p>
      <w:pPr>
        <w:pStyle w:val="ListBullet"/>
      </w:pPr>
      <w:r/>
      <w:r>
        <w:rPr>
          <w:b/>
        </w:rPr>
        <w:t>Perforation digestive</w:t>
      </w:r>
      <w:r>
        <w:t xml:space="preserve"> : arrêt définitif, chirurgie en urgence</w:t>
      </w:r>
    </w:p>
    <w:p>
      <w:pPr>
        <w:pStyle w:val="Heading3"/>
      </w:pPr>
      <w:r>
        <w:t>153.4.9 Interactions médicamenteuses</w:t>
      </w:r>
    </w:p>
    <w:p>
      <w:r>
        <w:t>Le baricitinib a un profil d'interactions pharmacocinétiques moins étendu que le tofacitinib en raison de son métabolisme hépatique minime (seulement 10 %), mais présente des interactions liées à son élimination rénale via les transporteurs OAT3.</w:t>
      </w:r>
    </w:p>
    <w:p>
      <w:pPr>
        <w:pStyle w:val="ListBullet"/>
      </w:pPr>
      <w:r/>
      <w:r>
        <w:rPr>
          <w:b/>
        </w:rPr>
        <w:t>Associations contre-indiquées</w:t>
      </w:r>
      <w:r>
        <w:t xml:space="preserve"> :</w:t>
      </w:r>
    </w:p>
    <w:p>
      <w:pPr>
        <w:pStyle w:val="ListBullet"/>
      </w:pPr>
      <w:r/>
      <w:r>
        <w:rPr>
          <w:b/>
        </w:rPr>
        <w:t>Inhibiteurs puissants du transporteur OAT3</w:t>
      </w:r>
      <w:r>
        <w:t xml:space="preserve"> : probénécide — augmente l'ASC du baricitinib de 2 à 3 fois (contre-indication absolue)</w:t>
      </w:r>
    </w:p>
    <w:p>
      <w:pPr>
        <w:pStyle w:val="ListBullet"/>
      </w:pPr>
      <w:r/>
      <w:r>
        <w:rPr>
          <w:b/>
        </w:rPr>
        <w:t>Vaccins vivants atténués</w:t>
      </w:r>
      <w:r>
        <w:t xml:space="preserve"> : BCG, ROR, fièvre jaune, varicelle-zona, rotavirus — pendant le traitement et jusqu'à 4 semaines après l'arrêt</w:t>
      </w:r>
    </w:p>
    <w:p>
      <w:pPr>
        <w:pStyle w:val="ListBullet"/>
      </w:pPr>
      <w:r/>
      <w:r>
        <w:rPr>
          <w:b/>
        </w:rPr>
        <w:t>Biothérapies</w:t>
      </w:r>
      <w:r>
        <w:t xml:space="preserve"> (anti-TNFα, anti-IL-6R, anti-CD20, abatacept) : association déconseillée en raison du sur-risque infectieux additif</w:t>
      </w:r>
    </w:p>
    <w:p>
      <w:pPr>
        <w:pStyle w:val="ListBullet"/>
      </w:pPr>
      <w:r/>
      <w:r>
        <w:rPr>
          <w:b/>
        </w:rPr>
        <w:t>Immunosuppresseurs puissants</w:t>
      </w:r>
      <w:r>
        <w:t xml:space="preserve"> : ciclosporine, tacrolimus, azathioprine à forte dose, mycophénolate mofétil — sur-risque infectieux et hématologique additif</w:t>
      </w:r>
    </w:p>
    <w:p>
      <w:pPr>
        <w:pStyle w:val="ListBullet"/>
      </w:pPr>
      <w:r/>
      <w:r>
        <w:rPr>
          <w:b/>
        </w:rPr>
        <w:t>Associations déconseillées</w:t>
      </w:r>
      <w:r>
        <w:t xml:space="preserve"> :</w:t>
      </w:r>
    </w:p>
    <w:p>
      <w:pPr>
        <w:pStyle w:val="ListBullet"/>
      </w:pPr>
      <w:r/>
      <w:r>
        <w:rPr>
          <w:b/>
        </w:rPr>
        <w:t>Corticothérapie orale prolongée &gt; 7,5 mg/jour prednisone équivalent</w:t>
      </w:r>
      <w:r>
        <w:t xml:space="preserve"> : augmentation du risque infectieux, osseux, métabolique — réduire au minimum nécessaire, sevrage progressif</w:t>
      </w:r>
    </w:p>
    <w:p>
      <w:pPr>
        <w:pStyle w:val="ListBullet"/>
      </w:pPr>
      <w:r/>
      <w:r>
        <w:rPr>
          <w:b/>
        </w:rPr>
        <w:t>Contraception estroprogestative</w:t>
      </w:r>
      <w:r>
        <w:t xml:space="preserve"> : sur-risque thromboembolique veineux additif — préférer contraception progestative pure ou DIU</w:t>
      </w:r>
    </w:p>
    <w:p>
      <w:pPr>
        <w:pStyle w:val="ListBullet"/>
      </w:pPr>
      <w:r/>
      <w:r>
        <w:rPr>
          <w:b/>
        </w:rPr>
        <w:t>Anticoagulants oraux</w:t>
      </w:r>
      <w:r>
        <w:t xml:space="preserve"> (AVK, AOD) : surveillance renforcée (sur-risque thrombopénie + infection, mais pas de contre-indication absolue en cas de nécessité absolue)</w:t>
      </w:r>
    </w:p>
    <w:p>
      <w:pPr>
        <w:pStyle w:val="ListBullet"/>
      </w:pPr>
      <w:r/>
      <w:r>
        <w:rPr>
          <w:b/>
        </w:rPr>
        <w:t>Antiagrégants plaquettaires</w:t>
      </w:r>
      <w:r>
        <w:t xml:space="preserve"> (aspirine &gt; 500 mg, clopidogrel, prasugrel, ticagrelor) : sur-risque hémorragique en cas de thrombopénie</w:t>
      </w:r>
    </w:p>
    <w:p>
      <w:pPr>
        <w:pStyle w:val="ListBullet"/>
      </w:pPr>
      <w:r/>
      <w:r>
        <w:rPr>
          <w:b/>
        </w:rPr>
        <w:t>Associations ne nécessitant pas de précaution particulière</w:t>
      </w:r>
      <w:r>
        <w:t xml:space="preserve"> :</w:t>
      </w:r>
    </w:p>
    <w:p>
      <w:pPr>
        <w:pStyle w:val="ListBullet"/>
      </w:pPr>
      <w:r>
        <w:t>Méthotrexate (à doses ≤ 25 mg/sem) — association courante, surveillance hématologique et hépatique renforcée</w:t>
      </w:r>
    </w:p>
    <w:p>
      <w:pPr>
        <w:pStyle w:val="ListBullet"/>
      </w:pPr>
      <w:r>
        <w:t>AINS à dose anti-inflammatoire (courte durée, surveillance)</w:t>
      </w:r>
    </w:p>
    <w:p>
      <w:pPr>
        <w:pStyle w:val="ListBullet"/>
      </w:pPr>
      <w:r>
        <w:t>Statines (atorvastatine, simvastatine, rosuvastatine) — pas d'interaction pharmacocinétique notable</w:t>
      </w:r>
    </w:p>
    <w:p>
      <w:pPr>
        <w:pStyle w:val="ListBullet"/>
      </w:pPr>
      <w:r>
        <w:t>Antihypertenseurs (IEC, ARA2, diurétiques, inhibiteurs calciques)</w:t>
      </w:r>
    </w:p>
    <w:p>
      <w:pPr>
        <w:pStyle w:val="ListBullet"/>
      </w:pPr>
      <w:r>
        <w:t>Antidiabétiques (metformine, sulfamides, insuline, gliptines, gliflozines, agonistes GLP-1)</w:t>
      </w:r>
    </w:p>
    <w:p>
      <w:pPr>
        <w:pStyle w:val="ListBullet"/>
      </w:pPr>
      <w:r>
        <w:t>Inhibiteurs/modérateurs du CYP3A4 (le baricitinib n'est pas significativement métabolisé par le CYP3A4)</w:t>
      </w:r>
    </w:p>
    <w:p>
      <w:pPr>
        <w:pStyle w:val="ListBullet"/>
      </w:pPr>
      <w:r>
        <w:t>Inhibiteurs/modérateurs du CYP2C19, CYP2D6, CYP2C9 (pas d'interaction notable)</w:t>
      </w:r>
    </w:p>
    <w:p>
      <w:pPr>
        <w:pStyle w:val="Heading3"/>
      </w:pPr>
      <w:r>
        <w:t>153.4.10 Grossesse et allaitement (CRAT)</w:t>
      </w:r>
    </w:p>
    <w:p>
      <w:r>
        <w:t>Les données du CRAT sur le baricitinib sont les suivantes :</w:t>
      </w:r>
    </w:p>
    <w:p>
      <w:pPr>
        <w:pStyle w:val="ListBullet"/>
      </w:pPr>
      <w:r/>
      <w:r>
        <w:rPr>
          <w:b/>
        </w:rPr>
        <w:t>Grossesse</w:t>
      </w:r>
      <w:r>
        <w:t xml:space="preserve"> :</w:t>
      </w:r>
    </w:p>
    <w:p>
      <w:pPr>
        <w:pStyle w:val="ListBullet"/>
      </w:pPr>
      <w:r>
        <w:t>Le baricitinib traverse le placenta (molécule de faible poids moléculaire, lipophile)</w:t>
      </w:r>
    </w:p>
    <w:p>
      <w:pPr>
        <w:pStyle w:val="ListBullet"/>
      </w:pPr>
      <w:r/>
      <w:r>
        <w:rPr>
          <w:b/>
        </w:rPr>
        <w:t>Données animales</w:t>
      </w:r>
      <w:r>
        <w:t xml:space="preserve"> : tératogénicité démontrée chez l'animal (rat, lapin) à doses thérapeutiques et supra-thérapeutiques — anomalies squelettiques (vertex, sternum, membres), diminution de la viabilité fœtale et de la fertilité</w:t>
      </w:r>
    </w:p>
    <w:p>
      <w:pPr>
        <w:pStyle w:val="ListBullet"/>
      </w:pPr>
      <w:r/>
      <w:r>
        <w:rPr>
          <w:b/>
        </w:rPr>
        <w:t>Données humaines</w:t>
      </w:r>
      <w:r>
        <w:t xml:space="preserve"> : données limitées (registre de grossesses exposées Eli Lilly, &lt; 100 grossesses publiées) ; pas de signal tératogène majeur à ce jour mais le recul est insuffisant</w:t>
      </w:r>
    </w:p>
    <w:p>
      <w:pPr>
        <w:pStyle w:val="ListBullet"/>
      </w:pPr>
      <w:r/>
      <w:r>
        <w:rPr>
          <w:b/>
        </w:rPr>
        <w:t>Recommandation</w:t>
      </w:r>
      <w:r>
        <w:t xml:space="preserve"> : baricitinib </w:t>
      </w:r>
      <w:r>
        <w:rPr>
          <w:b/>
        </w:rPr>
        <w:t>contre-indiqué pendant la grossesse</w:t>
      </w:r>
      <w:r>
        <w:t xml:space="preserve"> ; contraception efficace obligatoire pendant toute la durée du traitement et pendant au moins </w:t>
      </w:r>
      <w:r>
        <w:rPr>
          <w:b/>
        </w:rPr>
        <w:t>1 semaine après l'arrêt</w:t>
      </w:r>
      <w:r>
        <w:t xml:space="preserve"> (demi-vie d'élimination de 12-13 heures, soit ~7 demi-vies)</w:t>
      </w:r>
    </w:p>
    <w:p>
      <w:pPr>
        <w:pStyle w:val="ListBullet"/>
      </w:pPr>
      <w:r>
        <w:t xml:space="preserve">En cas de désir de grossesse chez une patiente PR sous baricitinib : </w:t>
      </w:r>
      <w:r>
        <w:rPr>
          <w:b/>
        </w:rPr>
        <w:t>arrêt 1 mois avant le début des tentatives</w:t>
      </w:r>
      <w:r>
        <w:t xml:space="preserve"> (par mesure de sécurité), relais par traitement compatible (sulfasalazine ± corticothérapie faible dose ; anti-TNFα compatible — étanercept, adalimumab, certolizumab pegol) ; surveillance rhumatologique rapprochée</w:t>
      </w:r>
    </w:p>
    <w:p>
      <w:pPr>
        <w:pStyle w:val="ListBullet"/>
      </w:pPr>
      <w:r>
        <w:t xml:space="preserve">En cas de grossesse non programmée sous baricitinib : </w:t>
      </w:r>
      <w:r>
        <w:rPr>
          <w:b/>
        </w:rPr>
        <w:t>arrêt immédiat</w:t>
      </w:r>
      <w:r>
        <w:t>, échographie morphologique de référence à 22-24 SA, consultation de tératologie (CRAT)</w:t>
      </w:r>
    </w:p>
    <w:p>
      <w:pPr>
        <w:pStyle w:val="ListBullet"/>
      </w:pPr>
      <w:r/>
      <w:r>
        <w:rPr>
          <w:b/>
        </w:rPr>
        <w:t>Allaitement</w:t>
      </w:r>
      <w:r>
        <w:t xml:space="preserve"> :</w:t>
      </w:r>
    </w:p>
    <w:p>
      <w:pPr>
        <w:pStyle w:val="ListBullet"/>
      </w:pPr>
      <w:r>
        <w:t>Le baricitinib passe dans le lait maternel chez l'animal (concentration lait/plasma ≈ 1,0-1,5) ; données humaines non disponibles</w:t>
      </w:r>
    </w:p>
    <w:p>
      <w:pPr>
        <w:pStyle w:val="ListBullet"/>
      </w:pPr>
      <w:r/>
      <w:r>
        <w:rPr>
          <w:b/>
        </w:rPr>
        <w:t>Recommandation</w:t>
      </w:r>
      <w:r>
        <w:t xml:space="preserve"> : baricitinib </w:t>
      </w:r>
      <w:r>
        <w:rPr>
          <w:b/>
        </w:rPr>
        <w:t>contre-indiqué pendant l'allaitement</w:t>
      </w:r>
      <w:r>
        <w:t xml:space="preserve"> ; choix entre interruption de l'allaitement si poursuite indispensable du traitement, ou arrêt du traitement si allaitement souhaité</w:t>
      </w:r>
    </w:p>
    <w:p>
      <w:pPr>
        <w:pStyle w:val="ListBullet"/>
      </w:pPr>
      <w:r>
        <w:t xml:space="preserve">Délai d'attente avant reprise de l'allaitement après arrêt : au moins </w:t>
      </w:r>
      <w:r>
        <w:rPr>
          <w:b/>
        </w:rPr>
        <w:t>1 semaine</w:t>
      </w:r>
      <w:r>
        <w:t xml:space="preserve"> (5-7 demi-vies)</w:t>
      </w:r>
    </w:p>
    <w:p>
      <w:pPr>
        <w:pStyle w:val="ListBullet"/>
      </w:pPr>
      <w:r/>
      <w:r>
        <w:rPr>
          <w:b/>
        </w:rPr>
        <w:t>Fertilité</w:t>
      </w:r>
      <w:r>
        <w:t xml:space="preserve"> :</w:t>
      </w:r>
    </w:p>
    <w:p>
      <w:pPr>
        <w:pStyle w:val="ListBullet"/>
      </w:pPr>
      <w:r>
        <w:t>Pas d'effet démontré sur la fertilité féminine à doses thérapeutiques (mais données animales évocatrices d'une diminution de la fertilité à doses supra-thérapeutiques)</w:t>
      </w:r>
    </w:p>
    <w:p>
      <w:pPr>
        <w:pStyle w:val="ListBullet"/>
      </w:pPr>
      <w:r>
        <w:t>Chez l'homme : pas d'étude spécifique, pas de contre-indication à paterner sous baricitinib ; toutefois, conseiller un recueil et une congélation de sperme avant initiation si projet paternel récent</w:t>
      </w:r>
    </w:p>
    <w:p>
      <w:pPr>
        <w:pStyle w:val="Heading3"/>
      </w:pPr>
      <w:r>
        <w:t>153.4.11 Posologie et adaptation posologique</w:t>
      </w:r>
    </w:p>
    <w:p>
      <w:pPr>
        <w:pStyle w:val="ListBullet"/>
      </w:pPr>
      <w:r/>
      <w:r>
        <w:rPr>
          <w:b/>
        </w:rPr>
        <w:t>Posologie standard adulte (PR, dermatite atopique, AoSD)</w:t>
      </w:r>
      <w:r>
        <w:t xml:space="preserve"> :</w:t>
      </w:r>
    </w:p>
    <w:p>
      <w:pPr>
        <w:pStyle w:val="ListBullet"/>
      </w:pPr>
      <w:r/>
      <w:r>
        <w:rPr>
          <w:b/>
        </w:rPr>
        <w:t>Dose initiale</w:t>
      </w:r>
      <w:r>
        <w:t xml:space="preserve"> : 4 mg × 1/jour per os, à prendre au cours ou en dehors des repas, à heure fixe (matin de préférence), avec un verre d'eau</w:t>
      </w:r>
    </w:p>
    <w:p>
      <w:pPr>
        <w:pStyle w:val="ListBullet"/>
      </w:pPr>
      <w:r/>
      <w:r>
        <w:rPr>
          <w:b/>
        </w:rPr>
        <w:t>Dose d'entretien</w:t>
      </w:r>
      <w:r>
        <w:t xml:space="preserve"> : 4 mg × 1/jour ou 2 mg × 1/jour selon la réponse clinique et la tolérance (à discuter après 6-12 mois de rémission clinique)</w:t>
      </w:r>
    </w:p>
    <w:p>
      <w:pPr>
        <w:pStyle w:val="ListBullet"/>
      </w:pPr>
      <w:r>
        <w:t>En association au méthotrexate (10-25 mg/sem) ou en monothérapie en cas d'intolérance au méthotrexate</w:t>
      </w:r>
    </w:p>
    <w:p>
      <w:pPr>
        <w:pStyle w:val="ListBullet"/>
      </w:pPr>
      <w:r>
        <w:t>Dans la dermatite atopique : 4 mg × 1/jour en induction pendant 16 semaines, puis 2 mg × 1/jour en entretien</w:t>
      </w:r>
    </w:p>
    <w:p>
      <w:pPr>
        <w:pStyle w:val="ListBullet"/>
      </w:pPr>
      <w:r/>
      <w:r>
        <w:rPr>
          <w:b/>
        </w:rPr>
        <w:t>Adaptation posologique</w:t>
      </w:r>
      <w:r>
        <w:t xml:space="preserve"> :</w:t>
      </w:r>
    </w:p>
    <w:p>
      <w:pPr>
        <w:pStyle w:val="ListBullet"/>
      </w:pPr>
      <w:r/>
      <w:r>
        <w:rPr>
          <w:b/>
        </w:rPr>
        <w:t>Insuffisance rénale modérée (DFG 30-60 mL/min)</w:t>
      </w:r>
      <w:r>
        <w:t xml:space="preserve"> : 2 mg × 1/jour (réduction de moitié)</w:t>
      </w:r>
    </w:p>
    <w:p>
      <w:pPr>
        <w:pStyle w:val="ListBullet"/>
      </w:pPr>
      <w:r/>
      <w:r>
        <w:rPr>
          <w:b/>
        </w:rPr>
        <w:t>Insuffisance rénale sévère (DFG &lt; 30 mL/min)</w:t>
      </w:r>
      <w:r>
        <w:t xml:space="preserve"> : 2 mg × 1/jour avec surveillance renforcée, ou contre-indication selon le contexte clinique</w:t>
      </w:r>
    </w:p>
    <w:p>
      <w:pPr>
        <w:pStyle w:val="ListBullet"/>
      </w:pPr>
      <w:r/>
      <w:r>
        <w:rPr>
          <w:b/>
        </w:rPr>
        <w:t>Insuffisance rénale terminale (dialyse)</w:t>
      </w:r>
      <w:r>
        <w:t xml:space="preserve"> : contre-indication</w:t>
      </w:r>
    </w:p>
    <w:p>
      <w:pPr>
        <w:pStyle w:val="ListBullet"/>
      </w:pPr>
      <w:r/>
      <w:r>
        <w:rPr>
          <w:b/>
        </w:rPr>
        <w:t>Insuffisance hépatique modérée (Child-Pugh A)</w:t>
      </w:r>
      <w:r>
        <w:t xml:space="preserve"> : pas d'adaptation posologique</w:t>
      </w:r>
    </w:p>
    <w:p>
      <w:pPr>
        <w:pStyle w:val="ListBullet"/>
      </w:pPr>
      <w:r/>
      <w:r>
        <w:rPr>
          <w:b/>
        </w:rPr>
        <w:t>Insuffisance hépatique modérée à sévère (Child-Pugh B et C)</w:t>
      </w:r>
      <w:r>
        <w:t xml:space="preserve"> : utilisation avec prudence, surveillance hépatique renforcée (données limitées)</w:t>
      </w:r>
    </w:p>
    <w:p>
      <w:pPr>
        <w:pStyle w:val="ListBullet"/>
      </w:pPr>
      <w:r/>
      <w:r>
        <w:rPr>
          <w:b/>
        </w:rPr>
        <w:t>Sujet âgé ≥ 65 ans</w:t>
      </w:r>
      <w:r>
        <w:t xml:space="preserve"> : contre-indication relative selon EMA/PRAC avril 2022 ; si utilisation indispensable, posologie initiale 2 mg × 1/jour, surveillance renforcée</w:t>
      </w:r>
    </w:p>
    <w:p>
      <w:pPr>
        <w:pStyle w:val="ListBullet"/>
      </w:pPr>
      <w:r/>
      <w:r>
        <w:rPr>
          <w:b/>
        </w:rPr>
        <w:t>Anémie préexistante (Hb &lt; 10 g/dL)</w:t>
      </w:r>
      <w:r>
        <w:t xml:space="preserve"> : posologie réduite à 2 mg × 1/jour</w:t>
      </w:r>
    </w:p>
    <w:p>
      <w:pPr>
        <w:pStyle w:val="ListBullet"/>
      </w:pPr>
      <w:r/>
      <w:r>
        <w:rPr>
          <w:b/>
        </w:rPr>
        <w:t>Neutropénie préexistante (&lt; 1500/mm³)</w:t>
      </w:r>
      <w:r>
        <w:t xml:space="preserve"> : posologie réduite à 2 mg × 1/jour</w:t>
      </w:r>
    </w:p>
    <w:p>
      <w:pPr>
        <w:pStyle w:val="ListBullet"/>
      </w:pPr>
      <w:r/>
      <w:r>
        <w:rPr>
          <w:b/>
        </w:rPr>
        <w:t>Lymphopénie préexistante (&lt; 800/mm³)</w:t>
      </w:r>
      <w:r>
        <w:t xml:space="preserve"> : posologie réduite à 2 mg × 1/jour</w:t>
      </w:r>
    </w:p>
    <w:p>
      <w:pPr>
        <w:pStyle w:val="ListBullet"/>
      </w:pPr>
      <w:r/>
      <w:r>
        <w:rPr>
          <w:b/>
        </w:rPr>
        <w:t>Association au probénécide</w:t>
      </w:r>
      <w:r>
        <w:t xml:space="preserve"> : contre-indication absolue</w:t>
      </w:r>
    </w:p>
    <w:p>
      <w:pPr>
        <w:pStyle w:val="ListBullet"/>
      </w:pPr>
      <w:r/>
      <w:r>
        <w:rPr>
          <w:b/>
        </w:rPr>
        <w:t>Poids</w:t>
      </w:r>
      <w:r>
        <w:t xml:space="preserve"> : pas d'adaptation posologique en fonction du poids chez l'adulte</w:t>
      </w:r>
    </w:p>
    <w:p>
      <w:pPr>
        <w:pStyle w:val="ListBullet"/>
      </w:pPr>
      <w:r/>
      <w:r>
        <w:rPr>
          <w:b/>
        </w:rPr>
        <w:t>Oubli de dose</w:t>
      </w:r>
      <w:r>
        <w:t xml:space="preserve"> : si moins de 12 heures se sont écoulées depuis l'heure habituelle, prendre la dose oubliée ; si plus de 12 heures, sauter la dose et reprendre à l'heure normale suivante ; ne jamais doubler la dose</w:t>
      </w:r>
    </w:p>
    <w:p>
      <w:pPr>
        <w:pStyle w:val="ListBullet"/>
      </w:pPr>
      <w:r/>
      <w:r>
        <w:rPr>
          <w:b/>
        </w:rPr>
        <w:t>Arrêt du traitement</w:t>
      </w:r>
      <w:r>
        <w:t xml:space="preserve"> : pas de sevrage progressif obligatoire, surveillance renforcée de la poussée rhumatologique dans les 4-8 semaines suivant l'arrêt ; relais éventuel par bDMARD ou csDMARD à anticiper</w:t>
      </w:r>
    </w:p>
    <w:p>
      <w:pPr>
        <w:pStyle w:val="ListBullet"/>
      </w:pPr>
      <w:r/>
      <w:r>
        <w:rPr>
          <w:b/>
        </w:rPr>
        <w:t>Durée du traitement</w:t>
      </w:r>
      <w:r>
        <w:t xml:space="preserve"> : traitement chronique au long cours, à poursuivre tant que la tolérance est bonne et l'efficacité maintenue ; réévaluation annuelle du rapport bénéfice/risque par le rhumatologue référent</w:t>
      </w:r>
    </w:p>
    <w:p>
      <w:pPr>
        <w:pStyle w:val="Heading3"/>
      </w:pPr>
      <w:r>
        <w:t>153.4.12 Surveillance et suivi du patient</w:t>
      </w:r>
    </w:p>
    <w:p>
      <w:r>
        <w:t>Le plan de surveillance du baricitinib est comparable à celui du tofacitinib (section 153.3.12) avec les particularités suivantes :</w:t>
      </w:r>
    </w:p>
    <w:p>
      <w:r/>
      <w:r>
        <w:rPr>
          <w:b/>
        </w:rPr>
        <w:t>Bilan pré-thérapeutique</w:t>
      </w:r>
      <w:r>
        <w:t xml:space="preserve"> (à réaliser dans le mois précédant l'initiation) :</w:t>
      </w:r>
    </w:p>
    <w:p>
      <w:pPr>
        <w:pStyle w:val="ListBullet"/>
      </w:pPr>
      <w:r>
        <w:t>Examen clinique complet (poids, taille, IMC, PA, auscultation cardio-pulmonaire, examen articulaire, examen dermatologique complet, recherche de foyers infectieux)</w:t>
      </w:r>
    </w:p>
    <w:p>
      <w:pPr>
        <w:pStyle w:val="ListBullet"/>
      </w:pPr>
      <w:r>
        <w:t>NFS-plaquettes, formule leucocytaire, hémoglobine (recherche d'anémie préexistante)</w:t>
      </w:r>
    </w:p>
    <w:p>
      <w:pPr>
        <w:pStyle w:val="ListBullet"/>
      </w:pPr>
      <w:r>
        <w:t>Bilan martial : ferritine, coefficient de saturation de la transferrine (CST) — supplémentation martiale si carence</w:t>
      </w:r>
    </w:p>
    <w:p>
      <w:pPr>
        <w:pStyle w:val="ListBullet"/>
      </w:pPr>
      <w:r>
        <w:t>Bilan hépatique complet (ALAT, ASAT, GGT, PAL, bilirubine totale et conjuguée, albumine)</w:t>
      </w:r>
    </w:p>
    <w:p>
      <w:pPr>
        <w:pStyle w:val="ListBullet"/>
      </w:pPr>
      <w:r>
        <w:t>Bilan rénal (créatinine, DFG CKD-EPI, ECBU)</w:t>
      </w:r>
    </w:p>
    <w:p>
      <w:pPr>
        <w:pStyle w:val="ListBullet"/>
      </w:pPr>
      <w:r>
        <w:t>Bilan lipidique à jeun (CT, LDL, HDL, TG)</w:t>
      </w:r>
    </w:p>
    <w:p>
      <w:pPr>
        <w:pStyle w:val="ListBullet"/>
      </w:pPr>
      <w:r>
        <w:t>Bilan inflammatoire (CRP, VS, électrophorèse des protéines sériques)</w:t>
      </w:r>
    </w:p>
    <w:p>
      <w:pPr>
        <w:pStyle w:val="ListBullet"/>
      </w:pPr>
      <w:r>
        <w:t>Sérologies virales : VIH, VHB, VHC</w:t>
      </w:r>
    </w:p>
    <w:p>
      <w:pPr>
        <w:pStyle w:val="ListBullet"/>
      </w:pPr>
      <w:r>
        <w:t>Dépistage TB : IDR à la tuberculine 5 UI ou IGRA Quantiferon-TB Gold + radiographie thoracique</w:t>
      </w:r>
    </w:p>
    <w:p>
      <w:pPr>
        <w:pStyle w:val="ListBullet"/>
      </w:pPr>
      <w:r>
        <w:t>ECG, évaluation du risque cardiovasculaire global</w:t>
      </w:r>
    </w:p>
    <w:p>
      <w:pPr>
        <w:pStyle w:val="ListBullet"/>
      </w:pPr>
      <w:r>
        <w:t>Recherche d'antécédents thromboemboliques veineux personnels et familiaux</w:t>
      </w:r>
    </w:p>
    <w:p>
      <w:pPr>
        <w:pStyle w:val="ListBullet"/>
      </w:pPr>
      <w:r>
        <w:t>Évaluation du tabagisme</w:t>
      </w:r>
    </w:p>
    <w:p>
      <w:pPr>
        <w:pStyle w:val="ListBullet"/>
      </w:pPr>
      <w:r>
        <w:t>Radiographies des mains-poignets et pieds (score de Sharp/van der Heijde)</w:t>
      </w:r>
    </w:p>
    <w:p>
      <w:pPr>
        <w:pStyle w:val="ListBullet"/>
      </w:pPr>
      <w:r>
        <w:t>Échographie articulaire</w:t>
      </w:r>
    </w:p>
    <w:p>
      <w:pPr>
        <w:pStyle w:val="ListBullet"/>
      </w:pPr>
      <w:r>
        <w:t>Densitométrie osseuse (DXA) si patiente ménopausée ou corticothérapie prolongée</w:t>
      </w:r>
    </w:p>
    <w:p>
      <w:pPr>
        <w:pStyle w:val="ListBullet"/>
      </w:pPr>
      <w:r>
        <w:t>Examen dermatologique complet</w:t>
      </w:r>
    </w:p>
    <w:p>
      <w:pPr>
        <w:pStyle w:val="ListBullet"/>
      </w:pPr>
      <w:r>
        <w:t>Frottis cervico-utérin à jour (femme)</w:t>
      </w:r>
    </w:p>
    <w:p>
      <w:pPr>
        <w:pStyle w:val="ListBullet"/>
      </w:pPr>
      <w:r>
        <w:t>Mammographie si &gt; 50 ans</w:t>
      </w:r>
    </w:p>
    <w:p>
      <w:pPr>
        <w:pStyle w:val="ListBullet"/>
      </w:pPr>
      <w:r>
        <w:t>Colonoscopie si &gt; 50 ans ou ATCD familial</w:t>
      </w:r>
    </w:p>
    <w:p>
      <w:pPr>
        <w:pStyle w:val="ListBullet"/>
      </w:pPr>
      <w:r>
        <w:t>Statut vaccinal : tétanos, grippe, pneumocoque, Hépatite B, zona (Shingrix®)</w:t>
      </w:r>
    </w:p>
    <w:p>
      <w:r/>
      <w:r>
        <w:rPr>
          <w:b/>
        </w:rPr>
        <w:t>Surveillance pendant le traitement</w:t>
      </w:r>
      <w:r>
        <w:t xml:space="preserve"> :</w:t>
      </w:r>
    </w:p>
    <w:p>
      <w:pPr>
        <w:pStyle w:val="ListBullet"/>
      </w:pPr>
      <w:r/>
      <w:r>
        <w:rPr>
          <w:b/>
        </w:rPr>
        <w:t>À 1 mois</w:t>
      </w:r>
      <w:r>
        <w:t xml:space="preserve"> : tolérance clinique, NFS, bilan hépatique, bilan lipidique, créatinine</w:t>
      </w:r>
    </w:p>
    <w:p>
      <w:pPr>
        <w:pStyle w:val="ListBullet"/>
      </w:pPr>
      <w:r/>
      <w:r>
        <w:rPr>
          <w:b/>
        </w:rPr>
        <w:t>À 3 mois</w:t>
      </w:r>
      <w:r>
        <w:t xml:space="preserve"> : idem + évaluation de l'efficacité clinique (DAS28-CRP cible &lt; 3,2) + ECG + examen dermatologique</w:t>
      </w:r>
    </w:p>
    <w:p>
      <w:pPr>
        <w:pStyle w:val="ListBullet"/>
      </w:pPr>
      <w:r/>
      <w:r>
        <w:rPr>
          <w:b/>
        </w:rPr>
        <w:t>Trimestrielle pendant la 1ʳᵉ année</w:t>
      </w:r>
      <w:r>
        <w:t xml:space="preserve"> : idem</w:t>
      </w:r>
    </w:p>
    <w:p>
      <w:pPr>
        <w:pStyle w:val="ListBullet"/>
      </w:pPr>
      <w:r/>
      <w:r>
        <w:rPr>
          <w:b/>
        </w:rPr>
        <w:t>Semestrielle à vie</w:t>
      </w:r>
      <w:r>
        <w:t xml:space="preserve"> : clinique + biologie + ECG + examen dermatologique + recherche de signaux cardiovasculaires et thromboemboliques</w:t>
      </w:r>
    </w:p>
    <w:p>
      <w:pPr>
        <w:pStyle w:val="ListBullet"/>
      </w:pPr>
      <w:r>
        <w:t>Surveillance de l'efficacité : DAS28-CRP, BASDAI (SpA), DAPSA (RPso), EASI (dermatite atopique)</w:t>
      </w:r>
    </w:p>
    <w:p>
      <w:pPr>
        <w:pStyle w:val="ListBullet"/>
      </w:pPr>
      <w:r>
        <w:t>Surveillance de la tolérance cardiovasculaire : PA à chaque consultation ; signes de TVP/EP ; ECG annuel</w:t>
      </w:r>
    </w:p>
    <w:p>
      <w:pPr>
        <w:pStyle w:val="ListBullet"/>
      </w:pPr>
      <w:r>
        <w:t>Surveillance de la tolérance infectieuse : éducation du patient à consulter en urgence en cas de fièvre, signes respiratoires, urinaires, zona, douleur abdominale</w:t>
      </w:r>
    </w:p>
    <w:p>
      <w:r/>
      <w:r>
        <w:rPr>
          <w:b/>
        </w:rPr>
        <w:t>Critères d'arrêt définitif</w:t>
      </w:r>
      <w:r>
        <w:t xml:space="preserve"> :</w:t>
      </w:r>
    </w:p>
    <w:p>
      <w:pPr>
        <w:pStyle w:val="ListBullet"/>
      </w:pPr>
      <w:r>
        <w:t>Effet indésirable grave (TVP/EP, MACE, infection sévère, cancer, perforation digestive, cytolyse hépatique &gt; 5 × LSN, neutropénie sévère persistante, anémie sévère)</w:t>
      </w:r>
    </w:p>
    <w:p>
      <w:pPr>
        <w:pStyle w:val="ListBullet"/>
      </w:pPr>
      <w:r>
        <w:t>Grossesse projetée ou en cours</w:t>
      </w:r>
    </w:p>
    <w:p>
      <w:pPr>
        <w:pStyle w:val="ListBullet"/>
      </w:pPr>
      <w:r>
        <w:t>Perte d'efficacité secondaire (rare sous baricitinib, pas d'immunisation décrite)</w:t>
      </w:r>
    </w:p>
    <w:p>
      <w:pPr>
        <w:pStyle w:val="ListBullet"/>
      </w:pPr>
      <w:r>
        <w:t>Non-observance thérapeutique avérée</w:t>
      </w:r>
    </w:p>
    <w:p>
      <w:pPr>
        <w:pStyle w:val="ListBullet"/>
      </w:pPr>
      <w:r>
        <w:t>Apparition d'une nouvelle contre-indication</w:t>
      </w:r>
    </w:p>
    <w:p>
      <w:r/>
      <w:r>
        <w:rPr>
          <w:b/>
        </w:rPr>
        <w:t>Coordination pluridisciplinaire</w:t>
      </w:r>
      <w:r>
        <w:t xml:space="preserve"> : identique à celle du tofacitinib (médecin traitant, rhumatologue référent, cardiologue, dermatologue, gynécologue, ophtalmologue, dentiste, pharmacien d'officine).</w:t>
      </w:r>
    </w:p>
    <w:p>
      <w:pPr>
        <w:pStyle w:val="Heading2"/>
      </w:pPr>
      <w:r>
        <w:t>153.5 DCI : Upadacitinib (usage rhumatologique)</w:t>
      </w:r>
    </w:p>
    <w:p>
      <w:pPr>
        <w:pStyle w:val="Heading3"/>
      </w:pPr>
      <w:r>
        <w:t>153.5.1 Catégories thérapeutiques et place dans la stratégie</w:t>
      </w:r>
    </w:p>
    <w:p>
      <w:pPr>
        <w:pStyle w:val="ListBullet"/>
      </w:pPr>
      <w:r/>
      <w:r>
        <w:rPr>
          <w:b/>
        </w:rPr>
        <w:t>Classe ATC</w:t>
      </w:r>
      <w:r>
        <w:t xml:space="preserve"> : L04AA42 (Upadacitinib)</w:t>
      </w:r>
    </w:p>
    <w:p>
      <w:pPr>
        <w:pStyle w:val="ListBullet"/>
      </w:pPr>
      <w:r/>
      <w:r>
        <w:rPr>
          <w:b/>
        </w:rPr>
        <w:t>Sous-classe pharmacologique</w:t>
      </w:r>
      <w:r>
        <w:t xml:space="preserve"> : Inhibiteur de Janus Kinases hautement sélectif pour JAK1, targeted synthetic DMARD (tsDMARD)</w:t>
      </w:r>
    </w:p>
    <w:p>
      <w:pPr>
        <w:pStyle w:val="ListBullet"/>
      </w:pPr>
      <w:r/>
      <w:r>
        <w:rPr>
          <w:b/>
        </w:rPr>
        <w:t>Liste des médicaments</w:t>
      </w:r>
      <w:r>
        <w:t xml:space="preserve"> : Liste I (prescription médicale obligatoire)</w:t>
      </w:r>
    </w:p>
    <w:p>
      <w:pPr>
        <w:pStyle w:val="ListBullet"/>
      </w:pPr>
      <w:r/>
      <w:r>
        <w:rPr>
          <w:b/>
        </w:rPr>
        <w:t>Statut réglementaire Algérie</w:t>
      </w:r>
      <w:r>
        <w:t xml:space="preserve"> : Liste I, commercialisé sous le nom de RINVOQ® (ABBVIE DEUTSCHLAND GMBH &amp; CO.KG) ; disponible en comprimé à libération prolongée 15 mg et 30 mg, flacon de 30 comprimés</w:t>
      </w:r>
    </w:p>
    <w:p>
      <w:pPr>
        <w:pStyle w:val="ListBullet"/>
      </w:pPr>
      <w:r/>
      <w:r>
        <w:rPr>
          <w:b/>
        </w:rPr>
        <w:t>Place dans la stratégie</w:t>
      </w:r>
      <w:r>
        <w:t xml:space="preserve"> : tsDMARD indiqué dans la PR active sévère de l'adulte en cas de réponse inadéquate ou d'intolérance à un ou plusieurs DMARDs conventionnels ET en cas d'impossibilité d'utiliser un bDMARD. L'upadacitinib se distingue du tofacitinib (JAK1/JAK3) et du baricitinib (JAK1/JAK2) par une </w:t>
      </w:r>
      <w:r>
        <w:rPr>
          <w:b/>
        </w:rPr>
        <w:t>sélectivité JAK1 hautement prédominante</w:t>
      </w:r>
      <w:r>
        <w:t xml:space="preserve"> (rapport JAK1/JAK2 ≈ 30-60, JAK1/JAK3 ≈ 40-100 selon les tests enzymatiques), ce qui devrait théoriquement limiter l'inhibition de l'érythropoïétine (JAK2) et de la signalisation gc cytokines (JAK3), et donc réduire le risque d'anémie et de neutropénie. Également indiqué dans le rhumatisme psoriasique (RPso), la spondyloarthrite axiale (SpA — y compris non radiographique), la dermatite atopique sévère, la maladie de Crohn (indication gastro-entérologique) et la colite ulcéreuse (indication gastro-entérologique). Comme pour tous les JAK inhibitors, les recommandations EMA/PRAC d'avril 2022 s'appliquent : utilisation réservée en cas d'impossibilité d'utiliser un bDMARD, contre-indication chez les patients &gt; 65 ans et à risque cardiovasculaire, thromboembolique veineux ou néoplasique</w:t>
      </w:r>
    </w:p>
    <w:p>
      <w:pPr>
        <w:pStyle w:val="ListBullet"/>
      </w:pPr>
      <w:r/>
      <w:r>
        <w:rPr>
          <w:b/>
        </w:rPr>
        <w:t>Index thérapeutique</w:t>
      </w:r>
      <w:r>
        <w:t xml:space="preserve"> : Étroit, comparable aux autres JAK inhibitors</w:t>
      </w:r>
    </w:p>
    <w:p>
      <w:pPr>
        <w:pStyle w:val="ListBullet"/>
      </w:pPr>
      <w:r/>
      <w:r>
        <w:rPr>
          <w:b/>
        </w:rPr>
        <w:t>Grossesse/Allaitement</w:t>
      </w:r>
      <w:r>
        <w:t xml:space="preserve"> : Contre-indiqué (données animales tératogènes, données humaines limitées — CRAT : déconseillé, à éviter)</w:t>
      </w:r>
    </w:p>
    <w:p>
      <w:r>
        <w:t>L'upadacitinib (RINVOQ® AbbVie, dérivé du rinlacitinib) est le troisième inhibiteur JAK à avoir obtenu une AMM européenne, en décembre 2019 pour la PR active sévère. Son développement s'est appuyé sur le programme SELECT, un ensemble d'essais cliniques de phase III (SELECT-COMPARE, SELECT-NEXT, SELECT-BEYOND, SELECT-START, SELECT-MONOTHERAPY) démontrant une efficacité supérieure de l'upadacitinib 15 mg/jour vs adalimumab 40 mg/2 sem (SELECT-COMPARE : ACR20 à 12 semaines 70 % vs 63 %, p = 0,01) et vs placebo. L'extension d'AMM a concerné le RPso (2021), la SpA radiographique et non radiographique (2021), la dermatite atopique (2021), la maladie de Crohn (2023) et la colite ulcéreuse (2023). En Algérie, RINVOQ® a été commercialisé par ABBVIE à partir de 2022-2023, avec une commercialisation en comprimé à libération prolongée 15 mg et 30 mg (flacon de 30), Liste I, remboursé pour la PR active sévère, le RPso et la SpA axiale. La forme galénique à libération prolongée justifie une seule prise par jour (vs 2 prises pour le tofacitinib à libération immédiate), atout majeur d'observance.</w:t>
      </w:r>
    </w:p>
    <w:p>
      <w:pPr>
        <w:pStyle w:val="Heading3"/>
      </w:pPr>
      <w:r>
        <w:t>153.5.2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RINVOQ</w:t>
            </w:r>
          </w:p>
        </w:tc>
        <w:tc>
          <w:tcPr>
            <w:tcW w:type="dxa" w:w="1559"/>
          </w:tcPr>
          <w:p>
            <w:r>
              <w:rPr>
                <w:sz w:val="20"/>
              </w:rPr>
              <w:t>ABB VIE DEUTSCHLAND GMBH &amp; CO.KG</w:t>
            </w:r>
          </w:p>
        </w:tc>
        <w:tc>
          <w:tcPr>
            <w:tcW w:type="dxa" w:w="1559"/>
          </w:tcPr>
          <w:p>
            <w:r>
              <w:rPr>
                <w:sz w:val="20"/>
              </w:rPr>
              <w:t>Comprimé à libération prolongée — 15 mg</w:t>
            </w:r>
          </w:p>
        </w:tc>
        <w:tc>
          <w:tcPr>
            <w:tcW w:type="dxa" w:w="1559"/>
          </w:tcPr>
          <w:p>
            <w:r>
              <w:rPr>
                <w:sz w:val="20"/>
              </w:rPr>
              <w:t>Boîte d'un flacon de 30 comprimés</w:t>
            </w:r>
          </w:p>
        </w:tc>
        <w:tc>
          <w:tcPr>
            <w:tcW w:type="dxa" w:w="1559"/>
          </w:tcPr>
          <w:p>
            <w:r>
              <w:rPr>
                <w:sz w:val="20"/>
              </w:rPr>
              <w:t>LISTE I</w:t>
            </w:r>
          </w:p>
        </w:tc>
        <w:tc>
          <w:tcPr>
            <w:tcW w:type="dxa" w:w="1559"/>
          </w:tcPr>
          <w:p>
            <w:r>
              <w:rPr>
                <w:sz w:val="20"/>
              </w:rPr>
              <w:t>ACTIF</w:t>
            </w:r>
          </w:p>
        </w:tc>
      </w:tr>
      <w:tr>
        <w:tc>
          <w:tcPr>
            <w:tcW w:type="dxa" w:w="1559"/>
          </w:tcPr>
          <w:p>
            <w:r>
              <w:rPr>
                <w:sz w:val="20"/>
              </w:rPr>
              <w:t>RINVOQ</w:t>
            </w:r>
          </w:p>
        </w:tc>
        <w:tc>
          <w:tcPr>
            <w:tcW w:type="dxa" w:w="1559"/>
          </w:tcPr>
          <w:p>
            <w:r>
              <w:rPr>
                <w:sz w:val="20"/>
              </w:rPr>
              <w:t>ABB VIE DEUTSCHLAND GMBH &amp; CO.KG</w:t>
            </w:r>
          </w:p>
        </w:tc>
        <w:tc>
          <w:tcPr>
            <w:tcW w:type="dxa" w:w="1559"/>
          </w:tcPr>
          <w:p>
            <w:r>
              <w:rPr>
                <w:sz w:val="20"/>
              </w:rPr>
              <w:t>Comprimé à libération prolongée — 30 mg</w:t>
            </w:r>
          </w:p>
        </w:tc>
        <w:tc>
          <w:tcPr>
            <w:tcW w:type="dxa" w:w="1559"/>
          </w:tcPr>
          <w:p>
            <w:r>
              <w:rPr>
                <w:sz w:val="20"/>
              </w:rPr>
              <w:t>Boîte d'un flacon de 30 comprimés</w:t>
            </w:r>
          </w:p>
        </w:tc>
        <w:tc>
          <w:tcPr>
            <w:tcW w:type="dxa" w:w="1559"/>
          </w:tcPr>
          <w:p>
            <w:r>
              <w:rPr>
                <w:sz w:val="20"/>
              </w:rPr>
              <w:t>LISTE I</w:t>
            </w:r>
          </w:p>
        </w:tc>
        <w:tc>
          <w:tcPr>
            <w:tcW w:type="dxa" w:w="1559"/>
          </w:tcPr>
          <w:p>
            <w:r>
              <w:rPr>
                <w:sz w:val="20"/>
              </w:rPr>
              <w:t>ACTIF</w:t>
            </w:r>
          </w:p>
        </w:tc>
      </w:tr>
    </w:tbl>
    <w:p/>
    <w:p>
      <w:r/>
      <w:r>
        <w:rPr>
          <w:b/>
        </w:rPr>
        <w:t>Spécificités de dispensation</w:t>
      </w:r>
      <w:r>
        <w:t xml:space="preserve"> : Liste I (prescription médicale obligatoire). Prescription réservée aux spécialistes rhumatologues (ou dermatologues pour la dermatite atopique, ou gastro-entérologues pour la maladie de Crohn et la colite ulcéreuse), dans le cadre d'une prescription initiale hospitalière annuelle. Renouvelable en ville. Pas de substitution par le pharmacien d'officine. Le générique n'est pas disponible en Algérie. Conservation : à température ambiante ≤ 25 °C, à l'abri de l'humidité et de la lumière, dans l'emballage d'origine. Durée de conservation : 36 mois (Date de Péremption inscrite sur l'emballage). Le comprimé à libération prolongée ne doit pas être écrasé, mâché ou divisé (administrer en entier).</w:t>
      </w:r>
    </w:p>
    <w:p>
      <w:pPr>
        <w:pStyle w:val="Heading3"/>
      </w:pPr>
      <w:r>
        <w:t>153.5.3 Mécanisme d'action</w:t>
      </w:r>
    </w:p>
    <w:p>
      <w:r>
        <w:t xml:space="preserve">L'upadacitinib est un inhibiteur réversible, compétitif par rapport à l'ATP, </w:t>
      </w:r>
      <w:r>
        <w:rPr>
          <w:b/>
        </w:rPr>
        <w:t>hautement sélectif pour JAK1</w:t>
      </w:r>
      <w:r>
        <w:t>, avec une activité moindre sur JAK2, JAK3 et TYK2 (profil de sélectivité JAK1 &gt;&gt; JAK2 ≈ JAK3 &gt; TYK2). Cette sélectivité JAK1 prédominante, supérieure à celle du tofacitinib et du baricitinib, a été conçue pour limiter théoriquement les effets indésirables liés à l'inhibition de JAK2 (érythropoïétine, GM-CSF, thrombopoïétine → anémie, neutropénie, thrombopénie) et de JAK3 (chaîne gamma commune des cytokines → lymphopénie, immunosuppression T et NK).</w:t>
      </w:r>
    </w:p>
    <w:p>
      <w:r>
        <w:t>En inhibant préférentiellement JAK1, l'upadacitinib bloque la signalisation induite par :</w:t>
      </w:r>
    </w:p>
    <w:p>
      <w:pPr>
        <w:pStyle w:val="ListBullet"/>
      </w:pPr>
      <w:r>
        <w:t>L'</w:t>
      </w:r>
      <w:r>
        <w:rPr>
          <w:b/>
        </w:rPr>
        <w:t>IL-6</w:t>
      </w:r>
      <w:r>
        <w:t xml:space="preserve"> (voie JAK1/JAK2/TYK2 → STAT3) — cytokine clé de la PR et de l'inflammation systémique</w:t>
      </w:r>
    </w:p>
    <w:p>
      <w:pPr>
        <w:pStyle w:val="ListBullet"/>
      </w:pPr>
      <w:r>
        <w:t xml:space="preserve">Les </w:t>
      </w:r>
      <w:r>
        <w:rPr>
          <w:b/>
        </w:rPr>
        <w:t>IFN de type I</w:t>
      </w:r>
      <w:r>
        <w:t xml:space="preserve"> (IFN-α, IFN-β — voie JAK1/TYK2 → STAT1/2) — impliqués dans le lupus, la dermatomyosite, la maladie de Still de l'adulte</w:t>
      </w:r>
    </w:p>
    <w:p>
      <w:pPr>
        <w:pStyle w:val="ListBullet"/>
      </w:pPr>
      <w:r>
        <w:t>L'</w:t>
      </w:r>
      <w:r>
        <w:rPr>
          <w:b/>
        </w:rPr>
        <w:t>IFN-γ</w:t>
      </w:r>
      <w:r>
        <w:t xml:space="preserve"> (voie JAK1/JAK2 → STAT1) — impliqué dans la PR et les maladies auto-immunes Th1</w:t>
      </w:r>
    </w:p>
    <w:p>
      <w:pPr>
        <w:pStyle w:val="ListBullet"/>
      </w:pPr>
      <w:r>
        <w:t>L'</w:t>
      </w:r>
      <w:r>
        <w:rPr>
          <w:b/>
        </w:rPr>
        <w:t>IL-12</w:t>
      </w:r>
      <w:r>
        <w:t xml:space="preserve"> et l'</w:t>
      </w:r>
      <w:r>
        <w:rPr>
          <w:b/>
        </w:rPr>
        <w:t>IL-23</w:t>
      </w:r>
      <w:r>
        <w:t xml:space="preserve"> (voie JAK2/TYK2 → STAT4/STAT3) — impliquées dans le psoriasis, la maladie de Crohn, la spondyloarthrite</w:t>
      </w:r>
    </w:p>
    <w:p>
      <w:pPr>
        <w:pStyle w:val="ListBullet"/>
      </w:pPr>
      <w:r>
        <w:t>L'</w:t>
      </w:r>
      <w:r>
        <w:rPr>
          <w:b/>
        </w:rPr>
        <w:t>IL-2, IL-4, IL-7, IL-9, IL-15, IL-21</w:t>
      </w:r>
      <w:r>
        <w:t xml:space="preserve"> (voie JAK1/JAK3 → STAT5/STAT3) — impliquées dans la prolifération lymphocytaire T, B et NK, et dans la dermatite atopique (IL-4, IL-13)</w:t>
      </w:r>
    </w:p>
    <w:p>
      <w:pPr>
        <w:pStyle w:val="ListBullet"/>
      </w:pPr>
      <w:r>
        <w:t xml:space="preserve">Le </w:t>
      </w:r>
      <w:r>
        <w:rPr>
          <w:b/>
        </w:rPr>
        <w:t>TSLP</w:t>
      </w:r>
      <w:r>
        <w:t xml:space="preserve"> (thymic stromal lymphopoietin) — cytokine clé de la dermatite atopique (voie JAK1/JAK2)</w:t>
      </w:r>
    </w:p>
    <w:p>
      <w:r>
        <w:t>L'efficacité clinique de l'upadacitinib se manifeste dès la 2ᵉ-4ᵉ semaine de traitement, avec un effet de plateau à 12-16 semaines. L'effet structuro-protecteur (prévention des érosions osseuses et du pincement articulaire radiographique) est démontré à 24 semaines et persiste à 2 ans. L'upadacitinib ne montre pas de développement d'anticorps anti-médicament (immunogénicité faible). La sélectivité JAK1 élevée, bien que théoriquement avantageuse en termes de tolérance hématologique, ne s'est pas traduite par une réduction significative du risque thromboembolique veineux ou cardiovasculaire par rapport aux autres JAK inhibitors — d'où l'application des recommandations EMA/PRAC d'avril 2022 de manière identique à toute la classe.</w:t>
      </w:r>
    </w:p>
    <w:p>
      <w:pPr>
        <w:pStyle w:val="Heading3"/>
      </w:pPr>
      <w:r>
        <w:t>153.5.4 Pharmacocinétique</w:t>
      </w:r>
    </w:p>
    <w:p>
      <w:r>
        <w:t xml:space="preserve">L'upadacitinib est administré sous forme de </w:t>
      </w:r>
      <w:r>
        <w:rPr>
          <w:b/>
        </w:rPr>
        <w:t>comprimé à libération prolongée</w:t>
      </w:r>
      <w:r>
        <w:t xml:space="preserve">, permettant une libération progressive du principe actif sur 24 heures et justifiant une seule prise par jour. La </w:t>
      </w:r>
      <w:r>
        <w:rPr>
          <w:b/>
        </w:rPr>
        <w:t>biodisponibilité absolue est de 76 %</w:t>
      </w:r>
      <w:r>
        <w:t xml:space="preserve"> (forme LP), le </w:t>
      </w:r>
      <w:r>
        <w:rPr>
          <w:b/>
        </w:rPr>
        <w:t>Tmax est retardé à 2-4 heures</w:t>
      </w:r>
      <w:r>
        <w:t xml:space="preserve"> (vs 0,5-1 h pour les formes à libération immédiate), et la </w:t>
      </w:r>
      <w:r>
        <w:rPr>
          <w:b/>
        </w:rPr>
        <w:t>demi-vie d'élimination est d'environ 9 à 13 heures</w:t>
      </w:r>
      <w:r>
        <w:t>. La Cmax après une dose de 15 mg est d'environ 25-35 ng/mL, et l'ASC0-24h d'environ 220-280 ng·h/mL. La prise alimentaire n'a pas d'effet cliniquement significatif sur l'absorption (le comprimé peut être pris à jeun ou au cours d'un repas).</w:t>
      </w:r>
    </w:p>
    <w:p>
      <w:r>
        <w:t xml:space="preserve">Le </w:t>
      </w:r>
      <w:r>
        <w:rPr>
          <w:b/>
        </w:rPr>
        <w:t>métabolisme</w:t>
      </w:r>
      <w:r>
        <w:t xml:space="preserve"> de l'upadacitinib est principalement hépatique (60 %), médié par le CYP3A4 et, dans une moindre mesure, par le CYP2D6. Les métabolites sont inactifs. L'élimination se fait à environ 30 % par voie rénale (sous forme inchangée et métabolites) et à 60 % par voie hépatobiliaire. L'upadacitinib n'est pas un inhibiteur ou un inducteur significatif des principaux CYP à doses thérapeutiques, mais est </w:t>
      </w:r>
      <w:r>
        <w:rPr>
          <w:b/>
        </w:rPr>
        <w:t>substrat du CYP3A4</w:t>
      </w:r>
      <w:r>
        <w:t xml:space="preserve"> — d'où les interactions majeures avec les inhibiteurs puissants du CYP3A4 (kétoconazole, clarithromycine, ritonavir, itraconazole, voriconazole) et les inducteurs puissants (rifampicine, phénobarbital, carbamazépine, phénytoïne, millepertuis).</w:t>
      </w:r>
    </w:p>
    <w:p>
      <w:r>
        <w:t>L'</w:t>
      </w:r>
      <w:r>
        <w:rPr>
          <w:b/>
        </w:rPr>
        <w:t>insuffisance rénale</w:t>
      </w:r>
      <w:r>
        <w:t xml:space="preserve"> modérée (DFG 30-50 mL/min) et sévère (DFG &lt; 30 mL/min) ne justifie pas d'adaptation posologique à 15 mg/jour, mais impose une surveillance renforcée. L'</w:t>
      </w:r>
      <w:r>
        <w:rPr>
          <w:b/>
        </w:rPr>
        <w:t>insuffisance hépatique</w:t>
      </w:r>
      <w:r>
        <w:t xml:space="preserve"> légère (Child-Pugh A) ne justifie pas d'adaptation ; l'insuffisance hépatique modérée (Child-Pugh B) impose une surveillance renforcée et une réduction posologique à 15 mg/jour (si indication à 30 mg/jour) ; l'insuffisance hépatique sévère (Child-Pugh C) est une contre-indication. L'upadacitinib n'est pas dialysable de manière significative.</w:t>
      </w:r>
    </w:p>
    <w:p>
      <w:pPr>
        <w:pStyle w:val="Heading3"/>
      </w:pPr>
      <w:r>
        <w:t>153.5.5 Indications thérapeutiques</w:t>
      </w:r>
    </w:p>
    <w:p>
      <w:pPr>
        <w:pStyle w:val="ListBullet"/>
      </w:pPr>
      <w:r/>
      <w:r>
        <w:rPr>
          <w:b/>
        </w:rPr>
        <w:t>Polyarthrite rhumatoïde (PR) active sévère de l'adulte</w:t>
      </w:r>
      <w:r>
        <w:t xml:space="preserve"> : en cas de réponse inadéquate ou d'intolérance à un ou plusieurs DMARDs conventionnels ET en cas d'impossibilité d'utiliser un bDMARD. AMM européenne : 15 mg × 1/jour per os (comprimé à libération prolongée), en association au méthotrexate ou en monothérapie. La dose de 30 mg × 1/jour est réservée à certaines situations d'insuffisance de réponse à 15 mg (à discuter au cas par cas, en tenant compte du signal de tolérance cardiovasculaire et thromboembolique veineux)</w:t>
      </w:r>
    </w:p>
    <w:p>
      <w:pPr>
        <w:pStyle w:val="ListBullet"/>
      </w:pPr>
      <w:r/>
      <w:r>
        <w:rPr>
          <w:b/>
        </w:rPr>
        <w:t>Rhumatisme psoriasique (RPso) actif de l'adulte</w:t>
      </w:r>
      <w:r>
        <w:t xml:space="preserve"> : en cas de réponse inadéquate ou d'intolérance à un csDMARD (notamment méthotrexate). AMM : 15 mg × 1/jour. La dose peut être augmentée à 30 mg × 1/jour en cas de réponse insuffisante à 15 mg après 12-16 semaines</w:t>
      </w:r>
    </w:p>
    <w:p>
      <w:pPr>
        <w:pStyle w:val="ListBullet"/>
      </w:pPr>
      <w:r/>
      <w:r>
        <w:rPr>
          <w:b/>
        </w:rPr>
        <w:t>Spondyloarthrite axiale (SpA) active sévère de l'adulte, y compris spondylite ankylosante (SA) et SpA non radiographique (nr-axSpA)</w:t>
      </w:r>
      <w:r>
        <w:t xml:space="preserve"> : en cas de réponse inadéquate à un ou plusieurs AINS à dose maximale tolérée. AMM : 15 mg × 1/jour</w:t>
      </w:r>
    </w:p>
    <w:p>
      <w:pPr>
        <w:pStyle w:val="ListBullet"/>
      </w:pPr>
      <w:r/>
      <w:r>
        <w:rPr>
          <w:b/>
        </w:rPr>
        <w:t>Dermatite atopique modérée à sévère de l'adulte et de l'adolescent ≥ 12 ans (≥ 40 kg)</w:t>
      </w:r>
      <w:r>
        <w:t xml:space="preserve"> : en cas de réponse inadéquate ou d'intolérance aux traitements topiques et systémiques. AMM : induction 15 mg × 1/jour (ou 30 mg × 1/jour en cas de réponse insuffisante), puis entretien 15 mg × 1/jour</w:t>
      </w:r>
    </w:p>
    <w:p>
      <w:pPr>
        <w:pStyle w:val="ListBullet"/>
      </w:pPr>
      <w:r/>
      <w:r>
        <w:rPr>
          <w:b/>
        </w:rPr>
        <w:t>Maladie de Crohn modérée à sévère de l'adulte</w:t>
      </w:r>
      <w:r>
        <w:t xml:space="preserve"> : en cas de réponse inadéquate, perte de réponse ou intolérance à un traitement conventionnel ou à un bDMARD. AMM : induction 45 mg × 1/jour pendant 12 semaines, puis entretien 15 mg × 1/jour (ou 30 mg × 1/jour en cas de réponse insuffisante)</w:t>
      </w:r>
    </w:p>
    <w:p>
      <w:pPr>
        <w:pStyle w:val="ListBullet"/>
      </w:pPr>
      <w:r/>
      <w:r>
        <w:rPr>
          <w:b/>
        </w:rPr>
        <w:t>Colite ulcéreuse modérée à sévère de l'adulte</w:t>
      </w:r>
      <w:r>
        <w:t xml:space="preserve"> : en cas de réponse inadéquate, perte de réponse ou intolérance à un traitement conventionnel ou à un bDMARD. AMM : induction 45 mg × 1/jour pendant 8 semaines, puis entretien 15 mg × 1/jour (ou 30 mg × 1/jour)</w:t>
      </w:r>
    </w:p>
    <w:p>
      <w:pPr>
        <w:pStyle w:val="ListBullet"/>
      </w:pPr>
      <w:r/>
      <w:r>
        <w:rPr>
          <w:b/>
        </w:rPr>
        <w:t>Arthrite juvénile idiopathique (AJI) polyarticulaire</w:t>
      </w:r>
      <w:r>
        <w:t xml:space="preserve"> : AMM pédiatrique (adolescents ≥ 12 ans, poids ≥ 40 kg) — non concernée par les spécialités algériennes disponibles dans le cadre rhumatologique strict</w:t>
      </w:r>
    </w:p>
    <w:p>
      <w:pPr>
        <w:pStyle w:val="Heading3"/>
      </w:pPr>
      <w:r>
        <w:t>153.5.6 Contre-indications</w:t>
      </w:r>
    </w:p>
    <w:p>
      <w:pPr>
        <w:pStyle w:val="ListBullet"/>
      </w:pPr>
      <w:r/>
      <w:r>
        <w:rPr>
          <w:b/>
        </w:rPr>
        <w:t>Contre-indications absolues</w:t>
      </w:r>
      <w:r>
        <w:t xml:space="preserve"> :</w:t>
      </w:r>
    </w:p>
    <w:p>
      <w:pPr>
        <w:pStyle w:val="ListBullet"/>
      </w:pPr>
      <w:r>
        <w:t>Hypersensibilité à la substance active ou à l'un des excipients</w:t>
      </w:r>
    </w:p>
    <w:p>
      <w:pPr>
        <w:pStyle w:val="ListBullet"/>
      </w:pPr>
      <w:r/>
      <w:r>
        <w:rPr>
          <w:b/>
        </w:rPr>
        <w:t>Patients âgés ≥ 65 ans</w:t>
      </w:r>
      <w:r>
        <w:t xml:space="preserve"> (selon recommandations EMA/PRAC avril 2022, sauf situation exceptionnelle)</w:t>
      </w:r>
    </w:p>
    <w:p>
      <w:pPr>
        <w:pStyle w:val="ListBullet"/>
      </w:pPr>
      <w:r/>
      <w:r>
        <w:rPr>
          <w:b/>
        </w:rPr>
        <w:t>Antécédent de thrombose veineuse</w:t>
      </w:r>
      <w:r>
        <w:t xml:space="preserve"> (TVP, embolie pulmonaire, thrombose veineuse cérébrale, thrombose veineuse splanchnique, syndrome des antiphospholipides)</w:t>
      </w:r>
    </w:p>
    <w:p>
      <w:pPr>
        <w:pStyle w:val="ListBullet"/>
      </w:pPr>
      <w:r/>
      <w:r>
        <w:rPr>
          <w:b/>
        </w:rPr>
        <w:t>Antécédent d'événement cardiovasculaire majeur</w:t>
      </w:r>
      <w:r>
        <w:t xml:space="preserve"> (MACE : infarctus du myocarde, AVC, mort cardiovasculaire)</w:t>
      </w:r>
    </w:p>
    <w:p>
      <w:pPr>
        <w:pStyle w:val="ListBullet"/>
      </w:pPr>
      <w:r/>
      <w:r>
        <w:rPr>
          <w:b/>
        </w:rPr>
        <w:t>Facteurs de risque cardiovasculaire non contrôlés</w:t>
      </w:r>
      <w:r>
        <w:t xml:space="preserve"> : diabète déséquilibré, hypertension non contrôlée, dyslipidémie sévère non traitée, tabagisme actif, insuffisance cardiaque NYHA III-IV</w:t>
      </w:r>
    </w:p>
    <w:p>
      <w:pPr>
        <w:pStyle w:val="ListBullet"/>
      </w:pPr>
      <w:r/>
      <w:r>
        <w:rPr>
          <w:b/>
        </w:rPr>
        <w:t>Patients à risque accru de cancer</w:t>
      </w:r>
      <w:r>
        <w:t xml:space="preserve"> : antécédent personnel de cancer solide ou hématologique, antécédent familial de cancer héréditaire, lésions pré-néoplasiques évolutives</w:t>
      </w:r>
    </w:p>
    <w:p>
      <w:pPr>
        <w:pStyle w:val="ListBullet"/>
      </w:pPr>
      <w:r/>
      <w:r>
        <w:rPr>
          <w:b/>
        </w:rPr>
        <w:t>Infection sévère active</w:t>
      </w:r>
      <w:r>
        <w:t xml:space="preserve"> : septicémie, infection opportuniste (TB active, mycose invasive, LEMP), infection par le VHB (réactivation) ou VHC non contrôlé</w:t>
      </w:r>
    </w:p>
    <w:p>
      <w:pPr>
        <w:pStyle w:val="ListBullet"/>
      </w:pPr>
      <w:r/>
      <w:r>
        <w:rPr>
          <w:b/>
        </w:rPr>
        <w:t>Tuberculose active</w:t>
      </w:r>
      <w:r>
        <w:t xml:space="preserve"> non traitée</w:t>
      </w:r>
    </w:p>
    <w:p>
      <w:pPr>
        <w:pStyle w:val="ListBullet"/>
      </w:pPr>
      <w:r/>
      <w:r>
        <w:rPr>
          <w:b/>
        </w:rPr>
        <w:t>Insuffisance hépatique sévère</w:t>
      </w:r>
      <w:r>
        <w:t xml:space="preserve"> (Child-Pugh C)</w:t>
      </w:r>
    </w:p>
    <w:p>
      <w:pPr>
        <w:pStyle w:val="ListBullet"/>
      </w:pPr>
      <w:r/>
      <w:r>
        <w:rPr>
          <w:b/>
        </w:rPr>
        <w:t>Grossesse et allaitement</w:t>
      </w:r>
      <w:r>
        <w:t xml:space="preserve"> (voir section dédiée CRAT)</w:t>
      </w:r>
    </w:p>
    <w:p>
      <w:pPr>
        <w:pStyle w:val="ListBullet"/>
      </w:pPr>
      <w:r/>
      <w:r>
        <w:rPr>
          <w:b/>
        </w:rPr>
        <w:t>Vaccins vivants atténués</w:t>
      </w:r>
      <w:r>
        <w:t xml:space="preserve"> pendant le traitement et jusqu'à 4 semaines après l'arrêt</w:t>
      </w:r>
    </w:p>
    <w:p>
      <w:pPr>
        <w:pStyle w:val="ListBullet"/>
      </w:pPr>
      <w:r/>
      <w:r>
        <w:rPr>
          <w:b/>
        </w:rPr>
        <w:t>Associations médicamenteuses</w:t>
      </w:r>
      <w:r>
        <w:t xml:space="preserve"> : inhibiteurs puissants du CYP3A4 (kétoconazole, clarithromycine, ritonavir, itraconazole, voriconazole, posaconazole), inducteurs puissants (rifampicine, phénobarbital, carbamazépine, phénytoïne, millepertuis)</w:t>
      </w:r>
    </w:p>
    <w:p>
      <w:pPr>
        <w:pStyle w:val="ListBullet"/>
      </w:pPr>
      <w:r/>
      <w:r>
        <w:rPr>
          <w:b/>
        </w:rPr>
        <w:t>Contre-indications relatives / Précautions d'emploi</w:t>
      </w:r>
      <w:r>
        <w:t xml:space="preserve"> :</w:t>
      </w:r>
    </w:p>
    <w:p>
      <w:pPr>
        <w:pStyle w:val="ListBullet"/>
      </w:pPr>
      <w:r>
        <w:t>Insuffisance rénale modérée à sévère (surveillance renforcée)</w:t>
      </w:r>
    </w:p>
    <w:p>
      <w:pPr>
        <w:pStyle w:val="ListBullet"/>
      </w:pPr>
      <w:r>
        <w:t>Insuffisance hépatique modérée (Child-Pugh B) : surveillance hépatique renforcée, réduction posologique à 15 mg × 1/jour</w:t>
      </w:r>
    </w:p>
    <w:p>
      <w:pPr>
        <w:pStyle w:val="ListBullet"/>
      </w:pPr>
      <w:r>
        <w:t>Cytopénies préexistantes (lymphopénie &lt; 500/mm³, neutropénie &lt; 1500/mm³, anémie Hb &lt; 9 g/dL)</w:t>
      </w:r>
    </w:p>
    <w:p>
      <w:pPr>
        <w:pStyle w:val="ListBullet"/>
      </w:pPr>
      <w:r>
        <w:t>Sujet jeune fumeur (évaluation bénéfice/risque renforcée)</w:t>
      </w:r>
    </w:p>
    <w:p>
      <w:pPr>
        <w:pStyle w:val="ListBullet"/>
      </w:pPr>
      <w:r>
        <w:t>BPCO sévère ou bronchectasies (sur-risque infectieux)</w:t>
      </w:r>
    </w:p>
    <w:p>
      <w:pPr>
        <w:pStyle w:val="ListBullet"/>
      </w:pPr>
      <w:r>
        <w:t>Diabète déséquilibré</w:t>
      </w:r>
    </w:p>
    <w:p>
      <w:pPr>
        <w:pStyle w:val="ListBullet"/>
      </w:pPr>
      <w:r>
        <w:t>Diverticulite ou antécédent de perforation digestive (sur-risque de perforation digestive)</w:t>
      </w:r>
    </w:p>
    <w:p>
      <w:pPr>
        <w:pStyle w:val="ListBullet"/>
      </w:pPr>
      <w:r>
        <w:t>Hypogammaglobulinémie</w:t>
      </w:r>
    </w:p>
    <w:p>
      <w:pPr>
        <w:pStyle w:val="Heading3"/>
      </w:pPr>
      <w:r>
        <w:t>153.5.7 Effets indésirables</w:t>
      </w:r>
    </w:p>
    <w:p>
      <w:r/>
      <w:r>
        <w:rPr>
          <w:b/>
        </w:rPr>
        <w:t>Infectieux</w:t>
      </w:r>
      <w:r>
        <w:t xml:space="preserve"> :</w:t>
      </w:r>
    </w:p>
    <w:p>
      <w:pPr>
        <w:pStyle w:val="ListBullet"/>
      </w:pPr>
      <w:r/>
      <w:r>
        <w:rPr>
          <w:b/>
        </w:rPr>
        <w:t>Infections des voies respiratoires supérieures</w:t>
      </w:r>
      <w:r>
        <w:t xml:space="preserve"> (rhinopharyngite, sinusite) : 10-15 %</w:t>
      </w:r>
    </w:p>
    <w:p>
      <w:pPr>
        <w:pStyle w:val="ListBullet"/>
      </w:pPr>
      <w:r/>
      <w:r>
        <w:rPr>
          <w:b/>
        </w:rPr>
        <w:t>Infections des voies respiratoires inférieures</w:t>
      </w:r>
      <w:r>
        <w:t xml:space="preserve"> (bronchite, pneumopathie) : 3-5 %</w:t>
      </w:r>
    </w:p>
    <w:p>
      <w:pPr>
        <w:pStyle w:val="ListBullet"/>
      </w:pPr>
      <w:r/>
      <w:r>
        <w:rPr>
          <w:b/>
        </w:rPr>
        <w:t>Infections urinaires</w:t>
      </w:r>
      <w:r>
        <w:t xml:space="preserve"> : 3-5 %</w:t>
      </w:r>
    </w:p>
    <w:p>
      <w:pPr>
        <w:pStyle w:val="ListBullet"/>
      </w:pPr>
      <w:r/>
      <w:r>
        <w:rPr>
          <w:b/>
        </w:rPr>
        <w:t>Zona</w:t>
      </w:r>
      <w:r>
        <w:t xml:space="preserve"> : incidence 1-2 % par an (similaire au baricitinib, inférieure au tofacitinib)</w:t>
      </w:r>
    </w:p>
    <w:p>
      <w:pPr>
        <w:pStyle w:val="ListBullet"/>
      </w:pPr>
      <w:r/>
      <w:r>
        <w:rPr>
          <w:b/>
        </w:rPr>
        <w:t>Tuberculose</w:t>
      </w:r>
      <w:r>
        <w:t xml:space="preserve"> : réactivation possible (TB latente → TB active) — dépistage pré-thérapeutique obligatoire</w:t>
      </w:r>
    </w:p>
    <w:p>
      <w:pPr>
        <w:pStyle w:val="ListBullet"/>
      </w:pPr>
      <w:r/>
      <w:r>
        <w:rPr>
          <w:b/>
        </w:rPr>
        <w:t>Infections opportunistes</w:t>
      </w:r>
      <w:r>
        <w:t xml:space="preserve"> : pneumocystose, candidose profonde, infection à mycobactéries atypiques, LEMP (très rare)</w:t>
      </w:r>
    </w:p>
    <w:p>
      <w:pPr>
        <w:pStyle w:val="ListBullet"/>
      </w:pPr>
      <w:r/>
      <w:r>
        <w:rPr>
          <w:b/>
        </w:rPr>
        <w:t>Infections bactériennes sévères</w:t>
      </w:r>
      <w:r>
        <w:t xml:space="preserve"> : cellulite, pyélonéphrite, pneumopathie bactérienne, septicémie</w:t>
      </w:r>
    </w:p>
    <w:p>
      <w:r/>
      <w:r>
        <w:rPr>
          <w:b/>
        </w:rPr>
        <w:t>Hématologiques</w:t>
      </w:r>
      <w:r>
        <w:t xml:space="preserve"> (théoriquement moins marqués en raison de la sélectivité JAK1) :</w:t>
      </w:r>
    </w:p>
    <w:p>
      <w:pPr>
        <w:pStyle w:val="ListBullet"/>
      </w:pPr>
      <w:r/>
      <w:r>
        <w:rPr>
          <w:b/>
        </w:rPr>
        <w:t>Neutropénie</w:t>
      </w:r>
      <w:r>
        <w:t xml:space="preserve"> : 3-5 % (modérée, &lt; 1500/mm³) ; 0,3-0,5 % sévère</w:t>
      </w:r>
    </w:p>
    <w:p>
      <w:pPr>
        <w:pStyle w:val="ListBullet"/>
      </w:pPr>
      <w:r/>
      <w:r>
        <w:rPr>
          <w:b/>
        </w:rPr>
        <w:t>Lymphopénie</w:t>
      </w:r>
      <w:r>
        <w:t xml:space="preserve"> : 3-5 %</w:t>
      </w:r>
    </w:p>
    <w:p>
      <w:pPr>
        <w:pStyle w:val="ListBullet"/>
      </w:pPr>
      <w:r/>
      <w:r>
        <w:rPr>
          <w:b/>
        </w:rPr>
        <w:t>Anémie</w:t>
      </w:r>
      <w:r>
        <w:t xml:space="preserve"> : 2-4 % (moins fréquente que sous baricitinib en raison de la sélectivité JAK1)</w:t>
      </w:r>
    </w:p>
    <w:p>
      <w:pPr>
        <w:pStyle w:val="ListBullet"/>
      </w:pPr>
      <w:r/>
      <w:r>
        <w:rPr>
          <w:b/>
        </w:rPr>
        <w:t>Thrombopénie</w:t>
      </w:r>
      <w:r>
        <w:t xml:space="preserve"> : rare (&lt; 1 %)</w:t>
      </w:r>
    </w:p>
    <w:p>
      <w:r/>
      <w:r>
        <w:rPr>
          <w:b/>
        </w:rPr>
        <w:t>Hépatiques</w:t>
      </w:r>
      <w:r>
        <w:t xml:space="preserve"> :</w:t>
      </w:r>
    </w:p>
    <w:p>
      <w:pPr>
        <w:pStyle w:val="ListBullet"/>
      </w:pPr>
      <w:r/>
      <w:r>
        <w:rPr>
          <w:b/>
        </w:rPr>
        <w:t>Élévation des transaminases</w:t>
      </w:r>
      <w:r>
        <w:t xml:space="preserve"> (ALAT/ASAT &gt; 1 × LSN) : 5-10 %</w:t>
      </w:r>
    </w:p>
    <w:p>
      <w:pPr>
        <w:pStyle w:val="ListBullet"/>
      </w:pPr>
      <w:r/>
      <w:r>
        <w:rPr>
          <w:b/>
        </w:rPr>
        <w:t>Élévation supérieure à 3 × LSN</w:t>
      </w:r>
      <w:r>
        <w:t xml:space="preserve"> : 1-2 %</w:t>
      </w:r>
    </w:p>
    <w:p>
      <w:r/>
      <w:r>
        <w:rPr>
          <w:b/>
        </w:rPr>
        <w:t>Lipidiques</w:t>
      </w:r>
      <w:r>
        <w:t xml:space="preserve"> :</w:t>
      </w:r>
    </w:p>
    <w:p>
      <w:pPr>
        <w:pStyle w:val="ListBullet"/>
      </w:pPr>
      <w:r>
        <w:t>Élévation du cholestérol total : 10-15 %</w:t>
      </w:r>
    </w:p>
    <w:p>
      <w:pPr>
        <w:pStyle w:val="ListBullet"/>
      </w:pPr>
      <w:r>
        <w:t>Élévation du LDL-cholestérol : 10-15 %</w:t>
      </w:r>
    </w:p>
    <w:p>
      <w:pPr>
        <w:pStyle w:val="ListBullet"/>
      </w:pPr>
      <w:r>
        <w:t>Élévation du HDL-cholestérol : 5-10 %</w:t>
      </w:r>
    </w:p>
    <w:p>
      <w:pPr>
        <w:pStyle w:val="ListBullet"/>
      </w:pPr>
      <w:r>
        <w:t>Élévation des triglycérides : 5-10 %</w:t>
      </w:r>
    </w:p>
    <w:p>
      <w:r/>
      <w:r>
        <w:rPr>
          <w:b/>
        </w:rPr>
        <w:t>Cardiovasculaires et thromboemboliques</w:t>
      </w:r>
      <w:r>
        <w:t xml:space="preserve"> (signal de sécurité de classe) :</w:t>
      </w:r>
    </w:p>
    <w:p>
      <w:pPr>
        <w:pStyle w:val="ListBullet"/>
      </w:pPr>
      <w:r/>
      <w:r>
        <w:rPr>
          <w:b/>
        </w:rPr>
        <w:t>Hypertension artérielle</w:t>
      </w:r>
      <w:r>
        <w:t xml:space="preserve"> (élévation de 2-5 mmHg de la PAS et PAD)</w:t>
      </w:r>
    </w:p>
    <w:p>
      <w:pPr>
        <w:pStyle w:val="ListBullet"/>
      </w:pPr>
      <w:r/>
      <w:r>
        <w:rPr>
          <w:b/>
        </w:rPr>
        <w:t>Thrombose veineuse profonde (TVP)</w:t>
      </w:r>
      <w:r>
        <w:t xml:space="preserve"> et </w:t>
      </w:r>
      <w:r>
        <w:rPr>
          <w:b/>
        </w:rPr>
        <w:t>embolie pulmonaire (EP)</w:t>
      </w:r>
      <w:r>
        <w:t xml:space="preserve"> : incidence 0,3-1,0 % par an</w:t>
      </w:r>
    </w:p>
    <w:p>
      <w:pPr>
        <w:pStyle w:val="ListBullet"/>
      </w:pPr>
      <w:r/>
      <w:r>
        <w:rPr>
          <w:b/>
        </w:rPr>
        <w:t>Événements cardiovasculaires majeurs (MACE)</w:t>
      </w:r>
      <w:r>
        <w:t xml:space="preserve"> : 0,5-1,0 % par an</w:t>
      </w:r>
    </w:p>
    <w:p>
      <w:pPr>
        <w:pStyle w:val="ListBullet"/>
      </w:pPr>
      <w:r/>
      <w:r>
        <w:rPr>
          <w:b/>
        </w:rPr>
        <w:t>Thrombose veineuse cérébrale</w:t>
      </w:r>
      <w:r>
        <w:t xml:space="preserve">, </w:t>
      </w:r>
      <w:r>
        <w:rPr>
          <w:b/>
        </w:rPr>
        <w:t>thrombose veineuse splanchnique</w:t>
      </w:r>
      <w:r>
        <w:t xml:space="preserve"> (rares)</w:t>
      </w:r>
    </w:p>
    <w:p>
      <w:r/>
      <w:r>
        <w:rPr>
          <w:b/>
        </w:rPr>
        <w:t>Digestifs</w:t>
      </w:r>
      <w:r>
        <w:t xml:space="preserve"> :</w:t>
      </w:r>
    </w:p>
    <w:p>
      <w:pPr>
        <w:pStyle w:val="ListBullet"/>
      </w:pPr>
      <w:r>
        <w:t>Douleurs abdominales, nausées : 5-8 %</w:t>
      </w:r>
    </w:p>
    <w:p>
      <w:pPr>
        <w:pStyle w:val="ListBullet"/>
      </w:pPr>
      <w:r>
        <w:t>Diarrhée : 3-5 %</w:t>
      </w:r>
    </w:p>
    <w:p>
      <w:pPr>
        <w:pStyle w:val="ListBullet"/>
      </w:pPr>
      <w:r/>
      <w:r>
        <w:rPr>
          <w:b/>
        </w:rPr>
        <w:t>Perforation digestive</w:t>
      </w:r>
      <w:r>
        <w:t xml:space="preserve"> (particulièrement diverticulaire) : rare (&lt; 0,3 %) mais potentiellement mortelle</w:t>
      </w:r>
    </w:p>
    <w:p>
      <w:r/>
      <w:r>
        <w:rPr>
          <w:b/>
        </w:rPr>
        <w:t>Dermatologiques</w:t>
      </w:r>
      <w:r>
        <w:t xml:space="preserve"> :</w:t>
      </w:r>
    </w:p>
    <w:p>
      <w:pPr>
        <w:pStyle w:val="ListBullet"/>
      </w:pPr>
      <w:r>
        <w:t>Acné, rash cutané, prurit : 3-5 %</w:t>
      </w:r>
    </w:p>
    <w:p>
      <w:pPr>
        <w:pStyle w:val="ListBullet"/>
      </w:pPr>
      <w:r/>
      <w:r>
        <w:rPr>
          <w:b/>
        </w:rPr>
        <w:t>Cancers cutanés non mélanocytaires</w:t>
      </w:r>
      <w:r>
        <w:t xml:space="preserve"> (carcinome basocellulaire, spinocellulaire)</w:t>
      </w:r>
    </w:p>
    <w:p>
      <w:pPr>
        <w:pStyle w:val="ListBullet"/>
      </w:pPr>
      <w:r>
        <w:t>Érythème, alopécie (rare)</w:t>
      </w:r>
    </w:p>
    <w:p>
      <w:r/>
      <w:r>
        <w:rPr>
          <w:b/>
        </w:rPr>
        <w:t>Néoplasiques</w:t>
      </w:r>
      <w:r>
        <w:t xml:space="preserve"> :</w:t>
      </w:r>
    </w:p>
    <w:p>
      <w:pPr>
        <w:pStyle w:val="ListBullet"/>
      </w:pPr>
      <w:r/>
      <w:r>
        <w:rPr>
          <w:b/>
        </w:rPr>
        <w:t>Lymphomes</w:t>
      </w:r>
      <w:r>
        <w:t xml:space="preserve"> : incidence modeste</w:t>
      </w:r>
    </w:p>
    <w:p>
      <w:pPr>
        <w:pStyle w:val="ListBullet"/>
      </w:pPr>
      <w:r/>
      <w:r>
        <w:rPr>
          <w:b/>
        </w:rPr>
        <w:t>Cancers solides</w:t>
      </w:r>
      <w:r>
        <w:t xml:space="preserve"> : incidence ≈ 0,8-1,0 % par an</w:t>
      </w:r>
    </w:p>
    <w:p>
      <w:pPr>
        <w:pStyle w:val="ListBullet"/>
      </w:pPr>
      <w:r/>
      <w:r>
        <w:rPr>
          <w:b/>
        </w:rPr>
        <w:t>Mélanome</w:t>
      </w:r>
      <w:r>
        <w:t xml:space="preserve"> : sur-incidence modeste</w:t>
      </w:r>
    </w:p>
    <w:p>
      <w:r/>
      <w:r>
        <w:rPr>
          <w:b/>
        </w:rPr>
        <w:t>Autres</w:t>
      </w:r>
      <w:r>
        <w:t xml:space="preserve"> :</w:t>
      </w:r>
    </w:p>
    <w:p>
      <w:pPr>
        <w:pStyle w:val="ListBullet"/>
      </w:pPr>
      <w:r>
        <w:t>Céphalées (3-5 %)</w:t>
      </w:r>
    </w:p>
    <w:p>
      <w:pPr>
        <w:pStyle w:val="ListBullet"/>
      </w:pPr>
      <w:r>
        <w:t>Fatigue, asthénie (2-3 %)</w:t>
      </w:r>
    </w:p>
    <w:p>
      <w:pPr>
        <w:pStyle w:val="ListBullet"/>
      </w:pPr>
      <w:r>
        <w:t>Élévation de la créatininémie (0,5-1,0 %, modérée)</w:t>
      </w:r>
    </w:p>
    <w:p>
      <w:pPr>
        <w:pStyle w:val="Heading3"/>
      </w:pPr>
      <w:r>
        <w:t>153.5.8 Prévention et gestion des effets indésirables</w:t>
      </w:r>
    </w:p>
    <w:p>
      <w:r>
        <w:t>Le plan de prévention et de gestion des effets indésirables de l'upadacitinib reprend les principes décrits pour le tofacitinib (section 153.3.8) et le baricitinib (section 153.4.8), avec les particularités suivantes :</w:t>
      </w:r>
    </w:p>
    <w:p>
      <w:pPr>
        <w:pStyle w:val="ListNumber"/>
      </w:pPr>
      <w:r/>
      <w:r>
        <w:rPr>
          <w:b/>
        </w:rPr>
        <w:t>Bilan pré-thérapeutique</w:t>
      </w:r>
      <w:r>
        <w:t xml:space="preserve"> identique au tofacitinib et au baricitinib (bilan infectieux, cardiovasculaire, hématologique, hépatique, rénal, lipidique, néoplasique, gynéco-obstétrical)</w:t>
      </w:r>
    </w:p>
    <w:p>
      <w:pPr>
        <w:pStyle w:val="ListNumber"/>
      </w:pPr>
      <w:r/>
      <w:r>
        <w:rPr>
          <w:b/>
        </w:rPr>
        <w:t>Surveillance hématologique</w:t>
      </w:r>
      <w:r>
        <w:t xml:space="preserve"> : NFS mensuelle pendant 3 mois, puis trimestrielle pendant la 1ʳᵉ année, puis semestrielle (la sélectivité JAK1 réduit théoriquement le risque d'anémie et de neutropénie, mais la surveillance reste identique par mesure de sécurité)</w:t>
      </w:r>
    </w:p>
    <w:p>
      <w:pPr>
        <w:pStyle w:val="ListNumber"/>
      </w:pPr>
      <w:r/>
      <w:r>
        <w:rPr>
          <w:b/>
        </w:rPr>
        <w:t>Surveillance lipidique</w:t>
      </w:r>
      <w:r>
        <w:t xml:space="preserve"> : bilan lipidique à 1 mois, 3 mois, puis semestriel ; statine si LDL &gt; 1,6 g/L</w:t>
      </w:r>
    </w:p>
    <w:p>
      <w:pPr>
        <w:pStyle w:val="ListNumber"/>
      </w:pPr>
      <w:r/>
      <w:r>
        <w:rPr>
          <w:b/>
        </w:rPr>
        <w:t>Surveillance cardiovasculaire et thromboembolique veineuse</w:t>
      </w:r>
      <w:r>
        <w:t xml:space="preserve"> : éducation du patient à reconnaître les signes de TVP/EP ; consultation en urgence si survenue</w:t>
      </w:r>
    </w:p>
    <w:p>
      <w:pPr>
        <w:pStyle w:val="ListNumber"/>
      </w:pPr>
      <w:r/>
      <w:r>
        <w:rPr>
          <w:b/>
        </w:rPr>
        <w:t>Surveillance de la tolérance digestive</w:t>
      </w:r>
      <w:r>
        <w:t xml:space="preserve"> : recherche de douleurs abdominales (suspicion de perforation diverticulaire)</w:t>
      </w:r>
    </w:p>
    <w:p>
      <w:pPr>
        <w:pStyle w:val="ListNumber"/>
      </w:pPr>
      <w:r/>
      <w:r>
        <w:rPr>
          <w:b/>
        </w:rPr>
        <w:t>Vaccination Shingrix® (zona)</w:t>
      </w:r>
      <w:r>
        <w:t xml:space="preserve"> : recommandée avant initiation chez les patients &gt; 50 ans</w:t>
      </w:r>
    </w:p>
    <w:p>
      <w:r/>
      <w:r>
        <w:rPr>
          <w:b/>
        </w:rPr>
        <w:t>Gestion des effets indésirables spécifiques</w:t>
      </w:r>
      <w:r>
        <w:t xml:space="preserve"> :</w:t>
      </w:r>
    </w:p>
    <w:p>
      <w:pPr>
        <w:pStyle w:val="ListBullet"/>
      </w:pPr>
      <w:r/>
      <w:r>
        <w:rPr>
          <w:b/>
        </w:rPr>
        <w:t>Neutropénie &lt; 1500/mm³</w:t>
      </w:r>
      <w:r>
        <w:t xml:space="preserve"> : surveillance rapprochée ; &lt; 1000/mm³ : interruption temporaire, reprise après récupération à &gt; 1500/mm³</w:t>
      </w:r>
    </w:p>
    <w:p>
      <w:pPr>
        <w:pStyle w:val="ListBullet"/>
      </w:pPr>
      <w:r/>
      <w:r>
        <w:rPr>
          <w:b/>
        </w:rPr>
        <w:t>Lymphopénie &lt; 500/mm³</w:t>
      </w:r>
      <w:r>
        <w:t xml:space="preserve"> : interruption temporaire</w:t>
      </w:r>
    </w:p>
    <w:p>
      <w:pPr>
        <w:pStyle w:val="ListBullet"/>
      </w:pPr>
      <w:r/>
      <w:r>
        <w:rPr>
          <w:b/>
        </w:rPr>
        <w:t>ALAT/ASAT &gt; 3 × LSN</w:t>
      </w:r>
      <w:r>
        <w:t xml:space="preserve"> : interruption, recherche étiologique ; reprise possible si normalisation à &lt; 2 × LSN</w:t>
      </w:r>
    </w:p>
    <w:p>
      <w:pPr>
        <w:pStyle w:val="ListBullet"/>
      </w:pPr>
      <w:r/>
      <w:r>
        <w:rPr>
          <w:b/>
        </w:rPr>
        <w:t>Infection sévère</w:t>
      </w:r>
      <w:r>
        <w:t xml:space="preserve"> : interruption immédiate, antibiothérapie ciblée, hospitalisation si nécessaire ; reprise après guérison complète</w:t>
      </w:r>
    </w:p>
    <w:p>
      <w:pPr>
        <w:pStyle w:val="ListBullet"/>
      </w:pPr>
      <w:r/>
      <w:r>
        <w:rPr>
          <w:b/>
        </w:rPr>
        <w:t>Zona</w:t>
      </w:r>
      <w:r>
        <w:t xml:space="preserve"> : interruption si zona disséminé, ophtalmique ou multidermatomérique ; aciclovir IV ou oral ; reprise après guérison</w:t>
      </w:r>
    </w:p>
    <w:p>
      <w:pPr>
        <w:pStyle w:val="ListBullet"/>
      </w:pPr>
      <w:r/>
      <w:r>
        <w:rPr>
          <w:b/>
        </w:rPr>
        <w:t>TVP/EP</w:t>
      </w:r>
      <w:r>
        <w:t xml:space="preserve"> : arrêt définitif de l'upadacitinib, anticoagulation curative 3-6 mois minimum, pas de réintroduction</w:t>
      </w:r>
    </w:p>
    <w:p>
      <w:pPr>
        <w:pStyle w:val="ListBullet"/>
      </w:pPr>
      <w:r/>
      <w:r>
        <w:rPr>
          <w:b/>
        </w:rPr>
        <w:t>MACE</w:t>
      </w:r>
      <w:r>
        <w:t xml:space="preserve"> : arrêt définitif, orientation cardiologique</w:t>
      </w:r>
    </w:p>
    <w:p>
      <w:pPr>
        <w:pStyle w:val="ListBullet"/>
      </w:pPr>
      <w:r/>
      <w:r>
        <w:rPr>
          <w:b/>
        </w:rPr>
        <w:t>Cancer</w:t>
      </w:r>
      <w:r>
        <w:t xml:space="preserve"> : arrêt définitif, orientation oncologique</w:t>
      </w:r>
    </w:p>
    <w:p>
      <w:pPr>
        <w:pStyle w:val="ListBullet"/>
      </w:pPr>
      <w:r/>
      <w:r>
        <w:rPr>
          <w:b/>
        </w:rPr>
        <w:t>Perforation digestive</w:t>
      </w:r>
      <w:r>
        <w:t xml:space="preserve"> : arrêt définitif, chirurgie en urgence</w:t>
      </w:r>
    </w:p>
    <w:p>
      <w:pPr>
        <w:pStyle w:val="Heading3"/>
      </w:pPr>
      <w:r>
        <w:t>153.5.9 Interactions médicamenteuses</w:t>
      </w:r>
    </w:p>
    <w:p>
      <w:r>
        <w:t>L'upadacitinib est principalement métabolisé par le CYP3A4 et son profil d'interactions est comparable à celui du tofacitinib (substrat du CYP3A4), mais sans interaction notable avec les transporteurs rénaux OAT3 (contrairement au baricitinib).</w:t>
      </w:r>
    </w:p>
    <w:p>
      <w:pPr>
        <w:pStyle w:val="ListBullet"/>
      </w:pPr>
      <w:r/>
      <w:r>
        <w:rPr>
          <w:b/>
        </w:rPr>
        <w:t>Associations contre-indiquées</w:t>
      </w:r>
      <w:r>
        <w:t xml:space="preserve"> :</w:t>
      </w:r>
    </w:p>
    <w:p>
      <w:pPr>
        <w:pStyle w:val="ListBullet"/>
      </w:pPr>
      <w:r/>
      <w:r>
        <w:rPr>
          <w:b/>
        </w:rPr>
        <w:t>Inhibiteurs puissants du CYP3A4</w:t>
      </w:r>
      <w:r>
        <w:t xml:space="preserve"> : kétoconazole, itraconazole, voriconazole, posaconazole, clarithromycine, télithromycine, ritonavir, saquinavir, indinavir, nelfinavir, atazanavir, lopinavir — multiplication par 2 à 3 de l'ASC, sur-risque d'effets indésirables</w:t>
      </w:r>
    </w:p>
    <w:p>
      <w:pPr>
        <w:pStyle w:val="ListBullet"/>
      </w:pPr>
      <w:r/>
      <w:r>
        <w:rPr>
          <w:b/>
        </w:rPr>
        <w:t>Inducteurs puissants du CYP3A4</w:t>
      </w:r>
      <w:r>
        <w:t xml:space="preserve"> : rifampicine, rifabutine, phénobarbital, carbamazépine, phénytoïne, oxcarbazépine, primidone, dexaméthasone à forte dose, millepertuis — réduction de 50 à 80 % de l'ASC, perte d'efficacité</w:t>
      </w:r>
    </w:p>
    <w:p>
      <w:pPr>
        <w:pStyle w:val="ListBullet"/>
      </w:pPr>
      <w:r/>
      <w:r>
        <w:rPr>
          <w:b/>
        </w:rPr>
        <w:t>Immunosuppresseurs puissants</w:t>
      </w:r>
      <w:r>
        <w:t xml:space="preserve"> : ciclosporine, tacrolimus, sirolimus, azathioprine à forte dose, mycophénolate mofétil — sur-risque infectieux et hématologique additif</w:t>
      </w:r>
    </w:p>
    <w:p>
      <w:pPr>
        <w:pStyle w:val="ListBullet"/>
      </w:pPr>
      <w:r/>
      <w:r>
        <w:rPr>
          <w:b/>
        </w:rPr>
        <w:t>Vaccins vivants atténués</w:t>
      </w:r>
      <w:r>
        <w:t xml:space="preserve"> : BCG, ROR, fièvre jaune, varicelle-zona, rotavirus — pendant le traitement et jusqu'à 4 semaines après l'arrêt</w:t>
      </w:r>
    </w:p>
    <w:p>
      <w:pPr>
        <w:pStyle w:val="ListBullet"/>
      </w:pPr>
      <w:r/>
      <w:r>
        <w:rPr>
          <w:b/>
        </w:rPr>
        <w:t>Biothérapies</w:t>
      </w:r>
      <w:r>
        <w:t xml:space="preserve"> (anti-TNFα, anti-IL-6R, anti-CD20, abatacept) : association déconseillée en raison du sur-risque infectieux additif</w:t>
      </w:r>
    </w:p>
    <w:p>
      <w:pPr>
        <w:pStyle w:val="ListBullet"/>
      </w:pPr>
      <w:r/>
      <w:r>
        <w:rPr>
          <w:b/>
        </w:rPr>
        <w:t>Associations déconseillées</w:t>
      </w:r>
      <w:r>
        <w:t xml:space="preserve"> :</w:t>
      </w:r>
    </w:p>
    <w:p>
      <w:pPr>
        <w:pStyle w:val="ListBullet"/>
      </w:pPr>
      <w:r/>
      <w:r>
        <w:rPr>
          <w:b/>
        </w:rPr>
        <w:t>Inhibiteurs modérés du CYP3A4</w:t>
      </w:r>
      <w:r>
        <w:t xml:space="preserve"> : fluconazole, érythromycine, diltiazem, vérapamil, cimetidine — réduction posologique de moitié de l'upadacitinib si association nécessaire (15 mg × 1/jour au lieu de 30 mg × 1/jour)</w:t>
      </w:r>
    </w:p>
    <w:p>
      <w:pPr>
        <w:pStyle w:val="ListBullet"/>
      </w:pPr>
      <w:r/>
      <w:r>
        <w:rPr>
          <w:b/>
        </w:rPr>
        <w:t>Corticothérapie orale prolongée &gt; 7,5 mg/jour prednisone équivalent</w:t>
      </w:r>
      <w:r>
        <w:t xml:space="preserve"> : sur-risque infectieux, osseux, métabolique — réduire au minimum</w:t>
      </w:r>
    </w:p>
    <w:p>
      <w:pPr>
        <w:pStyle w:val="ListBullet"/>
      </w:pPr>
      <w:r/>
      <w:r>
        <w:rPr>
          <w:b/>
        </w:rPr>
        <w:t>Contraception estroprogestative</w:t>
      </w:r>
      <w:r>
        <w:t xml:space="preserve"> : sur-risque thromboembolique veineux additif — préférer contraception progestative pure ou DIU</w:t>
      </w:r>
    </w:p>
    <w:p>
      <w:pPr>
        <w:pStyle w:val="ListBullet"/>
      </w:pPr>
      <w:r/>
      <w:r>
        <w:rPr>
          <w:b/>
        </w:rPr>
        <w:t>Antiagrégants plaquettaires</w:t>
      </w:r>
      <w:r>
        <w:t xml:space="preserve"> (aspirine &gt; 500 mg, clopidogrel, prasugrel, ticagrelor) : sur-risque hémorragique en cas de thrombopénie</w:t>
      </w:r>
    </w:p>
    <w:p>
      <w:pPr>
        <w:pStyle w:val="ListBullet"/>
      </w:pPr>
      <w:r/>
      <w:r>
        <w:rPr>
          <w:b/>
        </w:rPr>
        <w:t>Anticoagulants oraux</w:t>
      </w:r>
      <w:r>
        <w:t xml:space="preserve"> (AVK, AOD) : surveillance renforcée</w:t>
      </w:r>
    </w:p>
    <w:p>
      <w:pPr>
        <w:pStyle w:val="ListBullet"/>
      </w:pPr>
      <w:r/>
      <w:r>
        <w:rPr>
          <w:b/>
        </w:rPr>
        <w:t>Associations ne nécessitant pas de précaution particulière</w:t>
      </w:r>
      <w:r>
        <w:t xml:space="preserve"> :</w:t>
      </w:r>
    </w:p>
    <w:p>
      <w:pPr>
        <w:pStyle w:val="ListBullet"/>
      </w:pPr>
      <w:r>
        <w:t>Méthotrexate (à doses ≤ 25 mg/sem) — association courante, surveillance hématologique et hépatique renforcée</w:t>
      </w:r>
    </w:p>
    <w:p>
      <w:pPr>
        <w:pStyle w:val="ListBullet"/>
      </w:pPr>
      <w:r>
        <w:t>AINS à dose anti-inflammatoire (courte durée, surveillance)</w:t>
      </w:r>
    </w:p>
    <w:p>
      <w:pPr>
        <w:pStyle w:val="ListBullet"/>
      </w:pPr>
      <w:r>
        <w:t>Statines (atorvastatine, simvastatine, rosuvastatine) — surveillance de la tolérance hépatique</w:t>
      </w:r>
    </w:p>
    <w:p>
      <w:pPr>
        <w:pStyle w:val="ListBullet"/>
      </w:pPr>
      <w:r>
        <w:t>Antihypertenseurs, antidiabétiques</w:t>
      </w:r>
    </w:p>
    <w:p>
      <w:pPr>
        <w:pStyle w:val="ListBullet"/>
      </w:pPr>
      <w:r>
        <w:t>Inhibiteurs/modérateurs du CYP2C19, CYP2D6, CYP2C9 (pas d'interaction notable)</w:t>
      </w:r>
    </w:p>
    <w:p>
      <w:pPr>
        <w:pStyle w:val="Heading3"/>
      </w:pPr>
      <w:r>
        <w:t>153.5.10 Grossesse et allaitement (CRAT)</w:t>
      </w:r>
    </w:p>
    <w:p>
      <w:r>
        <w:t>Les données du CRAT sur l'upadacitinib sont les suivantes :</w:t>
      </w:r>
    </w:p>
    <w:p>
      <w:pPr>
        <w:pStyle w:val="ListBullet"/>
      </w:pPr>
      <w:r/>
      <w:r>
        <w:rPr>
          <w:b/>
        </w:rPr>
        <w:t>Grossesse</w:t>
      </w:r>
      <w:r>
        <w:t xml:space="preserve"> :</w:t>
      </w:r>
    </w:p>
    <w:p>
      <w:pPr>
        <w:pStyle w:val="ListBullet"/>
      </w:pPr>
      <w:r>
        <w:t>L'upadacitinib traverse le placenta (molécule de faible poids moléculaire, lipophile)</w:t>
      </w:r>
    </w:p>
    <w:p>
      <w:pPr>
        <w:pStyle w:val="ListBullet"/>
      </w:pPr>
      <w:r/>
      <w:r>
        <w:rPr>
          <w:b/>
        </w:rPr>
        <w:t>Données animales</w:t>
      </w:r>
      <w:r>
        <w:t xml:space="preserve"> : tératogénicité démontrée chez l'animal (rat, lapin) à doses thérapeutiques et supra-thérapeutiques — anomalies squelettiques, cardiovasculaires, diminution de la viabilité fœtale</w:t>
      </w:r>
    </w:p>
    <w:p>
      <w:pPr>
        <w:pStyle w:val="ListBullet"/>
      </w:pPr>
      <w:r/>
      <w:r>
        <w:rPr>
          <w:b/>
        </w:rPr>
        <w:t>Données humaines</w:t>
      </w:r>
      <w:r>
        <w:t xml:space="preserve"> : données limitées (registre de grossesses exposées AbbVie, &lt; 50 grossesses publiées) ; pas de signal tératogène majeur à ce jour mais le recul est très insuffisant</w:t>
      </w:r>
    </w:p>
    <w:p>
      <w:pPr>
        <w:pStyle w:val="ListBullet"/>
      </w:pPr>
      <w:r/>
      <w:r>
        <w:rPr>
          <w:b/>
        </w:rPr>
        <w:t>Recommandation</w:t>
      </w:r>
      <w:r>
        <w:t xml:space="preserve"> : upadacitinib </w:t>
      </w:r>
      <w:r>
        <w:rPr>
          <w:b/>
        </w:rPr>
        <w:t>contre-indiqué pendant la grossesse</w:t>
      </w:r>
      <w:r>
        <w:t xml:space="preserve"> ; contraception efficace obligatoire pendant toute la durée du traitement et pendant au moins </w:t>
      </w:r>
      <w:r>
        <w:rPr>
          <w:b/>
        </w:rPr>
        <w:t>4 semaines après l'arrêt</w:t>
      </w:r>
      <w:r>
        <w:t xml:space="preserve"> (demi-vie courte mais délai d'élimination complète des métabolites)</w:t>
      </w:r>
    </w:p>
    <w:p>
      <w:pPr>
        <w:pStyle w:val="ListBullet"/>
      </w:pPr>
      <w:r>
        <w:t>En cas de désir de grossesse : arrêt 1 mois avant le début des tentatives, relais par traitement compatible (sulfasalazine ± corticothérapie faible dose ; anti-TNFα compatible — étanercept, adalimumab, certolizumab pegol) ; surveillance rhumatologique rapprochée</w:t>
      </w:r>
    </w:p>
    <w:p>
      <w:pPr>
        <w:pStyle w:val="ListBullet"/>
      </w:pPr>
      <w:r>
        <w:t>En cas de grossesse non programmée sous upadacitinib : arrêt immédiat, échographie morphologique à 22-24 SA, consultation de tératologie (CRAT)</w:t>
      </w:r>
    </w:p>
    <w:p>
      <w:pPr>
        <w:pStyle w:val="ListBullet"/>
      </w:pPr>
      <w:r/>
      <w:r>
        <w:rPr>
          <w:b/>
        </w:rPr>
        <w:t>Allaitement</w:t>
      </w:r>
      <w:r>
        <w:t xml:space="preserve"> :</w:t>
      </w:r>
    </w:p>
    <w:p>
      <w:pPr>
        <w:pStyle w:val="ListBullet"/>
      </w:pPr>
      <w:r>
        <w:t>L'upadacitinib passe dans le lait maternel chez l'animal ; données humaines non disponibles</w:t>
      </w:r>
    </w:p>
    <w:p>
      <w:pPr>
        <w:pStyle w:val="ListBullet"/>
      </w:pPr>
      <w:r/>
      <w:r>
        <w:rPr>
          <w:b/>
        </w:rPr>
        <w:t>Recommandation</w:t>
      </w:r>
      <w:r>
        <w:t xml:space="preserve"> : upadacitinib </w:t>
      </w:r>
      <w:r>
        <w:rPr>
          <w:b/>
        </w:rPr>
        <w:t>contre-indiqué pendant l'allaitement</w:t>
      </w:r>
      <w:r>
        <w:t xml:space="preserve"> ; choix entre interruption de l'allaitement si poursuite indispensable, ou arrêt du traitement si allaitement souhaité</w:t>
      </w:r>
    </w:p>
    <w:p>
      <w:pPr>
        <w:pStyle w:val="ListBullet"/>
      </w:pPr>
      <w:r>
        <w:t xml:space="preserve">Délai d'attente avant reprise de l'allaitement après arrêt : au moins </w:t>
      </w:r>
      <w:r>
        <w:rPr>
          <w:b/>
        </w:rPr>
        <w:t>1 semaine</w:t>
      </w:r>
      <w:r>
        <w:t xml:space="preserve"> (5-7 demi-vies)</w:t>
      </w:r>
    </w:p>
    <w:p>
      <w:pPr>
        <w:pStyle w:val="ListBullet"/>
      </w:pPr>
      <w:r/>
      <w:r>
        <w:rPr>
          <w:b/>
        </w:rPr>
        <w:t>Fertilité</w:t>
      </w:r>
      <w:r>
        <w:t xml:space="preserve"> :</w:t>
      </w:r>
    </w:p>
    <w:p>
      <w:pPr>
        <w:pStyle w:val="ListBullet"/>
      </w:pPr>
      <w:r>
        <w:t>Pas d'effet démontré sur la fertilité féminine à doses thérapeutiques</w:t>
      </w:r>
    </w:p>
    <w:p>
      <w:pPr>
        <w:pStyle w:val="ListBullet"/>
      </w:pPr>
      <w:r>
        <w:t>Chez l'homme : pas d'étude spécifique, pas de contre-indication à paterner sous upadacitinib ; toutefois, conseiller un recueil et une congélation de sperme avant initiation si projet paternel récent</w:t>
      </w:r>
    </w:p>
    <w:p>
      <w:pPr>
        <w:pStyle w:val="Heading3"/>
      </w:pPr>
      <w:r>
        <w:t>153.5.11 Posologie et adaptation posologique</w:t>
      </w:r>
    </w:p>
    <w:p>
      <w:pPr>
        <w:pStyle w:val="ListBullet"/>
      </w:pPr>
      <w:r/>
      <w:r>
        <w:rPr>
          <w:b/>
        </w:rPr>
        <w:t>Posologie standard adulte</w:t>
      </w:r>
      <w:r>
        <w:t xml:space="preserve"> :</w:t>
      </w:r>
    </w:p>
    <w:p>
      <w:pPr>
        <w:pStyle w:val="ListBullet"/>
      </w:pPr>
      <w:r/>
      <w:r>
        <w:rPr>
          <w:b/>
        </w:rPr>
        <w:t>PR</w:t>
      </w:r>
      <w:r>
        <w:t xml:space="preserve"> : 15 mg × 1/jour per os (comprimé à libération prolongée), à heure fixe (matin de préférence), avec un verre d'eau ; à prendre au cours ou en dehors des repas. En association au méthotrexate ou en monothérapie. La dose peut être augmentée à 30 mg × 1/jour en cas de réponse insuffisante à 15 mg après 12-16 semaines, à discuter au cas par cas en tenant compte du signal de tolérance cardiovasculaire et thromboembolique veineux</w:t>
      </w:r>
    </w:p>
    <w:p>
      <w:pPr>
        <w:pStyle w:val="ListBullet"/>
      </w:pPr>
      <w:r/>
      <w:r>
        <w:rPr>
          <w:b/>
        </w:rPr>
        <w:t>RPso</w:t>
      </w:r>
      <w:r>
        <w:t xml:space="preserve"> : 15 mg × 1/jour ; augmentation possible à 30 mg × 1/jour en cas de réponse insuffisante à 15 mg après 12-16 semaines</w:t>
      </w:r>
    </w:p>
    <w:p>
      <w:pPr>
        <w:pStyle w:val="ListBullet"/>
      </w:pPr>
      <w:r/>
      <w:r>
        <w:rPr>
          <w:b/>
        </w:rPr>
        <w:t>SpA</w:t>
      </w:r>
      <w:r>
        <w:t xml:space="preserve"> (SA et nr-axSpA) : 15 mg × 1/jour</w:t>
      </w:r>
    </w:p>
    <w:p>
      <w:pPr>
        <w:pStyle w:val="ListBullet"/>
      </w:pPr>
      <w:r/>
      <w:r>
        <w:rPr>
          <w:b/>
        </w:rPr>
        <w:t>Dermatite atopique</w:t>
      </w:r>
      <w:r>
        <w:t xml:space="preserve"> : induction 15 mg × 1/jour (ou 30 mg × 1/jour en cas de dermatite très sévère) ; entretien 15 mg × 1/jour</w:t>
      </w:r>
    </w:p>
    <w:p>
      <w:pPr>
        <w:pStyle w:val="ListBullet"/>
      </w:pPr>
      <w:r/>
      <w:r>
        <w:rPr>
          <w:b/>
        </w:rPr>
        <w:t>Maladie de Crohn</w:t>
      </w:r>
      <w:r>
        <w:t xml:space="preserve"> : induction 45 mg × 1/jour pendant 12 semaines, puis entretien 15 mg × 1/jour (ou 30 mg × 1/jour)</w:t>
      </w:r>
    </w:p>
    <w:p>
      <w:pPr>
        <w:pStyle w:val="ListBullet"/>
      </w:pPr>
      <w:r/>
      <w:r>
        <w:rPr>
          <w:b/>
        </w:rPr>
        <w:t>Colite ulcéreuse</w:t>
      </w:r>
      <w:r>
        <w:t xml:space="preserve"> : induction 45 mg × 1/jour pendant 8 semaines, puis entretien 15 mg × 1/jour (ou 30 mg × 1/jour)</w:t>
      </w:r>
    </w:p>
    <w:p>
      <w:pPr>
        <w:pStyle w:val="ListBullet"/>
      </w:pPr>
      <w:r/>
      <w:r>
        <w:rPr>
          <w:b/>
        </w:rPr>
        <w:t>Adaptation posologique</w:t>
      </w:r>
      <w:r>
        <w:t xml:space="preserve"> :</w:t>
      </w:r>
    </w:p>
    <w:p>
      <w:pPr>
        <w:pStyle w:val="ListBullet"/>
      </w:pPr>
      <w:r/>
      <w:r>
        <w:rPr>
          <w:b/>
        </w:rPr>
        <w:t>Insuffisance rénale modérée (DFG 30-50 mL/min)</w:t>
      </w:r>
      <w:r>
        <w:t xml:space="preserve"> : pas d'adaptation posologique</w:t>
      </w:r>
    </w:p>
    <w:p>
      <w:pPr>
        <w:pStyle w:val="ListBullet"/>
      </w:pPr>
      <w:r/>
      <w:r>
        <w:rPr>
          <w:b/>
        </w:rPr>
        <w:t>Insuffisance rénale sévère (DFG &lt; 30 mL/min)</w:t>
      </w:r>
      <w:r>
        <w:t xml:space="preserve"> : pas d'adaptation posologique à 15 mg/jour ; surveillance renforcée</w:t>
      </w:r>
    </w:p>
    <w:p>
      <w:pPr>
        <w:pStyle w:val="ListBullet"/>
      </w:pPr>
      <w:r/>
      <w:r>
        <w:rPr>
          <w:b/>
        </w:rPr>
        <w:t>Insuffisance hépatique légère (Child-Pugh A)</w:t>
      </w:r>
      <w:r>
        <w:t xml:space="preserve"> : pas d'adaptation posologique</w:t>
      </w:r>
    </w:p>
    <w:p>
      <w:pPr>
        <w:pStyle w:val="ListBullet"/>
      </w:pPr>
      <w:r/>
      <w:r>
        <w:rPr>
          <w:b/>
        </w:rPr>
        <w:t>Insuffisance hépatique modérée (Child-Pugh B)</w:t>
      </w:r>
      <w:r>
        <w:t xml:space="preserve"> : réduction posologique à 15 mg × 1/jour (si indication à 30 mg), surveillance hépatique renforcée</w:t>
      </w:r>
    </w:p>
    <w:p>
      <w:pPr>
        <w:pStyle w:val="ListBullet"/>
      </w:pPr>
      <w:r/>
      <w:r>
        <w:rPr>
          <w:b/>
        </w:rPr>
        <w:t>Insuffisance hépatique sévère (Child-Pugh C)</w:t>
      </w:r>
      <w:r>
        <w:t xml:space="preserve"> : contre-indication</w:t>
      </w:r>
    </w:p>
    <w:p>
      <w:pPr>
        <w:pStyle w:val="ListBullet"/>
      </w:pPr>
      <w:r/>
      <w:r>
        <w:rPr>
          <w:b/>
        </w:rPr>
        <w:t>Sujet âgé ≥ 65 ans</w:t>
      </w:r>
      <w:r>
        <w:t xml:space="preserve"> : contre-indication relative selon EMA/PRAC avril 2022 ; si utilisation indispensable, posologie standard 15 mg × 1/jour mais surveillance renforcée</w:t>
      </w:r>
    </w:p>
    <w:p>
      <w:pPr>
        <w:pStyle w:val="ListBullet"/>
      </w:pPr>
      <w:r/>
      <w:r>
        <w:rPr>
          <w:b/>
        </w:rPr>
        <w:t>Association à un inhibiteur modéré du CYP3A4</w:t>
      </w:r>
      <w:r>
        <w:t xml:space="preserve"> (fluconazole, érythromycine, diltiazem, vérapamil) : réduction posologique à 15 mg × 1/jour (si indication à 30 mg)</w:t>
      </w:r>
    </w:p>
    <w:p>
      <w:pPr>
        <w:pStyle w:val="ListBullet"/>
      </w:pPr>
      <w:r/>
      <w:r>
        <w:rPr>
          <w:b/>
        </w:rPr>
        <w:t>Poids</w:t>
      </w:r>
      <w:r>
        <w:t xml:space="preserve"> : pas d'adaptation posologique en fonction du poids chez l'adulte</w:t>
      </w:r>
    </w:p>
    <w:p>
      <w:pPr>
        <w:pStyle w:val="ListBullet"/>
      </w:pPr>
      <w:r/>
      <w:r>
        <w:rPr>
          <w:b/>
        </w:rPr>
        <w:t>Oubli de dose</w:t>
      </w:r>
      <w:r>
        <w:t xml:space="preserve"> : si moins de 12 heures se sont écoulées depuis l'heure habituelle, prendre la dose oubliée ; si plus de 12 heures, sauter la dose et reprendre à l'heure normale suivante ; ne jamais doubler la dose ; ne pas écraser, mâcher ou diviser le comprimé à libération prolongée</w:t>
      </w:r>
    </w:p>
    <w:p>
      <w:pPr>
        <w:pStyle w:val="ListBullet"/>
      </w:pPr>
      <w:r/>
      <w:r>
        <w:rPr>
          <w:b/>
        </w:rPr>
        <w:t>Arrêt du traitement</w:t>
      </w:r>
      <w:r>
        <w:t xml:space="preserve"> : pas de sevrage progressif obligatoire, surveillance renforcée de la poussée rhumatologique dans les 4-8 semaines suivant l'arrêt ; relais éventuel par bDMARD ou csDMARD à anticiper</w:t>
      </w:r>
    </w:p>
    <w:p>
      <w:pPr>
        <w:pStyle w:val="ListBullet"/>
      </w:pPr>
      <w:r/>
      <w:r>
        <w:rPr>
          <w:b/>
        </w:rPr>
        <w:t>Durée du traitement</w:t>
      </w:r>
      <w:r>
        <w:t xml:space="preserve"> : traitement chronique au long cours, à poursuivre tant que la tolérance est bonne et l'efficacité maintenue ; réévaluation annuelle du rapport bénéfice/risque</w:t>
      </w:r>
    </w:p>
    <w:p>
      <w:pPr>
        <w:pStyle w:val="Heading3"/>
      </w:pPr>
      <w:r>
        <w:t>153.5.12 Surveillance et suivi du patient</w:t>
      </w:r>
    </w:p>
    <w:p>
      <w:r>
        <w:t>Le plan de surveillance de l'upadacitinib est identique à celui du tofacitinib (section 153.3.12) et du baricitinib (section 153.4.12), avec les particularités suivantes :</w:t>
      </w:r>
    </w:p>
    <w:p>
      <w:r/>
      <w:r>
        <w:rPr>
          <w:b/>
        </w:rPr>
        <w:t>Bilan pré-thérapeutique</w:t>
      </w:r>
      <w:r>
        <w:t xml:space="preserve"> : identique (examen clinique complet, NFS, bilan martial, bilan hépatique, bilan rénal, bilan lipidique, bilan inflammatoire, sérologies virales, dépistage TB, ECG, évaluation du risque cardiovasculaire, recherche d'antécédents thromboemboliques, évaluation du tabagisme, radiographies, échographie articulaire, densitométrie osseuse si indiqué, examen dermatologique, frottis, mammographie, colonoscopie, statut vaccinal).</w:t>
      </w:r>
    </w:p>
    <w:p>
      <w:r/>
      <w:r>
        <w:rPr>
          <w:b/>
        </w:rPr>
        <w:t>Surveillance pendant le traitement</w:t>
      </w:r>
      <w:r>
        <w:t xml:space="preserve"> :</w:t>
      </w:r>
    </w:p>
    <w:p>
      <w:pPr>
        <w:pStyle w:val="ListBullet"/>
      </w:pPr>
      <w:r/>
      <w:r>
        <w:rPr>
          <w:b/>
        </w:rPr>
        <w:t>À 1 mois</w:t>
      </w:r>
      <w:r>
        <w:t xml:space="preserve"> : tolérance clinique, NFS, bilan hépatique, bilan lipidique, créatinine</w:t>
      </w:r>
    </w:p>
    <w:p>
      <w:pPr>
        <w:pStyle w:val="ListBullet"/>
      </w:pPr>
      <w:r/>
      <w:r>
        <w:rPr>
          <w:b/>
        </w:rPr>
        <w:t>À 3 mois</w:t>
      </w:r>
      <w:r>
        <w:t xml:space="preserve"> : idem + évaluation de l'efficacité clinique (DAS28-CRP, BASDAI, DAPSA, EASI selon indication) + ECG + examen dermatologique</w:t>
      </w:r>
    </w:p>
    <w:p>
      <w:pPr>
        <w:pStyle w:val="ListBullet"/>
      </w:pPr>
      <w:r/>
      <w:r>
        <w:rPr>
          <w:b/>
        </w:rPr>
        <w:t>Trimestrielle pendant la 1ʳᵉ année</w:t>
      </w:r>
      <w:r>
        <w:t xml:space="preserve"> : idem</w:t>
      </w:r>
    </w:p>
    <w:p>
      <w:pPr>
        <w:pStyle w:val="ListBullet"/>
      </w:pPr>
      <w:r/>
      <w:r>
        <w:rPr>
          <w:b/>
        </w:rPr>
        <w:t>Semestrielle à vie</w:t>
      </w:r>
      <w:r>
        <w:t xml:space="preserve"> : clinique + biologie + ECG + examen dermatologique + recherche de signaux cardiovasculaires et thromboemboliques</w:t>
      </w:r>
    </w:p>
    <w:p>
      <w:pPr>
        <w:pStyle w:val="ListBullet"/>
      </w:pPr>
      <w:r>
        <w:t>Surveillance de l'efficacité : DAS28-CRP cible &lt; 3,2 (rémission &lt; 2,6) ; BASDAI &lt; 4 (SpA) ; DAPSA &lt; 14 (RPso) ; EASI &lt; 7 (dermatite atopique)</w:t>
      </w:r>
    </w:p>
    <w:p>
      <w:pPr>
        <w:pStyle w:val="ListBullet"/>
      </w:pPr>
      <w:r>
        <w:t>Surveillance de la tolérance cardiovasculaire : PA à chaque consultation ; signes de TVP/EP ; ECG annuel</w:t>
      </w:r>
    </w:p>
    <w:p>
      <w:pPr>
        <w:pStyle w:val="ListBullet"/>
      </w:pPr>
      <w:r>
        <w:t>Surveillance de la tolérance infectieuse : éducation du patient à consulter en urgence en cas de fièvre, signes respiratoires, urinaires, zona, douleur abdominale</w:t>
      </w:r>
    </w:p>
    <w:p>
      <w:r/>
      <w:r>
        <w:rPr>
          <w:b/>
        </w:rPr>
        <w:t>Critères d'arrêt définitif</w:t>
      </w:r>
      <w:r>
        <w:t xml:space="preserve"> :</w:t>
      </w:r>
    </w:p>
    <w:p>
      <w:pPr>
        <w:pStyle w:val="ListBullet"/>
      </w:pPr>
      <w:r>
        <w:t>Effet indésirable grave (TVP/EP, MACE, infection sévère, cancer, perforation digestive, cytolyse hépatique &gt; 5 × LSN, neutropénie sévère persistante, anémie sévère)</w:t>
      </w:r>
    </w:p>
    <w:p>
      <w:pPr>
        <w:pStyle w:val="ListBullet"/>
      </w:pPr>
      <w:r>
        <w:t>Grossesse projetée ou en cours</w:t>
      </w:r>
    </w:p>
    <w:p>
      <w:pPr>
        <w:pStyle w:val="ListBullet"/>
      </w:pPr>
      <w:r>
        <w:t>Perte d'efficacité secondaire (rare sous upadacitinib, pas d'immunisation décrite)</w:t>
      </w:r>
    </w:p>
    <w:p>
      <w:pPr>
        <w:pStyle w:val="ListBullet"/>
      </w:pPr>
      <w:r>
        <w:t>Non-observance thérapeutique avérée</w:t>
      </w:r>
    </w:p>
    <w:p>
      <w:pPr>
        <w:pStyle w:val="ListBullet"/>
      </w:pPr>
      <w:r>
        <w:t>Apparition d'une nouvelle contre-indication</w:t>
      </w:r>
    </w:p>
    <w:p>
      <w:r/>
      <w:r>
        <w:rPr>
          <w:b/>
        </w:rPr>
        <w:t>Coordination pluridisciplinaire</w:t>
      </w:r>
      <w:r>
        <w:t xml:space="preserve"> : identique à celle du tofacitinib et du baricitinib (médecin traitant, rhumatologue référent, cardiologue, dermatologue, gynécologue, ophtalmologue, dentiste, pharmacien d'officine).</w:t>
      </w:r>
    </w:p>
    <w:p>
      <w:pPr>
        <w:pStyle w:val="Heading2"/>
      </w:pPr>
      <w:r>
        <w:t>153.6 Sous-classe : Visco-supplémentation intra-articulaire</w:t>
      </w:r>
    </w:p>
    <w:p>
      <w:r>
        <w:t xml:space="preserve">La </w:t>
      </w:r>
      <w:r>
        <w:rPr>
          <w:b/>
        </w:rPr>
        <w:t>visco-supplémentation intra-articulaire</w:t>
      </w:r>
      <w:r>
        <w:t xml:space="preserve"> par acide hyaluronique (HA) constitue une option thérapeutique locale, mini-invasive et ambulatoire, proposée dans l'arthrose périphérique modérée à sévère en cas de réponse insuffisante ou de contre-indication aux AINS et au paracétamol, et en complément ou en alternative aux injections intra-articulaires de corticoïdes. Son principe repose sur la restauration des propriétés rhéologiques du liquide synovial physiologique, dont la viscoélasticité diminue au cours de l'arthrose (baisse de la concentration et du poids moléculaire de l'acide hyaluronique endogène, polymérisation altérée, fragmentation par les hyaluronidases et les radicaux libres). L'injection intra-articulaire d'acide hyaluronique exogène de haut poids moléculaire (HPM) vise à </w:t>
      </w:r>
      <w:r>
        <w:rPr>
          <w:b/>
        </w:rPr>
        <w:t>restaurer la viscoélasticité synoviale</w:t>
      </w:r>
      <w:r>
        <w:t xml:space="preserve"> (augmentation de la viscosité dynamique, de l'élasticité, de la lubrification des surfaces cartilagenuses), à </w:t>
      </w:r>
      <w:r>
        <w:rPr>
          <w:b/>
        </w:rPr>
        <w:t>amortir les contraintes mécaniques</w:t>
      </w:r>
      <w:r>
        <w:t xml:space="preserve"> transmises au cartilage lors de la marche et de la mise en charge, à </w:t>
      </w:r>
      <w:r>
        <w:rPr>
          <w:b/>
        </w:rPr>
        <w:t>réduire la douleur mécanique</w:t>
      </w:r>
      <w:r>
        <w:t xml:space="preserve"> (effet sur les nocicepteurs articulaires, réduction de la pression intra-osseuse sous-chondrale), et à exercer un </w:t>
      </w:r>
      <w:r>
        <w:rPr>
          <w:b/>
        </w:rPr>
        <w:t>effet biologique supposé</w:t>
      </w:r>
      <w:r>
        <w:t xml:space="preserve"> sur le métabolisme chondrocytaire (stimulation de la synthèse de proteoglycanes, inhibition des métalloprotéinases, anti-inflammation modérée via la voie NF-κB).</w:t>
      </w:r>
    </w:p>
    <w:p>
      <w:r>
        <w:t>L'efficacité clinique de la visco-supplémentation, longtemps débattue, fait l'objet de recommandations prudentes et contradictoires selon les sociétés savantes :</w:t>
      </w:r>
    </w:p>
    <w:p>
      <w:pPr>
        <w:pStyle w:val="ListBullet"/>
      </w:pPr>
      <w:r/>
      <w:r>
        <w:rPr>
          <w:b/>
        </w:rPr>
        <w:t>EULAR 2020</w:t>
      </w:r>
      <w:r>
        <w:t xml:space="preserve"> (*Recommendations for the management of knee and hip osteoarthritis*) : recommandation conditionnelle en faveur de la visco-supplémentation intra-articulaire dans l'arthrose fémoro-tibiale modérée à sévère en cas d'échec ou de contre-indication aux AINS, niveau de preuve B, force de recommandation faible</w:t>
      </w:r>
    </w:p>
    <w:p>
      <w:pPr>
        <w:pStyle w:val="ListBullet"/>
      </w:pPr>
      <w:r/>
      <w:r>
        <w:rPr>
          <w:b/>
        </w:rPr>
        <w:t>OARSI 2019</w:t>
      </w:r>
      <w:r>
        <w:t xml:space="preserve"> (*Osteoarthritis Research Society International*) : recommandation conditionnelle, incertitude sur l'amplitude de l'effet (effet modeste vs placebo)</w:t>
      </w:r>
    </w:p>
    <w:p>
      <w:pPr>
        <w:pStyle w:val="ListBullet"/>
      </w:pPr>
      <w:r/>
      <w:r>
        <w:rPr>
          <w:b/>
        </w:rPr>
        <w:t>ACR/AF 2019</w:t>
      </w:r>
      <w:r>
        <w:t xml:space="preserve"> (*American College of Rheumatology / Arthritis Foundation*) : recommandation conditionnelle contre l'utilisation systématique de la visco-supplémentation dans l'arthrose du genou, en raison d'efficacité modeste et d'effets indésirables locaux possibles (poussée inflammatoire post-injection, granulome)</w:t>
      </w:r>
    </w:p>
    <w:p>
      <w:pPr>
        <w:pStyle w:val="ListBullet"/>
      </w:pPr>
      <w:r/>
      <w:r>
        <w:rPr>
          <w:b/>
        </w:rPr>
        <w:t>AAOS 2021</w:t>
      </w:r>
      <w:r>
        <w:t xml:space="preserve"> (*American Academy of Orthopaedic Surgeons*) : recommandation contre l'utilisation de routine, mais utilisation au cas par cas possible</w:t>
      </w:r>
    </w:p>
    <w:p>
      <w:pPr>
        <w:pStyle w:val="ListBullet"/>
      </w:pPr>
      <w:r/>
      <w:r>
        <w:rPr>
          <w:b/>
        </w:rPr>
        <w:t>HAS 2007-2020</w:t>
      </w:r>
      <w:r>
        <w:t xml:space="preserve"> (*Haute Autorité de Santé, France*) : niveau de preuve C (faible), à réserver à l'arthrose fémoro-tibiale modérée en échec des AINS et du paracétamol ; inefficacité non démontrée dans l'arthrose de la hanche et de la main</w:t>
      </w:r>
    </w:p>
    <w:p>
      <w:r>
        <w:t xml:space="preserve">En pratique, la visco-supplémentation est proposée dans l'arthrose du genou (indication la plus documentée), de la hanche (efficacité moindre), de la première carpométacarpienne (rhizarthrose), de la cheville, et plus rarement de l'épaule. Le protocole classique comporte 3 injections intra-articulaires hebdomadaires (ou une injection unique pour les formes réticulées de très haut poids moléculaire), avec un effet différé de 4-6 semaines et une durée d'action de 6-12 mois. L'efficacité est meilleure chez les patients jeunes (&lt; 65 ans), avec arthrose modérée (stade 2-3 de Kellgren-Lawrence), sans épanchement articulaire majeur, sans obésité sévère (IMC &lt; 35). Les contre-indications principales sont l'infection articulaire ou péri-articulaire, l'arthrite inflammatoire (PR, goutte, chondrocalcinose aiguë), l'allaitement et la grossesse (par prudence), l'hypersensibilité à l'acide hyaluronique ou aux protéines aviaires (si origine aviaire). Les effets indésirables sont dominés par la </w:t>
      </w:r>
      <w:r>
        <w:rPr>
          <w:b/>
        </w:rPr>
        <w:t>poussée inflammatoire post-injection</w:t>
      </w:r>
      <w:r>
        <w:t xml:space="preserve"> (10-20 %, résolution spontanée en 2-5 jours), le </w:t>
      </w:r>
      <w:r>
        <w:rPr>
          <w:b/>
        </w:rPr>
        <w:t>granulome articulaire</w:t>
      </w:r>
      <w:r>
        <w:t xml:space="preserve"> (rare), l'</w:t>
      </w:r>
      <w:r>
        <w:rPr>
          <w:b/>
        </w:rPr>
        <w:t>infection articulaire iatrogène</w:t>
      </w:r>
      <w:r>
        <w:t xml:space="preserve"> (exceptionnelle, &lt; 0,1 % si asepsie rigoureuse).</w:t>
      </w:r>
    </w:p>
    <w:p>
      <w:r>
        <w:t>En Algérie, l'</w:t>
      </w:r>
      <w:r>
        <w:rPr>
          <w:b/>
        </w:rPr>
        <w:t>hyaluronate de sodium</w:t>
      </w:r>
      <w:r>
        <w:t xml:space="preserve"> est principalement inscrit dans la nomenclature sous forme de </w:t>
      </w:r>
      <w:r>
        <w:rPr>
          <w:b/>
        </w:rPr>
        <w:t>collyre ophtalmologique</w:t>
      </w:r>
      <w:r>
        <w:t xml:space="preserve"> (HYFRESH®, THERAFRESH®) pour la sécheresse oculaire et la lubrification cornéenne — la forme intra-articulaire n'est pas inscrite à ce jour dans la nomenclature officielle (COMPLETE LISTE.xlsx Avril 2026), mais est importée par circuits hospitaliers ou privés (EUFLEXXA®, GO-ON®, SYNVISC®, ORTHOVISC®, HYALGAN®, SUPARTZ®, etc.) pour usage rhumatologique ou orthopédique. La présente fiche portera principalement sur le hyaluronate de sodium ophtalmologique tel qu'inscrit dans la nomenclature, mais documentera également les principes pharmacologiques applicables à la visco-supplémentation intra-articulaire en raison de la pertinence clinique de cette indication.</w:t>
      </w:r>
    </w:p>
    <w:p>
      <w:pPr>
        <w:pStyle w:val="Heading2"/>
      </w:pPr>
      <w:r>
        <w:t>153.7 DCI : Hyaluronate de sodium (visco-supplémentation)</w:t>
      </w:r>
    </w:p>
    <w:p>
      <w:pPr>
        <w:pStyle w:val="Heading3"/>
      </w:pPr>
      <w:r>
        <w:t>153.7.1 Catégories thérapeutiques et place dans la stratégie</w:t>
      </w:r>
    </w:p>
    <w:p>
      <w:pPr>
        <w:pStyle w:val="ListBullet"/>
      </w:pPr>
      <w:r/>
      <w:r>
        <w:rPr>
          <w:b/>
        </w:rPr>
        <w:t>Classe ATC</w:t>
      </w:r>
      <w:r>
        <w:t xml:space="preserve"> : S01XA15 (Hyaluronate de sodium — usage ophtalmologique) ; M01AX16 (usage intra-articulaire, non inscrit dans la nomenclature algérienne)</w:t>
      </w:r>
    </w:p>
    <w:p>
      <w:pPr>
        <w:pStyle w:val="ListBullet"/>
      </w:pPr>
      <w:r/>
      <w:r>
        <w:rPr>
          <w:b/>
        </w:rPr>
        <w:t>Sous-classe pharmacologique</w:t>
      </w:r>
      <w:r>
        <w:t xml:space="preserve"> : Substitut du liquide synovial / substitut lacrycal ; polymère d'acide hyaluronique de haut poids moléculaire</w:t>
      </w:r>
    </w:p>
    <w:p>
      <w:pPr>
        <w:pStyle w:val="ListBullet"/>
      </w:pPr>
      <w:r/>
      <w:r>
        <w:rPr>
          <w:b/>
        </w:rPr>
        <w:t>Liste des médicaments</w:t>
      </w:r>
      <w:r>
        <w:t xml:space="preserve"> : Liste I (prescription médicale obligatoire) pour la majorité des spécialités ; une spécialité non listée (HYFRESH®)</w:t>
      </w:r>
    </w:p>
    <w:p>
      <w:pPr>
        <w:pStyle w:val="ListBullet"/>
      </w:pPr>
      <w:r/>
      <w:r>
        <w:rPr>
          <w:b/>
        </w:rPr>
        <w:t>Statut réglementaire Algérie</w:t>
      </w:r>
      <w:r>
        <w:t xml:space="preserve"> : Disponible sous forme de collyre ophtalmologique (HYFRESH® JAMJOOM, THERAFRESH® BIOTHERA) en concentration 0,2 % (2 mg/mL), flacon de 10 mL. La forme intra-articulaire n'est pas inscrite dans la nomenclature algérienne officielle (COMPLETE LISTE.xlsx Avril 2026), mais est importée par circuits hospitaliers ou privés pour usage rhumatologique (EUFLEXXA®, GO-ON®, SYNVISC®, etc.)</w:t>
      </w:r>
    </w:p>
    <w:p>
      <w:pPr>
        <w:pStyle w:val="ListBullet"/>
      </w:pPr>
      <w:r/>
      <w:r>
        <w:rPr>
          <w:b/>
        </w:rPr>
        <w:t>Place dans la stratégie</w:t>
      </w:r>
      <w:r>
        <w:t xml:space="preserve"> :</w:t>
      </w:r>
    </w:p>
    <w:p>
      <w:pPr>
        <w:pStyle w:val="ListBullet"/>
      </w:pPr>
      <w:r/>
      <w:r>
        <w:rPr>
          <w:b/>
        </w:rPr>
        <w:t>Voie ophtalmologique</w:t>
      </w:r>
      <w:r>
        <w:t xml:space="preserve"> (indication principale inscrite en Algérie) : traitement de la sécheresse oculaire modérée à sévère, des syndromes secs post-chirurgicaux (LASIK, cataracte), de la kératopathie sèche associée à la maladie de Gougerot-Sjögren, des kératites filantes, des érosions cornéennes récidivantes ; lubrification cornéenne chez le porteur de lentilles de contact (formulation sans conservateur)</w:t>
      </w:r>
    </w:p>
    <w:p>
      <w:pPr>
        <w:pStyle w:val="ListBullet"/>
      </w:pPr>
      <w:r/>
      <w:r>
        <w:rPr>
          <w:b/>
        </w:rPr>
        <w:t>Voie intra-articulaire</w:t>
      </w:r>
      <w:r>
        <w:t xml:space="preserve"> (indication rhumatologique, principes pharmacologiques applicables) : arthrose fémoro-tibiale modérée à sévère (stade 2-3 de Kellgren-Lawrence) en cas d'échec ou de contre-indication aux AINS et au paracétamol ; arthrose fémoro-patellaire ; arthrose de la hanche (efficacité moindre) ; rhizarthrose (arthrose de la 1ʳᵉ carpométacarpienne) ; arthrose de la cheville et de l'épaule (données limitées). Positionnement EULAR 2020 : alternative à l'Injection intra-articulaire de corticoïdes (triamcinolone acétonide, hexacétonide de triamcinolone), à discuter en fonction du profil clinique du patient (préférence pour la visco-supplémentation en cas d'arthrose chronique sans épanchement majeur ; préférence pour le corticoïde en cas d'épanchement inflammatoire aigu)</w:t>
      </w:r>
    </w:p>
    <w:p>
      <w:pPr>
        <w:pStyle w:val="ListBullet"/>
      </w:pPr>
      <w:r/>
      <w:r>
        <w:rPr>
          <w:b/>
        </w:rPr>
        <w:t>Index thérapeutique</w:t>
      </w:r>
      <w:r>
        <w:t xml:space="preserve"> : Large (marge thérapeutique importante, produit biocompatible et biodégradable)</w:t>
      </w:r>
    </w:p>
    <w:p>
      <w:pPr>
        <w:pStyle w:val="ListBullet"/>
      </w:pPr>
      <w:r/>
      <w:r>
        <w:rPr>
          <w:b/>
        </w:rPr>
        <w:t>Grossesse/Allaitement</w:t>
      </w:r>
      <w:r>
        <w:t xml:space="preserve"> : Données limitées ; usage local (ophtalmologique) compatible en cas de nécessité (CRAT : données ophtalmologiques rassurantes) ; voie intra-articulaire à éviter par prudence (données limitées)</w:t>
      </w:r>
    </w:p>
    <w:p>
      <w:r>
        <w:t xml:space="preserve">L'acide hyaluronique (HA) est un </w:t>
      </w:r>
      <w:r>
        <w:rPr>
          <w:b/>
        </w:rPr>
        <w:t>polymère naturel de la famille des glycosaminoglycanes (GAG)</w:t>
      </w:r>
      <w:r>
        <w:t>, composé d'unités disaccharidiques répétitives d'acide glucuronique et de N-acétylglucosamine, reliées par des liaisons β(1→3) et β(1→4). C'est un constituant majeur de la matrice extracellulaire des tissus conjonctifs (cartilage, peau, liquide synovial, humeur aqueuse, vitré), où il assure des fonctions structurelles (cohésion, élasticité, hydratation) et biologiques (signalisation cellulaire via les récepteurs CD44, RHAMM, ICAM-1). Le HA de haut poids moléculaire (HPM, &gt; 1 MDa) présente des propriétés rhéologiques particulières (viscosité dynamique élevée, élasticité, comportement non-newtonien) qui en font un excellent lubrifiant et amortisseur mécanique. La visco-supplémentation intra-articulaire repose sur l'injection de HA exogène HPM (origine bactérienne par fermentation de Streptococcus equi ou zooepidemicus, ou aviaire à partir de crêtes de coq) visant à restaurer la viscoélasticité du liquide synovial dégradé au cours de l'arthrose. En Algérie, les spécialités inscrites sont des collyres ophtalmologiques (HYFRESH®, THERAFRESH®) en concentration 0,2 % (2 mg/mL) ; les formes intra-articulaires sont importées (EUFLEXXA®, GO-ON®, SYNVISC®) et ne sont pas l'objet d'une fiche spécifique dans ce chapitre, mais leurs principes pharmacologiques sont repris ci-après à titre indicatif en raison de la pertinence rhumatologique de la classe.</w:t>
      </w:r>
    </w:p>
    <w:p>
      <w:pPr>
        <w:pStyle w:val="Heading3"/>
      </w:pPr>
      <w:r>
        <w:t>153.7.2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HYFRESH</w:t>
            </w:r>
          </w:p>
        </w:tc>
        <w:tc>
          <w:tcPr>
            <w:tcW w:type="dxa" w:w="1559"/>
          </w:tcPr>
          <w:p>
            <w:r>
              <w:rPr>
                <w:sz w:val="20"/>
              </w:rPr>
              <w:t>JAMJOOM ALGERIA LIL DAWA</w:t>
            </w:r>
          </w:p>
        </w:tc>
        <w:tc>
          <w:tcPr>
            <w:tcW w:type="dxa" w:w="1559"/>
          </w:tcPr>
          <w:p>
            <w:r>
              <w:rPr>
                <w:sz w:val="20"/>
              </w:rPr>
              <w:t>Collyre en solution — 0,2 % (2 mg/mL)</w:t>
            </w:r>
          </w:p>
        </w:tc>
        <w:tc>
          <w:tcPr>
            <w:tcW w:type="dxa" w:w="1559"/>
          </w:tcPr>
          <w:p>
            <w:r>
              <w:rPr>
                <w:sz w:val="20"/>
              </w:rPr>
              <w:t>FL/10 mL</w:t>
            </w:r>
          </w:p>
        </w:tc>
        <w:tc>
          <w:tcPr>
            <w:tcW w:type="dxa" w:w="1559"/>
          </w:tcPr>
          <w:p>
            <w:r>
              <w:rPr>
                <w:sz w:val="20"/>
              </w:rPr>
              <w:t>—</w:t>
            </w:r>
          </w:p>
        </w:tc>
        <w:tc>
          <w:tcPr>
            <w:tcW w:type="dxa" w:w="1559"/>
          </w:tcPr>
          <w:p>
            <w:r>
              <w:rPr>
                <w:sz w:val="20"/>
              </w:rPr>
              <w:t>ACTIF</w:t>
            </w:r>
          </w:p>
        </w:tc>
      </w:tr>
      <w:tr>
        <w:tc>
          <w:tcPr>
            <w:tcW w:type="dxa" w:w="1559"/>
          </w:tcPr>
          <w:p>
            <w:r>
              <w:rPr>
                <w:sz w:val="20"/>
              </w:rPr>
              <w:t>THERAFRESH</w:t>
            </w:r>
          </w:p>
        </w:tc>
        <w:tc>
          <w:tcPr>
            <w:tcW w:type="dxa" w:w="1559"/>
          </w:tcPr>
          <w:p>
            <w:r>
              <w:rPr>
                <w:sz w:val="20"/>
              </w:rPr>
              <w:t>BIOTHERA</w:t>
            </w:r>
          </w:p>
        </w:tc>
        <w:tc>
          <w:tcPr>
            <w:tcW w:type="dxa" w:w="1559"/>
          </w:tcPr>
          <w:p>
            <w:r>
              <w:rPr>
                <w:sz w:val="20"/>
              </w:rPr>
              <w:t>Collyre en solution — 0,2 % (2 mg/mL)</w:t>
            </w:r>
          </w:p>
        </w:tc>
        <w:tc>
          <w:tcPr>
            <w:tcW w:type="dxa" w:w="1559"/>
          </w:tcPr>
          <w:p>
            <w:r>
              <w:rPr>
                <w:sz w:val="20"/>
              </w:rPr>
              <w:t>FL/10 mL</w:t>
            </w:r>
          </w:p>
        </w:tc>
        <w:tc>
          <w:tcPr>
            <w:tcW w:type="dxa" w:w="1559"/>
          </w:tcPr>
          <w:p>
            <w:r>
              <w:rPr>
                <w:sz w:val="20"/>
              </w:rPr>
              <w:t>LISTE I</w:t>
            </w:r>
          </w:p>
        </w:tc>
        <w:tc>
          <w:tcPr>
            <w:tcW w:type="dxa" w:w="1559"/>
          </w:tcPr>
          <w:p>
            <w:r>
              <w:rPr>
                <w:sz w:val="20"/>
              </w:rPr>
              <w:t>ACTIF</w:t>
            </w:r>
          </w:p>
        </w:tc>
      </w:tr>
    </w:tbl>
    <w:p/>
    <w:p>
      <w:r/>
      <w:r>
        <w:rPr>
          <w:b/>
        </w:rPr>
        <w:t>Spécificités de dispensation</w:t>
      </w:r>
      <w:r>
        <w:t xml:space="preserve"> : Liste I pour THERAFRESH® (prescription médicale obligatoire) ; HYFRESH® est en pratique délivré avec ordonnance mais sans mention explicite de liste dans la nomenclature algérienne (situation réglementaire à clarifier — en pratique, la prescription est recommandée en cas d'utilisation prolongée). Pas de substitution par le pharmacien d'officine. Le générique n'est pas disponible. Conservation : à température ambiante ≤ 25 °C, à l'abri de la lumière, dans l'emballage d'origine. Durée de conservation après ouverture : 1 mois (à inscrire sur le flacon avec un feutre) ; conservation au réfrigérateur non nécessaire. Les formes intra-articulaires (EUFLEXXA®, GO-ON®, SYNVISC®, ORTHOVISC®, HYALGAN®, SUPARTZ®) ne sont pas inscrites dans la nomenclature algérienne officielle (COMPLETE LISTE.xlsx Avril 2026) mais sont importées par circuits hospitaliers ou privés pour usage rhumatologique et orthopédique ; leur prescription est réservée aux spécialistes (rhumatologues, orthopédistes, médecins physiques et réadaptation), dans le cadre d'actes médicaux intra-articulaires en cabinet ou en milieu hospitalier.</w:t>
      </w:r>
    </w:p>
    <w:p>
      <w:pPr>
        <w:pStyle w:val="Heading3"/>
      </w:pPr>
      <w:r>
        <w:t>153.7.3 Mécanisme d'action</w:t>
      </w:r>
    </w:p>
    <w:p>
      <w:r>
        <w:t>Le mécanisme d'action du hyaluronate de sodium diffère selon la voie d'administration :</w:t>
      </w:r>
    </w:p>
    <w:p>
      <w:r/>
      <w:r>
        <w:rPr>
          <w:b/>
        </w:rPr>
        <w:t>Voie ophtalmologique</w:t>
      </w:r>
      <w:r>
        <w:t xml:space="preserve"> (indication principale inscrite en Algérie) :</w:t>
      </w:r>
    </w:p>
    <w:p>
      <w:pPr>
        <w:pStyle w:val="ListBullet"/>
      </w:pPr>
      <w:r/>
      <w:r>
        <w:rPr>
          <w:b/>
        </w:rPr>
        <w:t>Lubrification cornéenne</w:t>
      </w:r>
      <w:r>
        <w:t xml:space="preserve"> : le HA de haut poids moléculaire, par sa viscosité dynamique élevée et son comportement rhéologique non-newtonien (viscosité augmentée à faible contrainte de cisaillement — clignement palpébral — et diminuée à forte contrainte — mouvement oculaire), assure une lubrification durable du film lacrymal et de la surface oculaire, réduisant la friction cornéo-palpébrale</w:t>
      </w:r>
    </w:p>
    <w:p>
      <w:pPr>
        <w:pStyle w:val="ListBullet"/>
      </w:pPr>
      <w:r/>
      <w:r>
        <w:rPr>
          <w:b/>
        </w:rPr>
        <w:t>Hydratation cornéenne</w:t>
      </w:r>
      <w:r>
        <w:t xml:space="preserve"> : le HA, par sa capacité de rétention d'eau (jusqu'à 1 000 fois son poids en eau), maintient l'hydratation de l'épithélium cornéen et prévient la sécheresse épithéliale</w:t>
      </w:r>
    </w:p>
    <w:p>
      <w:pPr>
        <w:pStyle w:val="ListBullet"/>
      </w:pPr>
      <w:r/>
      <w:r>
        <w:rPr>
          <w:b/>
        </w:rPr>
        <w:t>Cicatrisation épithéliale</w:t>
      </w:r>
      <w:r>
        <w:t xml:space="preserve"> : le HA interagit avec les récepteurs CD44 des kératocytes et des cellules épithéliales, stimulant la migration, la prolifération et la différenciation épithéliales (effet promoteur de cicatrisation des érosions cornéennes)</w:t>
      </w:r>
    </w:p>
    <w:p>
      <w:pPr>
        <w:pStyle w:val="ListBullet"/>
      </w:pPr>
      <w:r/>
      <w:r>
        <w:rPr>
          <w:b/>
        </w:rPr>
        <w:t>Stabilisation du film lacrymal</w:t>
      </w:r>
      <w:r>
        <w:t xml:space="preserve"> : augmentation de l'épaisseur et de la stabilité du film lacrymal (augmentation du TBUT — *Tear Break-Up Time*), réduction de l'évaporation lacrymale</w:t>
      </w:r>
    </w:p>
    <w:p>
      <w:r/>
      <w:r>
        <w:rPr>
          <w:b/>
        </w:rPr>
        <w:t>Voie intra-articulaire</w:t>
      </w:r>
      <w:r>
        <w:t xml:space="preserve"> (principes pharmacologiques applicables aux formes importées EUFLEXXA®, GO-ON®, SYNVISC®, etc.) :</w:t>
      </w:r>
    </w:p>
    <w:p>
      <w:pPr>
        <w:pStyle w:val="ListBullet"/>
      </w:pPr>
      <w:r/>
      <w:r>
        <w:rPr>
          <w:b/>
        </w:rPr>
        <w:t>Restauration de la viscoélasticité synoviale</w:t>
      </w:r>
      <w:r>
        <w:t xml:space="preserve"> : le HA exogène HPM augmente la viscosité dynamique et l'élasticité du liquide synovial arthrosique dégradé, restaurant ses propriétés rhéologiques non-newtoniennes (viscosité élevée à faible contrainte — repos — et faible à forte contrainte — mouvement)</w:t>
      </w:r>
    </w:p>
    <w:p>
      <w:pPr>
        <w:pStyle w:val="ListBullet"/>
      </w:pPr>
      <w:r/>
      <w:r>
        <w:rPr>
          <w:b/>
        </w:rPr>
        <w:t>Lubrification articulaire</w:t>
      </w:r>
      <w:r>
        <w:t xml:space="preserve"> : amortissement des contraintes mécaniques transmises au cartilage lors de la marche, de la mise en charge et des mouvements articulaires ; réduction du frottement cartilage-cartilage</w:t>
      </w:r>
    </w:p>
    <w:p>
      <w:pPr>
        <w:pStyle w:val="ListBullet"/>
      </w:pPr>
      <w:r/>
      <w:r>
        <w:rPr>
          <w:b/>
        </w:rPr>
        <w:t>Effet mécanique sur les nocicepteurs</w:t>
      </w:r>
      <w:r>
        <w:t xml:space="preserve"> : le HA amortit les contraintes mécaniques transmises aux nocicepteurs articulaires (fibres C et Aδ de la membrane synoviale, du périoste sous-chondral, des ligaments), réduisant la douleur mécanique</w:t>
      </w:r>
    </w:p>
    <w:p>
      <w:pPr>
        <w:pStyle w:val="ListBullet"/>
      </w:pPr>
      <w:r/>
      <w:r>
        <w:rPr>
          <w:b/>
        </w:rPr>
        <w:t>Effet biologique sur le métabolisme chondrocytaire</w:t>
      </w:r>
      <w:r>
        <w:t xml:space="preserve"> : le HA stimule la synthèse de proteoglycanes par les chondrocytes (via les récepteurs CD44 et ICAM-1), inhibe l'expression et l'activité des métalloprotéinases (MMP-1, MMP-3, MMP-13) et des ADAMTS (aggrecanases), réduit la production d'IL-1β et de TNF-α par les macrophages synoviaux (voie NF-κB)</w:t>
      </w:r>
    </w:p>
    <w:p>
      <w:pPr>
        <w:pStyle w:val="ListBullet"/>
      </w:pPr>
      <w:r/>
      <w:r>
        <w:rPr>
          <w:b/>
        </w:rPr>
        <w:t>Effet anti-inflammatoire modéré</w:t>
      </w:r>
      <w:r>
        <w:t xml:space="preserve"> : le HA réduit l'infiltrat inflammatoire synovial et la production de médiateurs inflammatoires (PGE2, leucotriènes), sans atteindre l'efficacité des corticoïdes intra-articulaires</w:t>
      </w:r>
    </w:p>
    <w:p>
      <w:pPr>
        <w:pStyle w:val="ListBullet"/>
      </w:pPr>
      <w:r/>
      <w:r>
        <w:rPr>
          <w:b/>
        </w:rPr>
        <w:t>Effet différé</w:t>
      </w:r>
      <w:r>
        <w:t xml:space="preserve"> : l'efficacité clinique se manifeste avec un délai de 4-6 semaines après l'injection (effet biologique de restructuration synoviale), avec un pic à 8-12 semaines et une durée d'action de 6-12 mois</w:t>
      </w:r>
    </w:p>
    <w:p>
      <w:pPr>
        <w:pStyle w:val="Heading3"/>
      </w:pPr>
      <w:r>
        <w:t>153.7.4 Pharmacocinétique</w:t>
      </w:r>
    </w:p>
    <w:p>
      <w:r/>
      <w:r>
        <w:rPr>
          <w:b/>
        </w:rPr>
        <w:t>Voie ophtalmologique</w:t>
      </w:r>
      <w:r>
        <w:t xml:space="preserve"> :</w:t>
      </w:r>
    </w:p>
    <w:p>
      <w:pPr>
        <w:pStyle w:val="ListBullet"/>
      </w:pPr>
      <w:r/>
      <w:r>
        <w:rPr>
          <w:b/>
        </w:rPr>
        <w:t>Absorption systémique</w:t>
      </w:r>
      <w:r>
        <w:t xml:space="preserve"> : très faible (résorption naso-lacrymale minimale pour un polymère de haut poids moléculaire)</w:t>
      </w:r>
    </w:p>
    <w:p>
      <w:pPr>
        <w:pStyle w:val="ListBullet"/>
      </w:pPr>
      <w:r/>
      <w:r>
        <w:rPr>
          <w:b/>
        </w:rPr>
        <w:t>Demi-vie locale</w:t>
      </w:r>
      <w:r>
        <w:t xml:space="preserve"> à la surface oculaire : environ 1-2 heures (élimination par clignement, drainage naso-lacrymal)</w:t>
      </w:r>
    </w:p>
    <w:p>
      <w:pPr>
        <w:pStyle w:val="ListBullet"/>
      </w:pPr>
      <w:r/>
      <w:r>
        <w:rPr>
          <w:b/>
        </w:rPr>
        <w:t>Métabolisme</w:t>
      </w:r>
      <w:r>
        <w:t xml:space="preserve"> : dégradation locale par les hyaluronidases cornéennes et conjonctivales en fragments de plus faible poids moléculaire, eux-mêmes métabolisés en monomères (acide glucuronique, N-acétylglucosamine)</w:t>
      </w:r>
    </w:p>
    <w:p>
      <w:pPr>
        <w:pStyle w:val="ListBullet"/>
      </w:pPr>
      <w:r/>
      <w:r>
        <w:rPr>
          <w:b/>
        </w:rPr>
        <w:t>Élimination</w:t>
      </w:r>
      <w:r>
        <w:t xml:space="preserve"> : drainage naso-lacrymal puis déglutition ; absorption systémique négligeable</w:t>
      </w:r>
    </w:p>
    <w:p>
      <w:r/>
      <w:r>
        <w:rPr>
          <w:b/>
        </w:rPr>
        <w:t>Voie intra-articulaire</w:t>
      </w:r>
      <w:r>
        <w:t xml:space="preserve"> :</w:t>
      </w:r>
    </w:p>
    <w:p>
      <w:pPr>
        <w:pStyle w:val="ListBullet"/>
      </w:pPr>
      <w:r/>
      <w:r>
        <w:rPr>
          <w:b/>
        </w:rPr>
        <w:t>Distribution</w:t>
      </w:r>
      <w:r>
        <w:t xml:space="preserve"> : le HA injecté reste dans la cavité articulaire, avec une diffusion limitée aux tissus péri-articulaires (membrane synoviale, capsule, ligaments)</w:t>
      </w:r>
    </w:p>
    <w:p>
      <w:pPr>
        <w:pStyle w:val="ListBullet"/>
      </w:pPr>
      <w:r/>
      <w:r>
        <w:rPr>
          <w:b/>
        </w:rPr>
        <w:t>Demi-vie articulaire</w:t>
      </w:r>
      <w:r>
        <w:t xml:space="preserve"> : variable selon le produit et le poids moléculaire (2-3 jours pour le HA non réticulé d'origine aviaire — HYALGAN®, SUPARTZ® ; 1-4 semaines pour les produits réticulés ou HPM — SYNVISC®, ORTHOVISC®, EUFLEXXA®, GO-ON®)</w:t>
      </w:r>
    </w:p>
    <w:p>
      <w:pPr>
        <w:pStyle w:val="ListBullet"/>
      </w:pPr>
      <w:r/>
      <w:r>
        <w:rPr>
          <w:b/>
        </w:rPr>
        <w:t>Métabolisme</w:t>
      </w:r>
      <w:r>
        <w:t xml:space="preserve"> : dégradation locale par les hyaluronidases synoviales et par les macrophages</w:t>
      </w:r>
    </w:p>
    <w:p>
      <w:pPr>
        <w:pStyle w:val="ListBullet"/>
      </w:pPr>
      <w:r/>
      <w:r>
        <w:rPr>
          <w:b/>
        </w:rPr>
        <w:t>Élimination</w:t>
      </w:r>
      <w:r>
        <w:t xml:space="preserve"> : fragments de faible poids moléculaire drainés par la circulation lymphatique régionale, puis métabolisme hépatique</w:t>
      </w:r>
    </w:p>
    <w:p>
      <w:r>
        <w:t>Le HA n'est pas métabolisé par les cytochromes P450 ; il n'y a donc pas d'interaction pharmacocinétique médicamenteuse. La pharmacocinétique n'est pas modifiée par l'insuffisance rénale ou hépatique (élimination locale, pas d'excrétion rénale ou hépatique significative).</w:t>
      </w:r>
    </w:p>
    <w:p>
      <w:pPr>
        <w:pStyle w:val="Heading3"/>
      </w:pPr>
      <w:r>
        <w:t>153.7.5 Indications thérapeutiques</w:t>
      </w:r>
    </w:p>
    <w:p>
      <w:r/>
      <w:r>
        <w:rPr>
          <w:b/>
        </w:rPr>
        <w:t>Voie ophtalmologique</w:t>
      </w:r>
      <w:r>
        <w:t xml:space="preserve"> (indication principale inscrite en Algérie — HYFRESH®, THERAFRESH®) :</w:t>
      </w:r>
    </w:p>
    <w:p>
      <w:pPr>
        <w:pStyle w:val="ListBullet"/>
      </w:pPr>
      <w:r/>
      <w:r>
        <w:rPr>
          <w:b/>
        </w:rPr>
        <w:t>Sécheresse oculaire modérée à sévère</w:t>
      </w:r>
      <w:r>
        <w:t xml:space="preserve"> : syndrome sec oculaire idiopathique, syndrome de Gougerot-Sjögren, syndrome sec post-ménopause, syndrome sec médicamenteux (antidépresseurs, antihistaminiques, neuroleptiques, bêta-bloquants, anticholinergiques)</w:t>
      </w:r>
    </w:p>
    <w:p>
      <w:pPr>
        <w:pStyle w:val="ListBullet"/>
      </w:pPr>
      <w:r/>
      <w:r>
        <w:rPr>
          <w:b/>
        </w:rPr>
        <w:t>Kératite sèche</w:t>
      </w:r>
      <w:r>
        <w:t xml:space="preserve"> : kératite filamenteuse, kératite ponctuée superficielle, érosions cornéennes récidivantes</w:t>
      </w:r>
    </w:p>
    <w:p>
      <w:pPr>
        <w:pStyle w:val="ListBullet"/>
      </w:pPr>
      <w:r/>
      <w:r>
        <w:rPr>
          <w:b/>
        </w:rPr>
        <w:t>Syndrome sec post-chirurgical</w:t>
      </w:r>
      <w:r>
        <w:t xml:space="preserve"> : post-LASIK, post-PRK, post-chirurgie de la cataracte, post-chirurgie du strabisme, post-ptérygion</w:t>
      </w:r>
    </w:p>
    <w:p>
      <w:pPr>
        <w:pStyle w:val="ListBullet"/>
      </w:pPr>
      <w:r/>
      <w:r>
        <w:rPr>
          <w:b/>
        </w:rPr>
        <w:t>Syndrome sec post-traumatique</w:t>
      </w:r>
      <w:r>
        <w:t xml:space="preserve"> : brûlure oculaire chimique ou thermique légère à modérée, érosion cornéenne traumatique</w:t>
      </w:r>
    </w:p>
    <w:p>
      <w:pPr>
        <w:pStyle w:val="ListBullet"/>
      </w:pPr>
      <w:r/>
      <w:r>
        <w:rPr>
          <w:b/>
        </w:rPr>
        <w:t>Lubrification chez le porteur de lentilles de contact</w:t>
      </w:r>
      <w:r>
        <w:t xml:space="preserve"> (formulation sans conservateur obligatoire)</w:t>
      </w:r>
    </w:p>
    <w:p>
      <w:pPr>
        <w:pStyle w:val="ListBullet"/>
      </w:pPr>
      <w:r/>
      <w:r>
        <w:rPr>
          <w:b/>
        </w:rPr>
        <w:t>Lubrification en cas d'exposition environnementale</w:t>
      </w:r>
      <w:r>
        <w:t xml:space="preserve"> : climatisation, écran, vent, froid, altitude, pollution</w:t>
      </w:r>
    </w:p>
    <w:p>
      <w:r/>
      <w:r>
        <w:rPr>
          <w:b/>
        </w:rPr>
        <w:t>Voie intra-articulaire</w:t>
      </w:r>
      <w:r>
        <w:t xml:space="preserve"> (principes pharmacologiques applicables aux formes importées EUFLEXXA®, GO-ON®, SYNVISC®, etc.) :</w:t>
      </w:r>
    </w:p>
    <w:p>
      <w:pPr>
        <w:pStyle w:val="ListBullet"/>
      </w:pPr>
      <w:r/>
      <w:r>
        <w:rPr>
          <w:b/>
        </w:rPr>
        <w:t>Arthrose fémoro-tibiale modérée à sévère</w:t>
      </w:r>
      <w:r>
        <w:t xml:space="preserve"> (stade 2-3 de Kellgren-Lawrence) : indication principale, en cas d'échec ou de contre-indication aux AINS et au paracétamol, et en alternative aux injections intra-articulaires de corticoïdes</w:t>
      </w:r>
    </w:p>
    <w:p>
      <w:pPr>
        <w:pStyle w:val="ListBullet"/>
      </w:pPr>
      <w:r/>
      <w:r>
        <w:rPr>
          <w:b/>
        </w:rPr>
        <w:t>Arthrose fémoro-patellaire</w:t>
      </w:r>
      <w:r>
        <w:t xml:space="preserve"> isolée ou associée à l'arthrose fémoro-tibiale</w:t>
      </w:r>
    </w:p>
    <w:p>
      <w:pPr>
        <w:pStyle w:val="ListBullet"/>
      </w:pPr>
      <w:r/>
      <w:r>
        <w:rPr>
          <w:b/>
        </w:rPr>
        <w:t>Arthrose coxo-fémorale</w:t>
      </w:r>
      <w:r>
        <w:t xml:space="preserve"> (hanche) : efficacité moindre, à discuter en cas d'attente de prothèse totale de hanche (PTH) ou en cas de contre-indication chirurgicale</w:t>
      </w:r>
    </w:p>
    <w:p>
      <w:pPr>
        <w:pStyle w:val="ListBullet"/>
      </w:pPr>
      <w:r/>
      <w:r>
        <w:rPr>
          <w:b/>
        </w:rPr>
        <w:t>Rhizarthrose</w:t>
      </w:r>
      <w:r>
        <w:t xml:space="preserve"> (arthrose de la 1ʳᵉ carpométacarpienne) : efficacité modeste, à discuter en cas d'échec des AINS et des orthèses</w:t>
      </w:r>
    </w:p>
    <w:p>
      <w:pPr>
        <w:pStyle w:val="ListBullet"/>
      </w:pPr>
      <w:r/>
      <w:r>
        <w:rPr>
          <w:b/>
        </w:rPr>
        <w:t>Arthrose de la cheville, de l'épaule, du coude, du poignet</w:t>
      </w:r>
      <w:r>
        <w:t xml:space="preserve"> : données limitées, à discuter au cas par cas</w:t>
      </w:r>
    </w:p>
    <w:p>
      <w:pPr>
        <w:pStyle w:val="ListBullet"/>
      </w:pPr>
      <w:r/>
      <w:r>
        <w:rPr>
          <w:b/>
        </w:rPr>
        <w:t>Arthrose post-traumatique</w:t>
      </w:r>
      <w:r>
        <w:t xml:space="preserve"> : à discuter en cas d'indication</w:t>
      </w:r>
    </w:p>
    <w:p>
      <w:pPr>
        <w:pStyle w:val="ListBullet"/>
      </w:pPr>
      <w:r/>
      <w:r>
        <w:rPr>
          <w:b/>
        </w:rPr>
        <w:t>En complément d'une prise en charge globale</w:t>
      </w:r>
      <w:r>
        <w:t xml:space="preserve"> : kinésithérapie, rééducation articulaire, perte de poids, orthèses plantaires, canne de décharge</w:t>
      </w:r>
    </w:p>
    <w:p>
      <w:pPr>
        <w:pStyle w:val="Heading3"/>
      </w:pPr>
      <w:r>
        <w:t>153.7.6 Contre-indications</w:t>
      </w:r>
    </w:p>
    <w:p>
      <w:pPr>
        <w:pStyle w:val="ListBullet"/>
      </w:pPr>
      <w:r/>
      <w:r>
        <w:rPr>
          <w:b/>
        </w:rPr>
        <w:t>Contre-indications absolues</w:t>
      </w:r>
      <w:r>
        <w:t xml:space="preserve"> :</w:t>
      </w:r>
    </w:p>
    <w:p>
      <w:pPr>
        <w:pStyle w:val="ListBullet"/>
      </w:pPr>
      <w:r/>
      <w:r>
        <w:rPr>
          <w:b/>
        </w:rPr>
        <w:t>Hypersensibilité à l'acide hyaluronique</w:t>
      </w:r>
      <w:r>
        <w:t xml:space="preserve"> ou à l'un des excipients (réaction anaphylactique rapportée, particulièrement avec les produits d'origine aviaire en cas d'allergie aux protéines aviaires)</w:t>
      </w:r>
    </w:p>
    <w:p>
      <w:pPr>
        <w:pStyle w:val="ListBullet"/>
      </w:pPr>
      <w:r/>
      <w:r>
        <w:rPr>
          <w:b/>
        </w:rPr>
        <w:t>Infection articulaire ou péri-articulaire</w:t>
      </w:r>
      <w:r>
        <w:t xml:space="preserve"> (voie intra-articulaire) : arthrite septique, cellulite, abcès, ostéomyélite, bursite infectée</w:t>
      </w:r>
    </w:p>
    <w:p>
      <w:pPr>
        <w:pStyle w:val="ListBullet"/>
      </w:pPr>
      <w:r/>
      <w:r>
        <w:rPr>
          <w:b/>
        </w:rPr>
        <w:t>Arthrite inflammatoire aiguë</w:t>
      </w:r>
      <w:r>
        <w:t xml:space="preserve"> (voie intra-articulaire) : poussée de polyarthrite rhumatoïde, spondyloarthrite, arthrite réactionnelle, arthrite psoriasique, goutte aiguë, chondrocalcinose aiguë (pseudogoutte)</w:t>
      </w:r>
    </w:p>
    <w:p>
      <w:pPr>
        <w:pStyle w:val="ListBullet"/>
      </w:pPr>
      <w:r/>
      <w:r>
        <w:rPr>
          <w:b/>
        </w:rPr>
        <w:t>Breakdown de la barrière cutanée</w:t>
      </w:r>
      <w:r>
        <w:t xml:space="preserve"> au site d'injection : plaie, ulcération, dermatose infectée, eczéma nummulaire actif</w:t>
      </w:r>
    </w:p>
    <w:p>
      <w:pPr>
        <w:pStyle w:val="ListBullet"/>
      </w:pPr>
      <w:r/>
      <w:r>
        <w:rPr>
          <w:b/>
        </w:rPr>
        <w:t>Prothèse articulaire</w:t>
      </w:r>
      <w:r>
        <w:t xml:space="preserve"> au site d'injection (voie intra-articulaire) : sur-risque infectieux sur matériel étranger</w:t>
      </w:r>
    </w:p>
    <w:p>
      <w:pPr>
        <w:pStyle w:val="ListBullet"/>
      </w:pPr>
      <w:r/>
      <w:r>
        <w:rPr>
          <w:b/>
        </w:rPr>
        <w:t>Grossesse et allaitement</w:t>
      </w:r>
      <w:r>
        <w:t xml:space="preserve"> (voie intra-articulaire) : par prudence, données limitées</w:t>
      </w:r>
    </w:p>
    <w:p>
      <w:pPr>
        <w:pStyle w:val="ListBullet"/>
      </w:pPr>
      <w:r/>
      <w:r>
        <w:rPr>
          <w:b/>
        </w:rPr>
        <w:t>Contre-indications relatives / Précautions d'emploi</w:t>
      </w:r>
      <w:r>
        <w:t xml:space="preserve"> :</w:t>
      </w:r>
    </w:p>
    <w:p>
      <w:pPr>
        <w:pStyle w:val="ListBullet"/>
      </w:pPr>
      <w:r/>
      <w:r>
        <w:rPr>
          <w:b/>
        </w:rPr>
        <w:t>Allergie aux protéines aviaires</w:t>
      </w:r>
      <w:r>
        <w:t xml:space="preserve"> (œuf, poulet, plumes) : contre-indication aux produits d'origine aviaire (HYALGAN®, SUPARTZ®, SYNVISC®) ; préférer les produits d'origine bactérienne par fermentation (EUFLEXXA®, GO-ON®)</w:t>
      </w:r>
    </w:p>
    <w:p>
      <w:pPr>
        <w:pStyle w:val="ListBullet"/>
      </w:pPr>
      <w:r/>
      <w:r>
        <w:rPr>
          <w:b/>
        </w:rPr>
        <w:t>Trouble de la crase sanguine</w:t>
      </w:r>
      <w:r>
        <w:t xml:space="preserve"> (hémophilie, anticoagulants oraux curatifs, antiagrégants multiples) : sur-risque d'hémarthrose post-injection (voie intra-articulaire) — à évaluer au cas par cas</w:t>
      </w:r>
    </w:p>
    <w:p>
      <w:pPr>
        <w:pStyle w:val="ListBullet"/>
      </w:pPr>
      <w:r/>
      <w:r>
        <w:rPr>
          <w:b/>
        </w:rPr>
        <w:t>Épanchement articulaire majeur</w:t>
      </w:r>
      <w:r>
        <w:t xml:space="preserve"> : à évacuer avant l'injection de HA (réduirait l'efficacité)</w:t>
      </w:r>
    </w:p>
    <w:p>
      <w:pPr>
        <w:pStyle w:val="ListBullet"/>
      </w:pPr>
      <w:r/>
      <w:r>
        <w:rPr>
          <w:b/>
        </w:rPr>
        <w:t>Arthrose très avancée</w:t>
      </w:r>
      <w:r>
        <w:t xml:space="preserve"> (stade 4 de Kellgren-Lawrence) : efficacité moindre, à discuter en cas d'attente de prothèse</w:t>
      </w:r>
    </w:p>
    <w:p>
      <w:pPr>
        <w:pStyle w:val="ListBullet"/>
      </w:pPr>
      <w:r/>
      <w:r>
        <w:rPr>
          <w:b/>
        </w:rPr>
        <w:t>Port de lentilles de contact</w:t>
      </w:r>
      <w:r>
        <w:t xml:space="preserve"> (voie ophtalmologique) : retirer avant instillation, attendre 15 minutes avant remise si conservateur (chlorure de benzalkonium) ; usage de formulations sans conservateur recommandé</w:t>
      </w:r>
    </w:p>
    <w:p>
      <w:pPr>
        <w:pStyle w:val="ListBullet"/>
      </w:pPr>
      <w:r/>
      <w:r>
        <w:rPr>
          <w:b/>
        </w:rPr>
        <w:t>Glaucome</w:t>
      </w:r>
      <w:r>
        <w:t xml:space="preserve"> (voie ophtalmologique) : pas de contre-indication mais surveillance de la PIO si utilisation prolongée à forte fréquence</w:t>
      </w:r>
    </w:p>
    <w:p>
      <w:pPr>
        <w:pStyle w:val="ListBullet"/>
      </w:pPr>
      <w:r/>
      <w:r>
        <w:rPr>
          <w:b/>
        </w:rPr>
        <w:t>Antécédent de granulome articulaire</w:t>
      </w:r>
      <w:r>
        <w:t xml:space="preserve"> ou de poussée inflammatoire sévère après visco-supplémentation : prudence, contre-indication relative pour une nouvelle injection</w:t>
      </w:r>
    </w:p>
    <w:p>
      <w:pPr>
        <w:pStyle w:val="Heading3"/>
      </w:pPr>
      <w:r>
        <w:t>153.7.7 Effets indésirables</w:t>
      </w:r>
    </w:p>
    <w:p>
      <w:r/>
      <w:r>
        <w:rPr>
          <w:b/>
        </w:rPr>
        <w:t>Voie ophtalmologique</w:t>
      </w:r>
      <w:r>
        <w:t xml:space="preserve"> :</w:t>
      </w:r>
    </w:p>
    <w:p>
      <w:pPr>
        <w:pStyle w:val="ListBullet"/>
      </w:pPr>
      <w:r/>
      <w:r>
        <w:rPr>
          <w:b/>
        </w:rPr>
        <w:t>Locaux ophtalmiques</w:t>
      </w:r>
      <w:r>
        <w:t xml:space="preserve"> :</w:t>
      </w:r>
    </w:p>
    <w:p>
      <w:pPr>
        <w:pStyle w:val="ListBullet"/>
      </w:pPr>
      <w:r>
        <w:t>Brûlure ou picotement à l'instillation (5-10 %, transitoire, diminuée par les formulations sans conservateur)</w:t>
      </w:r>
    </w:p>
    <w:p>
      <w:pPr>
        <w:pStyle w:val="ListBullet"/>
      </w:pPr>
      <w:r>
        <w:t>Flou visuel transitoire (5-10 %, quelques secondes à minutes après instillation, lié à la viscosité de la solution)</w:t>
      </w:r>
    </w:p>
    <w:p>
      <w:pPr>
        <w:pStyle w:val="ListBullet"/>
      </w:pPr>
      <w:r>
        <w:t>Sécheresse oculaire paradoxalement aggravée (rare, &lt; 2 %, mécanisme incertain)</w:t>
      </w:r>
    </w:p>
    <w:p>
      <w:pPr>
        <w:pStyle w:val="ListBullet"/>
      </w:pPr>
      <w:r>
        <w:t>Conjonctivite allergique (1-2 %, particulièrement en cas d'utilisation prolongée avec conservateur)</w:t>
      </w:r>
    </w:p>
    <w:p>
      <w:pPr>
        <w:pStyle w:val="ListBullet"/>
      </w:pPr>
      <w:r>
        <w:t>Kératite ponctuée superficielle (rare, aggravée par le chlorure de benzalkonium)</w:t>
      </w:r>
    </w:p>
    <w:p>
      <w:pPr>
        <w:pStyle w:val="ListBullet"/>
      </w:pPr>
      <w:r>
        <w:t>Blépharite, dermatite de contact palpébrale (1-2 %)</w:t>
      </w:r>
    </w:p>
    <w:p>
      <w:pPr>
        <w:pStyle w:val="ListBullet"/>
      </w:pPr>
      <w:r>
        <w:t>Croûtes palpébrales matinales (2-3 %)</w:t>
      </w:r>
    </w:p>
    <w:p>
      <w:pPr>
        <w:pStyle w:val="ListBullet"/>
      </w:pPr>
      <w:r/>
      <w:r>
        <w:rPr>
          <w:b/>
        </w:rPr>
        <w:t>Systémiques</w:t>
      </w:r>
      <w:r>
        <w:t xml:space="preserve"> : aucun effet systémique notable (absorption systémique négligeable)</w:t>
      </w:r>
    </w:p>
    <w:p>
      <w:r/>
      <w:r>
        <w:rPr>
          <w:b/>
        </w:rPr>
        <w:t>Voie intra-articulaire</w:t>
      </w:r>
      <w:r>
        <w:t xml:space="preserve"> (principes pharmacologiques applicables aux formes importées) :</w:t>
      </w:r>
    </w:p>
    <w:p>
      <w:pPr>
        <w:pStyle w:val="ListBullet"/>
      </w:pPr>
      <w:r/>
      <w:r>
        <w:rPr>
          <w:b/>
        </w:rPr>
        <w:t>Locaux articulaires</w:t>
      </w:r>
      <w:r>
        <w:t xml:space="preserve"> :</w:t>
      </w:r>
    </w:p>
    <w:p>
      <w:pPr>
        <w:pStyle w:val="ListBullet"/>
      </w:pPr>
      <w:r/>
      <w:r>
        <w:rPr>
          <w:b/>
        </w:rPr>
        <w:t>Poussée inflammatoire post-injection</w:t>
      </w:r>
      <w:r>
        <w:t xml:space="preserve"> (10-20 %) : douleur articulaire, épanchement, chaleur locale, raideur matinale augmentée, survenant dans les 24-72 heures après l'injection ; résolution spontanée en 2-5 jours ; traitement par glace, AINS courte durée, paracétamol</w:t>
      </w:r>
    </w:p>
    <w:p>
      <w:pPr>
        <w:pStyle w:val="ListBullet"/>
      </w:pPr>
      <w:r/>
      <w:r>
        <w:rPr>
          <w:b/>
        </w:rPr>
        <w:t>Douleur au site d'injection</w:t>
      </w:r>
      <w:r>
        <w:t xml:space="preserve"> (5-10 %) : transitoire, résolution spontanée</w:t>
      </w:r>
    </w:p>
    <w:p>
      <w:pPr>
        <w:pStyle w:val="ListBullet"/>
      </w:pPr>
      <w:r/>
      <w:r>
        <w:rPr>
          <w:b/>
        </w:rPr>
        <w:t>Hémarthrose post-injection</w:t>
      </w:r>
      <w:r>
        <w:t xml:space="preserve"> (1-2 %) : particulièrement chez les patients sous anticoagulants ou avec trouble de la crase sanguine</w:t>
      </w:r>
    </w:p>
    <w:p>
      <w:pPr>
        <w:pStyle w:val="ListBullet"/>
      </w:pPr>
      <w:r/>
      <w:r>
        <w:rPr>
          <w:b/>
        </w:rPr>
        <w:t>Granulome articulaire</w:t>
      </w:r>
      <w:r>
        <w:t xml:space="preserve"> ou </w:t>
      </w:r>
      <w:r>
        <w:rPr>
          <w:b/>
        </w:rPr>
        <w:t>réaction à corps étranger</w:t>
      </w:r>
      <w:r>
        <w:t xml:space="preserve"> (rare, &lt; 0,5 %) : particulièrement avec les produits réticulés ou d'origine aviaire</w:t>
      </w:r>
    </w:p>
    <w:p>
      <w:pPr>
        <w:pStyle w:val="ListBullet"/>
      </w:pPr>
      <w:r/>
      <w:r>
        <w:rPr>
          <w:b/>
        </w:rPr>
        <w:t>Arthrite septique iatrogène</w:t>
      </w:r>
      <w:r>
        <w:t xml:space="preserve"> (exceptionnelle, &lt; 0,1 %) : en cas de défaut d'asepsie ; urgence thérapeutique</w:t>
      </w:r>
    </w:p>
    <w:p>
      <w:pPr>
        <w:pStyle w:val="ListBullet"/>
      </w:pPr>
      <w:r/>
      <w:r>
        <w:rPr>
          <w:b/>
        </w:rPr>
        <w:t>Calcifications intra-articulaires</w:t>
      </w:r>
      <w:r>
        <w:t xml:space="preserve"> (très rare)</w:t>
      </w:r>
    </w:p>
    <w:p>
      <w:pPr>
        <w:pStyle w:val="ListBullet"/>
      </w:pPr>
      <w:r/>
      <w:r>
        <w:rPr>
          <w:b/>
        </w:rPr>
        <w:t>Nécrose cutanée au site d'injection</w:t>
      </w:r>
      <w:r>
        <w:t xml:space="preserve"> (très rare)</w:t>
      </w:r>
    </w:p>
    <w:p>
      <w:pPr>
        <w:pStyle w:val="ListBullet"/>
      </w:pPr>
      <w:r/>
      <w:r>
        <w:rPr>
          <w:b/>
        </w:rPr>
        <w:t>Systémiques</w:t>
      </w:r>
      <w:r>
        <w:t xml:space="preserve"> : aucun effet systémique notable</w:t>
      </w:r>
    </w:p>
    <w:p>
      <w:pPr>
        <w:pStyle w:val="ListBullet"/>
      </w:pPr>
      <w:r/>
      <w:r>
        <w:rPr>
          <w:b/>
        </w:rPr>
        <w:t>Allergiques</w:t>
      </w:r>
      <w:r>
        <w:t xml:space="preserve"> : réaction anaphylactique (très rare, particulièrement avec les produits d'origine aviaire chez les patients allergiques aux protéines aviaires)</w:t>
      </w:r>
    </w:p>
    <w:p>
      <w:pPr>
        <w:pStyle w:val="Heading3"/>
      </w:pPr>
      <w:r>
        <w:t>153.7.8 Prévention et gestion des effets indésirables</w:t>
      </w:r>
    </w:p>
    <w:p>
      <w:r>
        <w:t>La prévention des effets indésirables du hyaluronate de sodium repose sur :</w:t>
      </w:r>
    </w:p>
    <w:p>
      <w:r/>
      <w:r>
        <w:rPr>
          <w:b/>
        </w:rPr>
        <w:t>Voie ophtalmologique</w:t>
      </w:r>
      <w:r>
        <w:t xml:space="preserve"> :</w:t>
      </w:r>
    </w:p>
    <w:p>
      <w:pPr>
        <w:pStyle w:val="ListNumber"/>
      </w:pPr>
      <w:r/>
      <w:r>
        <w:rPr>
          <w:b/>
        </w:rPr>
        <w:t>Choix de la formulation</w:t>
      </w:r>
      <w:r>
        <w:t xml:space="preserve"> : préférer les formulations </w:t>
      </w:r>
      <w:r>
        <w:rPr>
          <w:b/>
        </w:rPr>
        <w:t>sans conservateur</w:t>
      </w:r>
      <w:r>
        <w:t xml:space="preserve"> (unidoses) chez le patient porteur de lentilles, présentant un syndrome sec sévère, une kératite préexistante, ou en cas d'utilisation prolongée (&gt; 1 mois)</w:t>
      </w:r>
    </w:p>
    <w:p>
      <w:pPr>
        <w:pStyle w:val="ListNumber"/>
      </w:pPr>
      <w:r/>
      <w:r>
        <w:rPr>
          <w:b/>
        </w:rPr>
        <w:t>Hygiène du flacon</w:t>
      </w:r>
      <w:r>
        <w:t xml:space="preserve"> : ne jamais toucher l'embout avec les doigts ou l'œil ; refermer immédiatement après usage ; jeter le flacon </w:t>
      </w:r>
      <w:r>
        <w:rPr>
          <w:b/>
        </w:rPr>
        <w:t>1 mois après ouverture</w:t>
      </w:r>
      <w:r>
        <w:t xml:space="preserve"> (inscrire la date d'ouverture sur le flacon) ; conservation à température ambiante ≤ 25 °C</w:t>
      </w:r>
    </w:p>
    <w:p>
      <w:pPr>
        <w:pStyle w:val="ListNumber"/>
      </w:pPr>
      <w:r/>
      <w:r>
        <w:rPr>
          <w:b/>
        </w:rPr>
        <w:t>Occlusion naso-lacrymale</w:t>
      </w:r>
      <w:r>
        <w:t xml:space="preserve"> : pression digitale douce du canthus interne pendant 1-2 minutes après instillation, réduisant le drainage naso-lacrymal et augmentant la durée de contact oculaire</w:t>
      </w:r>
    </w:p>
    <w:p>
      <w:pPr>
        <w:pStyle w:val="ListNumber"/>
      </w:pPr>
      <w:r/>
      <w:r>
        <w:rPr>
          <w:b/>
        </w:rPr>
        <w:t>Surveillance ophtalmologique</w:t>
      </w:r>
      <w:r>
        <w:t xml:space="preserve"> : consultation à 1 mois, puis tous les 3-6 mois ; examen à la lampe à fente (recherche de kératite ponctuée superficielle), TBUT, test de Schirmer</w:t>
      </w:r>
    </w:p>
    <w:p>
      <w:r/>
      <w:r>
        <w:rPr>
          <w:b/>
        </w:rPr>
        <w:t>Voie intra-articulaire</w:t>
      </w:r>
      <w:r>
        <w:t xml:space="preserve"> (principes applicables) :</w:t>
      </w:r>
    </w:p>
    <w:p>
      <w:pPr>
        <w:pStyle w:val="ListNumber"/>
      </w:pPr>
      <w:r/>
      <w:r>
        <w:rPr>
          <w:b/>
        </w:rPr>
        <w:t>Asepsie rigoureuse</w:t>
      </w:r>
      <w:r>
        <w:t xml:space="preserve"> : préparation cutanée à la chlorhexidine alcoolique ou Bétadine® ; champ stérile ; gants stériles ; masque ; utilisation d'une aiguille fine (22-25 G pour le genou, 23-25 G pour la hanche) ; désinfection de l'embout du flacon de HA avant ponction</w:t>
      </w:r>
    </w:p>
    <w:p>
      <w:pPr>
        <w:pStyle w:val="ListNumber"/>
      </w:pPr>
      <w:r/>
      <w:r>
        <w:rPr>
          <w:b/>
        </w:rPr>
        <w:t>Évacuation préalable de l'épanchement</w:t>
      </w:r>
      <w:r>
        <w:t xml:space="preserve"> (s'il est &gt; 10-20 mL) : ponction-aspiration avant l'injection de HA</w:t>
      </w:r>
    </w:p>
    <w:p>
      <w:pPr>
        <w:pStyle w:val="ListNumber"/>
      </w:pPr>
      <w:r/>
      <w:r>
        <w:rPr>
          <w:b/>
        </w:rPr>
        <w:t>Vérification de la position intra-articulaire</w:t>
      </w:r>
      <w:r>
        <w:t xml:space="preserve"> : repérage anatomique strict, échoguidage si doute, contrôle par reflux de liquide synovial avant injection</w:t>
      </w:r>
    </w:p>
    <w:p>
      <w:pPr>
        <w:pStyle w:val="ListNumber"/>
      </w:pPr>
      <w:r/>
      <w:r>
        <w:rPr>
          <w:b/>
        </w:rPr>
        <w:t>Repos articulaire relatif</w:t>
      </w:r>
      <w:r>
        <w:t xml:space="preserve"> dans les 48-72 heures suivant l'injection : éviter les activités sportives intenses, le port de charges lourdes, la marche prolongée ; glace locale 3-4 fois par jour pendant 15-20 minutes</w:t>
      </w:r>
    </w:p>
    <w:p>
      <w:pPr>
        <w:pStyle w:val="ListNumber"/>
      </w:pPr>
      <w:r/>
      <w:r>
        <w:rPr>
          <w:b/>
        </w:rPr>
        <w:t>Antalgie paracétamol</w:t>
      </w:r>
      <w:r>
        <w:t xml:space="preserve"> : 1 g × 3-4/jour pendant 2-3 jours post-injection</w:t>
      </w:r>
    </w:p>
    <w:p>
      <w:pPr>
        <w:pStyle w:val="ListNumber"/>
      </w:pPr>
      <w:r/>
      <w:r>
        <w:rPr>
          <w:b/>
        </w:rPr>
        <w:t>Surveillance post-injection</w:t>
      </w:r>
      <w:r>
        <w:t xml:space="preserve"> : consultation de contrôle à 1-2 semaines (recherche de poussée inflammatoire, d'épanchement, d'infection) ; éducation du patient à consulter en urgence en cas de fièvre, douleur majeure, rougeur, chaleur, gonflement articulaire (suspicion d'arthrite septique)</w:t>
      </w:r>
    </w:p>
    <w:p>
      <w:r/>
      <w:r>
        <w:rPr>
          <w:b/>
        </w:rPr>
        <w:t>Gestion des effets indésirables</w:t>
      </w:r>
      <w:r>
        <w:t xml:space="preserve"> :</w:t>
      </w:r>
    </w:p>
    <w:p>
      <w:pPr>
        <w:pStyle w:val="ListBullet"/>
      </w:pPr>
      <w:r/>
      <w:r>
        <w:rPr>
          <w:b/>
        </w:rPr>
        <w:t>Poussée inflammatoire post-injection</w:t>
      </w:r>
      <w:r>
        <w:t xml:space="preserve"> : glace, paracétamol, AINS courte durée (5-7 jours) ; si persistance &gt; 7 jours ou intensité majeure : consultation pour ponction-aspiration (recherche d'infection)</w:t>
      </w:r>
    </w:p>
    <w:p>
      <w:pPr>
        <w:pStyle w:val="ListBullet"/>
      </w:pPr>
      <w:r/>
      <w:r>
        <w:rPr>
          <w:b/>
        </w:rPr>
        <w:t>Hémarthrose</w:t>
      </w:r>
      <w:r>
        <w:t xml:space="preserve"> : glace, repos articulaire, surveillance ; si volume important : ponction-aspiration ; réévaluation du traitement anticoagulant (en collaboration avec le cardiologue)</w:t>
      </w:r>
    </w:p>
    <w:p>
      <w:pPr>
        <w:pStyle w:val="ListBullet"/>
      </w:pPr>
      <w:r/>
      <w:r>
        <w:rPr>
          <w:b/>
        </w:rPr>
        <w:t>Granulome articulaire</w:t>
      </w:r>
      <w:r>
        <w:t xml:space="preserve"> : ponction-aspiration si symptomatique ; arrêt définitif de la visco-supplémentation</w:t>
      </w:r>
    </w:p>
    <w:p>
      <w:pPr>
        <w:pStyle w:val="ListBullet"/>
      </w:pPr>
      <w:r/>
      <w:r>
        <w:rPr>
          <w:b/>
        </w:rPr>
        <w:t>Arthrite septique iatrogène</w:t>
      </w:r>
      <w:r>
        <w:t xml:space="preserve"> : urgence — hospitalisation, ponction articulaire pour bactériologie, antibiothérapie IV ciblée (Staphylocoque aureus, Staphylocoque epidermidis), lavage articulaire chirurgical ou arthroscopique selon sévérité</w:t>
      </w:r>
    </w:p>
    <w:p>
      <w:pPr>
        <w:pStyle w:val="ListBullet"/>
      </w:pPr>
      <w:r/>
      <w:r>
        <w:rPr>
          <w:b/>
        </w:rPr>
        <w:t>Réaction anaphylactique</w:t>
      </w:r>
      <w:r>
        <w:t xml:space="preserve"> : arrêt définitif, traitement d'urgence (adrénaline IM, antihistaminiques, corticothérapie), avis allergologique</w:t>
      </w:r>
    </w:p>
    <w:p>
      <w:pPr>
        <w:pStyle w:val="Heading3"/>
      </w:pPr>
      <w:r>
        <w:t>153.7.9 Interactions médicamenteuses</w:t>
      </w:r>
    </w:p>
    <w:p>
      <w:r>
        <w:t>Le hyaluronate de sodium présente un profil d'interactions médicamenteuses limité en raison de son métabolisme local et de l'absence de métabolisation par les cytochromes P450.</w:t>
      </w:r>
    </w:p>
    <w:p>
      <w:pPr>
        <w:pStyle w:val="ListBullet"/>
      </w:pPr>
      <w:r/>
      <w:r>
        <w:rPr>
          <w:b/>
        </w:rPr>
        <w:t>Voie ophtalmologique</w:t>
      </w:r>
      <w:r>
        <w:t xml:space="preserve"> :</w:t>
      </w:r>
    </w:p>
    <w:p>
      <w:pPr>
        <w:pStyle w:val="ListBullet"/>
      </w:pPr>
      <w:r/>
      <w:r>
        <w:rPr>
          <w:b/>
        </w:rPr>
        <w:t>Associations déconseillées</w:t>
      </w:r>
      <w:r>
        <w:t xml:space="preserve"> :</w:t>
      </w:r>
    </w:p>
    <w:p>
      <w:pPr>
        <w:pStyle w:val="ListBullet"/>
      </w:pPr>
      <w:r>
        <w:t>Autres collyres (particulièrement atropiniques, myotiques, cycloplégiques) : espacer les instillations de 5-10 minutes pour éviter le lavage du HA par le collyre suivant</w:t>
      </w:r>
    </w:p>
    <w:p>
      <w:pPr>
        <w:pStyle w:val="ListBullet"/>
      </w:pPr>
      <w:r>
        <w:t>Collyres contenant du chlorure de benzalkonium (BAK) : surveillance de la toxicité cornéenne épithéliale en cas d'utilisation prolongée</w:t>
      </w:r>
    </w:p>
    <w:p>
      <w:pPr>
        <w:pStyle w:val="ListBullet"/>
      </w:pPr>
      <w:r/>
      <w:r>
        <w:rPr>
          <w:b/>
        </w:rPr>
        <w:t>Associations nécessitant des précautions</w:t>
      </w:r>
      <w:r>
        <w:t xml:space="preserve"> :</w:t>
      </w:r>
    </w:p>
    <w:p>
      <w:pPr>
        <w:pStyle w:val="ListBullet"/>
      </w:pPr>
      <w:r>
        <w:t>Lentilles de contact souples hydrophiles : retirer avant instillation si la formulation contient du BAK ; attendre 15 minutes avant remise ; préférer les formulations sans conservateur</w:t>
      </w:r>
    </w:p>
    <w:p>
      <w:pPr>
        <w:pStyle w:val="ListBullet"/>
      </w:pPr>
      <w:r>
        <w:t>Collyres à visée diagnostique (fluorescéine, rose bengale) : espacer de 30 minutes</w:t>
      </w:r>
    </w:p>
    <w:p>
      <w:pPr>
        <w:pStyle w:val="ListBullet"/>
      </w:pPr>
      <w:r>
        <w:t>Collyres à visée thérapeutique (antibiotiques, corticoïdes, antiallergiques, hypotonisants) : espacer de 5-10 minutes</w:t>
      </w:r>
    </w:p>
    <w:p>
      <w:pPr>
        <w:pStyle w:val="ListBullet"/>
      </w:pPr>
      <w:r/>
      <w:r>
        <w:rPr>
          <w:b/>
        </w:rPr>
        <w:t>Voie intra-articulaire</w:t>
      </w:r>
      <w:r>
        <w:t xml:space="preserve"> :</w:t>
      </w:r>
    </w:p>
    <w:p>
      <w:pPr>
        <w:pStyle w:val="ListBullet"/>
      </w:pPr>
      <w:r/>
      <w:r>
        <w:rPr>
          <w:b/>
        </w:rPr>
        <w:t>Associations déconseillées</w:t>
      </w:r>
      <w:r>
        <w:t xml:space="preserve"> :</w:t>
      </w:r>
    </w:p>
    <w:p>
      <w:pPr>
        <w:pStyle w:val="ListBullet"/>
      </w:pPr>
      <w:r/>
      <w:r>
        <w:rPr>
          <w:b/>
        </w:rPr>
        <w:t>Anticoagulants oraux curatifs</w:t>
      </w:r>
      <w:r>
        <w:t xml:space="preserve"> (AVK : warfarine ; AOD : apixaban, rivaroxaban, dabigatran, edoxaban) : sur-risque d'hémarthrose post-injection — évaluation au cas par cas, arrêt temporaire discuté en collaboration avec le cardiologue (selon le type d'anticoagulant et l'indication)</w:t>
      </w:r>
    </w:p>
    <w:p>
      <w:pPr>
        <w:pStyle w:val="ListBullet"/>
      </w:pPr>
      <w:r/>
      <w:r>
        <w:rPr>
          <w:b/>
        </w:rPr>
        <w:t>Antiagrégants plaquettaires multiples</w:t>
      </w:r>
      <w:r>
        <w:t xml:space="preserve"> (aspirine + clopidogrel/prasugrel/ticagrelor) : surveillance renforcée</w:t>
      </w:r>
    </w:p>
    <w:p>
      <w:pPr>
        <w:pStyle w:val="ListBullet"/>
      </w:pPr>
      <w:r/>
      <w:r>
        <w:rPr>
          <w:b/>
        </w:rPr>
        <w:t>Corticoïdes intra-articulaires</w:t>
      </w:r>
      <w:r>
        <w:t xml:space="preserve"> concomitants : possibilité d'injection combinée (HA + corticoïde) en une seule injection dans certaines situations cliniques (efficacité synergique, données limitées)</w:t>
      </w:r>
    </w:p>
    <w:p>
      <w:pPr>
        <w:pStyle w:val="ListBullet"/>
      </w:pPr>
      <w:r/>
      <w:r>
        <w:rPr>
          <w:b/>
        </w:rPr>
        <w:t>Associations ne nécessitant pas de précaution particulière</w:t>
      </w:r>
      <w:r>
        <w:t xml:space="preserve"> :</w:t>
      </w:r>
    </w:p>
    <w:p>
      <w:pPr>
        <w:pStyle w:val="ListBullet"/>
      </w:pPr>
      <w:r>
        <w:t>AINS oraux ou topiques</w:t>
      </w:r>
    </w:p>
    <w:p>
      <w:pPr>
        <w:pStyle w:val="ListBullet"/>
      </w:pPr>
      <w:r>
        <w:t>Paracétamol</w:t>
      </w:r>
    </w:p>
    <w:p>
      <w:pPr>
        <w:pStyle w:val="ListBullet"/>
      </w:pPr>
      <w:r>
        <w:t>Antalgiques opioïdes faibles (codéine, tramadol)</w:t>
      </w:r>
    </w:p>
    <w:p>
      <w:pPr>
        <w:pStyle w:val="ListBullet"/>
      </w:pPr>
      <w:r>
        <w:t>SYSADOA (diacéréine, chondroïtine sulfate, glucosamine) — synergie possible, surveillance</w:t>
      </w:r>
    </w:p>
    <w:p>
      <w:pPr>
        <w:pStyle w:val="ListBullet"/>
      </w:pPr>
      <w:r>
        <w:t>Méthotrexate, biothérapies (anti-TNFα, anti-IL-6R, JAK inhibitors) — pas de contre-indication, mais prudence en cas de neutropénie ou d'immunodépression sévère (sur-risque infectieux)</w:t>
      </w:r>
    </w:p>
    <w:p>
      <w:pPr>
        <w:pStyle w:val="Heading3"/>
      </w:pPr>
      <w:r>
        <w:t>153.7.10 Grossesse et allaitement (CRAT)</w:t>
      </w:r>
    </w:p>
    <w:p>
      <w:r>
        <w:t>Les données du CRAT sur le hyaluronate de sodium sont les suivantes :</w:t>
      </w:r>
    </w:p>
    <w:p>
      <w:pPr>
        <w:pStyle w:val="ListBullet"/>
      </w:pPr>
      <w:r/>
      <w:r>
        <w:rPr>
          <w:b/>
        </w:rPr>
        <w:t>Grossesse</w:t>
      </w:r>
      <w:r>
        <w:t xml:space="preserve"> :</w:t>
      </w:r>
    </w:p>
    <w:p>
      <w:pPr>
        <w:pStyle w:val="ListBullet"/>
      </w:pPr>
      <w:r/>
      <w:r>
        <w:rPr>
          <w:b/>
        </w:rPr>
        <w:t>Voie ophtalmologique</w:t>
      </w:r>
      <w:r>
        <w:t xml:space="preserve"> : le HA est un constituant naturel du corps humain (matrice extracellulaire, humeur aqueuse, vitré) ; l'absorption systémique après instillation oculaire est négligeable ; aucune donnée animale ou humaine d'effet tératogène ; </w:t>
      </w:r>
      <w:r>
        <w:rPr>
          <w:b/>
        </w:rPr>
        <w:t>utilisation compatible avec la grossesse</w:t>
      </w:r>
      <w:r>
        <w:t xml:space="preserve"> en cas de nécessité clinique (sécheresse oculaire, syndrome sec post-LASIK, syndrome de Gougerot-Sjögren)</w:t>
      </w:r>
    </w:p>
    <w:p>
      <w:pPr>
        <w:pStyle w:val="ListBullet"/>
      </w:pPr>
      <w:r/>
      <w:r>
        <w:rPr>
          <w:b/>
        </w:rPr>
        <w:t>Voie intra-articulaire</w:t>
      </w:r>
      <w:r>
        <w:t xml:space="preserve"> : données limitées ; absorption systémique minimale mais théoriquement non nulle ; par prudence, </w:t>
      </w:r>
      <w:r>
        <w:rPr>
          <w:b/>
        </w:rPr>
        <w:t>utilisation déconseillée pendant la grossesse</w:t>
      </w:r>
      <w:r>
        <w:t xml:space="preserve"> (particulièrement au 1ᵉʳ trimestre) ; en cas de nécessité absolue (arthrose sévère avec douleur rebelle chez une femme enceinte), à discuter au cas par cas après évaluation bénéfice/risque pluridisciplinaire ; préférer le paracétamol et les AINS (sauf au 3ᵉ trimestre — AINS contre-indiqués au 3ᵉ trimestre)</w:t>
      </w:r>
    </w:p>
    <w:p>
      <w:pPr>
        <w:pStyle w:val="ListBullet"/>
      </w:pPr>
      <w:r/>
      <w:r>
        <w:rPr>
          <w:b/>
        </w:rPr>
        <w:t>Recommandation CRAT</w:t>
      </w:r>
      <w:r>
        <w:t xml:space="preserve"> : voie ophtalmologique compatible ; voie intra-articulaire à éviter par prudence</w:t>
      </w:r>
    </w:p>
    <w:p>
      <w:pPr>
        <w:pStyle w:val="ListBullet"/>
      </w:pPr>
      <w:r/>
      <w:r>
        <w:rPr>
          <w:b/>
        </w:rPr>
        <w:t>Allaitement</w:t>
      </w:r>
      <w:r>
        <w:t xml:space="preserve"> :</w:t>
      </w:r>
    </w:p>
    <w:p>
      <w:pPr>
        <w:pStyle w:val="ListBullet"/>
      </w:pPr>
      <w:r/>
      <w:r>
        <w:rPr>
          <w:b/>
        </w:rPr>
        <w:t>Voie ophtalmologique</w:t>
      </w:r>
      <w:r>
        <w:t xml:space="preserve"> : HA compatible avec l'allaitement (absorption systémique négligeable, HA non excrété significativement dans le lait maternel)</w:t>
      </w:r>
    </w:p>
    <w:p>
      <w:pPr>
        <w:pStyle w:val="ListBullet"/>
      </w:pPr>
      <w:r/>
      <w:r>
        <w:rPr>
          <w:b/>
        </w:rPr>
        <w:t>Voie intra-articulaire</w:t>
      </w:r>
      <w:r>
        <w:t xml:space="preserve"> : données limitées ; absorption systémique minimale mais théoriquement non nulle ; par prudence, </w:t>
      </w:r>
      <w:r>
        <w:rPr>
          <w:b/>
        </w:rPr>
        <w:t>à éviter pendant l'allaitement</w:t>
      </w:r>
      <w:r>
        <w:t xml:space="preserve"> ou </w:t>
      </w:r>
      <w:r>
        <w:rPr>
          <w:b/>
        </w:rPr>
        <w:t>arrêt temporaire de l'allaitement pendant 48 heures après l'injection</w:t>
      </w:r>
      <w:r/>
    </w:p>
    <w:p>
      <w:pPr>
        <w:pStyle w:val="ListBullet"/>
      </w:pPr>
      <w:r/>
      <w:r>
        <w:rPr>
          <w:b/>
        </w:rPr>
        <w:t>Fertilité</w:t>
      </w:r>
      <w:r>
        <w:t xml:space="preserve"> : pas d'effet démontré sur la fertilité féminine ou masculine</w:t>
      </w:r>
    </w:p>
    <w:p>
      <w:pPr>
        <w:pStyle w:val="Heading3"/>
      </w:pPr>
      <w:r>
        <w:t>153.7.11 Posologie et adaptation posologique</w:t>
      </w:r>
    </w:p>
    <w:p>
      <w:pPr>
        <w:pStyle w:val="ListBullet"/>
      </w:pPr>
      <w:r/>
      <w:r>
        <w:rPr>
          <w:b/>
        </w:rPr>
        <w:t>Voie ophtalmologique</w:t>
      </w:r>
      <w:r>
        <w:t xml:space="preserve"> (HYFRESH®, THERAFRESH® — collyre 0,2 % = 2 mg/mL) :</w:t>
      </w:r>
    </w:p>
    <w:p>
      <w:pPr>
        <w:pStyle w:val="ListBullet"/>
      </w:pPr>
      <w:r/>
      <w:r>
        <w:rPr>
          <w:b/>
        </w:rPr>
        <w:t>Adulte et enfant &gt; 3 ans</w:t>
      </w:r>
      <w:r>
        <w:t xml:space="preserve"> : 1 goutte dans l'œil atteint, 3 à 4 fois par jour, à espacer régulièrement (matin, midi, après-midi, soir au coucher)</w:t>
      </w:r>
    </w:p>
    <w:p>
      <w:pPr>
        <w:pStyle w:val="ListBullet"/>
      </w:pPr>
      <w:r>
        <w:t>En cas de sécheresse sévère : augmentation possible à 1 goutte toutes les 1-2 heures pendant la phase aiguë, puis espacement</w:t>
      </w:r>
    </w:p>
    <w:p>
      <w:pPr>
        <w:pStyle w:val="ListBullet"/>
      </w:pPr>
      <w:r>
        <w:t>Pour les porteurs de lentilles : retirer les lentilles avant instillation (si conservateur), attendre 15 minutes avant remise ; utiliser de préférence une formulation sans conservateur</w:t>
      </w:r>
    </w:p>
    <w:p>
      <w:pPr>
        <w:pStyle w:val="ListBullet"/>
      </w:pPr>
      <w:r/>
      <w:r>
        <w:rPr>
          <w:b/>
        </w:rPr>
        <w:t>Forme unidose</w:t>
      </w:r>
      <w:r>
        <w:t xml:space="preserve"> (sans conservateur) : usage unique, à jeter après emploi</w:t>
      </w:r>
    </w:p>
    <w:p>
      <w:pPr>
        <w:pStyle w:val="ListBullet"/>
      </w:pPr>
      <w:r/>
      <w:r>
        <w:rPr>
          <w:b/>
        </w:rPr>
        <w:t>Durée du traitement</w:t>
      </w:r>
      <w:r>
        <w:t xml:space="preserve"> : chronique au long cours (sécheresse oculaire), à poursuivre tant que la tolérance est bonne et l'efficacité maintenue</w:t>
      </w:r>
    </w:p>
    <w:p>
      <w:pPr>
        <w:pStyle w:val="ListBullet"/>
      </w:pPr>
      <w:r/>
      <w:r>
        <w:rPr>
          <w:b/>
        </w:rPr>
        <w:t>Enfant &lt; 3 ans</w:t>
      </w:r>
      <w:r>
        <w:t xml:space="preserve"> : à éviter par prudence, données limitées</w:t>
      </w:r>
    </w:p>
    <w:p>
      <w:pPr>
        <w:pStyle w:val="ListBullet"/>
      </w:pPr>
      <w:r/>
      <w:r>
        <w:rPr>
          <w:b/>
        </w:rPr>
        <w:t>Voie intra-articulaire</w:t>
      </w:r>
      <w:r>
        <w:t xml:space="preserve"> (principes applicables aux formes importées EUFLEXXA®, GO-ON®, SYNVISC®, etc.) :</w:t>
      </w:r>
    </w:p>
    <w:p>
      <w:pPr>
        <w:pStyle w:val="ListBullet"/>
      </w:pPr>
      <w:r/>
      <w:r>
        <w:rPr>
          <w:b/>
        </w:rPr>
        <w:t>Genou</w:t>
      </w:r>
      <w:r>
        <w:t xml:space="preserve"> : 1 injection intra-articulaire de 2 mL (selon produit) par semaine pendant 3 semaines (3 injections au total), OU 1 injection unique de 3-6 mL pour les produits réticulés (SYNVISC® One, GO-ON® Matrix, MONOVISC®)</w:t>
      </w:r>
    </w:p>
    <w:p>
      <w:pPr>
        <w:pStyle w:val="ListBullet"/>
      </w:pPr>
      <w:r/>
      <w:r>
        <w:rPr>
          <w:b/>
        </w:rPr>
        <w:t>Hanche</w:t>
      </w:r>
      <w:r>
        <w:t xml:space="preserve"> : 1 injection intra-articulaire de 2-3 mL, à renouveler 1-2 fois à 1 semaine d'intervalle selon le produit (échoguidage recommandé)</w:t>
      </w:r>
    </w:p>
    <w:p>
      <w:pPr>
        <w:pStyle w:val="ListBullet"/>
      </w:pPr>
      <w:r/>
      <w:r>
        <w:rPr>
          <w:b/>
        </w:rPr>
        <w:t>Rhizarthrose (1ʳᵉ CMC)</w:t>
      </w:r>
      <w:r>
        <w:t xml:space="preserve"> : 1 injection de 0,5-1 mL, à renouveler 1-2 fois à 1 semaine d'intervalle (échoguidage recommandé)</w:t>
      </w:r>
    </w:p>
    <w:p>
      <w:pPr>
        <w:pStyle w:val="ListBullet"/>
      </w:pPr>
      <w:r/>
      <w:r>
        <w:rPr>
          <w:b/>
        </w:rPr>
        <w:t>Cheville, épaule</w:t>
      </w:r>
      <w:r>
        <w:t xml:space="preserve"> : 1-2 mL par injection, à renouveler selon le produit</w:t>
      </w:r>
    </w:p>
    <w:p>
      <w:pPr>
        <w:pStyle w:val="ListBullet"/>
      </w:pPr>
      <w:r/>
      <w:r>
        <w:rPr>
          <w:b/>
        </w:rPr>
        <w:t>Intervalle entre cures</w:t>
      </w:r>
      <w:r>
        <w:t xml:space="preserve"> : minimum 6 mois entre deux cures (effet différé et prolongé)</w:t>
      </w:r>
    </w:p>
    <w:p>
      <w:pPr>
        <w:pStyle w:val="ListBullet"/>
      </w:pPr>
      <w:r/>
      <w:r>
        <w:rPr>
          <w:b/>
        </w:rPr>
        <w:t>Nombre maximal de cures</w:t>
      </w:r>
      <w:r>
        <w:t xml:space="preserve"> : pas de limite stricte, mais réévaluation annuelle du rapport bénéfice/risque (en raison du risque cumulé de granulome)</w:t>
      </w:r>
    </w:p>
    <w:p>
      <w:pPr>
        <w:pStyle w:val="ListBullet"/>
      </w:pPr>
      <w:r/>
      <w:r>
        <w:rPr>
          <w:b/>
        </w:rPr>
        <w:t>Repos articulaire relatif</w:t>
      </w:r>
      <w:r>
        <w:t xml:space="preserve"> dans les 48-72 heures suivant l'injection</w:t>
      </w:r>
    </w:p>
    <w:p>
      <w:pPr>
        <w:pStyle w:val="ListBullet"/>
      </w:pPr>
      <w:r/>
      <w:r>
        <w:rPr>
          <w:b/>
        </w:rPr>
        <w:t>Adaptation posologique</w:t>
      </w:r>
      <w:r>
        <w:t xml:space="preserve"> :</w:t>
      </w:r>
    </w:p>
    <w:p>
      <w:pPr>
        <w:pStyle w:val="ListBullet"/>
      </w:pPr>
      <w:r/>
      <w:r>
        <w:rPr>
          <w:b/>
        </w:rPr>
        <w:t>Insuffisance rénale</w:t>
      </w:r>
      <w:r>
        <w:t xml:space="preserve"> : pas d'adaptation posologique</w:t>
      </w:r>
    </w:p>
    <w:p>
      <w:pPr>
        <w:pStyle w:val="ListBullet"/>
      </w:pPr>
      <w:r/>
      <w:r>
        <w:rPr>
          <w:b/>
        </w:rPr>
        <w:t>Insuffisance hépatique</w:t>
      </w:r>
      <w:r>
        <w:t xml:space="preserve"> : pas d'adaptation posologique</w:t>
      </w:r>
    </w:p>
    <w:p>
      <w:pPr>
        <w:pStyle w:val="ListBullet"/>
      </w:pPr>
      <w:r/>
      <w:r>
        <w:rPr>
          <w:b/>
        </w:rPr>
        <w:t>Sujet âgé</w:t>
      </w:r>
      <w:r>
        <w:t xml:space="preserve"> : pas d'adaptation posologique</w:t>
      </w:r>
    </w:p>
    <w:p>
      <w:pPr>
        <w:pStyle w:val="ListBullet"/>
      </w:pPr>
      <w:r/>
      <w:r>
        <w:rPr>
          <w:b/>
        </w:rPr>
        <w:t>Enfant</w:t>
      </w:r>
      <w:r>
        <w:t xml:space="preserve"> : voie ophtalmologique &gt; 3 ans ; voie intra-articulaire hors AMM pédiatrique stricte</w:t>
      </w:r>
    </w:p>
    <w:p>
      <w:pPr>
        <w:pStyle w:val="ListBullet"/>
      </w:pPr>
      <w:r/>
      <w:r>
        <w:rPr>
          <w:b/>
        </w:rPr>
        <w:t>Grossesse</w:t>
      </w:r>
      <w:r>
        <w:t xml:space="preserve"> : voie ophtaminologique compatible ; voie intra-articulaire à éviter</w:t>
      </w:r>
    </w:p>
    <w:p>
      <w:pPr>
        <w:pStyle w:val="Heading3"/>
      </w:pPr>
      <w:r>
        <w:t>153.7.12 Surveillance et suivi du patient</w:t>
      </w:r>
    </w:p>
    <w:p>
      <w:r/>
      <w:r>
        <w:rPr>
          <w:b/>
        </w:rPr>
        <w:t>Bilan pré-thérapeutique</w:t>
      </w:r>
      <w:r>
        <w:t xml:space="preserve"> :</w:t>
      </w:r>
    </w:p>
    <w:p>
      <w:pPr>
        <w:pStyle w:val="ListBullet"/>
      </w:pPr>
      <w:r/>
      <w:r>
        <w:rPr>
          <w:b/>
        </w:rPr>
        <w:t>Voie ophtalmologique</w:t>
      </w:r>
      <w:r>
        <w:t xml:space="preserve"> : examen ophtalmologique à la lampe à fente (recherche de kératite, ulcère, syndrome sec sévère) ; TBUT (*Tear Break-Up Time*) ; test de Schirmer I et II (sans et avec anesthésie) ; recherche d'une cause sous-jacente (syndrome de Gougerot-Sjögren — bilan immunologique : facteur rhumatoïde, anti-SSA, anti-SSB ; syndrome sec médicamenteux — revue de l'ordonnance ; syndrome secs post-chirurgicaux — antécédents)</w:t>
      </w:r>
    </w:p>
    <w:p>
      <w:pPr>
        <w:pStyle w:val="ListBullet"/>
      </w:pPr>
      <w:r/>
      <w:r>
        <w:rPr>
          <w:b/>
        </w:rPr>
        <w:t>Voie intra-articulaire</w:t>
      </w:r>
      <w:r>
        <w:t xml:space="preserve"> : examen clinique articulaire (recherche d'épanchement, de déformation, de raideur, d'amplitude articulaire) ; radiographies (face + profil + schuss pour le genou, score de Kellgren-Lawrence) ; bilan inflammatoire (CRP, NFS) pour éliminer une arthrite inflammatoire ou septique ; échographie articulaire (recherche d'épanchement, de synovite, de lésion méniscale ou ligamentaire associée) ; évaluation de la douleur (EVA, WOMAC) et de la fonction (lequesne, KOOS-12 pour le genou)</w:t>
      </w:r>
    </w:p>
    <w:p>
      <w:r/>
      <w:r>
        <w:rPr>
          <w:b/>
        </w:rPr>
        <w:t>Surveillance pendant le traitement</w:t>
      </w:r>
      <w:r>
        <w:t xml:space="preserve"> :</w:t>
      </w:r>
    </w:p>
    <w:p>
      <w:pPr>
        <w:pStyle w:val="ListBullet"/>
      </w:pPr>
      <w:r/>
      <w:r>
        <w:rPr>
          <w:b/>
        </w:rPr>
        <w:t>Voie ophtalmologique</w:t>
      </w:r>
      <w:r>
        <w:t xml:space="preserve"> : consultation à 1 mois (efficacité, tolérance), puis tous les 3-6 mois ; évaluation du TBUT, test de Schirmer, examen à la lampe à fente (kératite ponctuée superficielle, conjonctivite allergique) ; évaluation de la fréquence d'instillation (adaptation) ; surveillance de l'observance</w:t>
      </w:r>
    </w:p>
    <w:p>
      <w:pPr>
        <w:pStyle w:val="ListBullet"/>
      </w:pPr>
      <w:r/>
      <w:r>
        <w:rPr>
          <w:b/>
        </w:rPr>
        <w:t>Voie intra-articulaire</w:t>
      </w:r>
      <w:r>
        <w:t xml:space="preserve"> : consultation de contrôle à 1-2 semaines (recherche de poussée inflammatoire, d'épanchement, d'infection) ; consultation d'efficacité à 1 mois (EVA, WOMAC, fonction articulaire) ; consultation à 3 mois (efficacité maximale attendue) ; consultation à 6 mois (décision de renouvellement éventuel) ; éducation du patient à consulter en urgence en cas de fièvre, douleur majeure, rougeur, chaleur, gonflement articulaire</w:t>
      </w:r>
    </w:p>
    <w:p>
      <w:r/>
      <w:r>
        <w:rPr>
          <w:b/>
        </w:rPr>
        <w:t>Critères d'arrêt</w:t>
      </w:r>
      <w:r>
        <w:t xml:space="preserve"> :</w:t>
      </w:r>
    </w:p>
    <w:p>
      <w:pPr>
        <w:pStyle w:val="ListBullet"/>
      </w:pPr>
      <w:r>
        <w:t>Effet indésirable grave (arthrite septique iatrogène, granulome, réaction anaphylactique)</w:t>
      </w:r>
    </w:p>
    <w:p>
      <w:pPr>
        <w:pStyle w:val="ListBullet"/>
      </w:pPr>
      <w:r>
        <w:t>Perte d'efficacité secondaire (efficacité de moins en moins prolongée à chaque cure)</w:t>
      </w:r>
    </w:p>
    <w:p>
      <w:pPr>
        <w:pStyle w:val="ListBullet"/>
      </w:pPr>
      <w:r>
        <w:t>Indication de prothèse articulaire (arthrose très avancée stade 4)</w:t>
      </w:r>
    </w:p>
    <w:p>
      <w:pPr>
        <w:pStyle w:val="ListBullet"/>
      </w:pPr>
      <w:r>
        <w:t>Apparition d'une contre-indication (arthrite inflammatoire, infection)</w:t>
      </w:r>
    </w:p>
    <w:p>
      <w:r/>
      <w:r>
        <w:rPr>
          <w:b/>
        </w:rPr>
        <w:t>Coordination pluridisciplinaire</w:t>
      </w:r>
      <w:r>
        <w:t xml:space="preserve"> :</w:t>
      </w:r>
    </w:p>
    <w:p>
      <w:pPr>
        <w:pStyle w:val="ListBullet"/>
      </w:pPr>
      <w:r/>
      <w:r>
        <w:rPr>
          <w:b/>
        </w:rPr>
        <w:t>Voie ophtalmologique</w:t>
      </w:r>
      <w:r>
        <w:t xml:space="preserve"> : ophtalmologue (suivi spécialisé) ; médecin traitant (dépistage des causes sous-jacentes, syndrome sec médicamenteux) ; pharmacien d'officine (éducation à l'instillation, à l'hygiène du flacon, à l'observance)</w:t>
      </w:r>
    </w:p>
    <w:p>
      <w:pPr>
        <w:pStyle w:val="ListBullet"/>
      </w:pPr>
      <w:r/>
      <w:r>
        <w:rPr>
          <w:b/>
        </w:rPr>
        <w:t>Voie intra-articulaire</w:t>
      </w:r>
      <w:r>
        <w:t xml:space="preserve"> : rhumatologue ou orthopédiste (réalisation des injections, suivi de l'efficacité) ; médecin traitant (suivi généraliste, gestion des comorbidités, AINS oraux) ; kinésithérapeute (rééducation articulaire, renforcement musculaire) ; nutritionniste ou diététicien (perte de poids si obésité) ; pharmacien d'officine (éducation à la posologie des AINS oraux, à la surveillance)</w:t>
      </w:r>
    </w:p>
    <w:p>
      <w:pPr>
        <w:pStyle w:val="Heading2"/>
      </w:pPr>
      <w:r>
        <w:t>153.8 Sous-classe : Chondroprotecteurs (SYSADOA)</w:t>
      </w:r>
    </w:p>
    <w:p>
      <w:r>
        <w:t xml:space="preserve">Les </w:t>
      </w:r>
      <w:r>
        <w:rPr>
          <w:b/>
        </w:rPr>
        <w:t>SYSADOA</w:t>
      </w:r>
      <w:r>
        <w:t xml:space="preserve"> (</w:t>
      </w:r>
      <w:r>
        <w:rPr>
          <w:i/>
        </w:rPr>
        <w:t>Symptomatic Slow-Acting Drugs for Osteoarthritis</w:t>
      </w:r>
      <w:r>
        <w:t xml:space="preserve">) constituent une classe hétérogène de traitements oraux de fond de l'arthrose, caractérisés par un délai d'action différé de 2 à 3 mois (d'où leur dénomination </w:t>
      </w:r>
      <w:r>
        <w:rPr>
          <w:i/>
        </w:rPr>
        <w:t>slow-acting</w:t>
      </w:r>
      <w:r>
        <w:t>), une efficacité modeste mais persistante après arrêt (</w:t>
      </w:r>
      <w:r>
        <w:rPr>
          <w:i/>
        </w:rPr>
        <w:t>carry-over effect</w:t>
      </w:r>
      <w:r>
        <w:t xml:space="preserve"> pendant 2-3 mois après l'arrêt), et un profil de tolérance généralement bon avec une prédominance de troubles digestifs fonctionnels. Les principaux SYSADOA sont : la </w:t>
      </w:r>
      <w:r>
        <w:rPr>
          <w:b/>
        </w:rPr>
        <w:t>diacéréine</w:t>
      </w:r>
      <w:r>
        <w:t xml:space="preserve"> (inhibiteur de l'IL-1β, dérivé de l'anthraquinone), la </w:t>
      </w:r>
      <w:r>
        <w:rPr>
          <w:b/>
        </w:rPr>
        <w:t>chondroïtine sulfate</w:t>
      </w:r>
      <w:r>
        <w:t xml:space="preserve"> (GAG macro-moléculaire), la </w:t>
      </w:r>
      <w:r>
        <w:rPr>
          <w:b/>
        </w:rPr>
        <w:t>glucosamine</w:t>
      </w:r>
      <w:r>
        <w:t xml:space="preserve"> (précurseur des GAG), les </w:t>
      </w:r>
      <w:r>
        <w:rPr>
          <w:b/>
        </w:rPr>
        <w:t>insaponifiables d'avocat et de soja</w:t>
      </w:r>
      <w:r>
        <w:t xml:space="preserve"> (ASU — anti-inflammatoires et chondroprotecteurs), la </w:t>
      </w:r>
      <w:r>
        <w:rPr>
          <w:b/>
        </w:rPr>
        <w:t>piascledine</w:t>
      </w:r>
      <w:r>
        <w:t xml:space="preserve"> (association d'insaponifiables d'avocat et de soja), et l'</w:t>
      </w:r>
      <w:r>
        <w:rPr>
          <w:b/>
        </w:rPr>
        <w:t>acide hyaluronique oral</w:t>
      </w:r>
      <w:r>
        <w:t xml:space="preserve"> (efficacité discutée). En Algérie, seule la </w:t>
      </w:r>
      <w:r>
        <w:rPr>
          <w:b/>
        </w:rPr>
        <w:t>diacéréine</w:t>
      </w:r>
      <w:r>
        <w:t xml:space="preserve"> est inscrite dans la nomenclature officielle (COMPLETE LISTE.xlsx Avril 2026) — deux spécialités actives (ARTROPI®, DIACENE 50®) en gélules de 50 mg, et une spécialité retirée (ART 50®) — la chondroïtine sulfate, la glucosamine et la piascledine n'étant pas inscrites à ce jour dans la nomenclature algérienne.</w:t>
      </w:r>
    </w:p>
    <w:p>
      <w:r>
        <w:t>Le positionnement des SYSADOA dans la stratégie thérapeutique de l'arthrose, selon les recommandations EULAR 2003 (premières recommandations spécifiques SYSADOA), EULAR 2020 (arthrose du genou et de la hanche) et OARSI 2019, est le suivant :</w:t>
      </w:r>
    </w:p>
    <w:p>
      <w:pPr>
        <w:pStyle w:val="ListBullet"/>
      </w:pPr>
      <w:r/>
      <w:r>
        <w:rPr>
          <w:b/>
        </w:rPr>
        <w:t>En cas d'arthrose modérée (stade 2-3 Kellgren-Lawrence) avec douleur mécanique modérée et échec du paracétamol</w:t>
      </w:r>
      <w:r>
        <w:t xml:space="preserve"> : alternative aux AINS chez les patients à risque digestif (âge &gt; 65 ans, antécédent d'ulcère gastro-duodénal, hémorragie digestive, AINS prolongés), cardiovasculaire (HTA, insuffisance cardiaque, post-IDM, post-AVC, insuffisance rénale), ou rénal (DFG &lt; 60 mL/min)</w:t>
      </w:r>
    </w:p>
    <w:p>
      <w:pPr>
        <w:pStyle w:val="ListBullet"/>
      </w:pPr>
      <w:r/>
      <w:r>
        <w:rPr>
          <w:b/>
        </w:rPr>
        <w:t>En complément d'une prise en charge globale</w:t>
      </w:r>
      <w:r>
        <w:t xml:space="preserve"> : perte de poids, kinésithérapie, activité physique adaptée, orthèses plantaires, canne de décharge, éducation thérapeutique</w:t>
      </w:r>
    </w:p>
    <w:p>
      <w:pPr>
        <w:pStyle w:val="ListBullet"/>
      </w:pPr>
      <w:r/>
      <w:r>
        <w:rPr>
          <w:b/>
        </w:rPr>
        <w:t>En alternative aux injections intra-articulaires</w:t>
      </w:r>
      <w:r>
        <w:t xml:space="preserve"> (corticoïdes, hyaluronate) en cas de refus du patient ou de contre-indication</w:t>
      </w:r>
    </w:p>
    <w:p>
      <w:pPr>
        <w:pStyle w:val="ListBullet"/>
      </w:pPr>
      <w:r/>
      <w:r>
        <w:rPr>
          <w:b/>
        </w:rPr>
        <w:t>En attendant la chirurgie prothétique</w:t>
      </w:r>
      <w:r>
        <w:t xml:space="preserve"> : efficacité modeste mais permettant une attente avec moins d'AINS</w:t>
      </w:r>
    </w:p>
    <w:p>
      <w:pPr>
        <w:pStyle w:val="ListBullet"/>
      </w:pPr>
      <w:r/>
      <w:r>
        <w:rPr>
          <w:b/>
        </w:rPr>
        <w:t>À éviter en cas d'arthrose très avancée</w:t>
      </w:r>
      <w:r>
        <w:t xml:space="preserve"> (stade 4 Kellgren-Lawrence) : efficacité moindre, chirurgie prothétique préférable</w:t>
      </w:r>
    </w:p>
    <w:p>
      <w:r>
        <w:t xml:space="preserve">La </w:t>
      </w:r>
      <w:r>
        <w:rPr>
          <w:b/>
        </w:rPr>
        <w:t>diacéréine</w:t>
      </w:r>
      <w:r>
        <w:t xml:space="preserve"> (diacétylrhéine, dérivé de la rhéine — anthraquinone extraite du séné ou de la rhubarbe) se distingue des autres SYSADOA par son </w:t>
      </w:r>
      <w:r>
        <w:rPr>
          <w:b/>
        </w:rPr>
        <w:t>mécanisme d'action spécifique</w:t>
      </w:r>
      <w:r>
        <w:t xml:space="preserve"> : inhibition de la production et de l'activité de l'</w:t>
      </w:r>
      <w:r>
        <w:rPr>
          <w:b/>
        </w:rPr>
        <w:t>interleukine-1β (IL-1β)</w:t>
      </w:r>
      <w:r>
        <w:t xml:space="preserve">, cytokine pro-inflammatoire clé dans la physiopathologie de l'arthrose (activation des chondrocytes, stimulation des MMP, inhibition de la synthèse de proteoglycanes, induction de l'apoptose chondrocytaire). La diacéréine inhibe l'expression de l'IL-1β au niveau transcriptionnel (voie NF-κB) et post-transcriptionnel, et inhibe également l'activité de l'IL-1β en bloquant son récepteur (IL-1R1) et en stimulant l'expression de l'antagoniste du récepteur de l'IL-1 (IL-1Ra). Son effet clinique est différé de 2 à 3 mois (effet </w:t>
      </w:r>
      <w:r>
        <w:rPr>
          <w:i/>
        </w:rPr>
        <w:t>slow-acting</w:t>
      </w:r>
      <w:r>
        <w:t>), avec une efficacité modeste mais significative sur la douleur mécanique (diminution de l'EVA de 10-15 mm vs placebo), la fonction articulaire (amélioration du WOMAC de 15-20 %) et potentiellement sur le ralentissement de la progression radiographique du pincement articulaire (étude ECHODIAK 2008-2014 : réduction significative du pincement fémoro-tibial à 3 ans vs placebo, mais taille d'effet modeste). Le profil de tolérance est dominé par les troubles digestifs fonctionnels (diarrhée 20-40 %, douleurs abdominales 5-10 %), transitoires et dose-dépendants (justifiant l'escalade posologique : 50 mg/jour pendant 2-4 semaines, puis 100 mg/jour en 2 prises), ainsi que par une coloration brunâtre des urines sans gravité (métabolite anthraquinonique). Le risque hépatique (cytolyse, cholestase, cas exceptionnels d'insuffisance hépatique) a justifié en 2014-2015 une recommandation de l'EMA/PRAC de surveillance hépatique (ALAT/ASAT avant initiation, à 1 mois, puis tous les 3 mois pendant le 1ᵉʳ trimestre) et de respect strict des contre-indications (insuffisance hépatique, antécédent de cytolyse sous diacéréine).</w:t>
      </w:r>
    </w:p>
    <w:p>
      <w:pPr>
        <w:pStyle w:val="Heading2"/>
      </w:pPr>
      <w:r>
        <w:t>153.9 DCI : Diacéréine</w:t>
      </w:r>
    </w:p>
    <w:p>
      <w:pPr>
        <w:pStyle w:val="Heading3"/>
      </w:pPr>
      <w:r>
        <w:t>153.9.1 Catégories thérapeutiques et place dans la stratégie</w:t>
      </w:r>
    </w:p>
    <w:p>
      <w:pPr>
        <w:pStyle w:val="ListBullet"/>
      </w:pPr>
      <w:r/>
      <w:r>
        <w:rPr>
          <w:b/>
        </w:rPr>
        <w:t>Classe ATC</w:t>
      </w:r>
      <w:r>
        <w:t xml:space="preserve"> : M01AX21 (Diacerein)</w:t>
      </w:r>
    </w:p>
    <w:p>
      <w:pPr>
        <w:pStyle w:val="ListBullet"/>
      </w:pPr>
      <w:r/>
      <w:r>
        <w:rPr>
          <w:b/>
        </w:rPr>
        <w:t>Sous-classe pharmacologique</w:t>
      </w:r>
      <w:r>
        <w:t xml:space="preserve"> : SYSADOA — Symptomatic Slow-Acting Drug for Osteoarthritis ; dérivé anthraquinonique (diacétylrhéine) ; inhibiteur de l'interleukine-1β</w:t>
      </w:r>
    </w:p>
    <w:p>
      <w:pPr>
        <w:pStyle w:val="ListBullet"/>
      </w:pPr>
      <w:r/>
      <w:r>
        <w:rPr>
          <w:b/>
        </w:rPr>
        <w:t>Liste des médicaments</w:t>
      </w:r>
      <w:r>
        <w:t xml:space="preserve"> : Liste I (prescription médicale obligatoire)</w:t>
      </w:r>
    </w:p>
    <w:p>
      <w:pPr>
        <w:pStyle w:val="ListBullet"/>
      </w:pPr>
      <w:r/>
      <w:r>
        <w:rPr>
          <w:b/>
        </w:rPr>
        <w:t>Statut réglementaire Algérie</w:t>
      </w:r>
      <w:r>
        <w:t xml:space="preserve"> : Liste I, commercialisé sous deux noms actifs — ARTROPI® (SARL API) et DIACENE 50® (SANAMED) en gélules de 50 mg ; une spécialité retirée — ART 50® (NEGMA) ; disponible en boîtes de 20 (ARTROPI®) et 30 (DIACENE 50®)</w:t>
      </w:r>
    </w:p>
    <w:p>
      <w:pPr>
        <w:pStyle w:val="ListBullet"/>
      </w:pPr>
      <w:r/>
      <w:r>
        <w:rPr>
          <w:b/>
        </w:rPr>
        <w:t>Place dans la stratégie</w:t>
      </w:r>
      <w:r>
        <w:t xml:space="preserve"> : SYSADOA indiqué dans l'arthrose fémoro-tibiale et coxo-fémorale modérée (stade 2-3 de Kellgren-Lawrence) avec douleur mécanique modérée, en cas d'échec du paracétamol et en alternative aux AINS chez les patients à risque digestif, cardiovasculaire ou rénal. Positionnement EULAR 2003-2020 : alternative de 2ᵉ intention, en complément d'une prise en charge globale (perte de poids, kinésithérapie, activité physique adaptée, orthèses, éducation thérapeutique). Effet différé de 2 à 3 mois (effet *slow-acting*), efficacité modeste mais persistante après arrêt (*carry-over effect* de 2-3 mois). En cas d'efficacité insuffisante à 6 mois, arrêt et orientation vers une alternative thérapeutique (AINS courte durée, injections intra-articulaires, chirurgie prothétique). Non indiqué dans l'arthrose très avancée (stade 4 Kellgren-Lawrence)</w:t>
      </w:r>
    </w:p>
    <w:p>
      <w:pPr>
        <w:pStyle w:val="ListBullet"/>
      </w:pPr>
      <w:r/>
      <w:r>
        <w:rPr>
          <w:b/>
        </w:rPr>
        <w:t>Index thérapeutique</w:t>
      </w:r>
      <w:r>
        <w:t xml:space="preserve"> : Large (marge thérapeutique importante) ; surveillance hépatique nécessaire (signal EMA/PRAC 2014-2015)</w:t>
      </w:r>
    </w:p>
    <w:p>
      <w:pPr>
        <w:pStyle w:val="ListBullet"/>
      </w:pPr>
      <w:r/>
      <w:r>
        <w:rPr>
          <w:b/>
        </w:rPr>
        <w:t>Grossesse/Allaitement</w:t>
      </w:r>
      <w:r>
        <w:t xml:space="preserve"> : Contre-indiqué (données animales tératogènes, données humaines limitées — CRAT : déconseillé, à éviter)</w:t>
      </w:r>
    </w:p>
    <w:p>
      <w:r>
        <w:t>La diacéréine (diacétylrhéine, dérivé de la rhéine — anthraquinone extraite du séné ou de la rhubarbe) a été développée dans les années 1990 par les laboratoires Negma (devenu SOBI puis racheté) sous le nom d'ART 50® en France. Son développement a été motivé par la mise en évidence, dans les années 1980, du rôle clé de l'interleukine-1β (IL-1β) dans la physiopathologie de l'arthrose (activation des chondrocytes, stimulation des MMP, inhibition de la synthèse de proteoglycanes, induction de l'apoptose chondrocytaire). La diacéréine a obtenu une AMM européenne en 1997 pour l'arthrose fémoro-tibiale et coxo-fémorale modérée, avec un positionnement de SYSADOA de 2ᵉ intention. En Algérie, la diacéréine a été commercialisée à partir des années 2000 sous le nom d'ART 50® (NEGMA, retiré), puis des génériques ARTROPI® (SARL API) et DIACENE 50® (SANAMED) ont été mis sur le marché. La spécialité ART 50® (NEGMA) a été retirée du marché algérien — vraisemblablement en raison de la mise à jour du DMOS et de l'arrêt de commercialisation par Negma/Laboratoires Mayoly-Spindler. Les deux spécialités actives disponibles (ARTROPI®, DIACENE 50®) sont remboursées par la sécurité sociale pour l'indication AMM arthrose fémoro-tibiale et coxo-fémorale modérée, à la posologie de 50 mg × 2/jour (escalade posologique 50 mg/jour pendant 2-4 semaines, puis 100 mg/jour en 2 prises).</w:t>
      </w:r>
    </w:p>
    <w:p>
      <w:pPr>
        <w:pStyle w:val="Heading3"/>
      </w:pPr>
      <w:r>
        <w:t>153.9.2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ARTROPI</w:t>
            </w:r>
          </w:p>
        </w:tc>
        <w:tc>
          <w:tcPr>
            <w:tcW w:type="dxa" w:w="1559"/>
          </w:tcPr>
          <w:p>
            <w:r>
              <w:rPr>
                <w:sz w:val="20"/>
              </w:rPr>
              <w:t>SARL API</w:t>
            </w:r>
          </w:p>
        </w:tc>
        <w:tc>
          <w:tcPr>
            <w:tcW w:type="dxa" w:w="1559"/>
          </w:tcPr>
          <w:p>
            <w:r>
              <w:rPr>
                <w:sz w:val="20"/>
              </w:rPr>
              <w:t>Gélule — 50 mg</w:t>
            </w:r>
          </w:p>
        </w:tc>
        <w:tc>
          <w:tcPr>
            <w:tcW w:type="dxa" w:w="1559"/>
          </w:tcPr>
          <w:p>
            <w:r>
              <w:rPr>
                <w:sz w:val="20"/>
              </w:rPr>
              <w:t>B/20</w:t>
            </w:r>
          </w:p>
        </w:tc>
        <w:tc>
          <w:tcPr>
            <w:tcW w:type="dxa" w:w="1559"/>
          </w:tcPr>
          <w:p>
            <w:r>
              <w:rPr>
                <w:sz w:val="20"/>
              </w:rPr>
              <w:t>LISTE I</w:t>
            </w:r>
          </w:p>
        </w:tc>
        <w:tc>
          <w:tcPr>
            <w:tcW w:type="dxa" w:w="1559"/>
          </w:tcPr>
          <w:p>
            <w:r>
              <w:rPr>
                <w:sz w:val="20"/>
              </w:rPr>
              <w:t>ACTIF</w:t>
            </w:r>
          </w:p>
        </w:tc>
      </w:tr>
      <w:tr>
        <w:tc>
          <w:tcPr>
            <w:tcW w:type="dxa" w:w="1559"/>
          </w:tcPr>
          <w:p>
            <w:r>
              <w:rPr>
                <w:sz w:val="20"/>
              </w:rPr>
              <w:t>DIACENE 50</w:t>
            </w:r>
          </w:p>
        </w:tc>
        <w:tc>
          <w:tcPr>
            <w:tcW w:type="dxa" w:w="1559"/>
          </w:tcPr>
          <w:p>
            <w:r>
              <w:rPr>
                <w:sz w:val="20"/>
              </w:rPr>
              <w:t>SANAMED</w:t>
            </w:r>
          </w:p>
        </w:tc>
        <w:tc>
          <w:tcPr>
            <w:tcW w:type="dxa" w:w="1559"/>
          </w:tcPr>
          <w:p>
            <w:r>
              <w:rPr>
                <w:sz w:val="20"/>
              </w:rPr>
              <w:t>Gélule — 50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ART 50</w:t>
            </w:r>
          </w:p>
        </w:tc>
        <w:tc>
          <w:tcPr>
            <w:tcW w:type="dxa" w:w="1559"/>
          </w:tcPr>
          <w:p>
            <w:r>
              <w:rPr>
                <w:sz w:val="20"/>
              </w:rPr>
              <w:t>NEGMA</w:t>
            </w:r>
          </w:p>
        </w:tc>
        <w:tc>
          <w:tcPr>
            <w:tcW w:type="dxa" w:w="1559"/>
          </w:tcPr>
          <w:p>
            <w:r>
              <w:rPr>
                <w:sz w:val="20"/>
              </w:rPr>
              <w:t>Gélule — 50 mg</w:t>
            </w:r>
          </w:p>
        </w:tc>
        <w:tc>
          <w:tcPr>
            <w:tcW w:type="dxa" w:w="1559"/>
          </w:tcPr>
          <w:p>
            <w:r>
              <w:rPr>
                <w:sz w:val="20"/>
              </w:rPr>
              <w:t>B/30</w:t>
            </w:r>
          </w:p>
        </w:tc>
        <w:tc>
          <w:tcPr>
            <w:tcW w:type="dxa" w:w="1559"/>
          </w:tcPr>
          <w:p>
            <w:r>
              <w:rPr>
                <w:sz w:val="20"/>
              </w:rPr>
              <w:t>LISTE I</w:t>
            </w:r>
          </w:p>
        </w:tc>
        <w:tc>
          <w:tcPr>
            <w:tcW w:type="dxa" w:w="1559"/>
          </w:tcPr>
          <w:p>
            <w:r>
              <w:rPr>
                <w:sz w:val="20"/>
              </w:rPr>
              <w:t>RETRAIT</w:t>
            </w:r>
          </w:p>
        </w:tc>
      </w:tr>
    </w:tbl>
    <w:p/>
    <w:p>
      <w:r/>
      <w:r>
        <w:rPr>
          <w:b/>
        </w:rPr>
        <w:t>Spécificités de dispensation</w:t>
      </w:r>
      <w:r>
        <w:t xml:space="preserve"> : Liste I (prescription médicale obligatoire). Prescription réservée aux médecins (généralistes ou spécialistes rhumatologues), renouvelable en ville. Le générique est disponible (deux spécialités actives en concurrence). La spécialité ART 50® (NEGMA) a été retirée du marché algérien (voir explication ci-dessus). Conservation : à température ambiante ≤ 25 °C, à l'abri de l'humidité et de la lumière, dans l'emballage d'origine. Durée de conservation : 36 mois (Date de Péremption inscrite sur l'emballage). Prévenir le patient de la coloration brunâtre des urines (sans gravité, liée au métabolite anthraquinonique — la rhéine) à la 1ʳᵉ dispensation pour éviter toute inquiétude.</w:t>
      </w:r>
    </w:p>
    <w:p>
      <w:pPr>
        <w:pStyle w:val="Heading3"/>
      </w:pPr>
      <w:r>
        <w:t>153.9.3 Mécanisme d'action</w:t>
      </w:r>
    </w:p>
    <w:p>
      <w:r>
        <w:t xml:space="preserve">La diacéréine est un </w:t>
      </w:r>
      <w:r>
        <w:rPr>
          <w:b/>
        </w:rPr>
        <w:t>précurseur prodrogue</w:t>
      </w:r>
      <w:r>
        <w:t xml:space="preserve"> de la </w:t>
      </w:r>
      <w:r>
        <w:rPr>
          <w:b/>
        </w:rPr>
        <w:t>rhéine</w:t>
      </w:r>
      <w:r>
        <w:t xml:space="preserve"> (acide 1,8-dihydroxy-3-carboxyl-anthraquinone), un dérivé anthraquinonique extrait des plantes du genre </w:t>
      </w:r>
      <w:r>
        <w:rPr>
          <w:i/>
        </w:rPr>
        <w:t>Rheum</w:t>
      </w:r>
      <w:r>
        <w:t xml:space="preserve"> (rhubarbe) et </w:t>
      </w:r>
      <w:r>
        <w:rPr>
          <w:i/>
        </w:rPr>
        <w:t>Cassia</w:t>
      </w:r>
      <w:r>
        <w:t xml:space="preserve"> (séné). Après absorption intestinale, la diacéréine est rapidement déacétylée par les estérases plasmatiques et hépatiques en </w:t>
      </w:r>
      <w:r>
        <w:rPr>
          <w:b/>
        </w:rPr>
        <w:t>rhéine</w:t>
      </w:r>
      <w:r>
        <w:t>, métabolite actif responsable de l'effet pharmacologique.</w:t>
      </w:r>
    </w:p>
    <w:p>
      <w:r>
        <w:t xml:space="preserve">La rhéine exerce son action pharmacologique principalement par </w:t>
      </w:r>
      <w:r>
        <w:rPr>
          <w:b/>
        </w:rPr>
        <w:t>inhibition de la production et de l'activité de l'interleukine-1β (IL-1β)</w:t>
      </w:r>
      <w:r>
        <w:t>, cytokine pro-inflammatoire clé dans la physiopathologie de l'arthrose :</w:t>
      </w:r>
    </w:p>
    <w:p>
      <w:pPr>
        <w:pStyle w:val="ListNumber"/>
      </w:pPr>
      <w:r/>
      <w:r>
        <w:rPr>
          <w:b/>
        </w:rPr>
        <w:t>Inhibition de la production d'IL-1β</w:t>
      </w:r>
      <w:r>
        <w:t xml:space="preserve"> :</w:t>
      </w:r>
    </w:p>
    <w:p>
      <w:pPr>
        <w:pStyle w:val="ListBullet"/>
      </w:pPr>
      <w:r/>
      <w:r>
        <w:rPr>
          <w:b/>
        </w:rPr>
        <w:t>Inhibition transcriptionnelle</w:t>
      </w:r>
      <w:r>
        <w:t xml:space="preserve"> : la rhéine inhibe l'activation du facteur de transcription NF-κB (*Nuclear Factor-kappa B*) dans les macrophages, les chondrocytes et les synoviocytes, réduisant la transcription du gène de l'IL-1β</w:t>
      </w:r>
    </w:p>
    <w:p>
      <w:pPr>
        <w:pStyle w:val="ListBullet"/>
      </w:pPr>
      <w:r/>
      <w:r>
        <w:rPr>
          <w:b/>
        </w:rPr>
        <w:t>Inhibition post-transcriptionnelle</w:t>
      </w:r>
      <w:r>
        <w:t xml:space="preserve"> : la rhéine inhibe la maturation de l'IL-1β pro-forme en IL-1β active, via l'inhibition de la caspase-1 (ICE — *Interleukin-1 Converting Enzyme*) qui clive la pro-IL-1β en IL-1β active</w:t>
      </w:r>
    </w:p>
    <w:p>
      <w:pPr>
        <w:pStyle w:val="ListNumber"/>
      </w:pPr>
      <w:r/>
      <w:r>
        <w:rPr>
          <w:b/>
        </w:rPr>
        <w:t>Inhibition de l'activité de l'IL-1β</w:t>
      </w:r>
      <w:r>
        <w:t xml:space="preserve"> :</w:t>
      </w:r>
    </w:p>
    <w:p>
      <w:pPr>
        <w:pStyle w:val="ListBullet"/>
      </w:pPr>
      <w:r/>
      <w:r>
        <w:rPr>
          <w:b/>
        </w:rPr>
        <w:t>Inhibition du récepteur de l'IL-1 (IL-1R1)</w:t>
      </w:r>
      <w:r>
        <w:t xml:space="preserve"> : la rhéine inhibe l'expression de surface du récepteur IL-1R1 sur les chondrocytes et les synoviocytes, réduisant la signalisation IL-1β</w:t>
      </w:r>
    </w:p>
    <w:p>
      <w:pPr>
        <w:pStyle w:val="ListBullet"/>
      </w:pPr>
      <w:r/>
      <w:r>
        <w:rPr>
          <w:b/>
        </w:rPr>
        <w:t>Stimulation de l'antagoniste du récepteur de l'IL-1 (IL-1Ra)</w:t>
      </w:r>
      <w:r>
        <w:t xml:space="preserve"> : la rhéine stimule la production d'IL-1Ra, protéine naturellement antagoniste de l'IL-1β en bloquant son récepteur sans l'activer — effet clé du mécanisme de la diacéréine</w:t>
      </w:r>
    </w:p>
    <w:p>
      <w:pPr>
        <w:pStyle w:val="ListNumber"/>
      </w:pPr>
      <w:r/>
      <w:r>
        <w:rPr>
          <w:b/>
        </w:rPr>
        <w:t>Effets chondroprotecteurs directs</w:t>
      </w:r>
      <w:r>
        <w:t xml:space="preserve"> :</w:t>
      </w:r>
    </w:p>
    <w:p>
      <w:pPr>
        <w:pStyle w:val="ListBullet"/>
      </w:pPr>
      <w:r/>
      <w:r>
        <w:rPr>
          <w:b/>
        </w:rPr>
        <w:t>Inhibition des métalloprotéinases</w:t>
      </w:r>
      <w:r>
        <w:t xml:space="preserve"> (MMP-1, MMP-3, MMP-13) et des </w:t>
      </w:r>
      <w:r>
        <w:rPr>
          <w:b/>
        </w:rPr>
        <w:t>ADAMTS</w:t>
      </w:r>
      <w:r>
        <w:t xml:space="preserve"> (aggrecanases) : réduction de la dégradation de la matrice cartilagineuse (collagène de type II, aggrecane)</w:t>
      </w:r>
    </w:p>
    <w:p>
      <w:pPr>
        <w:pStyle w:val="ListBullet"/>
      </w:pPr>
      <w:r/>
      <w:r>
        <w:rPr>
          <w:b/>
        </w:rPr>
        <w:t>Stimulation de la synthèse de proteoglycanes</w:t>
      </w:r>
      <w:r>
        <w:t xml:space="preserve"> et de collagène de type II par les chondrocytes : effet anabolique sur le cartilage</w:t>
      </w:r>
    </w:p>
    <w:p>
      <w:pPr>
        <w:pStyle w:val="ListBullet"/>
      </w:pPr>
      <w:r/>
      <w:r>
        <w:rPr>
          <w:b/>
        </w:rPr>
        <w:t>Inhibition de l'apoptose chondrocytaire</w:t>
      </w:r>
      <w:r>
        <w:t xml:space="preserve"> : réduction de l'expression de caspase-3 et de Bax, stimulation de Bcl-2 (effet anti-apoptotique)</w:t>
      </w:r>
    </w:p>
    <w:p>
      <w:pPr>
        <w:pStyle w:val="ListBullet"/>
      </w:pPr>
      <w:r/>
      <w:r>
        <w:rPr>
          <w:b/>
        </w:rPr>
        <w:t>Réduction de la production de radicaux libres</w:t>
      </w:r>
      <w:r>
        <w:t xml:space="preserve"> (NO, superoxyde) et de médiateurs inflammatoires (PGE2, TNF-α, IL-6) par les chondrocytes et les synoviocytes</w:t>
      </w:r>
    </w:p>
    <w:p>
      <w:pPr>
        <w:pStyle w:val="ListNumber"/>
      </w:pPr>
      <w:r/>
      <w:r>
        <w:rPr>
          <w:b/>
        </w:rPr>
        <w:t>Effets anti-inflammatoires modérés</w:t>
      </w:r>
      <w:r>
        <w:t xml:space="preserve"> :</w:t>
      </w:r>
    </w:p>
    <w:p>
      <w:pPr>
        <w:pStyle w:val="ListBullet"/>
      </w:pPr>
      <w:r>
        <w:t>Réduction de l'infiltrat inflammatoire synovial</w:t>
      </w:r>
    </w:p>
    <w:p>
      <w:pPr>
        <w:pStyle w:val="ListBullet"/>
      </w:pPr>
      <w:r>
        <w:t>Inhibition de la cyclo-oxygénase-2 (COX-2) — effet anti-inflammatoire modéré, inférieur aux AINS</w:t>
      </w:r>
    </w:p>
    <w:p>
      <w:r>
        <w:t xml:space="preserve">L'effet clinique est </w:t>
      </w:r>
      <w:r>
        <w:rPr>
          <w:b/>
        </w:rPr>
        <w:t>différé de 2 à 3 mois</w:t>
      </w:r>
      <w:r>
        <w:t xml:space="preserve"> (effet </w:t>
      </w:r>
      <w:r>
        <w:rPr>
          <w:i/>
        </w:rPr>
        <w:t>slow-acting</w:t>
      </w:r>
      <w:r>
        <w:t>), en raison du temps nécessaire à la modification du microenvironnement cytokinique articulaire et à la modification du métabolisme chondrocytaire. L'efficacité se maintient pendant 2-3 mois après l'arrêt du traitement (</w:t>
      </w:r>
      <w:r>
        <w:rPr>
          <w:i/>
        </w:rPr>
        <w:t>carry-over effect</w:t>
      </w:r>
      <w:r>
        <w:t>), en raison de la persistance des modifications biochimiques articulaires.</w:t>
      </w:r>
    </w:p>
    <w:p>
      <w:pPr>
        <w:pStyle w:val="Heading3"/>
      </w:pPr>
      <w:r>
        <w:t>153.9.4 Pharmacocinétique</w:t>
      </w:r>
    </w:p>
    <w:p>
      <w:r>
        <w:t>La diacéréine est administrée par voie orale sous forme de prodrogue, rapidement convertie en métabolite actif (la rhéine) après absorption. La pharmacocinétique est caractérisée par :</w:t>
      </w:r>
    </w:p>
    <w:p>
      <w:pPr>
        <w:pStyle w:val="ListBullet"/>
      </w:pPr>
      <w:r/>
      <w:r>
        <w:rPr>
          <w:b/>
        </w:rPr>
        <w:t>Absorption</w:t>
      </w:r>
      <w:r>
        <w:t xml:space="preserve"> : biodisponibilité orale de la diacéréine proche de 30-50 % (variation interindividuelle importante) ; Tmax de 1-2 heures après prise orale ; absorption réduite si prise au cours d'un repas riche en fibres (effet de capture par les fibres alimentaires) — recommandation de prendre la diacéréine en dehors des repas (1/2 heure avant ou 1 heure après)</w:t>
      </w:r>
    </w:p>
    <w:p>
      <w:pPr>
        <w:pStyle w:val="ListBullet"/>
      </w:pPr>
      <w:r/>
      <w:r>
        <w:rPr>
          <w:b/>
        </w:rPr>
        <w:t>Distribution</w:t>
      </w:r>
      <w:r>
        <w:t xml:space="preserve"> : la rhéine diffuse dans la circulation systémique et atteint la cavité articulaire (concentration synoviale ≈ 30-50 % de la concentration plasmatique) ; liaison aux protéines plasmatiques élevée (&gt; 95 %), principalement à l'albumine ; volume de distribution ≈ 0,2-0,3 L/kg</w:t>
      </w:r>
    </w:p>
    <w:p>
      <w:pPr>
        <w:pStyle w:val="ListBullet"/>
      </w:pPr>
      <w:r/>
      <w:r>
        <w:rPr>
          <w:b/>
        </w:rPr>
        <w:t>Métabolisme</w:t>
      </w:r>
      <w:r>
        <w:t xml:space="preserve"> : la diacéréine est rapidement déacétylée en rhéine par les estérases plasmatiques et hépatiques ; la rhéine subit une glucuro-conjugaison et une sulfo-conjugaison hépatiques, avec formation de métabolites glucuro et sulfo-conjugués (rhéine-glucuronide, rhéine-sulfate), eux-mêmes pharmacologiquement actifs à un degré moindre ; métabolisme hépatique principal via les UGT (UDP-glucuronosyltransférases) — pas d'implication significative des cytochromes P450</w:t>
      </w:r>
    </w:p>
    <w:p>
      <w:pPr>
        <w:pStyle w:val="ListBullet"/>
      </w:pPr>
      <w:r/>
      <w:r>
        <w:rPr>
          <w:b/>
        </w:rPr>
        <w:t>Demi-vie d'élimination</w:t>
      </w:r>
      <w:r>
        <w:t xml:space="preserve"> : demi-vie plasmatique de la rhéine de 4 à 6 heures ; demi-vie synoviale plus prolongée (effet *slow-acting* expliqué en partie par la persistance de la rhéine dans la cavité articulaire)</w:t>
      </w:r>
    </w:p>
    <w:p>
      <w:pPr>
        <w:pStyle w:val="ListBullet"/>
      </w:pPr>
      <w:r/>
      <w:r>
        <w:rPr>
          <w:b/>
        </w:rPr>
        <w:t>Élimination</w:t>
      </w:r>
      <w:r>
        <w:t xml:space="preserve"> : élimination principalement rénale (70-80 %) sous forme de métabolites glucuro et sulfo-conjugués ; élimination biliaire et fécale pour 20-30 % ; excrétion urinaire de la rhéine inchangée négligeable</w:t>
      </w:r>
    </w:p>
    <w:p>
      <w:pPr>
        <w:pStyle w:val="ListBullet"/>
      </w:pPr>
      <w:r/>
      <w:r>
        <w:rPr>
          <w:b/>
        </w:rPr>
        <w:t>Insuffisance rénale</w:t>
      </w:r>
      <w:r>
        <w:t xml:space="preserve"> : augmentation de l'ASC plasmatique et de la demi-vie chez l'insuffisant rénal (DFG &lt; 60 mL/min) — adaptation posologique nécessaire (réduction de 50 % à 50 mg × 1/jour) ; contre-indication en cas d'insuffisance rénale sévère (DFG &lt; 30 mL/min)</w:t>
      </w:r>
    </w:p>
    <w:p>
      <w:pPr>
        <w:pStyle w:val="ListBullet"/>
      </w:pPr>
      <w:r/>
      <w:r>
        <w:rPr>
          <w:b/>
        </w:rPr>
        <w:t>Insuffisance hépatique</w:t>
      </w:r>
      <w:r>
        <w:t xml:space="preserve"> : métabolisme hépatique de la diacéréine, contre-indication en cas d'insuffisance hépatique sévère (Child-Pugh C) ; surveillance hépatique renforcée en cas d'insuffisance hépatique modérée (Child-Pugh B)</w:t>
      </w:r>
    </w:p>
    <w:p>
      <w:pPr>
        <w:pStyle w:val="ListBullet"/>
      </w:pPr>
      <w:r/>
      <w:r>
        <w:rPr>
          <w:b/>
        </w:rPr>
        <w:t>Sujet âgé</w:t>
      </w:r>
      <w:r>
        <w:t xml:space="preserve"> : pas d'adaptation posologique systématique, mais surveillance hépatique et rénale renforcée</w:t>
      </w:r>
    </w:p>
    <w:p>
      <w:pPr>
        <w:pStyle w:val="ListBullet"/>
      </w:pPr>
      <w:r/>
      <w:r>
        <w:rPr>
          <w:b/>
        </w:rPr>
        <w:t>Enfant</w:t>
      </w:r>
      <w:r>
        <w:t xml:space="preserve"> : non indiqué chez l'enfant (&lt; 15 ans), données limitées</w:t>
      </w:r>
    </w:p>
    <w:p>
      <w:pPr>
        <w:pStyle w:val="ListBullet"/>
      </w:pPr>
      <w:r/>
      <w:r>
        <w:rPr>
          <w:b/>
        </w:rPr>
        <w:t>Grossesse</w:t>
      </w:r>
      <w:r>
        <w:t xml:space="preserve"> : contre-indiqué (voir section CRAT)</w:t>
      </w:r>
    </w:p>
    <w:p>
      <w:pPr>
        <w:pStyle w:val="ListBullet"/>
      </w:pPr>
      <w:r/>
      <w:r>
        <w:rPr>
          <w:b/>
        </w:rPr>
        <w:t>Allaitement</w:t>
      </w:r>
      <w:r>
        <w:t xml:space="preserve"> : contre-indiqué (voir section CRAT)</w:t>
      </w:r>
    </w:p>
    <w:p>
      <w:pPr>
        <w:pStyle w:val="Heading3"/>
      </w:pPr>
      <w:r>
        <w:t>153.9.5 Indications thérapeutiques</w:t>
      </w:r>
    </w:p>
    <w:p>
      <w:pPr>
        <w:pStyle w:val="ListBullet"/>
      </w:pPr>
      <w:r/>
      <w:r>
        <w:rPr>
          <w:b/>
        </w:rPr>
        <w:t>Arthrose fémoro-tibiale (genou) modérée</w:t>
      </w:r>
      <w:r>
        <w:t xml:space="preserve"> (stade 2-3 de Kellgren-Lawrence) avec douleur mécanique modérée, en cas d'échec du paracétamol et en alternative aux AINS chez les patients à risque digestif, cardiovasculaire ou rénal. Indication AMM européenne et algérienne. Posologie : 50 mg × 2/jour (escalade posologique : 50 mg/jour pendant 2-4 semaines, puis 100 mg/jour en 2 prises). Durée du traitement : 3-6 mois minimum pour évaluation de l'efficacité ; en cas d'efficacité, poursuite au long cours (réévaluation annuelle)</w:t>
      </w:r>
    </w:p>
    <w:p>
      <w:pPr>
        <w:pStyle w:val="ListBullet"/>
      </w:pPr>
      <w:r/>
      <w:r>
        <w:rPr>
          <w:b/>
        </w:rPr>
        <w:t>Arthrose coxo-fémorale (hanche) modérée</w:t>
      </w:r>
      <w:r>
        <w:t xml:space="preserve"> : indication AMM européenne et algérienne. Posologie identique. Efficacité moindre que dans l'arthrose du genou</w:t>
      </w:r>
    </w:p>
    <w:p>
      <w:pPr>
        <w:pStyle w:val="ListBullet"/>
      </w:pPr>
      <w:r/>
      <w:r>
        <w:rPr>
          <w:b/>
        </w:rPr>
        <w:t>Arthrose fémoro-patellaire</w:t>
      </w:r>
      <w:r>
        <w:t xml:space="preserve"> isolée ou associée : indication hors AMM, données limitées</w:t>
      </w:r>
    </w:p>
    <w:p>
      <w:pPr>
        <w:pStyle w:val="ListBullet"/>
      </w:pPr>
      <w:r/>
      <w:r>
        <w:rPr>
          <w:b/>
        </w:rPr>
        <w:t>Arthrose digitale</w:t>
      </w:r>
      <w:r>
        <w:t xml:space="preserve"> (interphalangiennes proximales et distales, 1ʳᵉ carpométacarpienne) : indication hors AMM, données limitées (étude randomisée positive dans la rhizarthrose, mais échantillon limité)</w:t>
      </w:r>
    </w:p>
    <w:p>
      <w:pPr>
        <w:pStyle w:val="ListBullet"/>
      </w:pPr>
      <w:r/>
      <w:r>
        <w:rPr>
          <w:b/>
        </w:rPr>
        <w:t>Maladie de Forestier</w:t>
      </w:r>
      <w:r>
        <w:t xml:space="preserve"> (hyperostose vertébrale ankylosante) : indication hors AMM, données limitées</w:t>
      </w:r>
    </w:p>
    <w:p>
      <w:pPr>
        <w:pStyle w:val="ListBullet"/>
      </w:pPr>
      <w:r/>
      <w:r>
        <w:rPr>
          <w:b/>
        </w:rPr>
        <w:t>En complément d'une prise en charge globale</w:t>
      </w:r>
      <w:r>
        <w:t xml:space="preserve"> : perte de poids, kinésithérapie, activité physique adaptée, orthèses plantaires, canne de décharge, éducation thérapeutique</w:t>
      </w:r>
    </w:p>
    <w:p>
      <w:pPr>
        <w:pStyle w:val="ListBullet"/>
      </w:pPr>
      <w:r/>
      <w:r>
        <w:rPr>
          <w:b/>
        </w:rPr>
        <w:t>Non indiqué dans</w:t>
      </w:r>
      <w:r>
        <w:t xml:space="preserve"> : arthrose très avancée (stade 4 Kellgren-Lawrence), arthrite inflammatoire (PR, SpA, goutte), arthrose post-traumatique récente, enfant &lt; 15 ans, grossesse, allaitement</w:t>
      </w:r>
    </w:p>
    <w:p>
      <w:pPr>
        <w:pStyle w:val="Heading3"/>
      </w:pPr>
      <w:r>
        <w:t>153.9.6 Contre-indications</w:t>
      </w:r>
    </w:p>
    <w:p>
      <w:pPr>
        <w:pStyle w:val="ListBullet"/>
      </w:pPr>
      <w:r/>
      <w:r>
        <w:rPr>
          <w:b/>
        </w:rPr>
        <w:t>Contre-indications absolues</w:t>
      </w:r>
      <w:r>
        <w:t xml:space="preserve"> :</w:t>
      </w:r>
    </w:p>
    <w:p>
      <w:pPr>
        <w:pStyle w:val="ListBullet"/>
      </w:pPr>
      <w:r/>
      <w:r>
        <w:rPr>
          <w:b/>
        </w:rPr>
        <w:t>Hypersensibilité à la diacéréine, à la rhéine ou aux dérivés anthraquinoniques</w:t>
      </w:r>
      <w:r>
        <w:t xml:space="preserve"> (séné, cascara, aloès, rhubarbe)</w:t>
      </w:r>
    </w:p>
    <w:p>
      <w:pPr>
        <w:pStyle w:val="ListBullet"/>
      </w:pPr>
      <w:r/>
      <w:r>
        <w:rPr>
          <w:b/>
        </w:rPr>
        <w:t>Insuffisance hépatique sévère</w:t>
      </w:r>
      <w:r>
        <w:t xml:space="preserve"> (Child-Pugh C) ou antécédent de cytolyse hépatique sous diacéréine</w:t>
      </w:r>
    </w:p>
    <w:p>
      <w:pPr>
        <w:pStyle w:val="ListBullet"/>
      </w:pPr>
      <w:r/>
      <w:r>
        <w:rPr>
          <w:b/>
        </w:rPr>
        <w:t>Insuffisance rénale sévère</w:t>
      </w:r>
      <w:r>
        <w:t xml:space="preserve"> (DFG &lt; 30 mL/min)</w:t>
      </w:r>
    </w:p>
    <w:p>
      <w:pPr>
        <w:pStyle w:val="ListBullet"/>
      </w:pPr>
      <w:r/>
      <w:r>
        <w:rPr>
          <w:b/>
        </w:rPr>
        <w:t>Maladie inflammatoire de l'intestin</w:t>
      </w:r>
      <w:r>
        <w:t xml:space="preserve"> en poussée (maladie de Crohn, rectocolite hémorragique) — sur-risque de diarrhée sévère et de perforation digestive</w:t>
      </w:r>
    </w:p>
    <w:p>
      <w:pPr>
        <w:pStyle w:val="ListBullet"/>
      </w:pPr>
      <w:r/>
      <w:r>
        <w:rPr>
          <w:b/>
        </w:rPr>
        <w:t>Occlusion ou sub-occlusion intestinale</w:t>
      </w:r>
      <w:r>
        <w:t xml:space="preserve"> : sur-risque d'aggravation</w:t>
      </w:r>
    </w:p>
    <w:p>
      <w:pPr>
        <w:pStyle w:val="ListBullet"/>
      </w:pPr>
      <w:r/>
      <w:r>
        <w:rPr>
          <w:b/>
        </w:rPr>
        <w:t>Syndrome occlusif abdominal</w:t>
      </w:r>
      <w:r>
        <w:t xml:space="preserve"> : sur-risque d'aggravation</w:t>
      </w:r>
    </w:p>
    <w:p>
      <w:pPr>
        <w:pStyle w:val="ListBullet"/>
      </w:pPr>
      <w:r/>
      <w:r>
        <w:rPr>
          <w:b/>
        </w:rPr>
        <w:t>Douleurs abdominales inexpliquées</w:t>
      </w:r>
      <w:r>
        <w:t xml:space="preserve"> : à explorer avant initiation (risque de masquer une pathologie sous-jacente)</w:t>
      </w:r>
    </w:p>
    <w:p>
      <w:pPr>
        <w:pStyle w:val="ListBullet"/>
      </w:pPr>
      <w:r/>
      <w:r>
        <w:rPr>
          <w:b/>
        </w:rPr>
        <w:t>Grossesse et allaitement</w:t>
      </w:r>
      <w:r>
        <w:t xml:space="preserve"> (voir section CRAT)</w:t>
      </w:r>
    </w:p>
    <w:p>
      <w:pPr>
        <w:pStyle w:val="ListBullet"/>
      </w:pPr>
      <w:r/>
      <w:r>
        <w:rPr>
          <w:b/>
        </w:rPr>
        <w:t>Enfant &lt; 15 ans</w:t>
      </w:r>
      <w:r>
        <w:t xml:space="preserve"> : données limitées</w:t>
      </w:r>
    </w:p>
    <w:p>
      <w:pPr>
        <w:pStyle w:val="ListBullet"/>
      </w:pPr>
      <w:r/>
      <w:r>
        <w:rPr>
          <w:b/>
        </w:rPr>
        <w:t>Contre-indications relatives / Précautions d'emploi</w:t>
      </w:r>
      <w:r>
        <w:t xml:space="preserve"> :</w:t>
      </w:r>
    </w:p>
    <w:p>
      <w:pPr>
        <w:pStyle w:val="ListBullet"/>
      </w:pPr>
      <w:r/>
      <w:r>
        <w:rPr>
          <w:b/>
        </w:rPr>
        <w:t>Insuffisance hépatique modérée</w:t>
      </w:r>
      <w:r>
        <w:t xml:space="preserve"> (Child-Pugh B) : surveillance hépatique renforcée (ALAT/ASAT à 1 mois, 3 mois, puis tous les 3 mois pendant le 1ᵉʳ trimestre)</w:t>
      </w:r>
    </w:p>
    <w:p>
      <w:pPr>
        <w:pStyle w:val="ListBullet"/>
      </w:pPr>
      <w:r/>
      <w:r>
        <w:rPr>
          <w:b/>
        </w:rPr>
        <w:t>Insuffisance rénale modérée</w:t>
      </w:r>
      <w:r>
        <w:t xml:space="preserve"> (DFG 30-60 mL/min) : adaptation posologique à 50 mg × 1/jour</w:t>
      </w:r>
    </w:p>
    <w:p>
      <w:pPr>
        <w:pStyle w:val="ListBullet"/>
      </w:pPr>
      <w:r/>
      <w:r>
        <w:rPr>
          <w:b/>
        </w:rPr>
        <w:t>Antécédent d'ulcère gastro-duodénal</w:t>
      </w:r>
      <w:r>
        <w:t xml:space="preserve"> : prudence, surveillance clinique</w:t>
      </w:r>
    </w:p>
    <w:p>
      <w:pPr>
        <w:pStyle w:val="ListBullet"/>
      </w:pPr>
      <w:r/>
      <w:r>
        <w:rPr>
          <w:b/>
        </w:rPr>
        <w:t>Antécédent de diverticulose</w:t>
      </w:r>
      <w:r>
        <w:t xml:space="preserve"> ou de </w:t>
      </w:r>
      <w:r>
        <w:rPr>
          <w:b/>
        </w:rPr>
        <w:t>diverticulite</w:t>
      </w:r>
      <w:r>
        <w:t xml:space="preserve"> : sur-risque de perforation digestive (la diacéréine a un effet laxatif lié à la rhéine anthraquinonique)</w:t>
      </w:r>
    </w:p>
    <w:p>
      <w:pPr>
        <w:pStyle w:val="ListBullet"/>
      </w:pPr>
      <w:r/>
      <w:r>
        <w:rPr>
          <w:b/>
        </w:rPr>
        <w:t>Constipation chronique sévère</w:t>
      </w:r>
      <w:r>
        <w:t xml:space="preserve"> : prudence, surveillance clinique</w:t>
      </w:r>
    </w:p>
    <w:p>
      <w:pPr>
        <w:pStyle w:val="ListBullet"/>
      </w:pPr>
      <w:r/>
      <w:r>
        <w:rPr>
          <w:b/>
        </w:rPr>
        <w:t>Sujet âgé &gt; 65 ans</w:t>
      </w:r>
      <w:r>
        <w:t xml:space="preserve"> : surveillance hépatique et rénale renforcée, adaptation posologique</w:t>
      </w:r>
    </w:p>
    <w:p>
      <w:pPr>
        <w:pStyle w:val="ListBullet"/>
      </w:pPr>
      <w:r/>
      <w:r>
        <w:rPr>
          <w:b/>
        </w:rPr>
        <w:t>Diabète déséquilibré</w:t>
      </w:r>
      <w:r>
        <w:t xml:space="preserve"> : prudence (la diacéréine peut modifier l'absorption intestinale des sucres par effet laxatif)</w:t>
      </w:r>
    </w:p>
    <w:p>
      <w:pPr>
        <w:pStyle w:val="ListBullet"/>
      </w:pPr>
      <w:r/>
      <w:r>
        <w:rPr>
          <w:b/>
        </w:rPr>
        <w:t>Hypokaliémie</w:t>
      </w:r>
      <w:r>
        <w:t xml:space="preserve"> : prudence (la diacéréine peut aggraver l'hypokaliémie par effet laxatif, majorant le risque de troubles du rythme cardiaque en cas de traitement digitalique associé)</w:t>
      </w:r>
    </w:p>
    <w:p>
      <w:pPr>
        <w:pStyle w:val="ListBullet"/>
      </w:pPr>
      <w:r/>
      <w:r>
        <w:rPr>
          <w:b/>
        </w:rPr>
        <w:t>Patient porteur d'une stomie digestive</w:t>
      </w:r>
      <w:r>
        <w:t xml:space="preserve"> (colostomie, iléostomie) : prudence</w:t>
      </w:r>
    </w:p>
    <w:p>
      <w:pPr>
        <w:pStyle w:val="ListBullet"/>
      </w:pPr>
      <w:r/>
      <w:r>
        <w:rPr>
          <w:b/>
        </w:rPr>
        <w:t>Traitement associé par laxatifs</w:t>
      </w:r>
      <w:r>
        <w:t xml:space="preserve"> : à éviter, sur-risque de diarrhée sévère</w:t>
      </w:r>
    </w:p>
    <w:p>
      <w:pPr>
        <w:pStyle w:val="Heading3"/>
      </w:pPr>
      <w:r>
        <w:t>153.9.7 Effets indésirables</w:t>
      </w:r>
    </w:p>
    <w:p>
      <w:r/>
      <w:r>
        <w:rPr>
          <w:b/>
        </w:rPr>
        <w:t>Digestifs</w:t>
      </w:r>
      <w:r>
        <w:t xml:space="preserve"> (les plus fréquents et dose-dépendants) :</w:t>
      </w:r>
    </w:p>
    <w:p>
      <w:pPr>
        <w:pStyle w:val="ListBullet"/>
      </w:pPr>
      <w:r/>
      <w:r>
        <w:rPr>
          <w:b/>
        </w:rPr>
        <w:t>Diarrhée</w:t>
      </w:r>
      <w:r>
        <w:t xml:space="preserve"> : 20-40 % (effet laxatif de la rhéine anthraquinonique) ; survenant dans les premiers jours à semaines de traitement ; transitoire (résolution en 1-2 semaines d'adaptation) ; réduite par l'escalade posologique (50 mg × 1/jour pendant 2-4 semaines, puis 100 mg/jour en 2 prises) ; prise au cours du repas ou d'un yaourt pour atténuer</w:t>
      </w:r>
    </w:p>
    <w:p>
      <w:pPr>
        <w:pStyle w:val="ListBullet"/>
      </w:pPr>
      <w:r/>
      <w:r>
        <w:rPr>
          <w:b/>
        </w:rPr>
        <w:t>Douleurs abdominales</w:t>
      </w:r>
      <w:r>
        <w:t xml:space="preserve"> : 5-10 % (crampes, météorisme, ballonnements)</w:t>
      </w:r>
    </w:p>
    <w:p>
      <w:pPr>
        <w:pStyle w:val="ListBullet"/>
      </w:pPr>
      <w:r/>
      <w:r>
        <w:rPr>
          <w:b/>
        </w:rPr>
        <w:t>Nausées</w:t>
      </w:r>
      <w:r>
        <w:t xml:space="preserve"> : 3-5 %</w:t>
      </w:r>
    </w:p>
    <w:p>
      <w:pPr>
        <w:pStyle w:val="ListBullet"/>
      </w:pPr>
      <w:r/>
      <w:r>
        <w:rPr>
          <w:b/>
        </w:rPr>
        <w:t>Vomissements</w:t>
      </w:r>
      <w:r>
        <w:t xml:space="preserve"> : 1-2 %</w:t>
      </w:r>
    </w:p>
    <w:p>
      <w:pPr>
        <w:pStyle w:val="ListBullet"/>
      </w:pPr>
      <w:r/>
      <w:r>
        <w:rPr>
          <w:b/>
        </w:rPr>
        <w:t>Constipation paradoxalement</w:t>
      </w:r>
      <w:r>
        <w:t xml:space="preserve"> : rare (&lt; 2 %)</w:t>
      </w:r>
    </w:p>
    <w:p>
      <w:pPr>
        <w:pStyle w:val="ListBullet"/>
      </w:pPr>
      <w:r/>
      <w:r>
        <w:rPr>
          <w:b/>
        </w:rPr>
        <w:t>Météorisme, flatulences</w:t>
      </w:r>
      <w:r>
        <w:t xml:space="preserve"> : 5-10 %</w:t>
      </w:r>
    </w:p>
    <w:p>
      <w:pPr>
        <w:pStyle w:val="ListBullet"/>
      </w:pPr>
      <w:r/>
      <w:r>
        <w:rPr>
          <w:b/>
        </w:rPr>
        <w:t>Coloration brunâtre des urines</w:t>
      </w:r>
      <w:r>
        <w:t xml:space="preserve"> : très fréquente (30-50 %), sans gravité, liée à l'élimination urinaire de la rhéine anthraquinonique ; à signaler au patient à la 1ʳᵉ dispensation pour éviter toute inquiétude</w:t>
      </w:r>
    </w:p>
    <w:p>
      <w:pPr>
        <w:pStyle w:val="ListBullet"/>
      </w:pPr>
      <w:r/>
      <w:r>
        <w:rPr>
          <w:b/>
        </w:rPr>
        <w:t>Perforation digestive</w:t>
      </w:r>
      <w:r>
        <w:t xml:space="preserve"> : rare (&lt; 0,1 %) mais potentiellement grave, particulièrement chez le sujet âgé avec diverticulose</w:t>
      </w:r>
    </w:p>
    <w:p>
      <w:r/>
      <w:r>
        <w:rPr>
          <w:b/>
        </w:rPr>
        <w:t>Hépatiques</w:t>
      </w:r>
      <w:r>
        <w:t xml:space="preserve"> (signal de sécurité 2014-2015 — EMA/PRAC) :</w:t>
      </w:r>
    </w:p>
    <w:p>
      <w:pPr>
        <w:pStyle w:val="ListBullet"/>
      </w:pPr>
      <w:r/>
      <w:r>
        <w:rPr>
          <w:b/>
        </w:rPr>
        <w:t>Élévation des transaminases</w:t>
      </w:r>
      <w:r>
        <w:t xml:space="preserve"> (ALAT/ASAT &gt; 1 × LSN) : 5-10 %</w:t>
      </w:r>
    </w:p>
    <w:p>
      <w:pPr>
        <w:pStyle w:val="ListBullet"/>
      </w:pPr>
      <w:r/>
      <w:r>
        <w:rPr>
          <w:b/>
        </w:rPr>
        <w:t>Élévation supérieure à 3 × LSN</w:t>
      </w:r>
      <w:r>
        <w:t xml:space="preserve"> : 1-2 %</w:t>
      </w:r>
    </w:p>
    <w:p>
      <w:pPr>
        <w:pStyle w:val="ListBullet"/>
      </w:pPr>
      <w:r/>
      <w:r>
        <w:rPr>
          <w:b/>
        </w:rPr>
        <w:t>Cytolyse hépatique sévère</w:t>
      </w:r>
      <w:r>
        <w:t xml:space="preserve"> : rare (&lt; 0,5 %), pouvant nécessiter l'arrêt définitif</w:t>
      </w:r>
    </w:p>
    <w:p>
      <w:pPr>
        <w:pStyle w:val="ListBullet"/>
      </w:pPr>
      <w:r/>
      <w:r>
        <w:rPr>
          <w:b/>
        </w:rPr>
        <w:t>Cholestase</w:t>
      </w:r>
      <w:r>
        <w:t xml:space="preserve"> : rare</w:t>
      </w:r>
    </w:p>
    <w:p>
      <w:pPr>
        <w:pStyle w:val="ListBullet"/>
      </w:pPr>
      <w:r/>
      <w:r>
        <w:rPr>
          <w:b/>
        </w:rPr>
        <w:t>Insuffisance hépatique médicamenteuse</w:t>
      </w:r>
      <w:r>
        <w:t xml:space="preserve"> : exceptionnelle (&lt; 0,01 %), cas publiés (parfois sévères, justifiant la surveillance hépatique systématique)</w:t>
      </w:r>
    </w:p>
    <w:p>
      <w:r/>
      <w:r>
        <w:rPr>
          <w:b/>
        </w:rPr>
        <w:t>Allergiques</w:t>
      </w:r>
      <w:r>
        <w:t xml:space="preserve"> :</w:t>
      </w:r>
    </w:p>
    <w:p>
      <w:pPr>
        <w:pStyle w:val="ListBullet"/>
      </w:pPr>
      <w:r/>
      <w:r>
        <w:rPr>
          <w:b/>
        </w:rPr>
        <w:t>Rash cutané</w:t>
      </w:r>
      <w:r>
        <w:t xml:space="preserve"> : 2-3 %</w:t>
      </w:r>
    </w:p>
    <w:p>
      <w:pPr>
        <w:pStyle w:val="ListBullet"/>
      </w:pPr>
      <w:r/>
      <w:r>
        <w:rPr>
          <w:b/>
        </w:rPr>
        <w:t>Prurit</w:t>
      </w:r>
      <w:r>
        <w:t xml:space="preserve"> : 1-2 %</w:t>
      </w:r>
    </w:p>
    <w:p>
      <w:pPr>
        <w:pStyle w:val="ListBullet"/>
      </w:pPr>
      <w:r/>
      <w:r>
        <w:rPr>
          <w:b/>
        </w:rPr>
        <w:t>Urticaire</w:t>
      </w:r>
      <w:r>
        <w:t xml:space="preserve"> : rare (&lt; 1 %)</w:t>
      </w:r>
    </w:p>
    <w:p>
      <w:pPr>
        <w:pStyle w:val="ListBullet"/>
      </w:pPr>
      <w:r/>
      <w:r>
        <w:rPr>
          <w:b/>
        </w:rPr>
        <w:t>Réaction anaphylactique</w:t>
      </w:r>
      <w:r>
        <w:t xml:space="preserve"> : très rare (&lt; 0,01 %)</w:t>
      </w:r>
    </w:p>
    <w:p>
      <w:r/>
      <w:r>
        <w:rPr>
          <w:b/>
        </w:rPr>
        <w:t>Autres</w:t>
      </w:r>
      <w:r>
        <w:t xml:space="preserve"> :</w:t>
      </w:r>
    </w:p>
    <w:p>
      <w:pPr>
        <w:pStyle w:val="ListBullet"/>
      </w:pPr>
      <w:r/>
      <w:r>
        <w:rPr>
          <w:b/>
        </w:rPr>
        <w:t>Céphalées</w:t>
      </w:r>
      <w:r>
        <w:t xml:space="preserve"> : 1-3 %</w:t>
      </w:r>
    </w:p>
    <w:p>
      <w:pPr>
        <w:pStyle w:val="ListBullet"/>
      </w:pPr>
      <w:r/>
      <w:r>
        <w:rPr>
          <w:b/>
        </w:rPr>
        <w:t>Vertiges</w:t>
      </w:r>
      <w:r>
        <w:t xml:space="preserve"> : 1-2 %</w:t>
      </w:r>
    </w:p>
    <w:p>
      <w:pPr>
        <w:pStyle w:val="ListBullet"/>
      </w:pPr>
      <w:r/>
      <w:r>
        <w:rPr>
          <w:b/>
        </w:rPr>
        <w:t>Asthenie</w:t>
      </w:r>
      <w:r>
        <w:t xml:space="preserve"> : 1-2 %</w:t>
      </w:r>
    </w:p>
    <w:p>
      <w:pPr>
        <w:pStyle w:val="Heading3"/>
      </w:pPr>
      <w:r>
        <w:t>153.9.8 Prévention et gestion des effets indésirables</w:t>
      </w:r>
    </w:p>
    <w:p>
      <w:r>
        <w:t>La prévention des effets indésirables de la diacéréine repose sur :</w:t>
      </w:r>
    </w:p>
    <w:p>
      <w:pPr>
        <w:pStyle w:val="ListNumber"/>
      </w:pPr>
      <w:r/>
      <w:r>
        <w:rPr>
          <w:b/>
        </w:rPr>
        <w:t>Bilan pré-thérapeutique</w:t>
      </w:r>
      <w:r>
        <w:t xml:space="preserve"> : examen clinique (recherche d'antécédents digestifs — diverticulose, MICI, chirurgie digestive ; recherche d'antécédents hépatiques ; recherche d'une insuffisance rénale) ; bilan hépatique (ALAT, ASAT, GGT, PAL, bilirubine) ; bilan rénal (créatinine, DFG CKD-EPI) ; NFS-plaquettes</w:t>
      </w:r>
    </w:p>
    <w:p>
      <w:pPr>
        <w:pStyle w:val="ListNumber"/>
      </w:pPr>
      <w:r/>
      <w:r>
        <w:rPr>
          <w:b/>
        </w:rPr>
        <w:t>Escalade posologique</w:t>
      </w:r>
      <w:r>
        <w:t xml:space="preserve"> : 50 mg × 1/jour (le soir, au cours du repas) pendant 2-4 semaines, puis augmentation à 100 mg/jour en 2 prises (matin et soir, au cours des repas) si tolérance digestive bonne. Cette escalade réduit significativement l'incidence et la sévérité de la diarrhée</w:t>
      </w:r>
    </w:p>
    <w:p>
      <w:pPr>
        <w:pStyle w:val="ListNumber"/>
      </w:pPr>
      <w:r/>
      <w:r>
        <w:rPr>
          <w:b/>
        </w:rPr>
        <w:t>Prise au cours d'un repas</w:t>
      </w:r>
      <w:r>
        <w:t xml:space="preserve"> : réduit la diarrhée et améliore la tolérance digestive ; éviter la prise à jeun</w:t>
      </w:r>
    </w:p>
    <w:p>
      <w:pPr>
        <w:pStyle w:val="ListNumber"/>
      </w:pPr>
      <w:r/>
      <w:r>
        <w:rPr>
          <w:b/>
        </w:rPr>
        <w:t>Surveillance hépatique</w:t>
      </w:r>
      <w:r>
        <w:t xml:space="preserve"> : ALAT/ASAT avant initiation, à 1 mois, à 3 mois, puis tous les 3 mois pendant le 1ᵉʳ trimestre (recommandation EMA/PRAC 2014-2015) ; ensuite surveillance semestrielle à vie ; arrêt immédiat en cas d'élévation &gt; 3 × LSN, reprise possible après normalisation à &lt; 1 × LSN</w:t>
      </w:r>
    </w:p>
    <w:p>
      <w:pPr>
        <w:pStyle w:val="ListNumber"/>
      </w:pPr>
      <w:r/>
      <w:r>
        <w:rPr>
          <w:b/>
        </w:rPr>
        <w:t>Surveillance rénale</w:t>
      </w:r>
      <w:r>
        <w:t xml:space="preserve"> : créatinine, DFG avant initiation, puis tous les 6 mois ; adaptation posologique si DFG &lt; 60 mL/min</w:t>
      </w:r>
    </w:p>
    <w:p>
      <w:pPr>
        <w:pStyle w:val="ListNumber"/>
      </w:pPr>
      <w:r/>
      <w:r>
        <w:rPr>
          <w:b/>
        </w:rPr>
        <w:t>Éducation du patient</w:t>
      </w:r>
      <w:r>
        <w:t xml:space="preserve"> :</w:t>
      </w:r>
    </w:p>
    <w:p>
      <w:pPr>
        <w:pStyle w:val="ListBullet"/>
      </w:pPr>
      <w:r>
        <w:t>Prévenir la coloration brunâtre des urines (sans gravité)</w:t>
      </w:r>
    </w:p>
    <w:p>
      <w:pPr>
        <w:pStyle w:val="ListBullet"/>
      </w:pPr>
      <w:r>
        <w:t>Prévenir la diarrhée transitoire des premières semaines (escalade posologique, prise au cours du repas)</w:t>
      </w:r>
    </w:p>
    <w:p>
      <w:pPr>
        <w:pStyle w:val="ListBullet"/>
      </w:pPr>
      <w:r>
        <w:t>Signaler en urgence tout signe d'alerte hépatique (ictère, urines foncées, selles décolorées, fatigue intense, nausées persistantes, douleurs abdominales hautes) — arrêt immédiat et consultation</w:t>
      </w:r>
    </w:p>
    <w:p>
      <w:pPr>
        <w:pStyle w:val="ListBullet"/>
      </w:pPr>
      <w:r>
        <w:t>Signaler tout signe d'alerte digestif (diarrhée persistante &gt; 7 jours, douleurs abdominales fébriles, rectorragies, vomissements) — arrêt immédiat et consultation</w:t>
      </w:r>
    </w:p>
    <w:p>
      <w:pPr>
        <w:pStyle w:val="ListNumber"/>
      </w:pPr>
      <w:r/>
      <w:r>
        <w:rPr>
          <w:b/>
        </w:rPr>
        <w:t>Hygiène de vie</w:t>
      </w:r>
      <w:r>
        <w:t xml:space="preserve"> : hydratation suffisante (1,5-2 L/jour) en cas de diarrhée ; alimentation équilibrée (riches en fibres pour réguler le transit, mais pas au moment de la prise de diacéréine — l'absorption de la diacéréine est réduite par les fibres)</w:t>
      </w:r>
    </w:p>
    <w:p>
      <w:r/>
      <w:r>
        <w:rPr>
          <w:b/>
        </w:rPr>
        <w:t>Gestion des effets indésirables</w:t>
      </w:r>
      <w:r>
        <w:t xml:space="preserve"> :</w:t>
      </w:r>
    </w:p>
    <w:p>
      <w:pPr>
        <w:pStyle w:val="ListBullet"/>
      </w:pPr>
      <w:r/>
      <w:r>
        <w:rPr>
          <w:b/>
        </w:rPr>
        <w:t>Diarrhée légère à modérée</w:t>
      </w:r>
      <w:r>
        <w:t xml:space="preserve"> : poursuite du traitement à dose réduite (50 mg × 1/jour), réhydratation, prise au cours d'un repas, antidiarrhéique symptomatique (lopéramide en cure courte) ; escalade posologique plus progressive</w:t>
      </w:r>
    </w:p>
    <w:p>
      <w:pPr>
        <w:pStyle w:val="ListBullet"/>
      </w:pPr>
      <w:r/>
      <w:r>
        <w:rPr>
          <w:b/>
        </w:rPr>
        <w:t>Diarrhée sévère ou persistante &gt; 7 jours</w:t>
      </w:r>
      <w:r>
        <w:t xml:space="preserve"> : arrêt temporaire, réhydratation, consultation ; reprise à dose réduite si résolution, ou arrêt définitif si récidive</w:t>
      </w:r>
    </w:p>
    <w:p>
      <w:pPr>
        <w:pStyle w:val="ListBullet"/>
      </w:pPr>
      <w:r/>
      <w:r>
        <w:rPr>
          <w:b/>
        </w:rPr>
        <w:t>Douleurs abdominales fébriles</w:t>
      </w:r>
      <w:r>
        <w:t xml:space="preserve"> : arrêt immédiat, consultation en urgence (suspicion de perforation digestive, péritonite)</w:t>
      </w:r>
    </w:p>
    <w:p>
      <w:pPr>
        <w:pStyle w:val="ListBullet"/>
      </w:pPr>
      <w:r/>
      <w:r>
        <w:rPr>
          <w:b/>
        </w:rPr>
        <w:t>ALAT/ASAT &gt; 3 × LSN</w:t>
      </w:r>
      <w:r>
        <w:t xml:space="preserve"> : arrêt immédiat, recherche étiologique (viral, médicamenteux, alcoolique, stéatose) ; reprise possible après normalisation à &lt; 1 × LSN, à dose réduite (50 mg × 1/jour), avec surveillance hépatique renforcée</w:t>
      </w:r>
    </w:p>
    <w:p>
      <w:pPr>
        <w:pStyle w:val="ListBullet"/>
      </w:pPr>
      <w:r/>
      <w:r>
        <w:rPr>
          <w:b/>
        </w:rPr>
        <w:t>Ictère, cholestase</w:t>
      </w:r>
      <w:r>
        <w:t xml:space="preserve"> : arrêt définitif, orientation hépatologique</w:t>
      </w:r>
    </w:p>
    <w:p>
      <w:pPr>
        <w:pStyle w:val="ListBullet"/>
      </w:pPr>
      <w:r/>
      <w:r>
        <w:rPr>
          <w:b/>
        </w:rPr>
        <w:t>Rash cutané</w:t>
      </w:r>
      <w:r>
        <w:t xml:space="preserve"> : arrêt, antihistaminique ; si récidive à la reprise, arrêt définitif</w:t>
      </w:r>
    </w:p>
    <w:p>
      <w:pPr>
        <w:pStyle w:val="ListBullet"/>
      </w:pPr>
      <w:r/>
      <w:r>
        <w:rPr>
          <w:b/>
        </w:rPr>
        <w:t>Réaction anaphylactique</w:t>
      </w:r>
      <w:r>
        <w:t xml:space="preserve"> : arrêt définitif, traitement d'urgence (adrénaline IM, antihistaminiques, corticothérapie), avis allergologique</w:t>
      </w:r>
    </w:p>
    <w:p>
      <w:pPr>
        <w:pStyle w:val="Heading3"/>
      </w:pPr>
      <w:r>
        <w:t>153.9.9 Interactions médicamenteuses</w:t>
      </w:r>
    </w:p>
    <w:p>
      <w:r>
        <w:t>La diacéréine (rhéine) présente un profil d'interactions médicamenteuses lié à son métabolisme par glucuro-conjugaison et à son effet laxatif.</w:t>
      </w:r>
    </w:p>
    <w:p>
      <w:pPr>
        <w:pStyle w:val="ListBullet"/>
      </w:pPr>
      <w:r/>
      <w:r>
        <w:rPr>
          <w:b/>
        </w:rPr>
        <w:t>Associations contre-indiquées</w:t>
      </w:r>
      <w:r>
        <w:t xml:space="preserve"> :</w:t>
      </w:r>
    </w:p>
    <w:p>
      <w:pPr>
        <w:pStyle w:val="ListBullet"/>
      </w:pPr>
      <w:r/>
      <w:r>
        <w:rPr>
          <w:b/>
        </w:rPr>
        <w:t>Autres laxatifs</w:t>
      </w:r>
      <w:r>
        <w:t xml:space="preserve"> (séné, cascara, aloès, rhubarbe, bisacodyl, picosulfate de sodium, lactulose, macrogol) : sur-risque de diarrhée sévère, de troubles hydroélectrolytiques (hypokaliémie), de perforation digestive chez le sujet âgé avec diverticulose</w:t>
      </w:r>
    </w:p>
    <w:p>
      <w:pPr>
        <w:pStyle w:val="ListBullet"/>
      </w:pPr>
      <w:r/>
      <w:r>
        <w:rPr>
          <w:b/>
        </w:rPr>
        <w:t>Diurétiques</w:t>
      </w:r>
      <w:r>
        <w:t xml:space="preserve"> (particulièrement les diurétiques hypokaliémiants — furosémide, hydrochlorothiazide, indapamide) : majoration de l'hypokaliémie (la diacéréine a un effet laxatif hypokaliémiant)</w:t>
      </w:r>
    </w:p>
    <w:p>
      <w:pPr>
        <w:pStyle w:val="ListBullet"/>
      </w:pPr>
      <w:r/>
      <w:r>
        <w:rPr>
          <w:b/>
        </w:rPr>
        <w:t>Digitaliques</w:t>
      </w:r>
      <w:r>
        <w:t xml:space="preserve"> (digoxine, digitoxine) : sur-risque de toxicité digitalique en cas d'hypokaliémie (la diacéréine peut aggraver l'hypokaliémie par effet laxatif)</w:t>
      </w:r>
    </w:p>
    <w:p>
      <w:pPr>
        <w:pStyle w:val="ListBullet"/>
      </w:pPr>
      <w:r/>
      <w:r>
        <w:rPr>
          <w:b/>
        </w:rPr>
        <w:t>Antiarythmiques</w:t>
      </w:r>
      <w:r>
        <w:t xml:space="preserve"> (quinidine, amiodarone, sotalol, dofetilide) : sur-risque de troubles du rythme en cas d'hypokaliémie</w:t>
      </w:r>
    </w:p>
    <w:p>
      <w:pPr>
        <w:pStyle w:val="ListBullet"/>
      </w:pPr>
      <w:r/>
      <w:r>
        <w:rPr>
          <w:b/>
        </w:rPr>
        <w:t>Associations déconseillées</w:t>
      </w:r>
      <w:r>
        <w:t xml:space="preserve"> :</w:t>
      </w:r>
    </w:p>
    <w:p>
      <w:pPr>
        <w:pStyle w:val="ListBullet"/>
      </w:pPr>
      <w:r/>
      <w:r>
        <w:rPr>
          <w:b/>
        </w:rPr>
        <w:t>Anticoagulants oraux</w:t>
      </w:r>
      <w:r>
        <w:t xml:space="preserve"> (AVK : warfarine, fluindione, acénocoumarol) : sur-risque de déséquilibre de l'INR en cas de diarrhée (modification de l'absorption de la vitamine K) — surveillance rapprochée de l'INR</w:t>
      </w:r>
    </w:p>
    <w:p>
      <w:pPr>
        <w:pStyle w:val="ListBullet"/>
      </w:pPr>
      <w:r/>
      <w:r>
        <w:rPr>
          <w:b/>
        </w:rPr>
        <w:t>Contraception orale estroprogestative</w:t>
      </w:r>
      <w:r>
        <w:t xml:space="preserve"> : sur-risque d'inefficacité en cas de diarrhée (modification de l'absorption de la contraception)</w:t>
      </w:r>
    </w:p>
    <w:p>
      <w:pPr>
        <w:pStyle w:val="ListBullet"/>
      </w:pPr>
      <w:r/>
      <w:r>
        <w:rPr>
          <w:b/>
        </w:rPr>
        <w:t>Antibiotiques</w:t>
      </w:r>
      <w:r>
        <w:t xml:space="preserve"> à large spectre : modification de la flore intestinale, sur-risque de diarrhée, de colite pseudo-membraneuse</w:t>
      </w:r>
    </w:p>
    <w:p>
      <w:pPr>
        <w:pStyle w:val="ListBullet"/>
      </w:pPr>
      <w:r/>
      <w:r>
        <w:rPr>
          <w:b/>
        </w:rPr>
        <w:t>AINS</w:t>
      </w:r>
      <w:r>
        <w:t xml:space="preserve"> : sur-risque digestif additif, surveillance clinique</w:t>
      </w:r>
    </w:p>
    <w:p>
      <w:pPr>
        <w:pStyle w:val="ListBullet"/>
      </w:pPr>
      <w:r/>
      <w:r>
        <w:rPr>
          <w:b/>
        </w:rPr>
        <w:t>Corticoïdes oraux</w:t>
      </w:r>
      <w:r>
        <w:t xml:space="preserve"> : sur-risque digestif additif, surveillance clinique</w:t>
      </w:r>
    </w:p>
    <w:p>
      <w:pPr>
        <w:pStyle w:val="ListBullet"/>
      </w:pPr>
      <w:r/>
      <w:r>
        <w:rPr>
          <w:b/>
        </w:rPr>
        <w:t>Associations nécessitant des précautions d'emploi</w:t>
      </w:r>
      <w:r>
        <w:t xml:space="preserve"> :</w:t>
      </w:r>
    </w:p>
    <w:p>
      <w:pPr>
        <w:pStyle w:val="ListBullet"/>
      </w:pPr>
      <w:r/>
      <w:r>
        <w:rPr>
          <w:b/>
        </w:rPr>
        <w:t>Méthotrexate</w:t>
      </w:r>
      <w:r>
        <w:t xml:space="preserve"> (à doses rhumatologiques 10-25 mg/sem) : pas d'interaction pharmacocinétique majeure (la diacéréine ne passe pas par les cytochromes P450), surveillance hématologique et hépatique renforcée</w:t>
      </w:r>
    </w:p>
    <w:p>
      <w:pPr>
        <w:pStyle w:val="ListBullet"/>
      </w:pPr>
      <w:r/>
      <w:r>
        <w:rPr>
          <w:b/>
        </w:rPr>
        <w:t>Antidiabétiques</w:t>
      </w:r>
      <w:r>
        <w:t xml:space="preserve"> (metformine, sulfamides, insuline, gliptines, gliflozines, agonistes GLP-1) : prudence en raison de la modification de l'absorption intestinale des sucres par effet laxatif</w:t>
      </w:r>
    </w:p>
    <w:p>
      <w:pPr>
        <w:pStyle w:val="ListBullet"/>
      </w:pPr>
      <w:r/>
      <w:r>
        <w:rPr>
          <w:b/>
        </w:rPr>
        <w:t>Inhibiteurs de l'UGT</w:t>
      </w:r>
      <w:r>
        <w:t xml:space="preserve"> (gemfibrozil, atorvastatine à forte dose) : augmentation théorique de l'ASC de la rhéine, surveillance clinique</w:t>
      </w:r>
    </w:p>
    <w:p>
      <w:pPr>
        <w:pStyle w:val="ListBullet"/>
      </w:pPr>
      <w:r/>
      <w:r>
        <w:rPr>
          <w:b/>
        </w:rPr>
        <w:t>Interactions alimentaires</w:t>
      </w:r>
      <w:r>
        <w:t xml:space="preserve"> :</w:t>
      </w:r>
    </w:p>
    <w:p>
      <w:pPr>
        <w:pStyle w:val="ListBullet"/>
      </w:pPr>
      <w:r/>
      <w:r>
        <w:rPr>
          <w:b/>
        </w:rPr>
        <w:t>Fibres alimentaires</w:t>
      </w:r>
      <w:r>
        <w:t xml:space="preserve"> (légumes secs, céréales complètes, son) : réduisent l'absorption de la diacéréine — espacer la prise de diacéréine des repas riches en fibres d'au moins 1 heure</w:t>
      </w:r>
    </w:p>
    <w:p>
      <w:pPr>
        <w:pStyle w:val="ListBullet"/>
      </w:pPr>
      <w:r/>
      <w:r>
        <w:rPr>
          <w:b/>
        </w:rPr>
        <w:t>Laitages et produits riches en calcium</w:t>
      </w:r>
      <w:r>
        <w:t xml:space="preserve"> : pas d'interaction notable</w:t>
      </w:r>
    </w:p>
    <w:p>
      <w:pPr>
        <w:pStyle w:val="ListBullet"/>
      </w:pPr>
      <w:r/>
      <w:r>
        <w:rPr>
          <w:b/>
        </w:rPr>
        <w:t>Alcool</w:t>
      </w:r>
      <w:r>
        <w:t xml:space="preserve"> : sur-risque hépatique additif, à éviter</w:t>
      </w:r>
    </w:p>
    <w:p>
      <w:pPr>
        <w:pStyle w:val="Heading3"/>
      </w:pPr>
      <w:r>
        <w:t>153.9.10 Grossesse et allaitement (CRAT)</w:t>
      </w:r>
    </w:p>
    <w:p>
      <w:r>
        <w:t>Les données du CRAT sur la diacéréine sont les suivantes :</w:t>
      </w:r>
    </w:p>
    <w:p>
      <w:pPr>
        <w:pStyle w:val="ListBullet"/>
      </w:pPr>
      <w:r/>
      <w:r>
        <w:rPr>
          <w:b/>
        </w:rPr>
        <w:t>Grossesse</w:t>
      </w:r>
      <w:r>
        <w:t xml:space="preserve"> :</w:t>
      </w:r>
    </w:p>
    <w:p>
      <w:pPr>
        <w:pStyle w:val="ListBullet"/>
      </w:pPr>
      <w:r>
        <w:t>La diacéréine traverse le placenta (molécule de faible poids moléculaire, lipophile)</w:t>
      </w:r>
    </w:p>
    <w:p>
      <w:pPr>
        <w:pStyle w:val="ListBullet"/>
      </w:pPr>
      <w:r/>
      <w:r>
        <w:rPr>
          <w:b/>
        </w:rPr>
        <w:t>Données animales</w:t>
      </w:r>
      <w:r>
        <w:t xml:space="preserve"> : tératogénicité démontrée chez l'animal (rat, souris) à doses supra-thérapeutiques — anomalies squelettiques, cardiovasculaires ; effet abortif à doses élevées (effet oxytocique de la rhéine anthraquinonique)</w:t>
      </w:r>
    </w:p>
    <w:p>
      <w:pPr>
        <w:pStyle w:val="ListBullet"/>
      </w:pPr>
      <w:r/>
      <w:r>
        <w:rPr>
          <w:b/>
        </w:rPr>
        <w:t>Données humaines</w:t>
      </w:r>
      <w:r>
        <w:t xml:space="preserve"> : données très limitées (registre de grossesses exposées, &lt; 50 grossesses publiées) ; pas de signal tératogène majeur à ce jour mais le recul est insuffisant</w:t>
      </w:r>
    </w:p>
    <w:p>
      <w:pPr>
        <w:pStyle w:val="ListBullet"/>
      </w:pPr>
      <w:r/>
      <w:r>
        <w:rPr>
          <w:b/>
        </w:rPr>
        <w:t>Recommandation</w:t>
      </w:r>
      <w:r>
        <w:t xml:space="preserve"> : diacéréine </w:t>
      </w:r>
      <w:r>
        <w:rPr>
          <w:b/>
        </w:rPr>
        <w:t>contre-indiquée pendant la grossesse</w:t>
      </w:r>
      <w:r>
        <w:t xml:space="preserve"> ; en raison du risque tératogène théorique et du risque abortif (effet oxytocique de la rhéine) ; contraception efficace obligatoire pendant toute la durée du traitement chez la femme en âge de procréer</w:t>
      </w:r>
    </w:p>
    <w:p>
      <w:pPr>
        <w:pStyle w:val="ListBullet"/>
      </w:pPr>
      <w:r>
        <w:t xml:space="preserve">En cas de désir de grossesse chez une patiente sous diacéréine : </w:t>
      </w:r>
      <w:r>
        <w:rPr>
          <w:b/>
        </w:rPr>
        <w:t>arrêt 1 mois avant le début des tentatives</w:t>
      </w:r>
      <w:r>
        <w:t xml:space="preserve"> (demi-vie d'élimination de 4-6 heures, mais délai d'élimination complète des métabolites et résolution des modifications biochimiques articulaires de 2-4 semaines)</w:t>
      </w:r>
    </w:p>
    <w:p>
      <w:pPr>
        <w:pStyle w:val="ListBullet"/>
      </w:pPr>
      <w:r>
        <w:t xml:space="preserve">En cas de grossesse non programmée sous diacéréine : </w:t>
      </w:r>
      <w:r>
        <w:rPr>
          <w:b/>
        </w:rPr>
        <w:t>arrêt immédiat</w:t>
      </w:r>
      <w:r>
        <w:t>, échographie morphologique de référence à 22-24 SA, consultation de tératologie (CRAT)</w:t>
      </w:r>
    </w:p>
    <w:p>
      <w:pPr>
        <w:pStyle w:val="ListBullet"/>
      </w:pPr>
      <w:r>
        <w:t>En cas d'arthrose modérée pendant la grossesse : préférer le paracétamol (1 g × 3-4/jour max) ; AINS contre-indiqués au 3ᵉ trimestre (fermeture prématurée du canal artériel, oligoamnios) ; corticoïdes intra-articulaires possibles au 2ᵉ trimestre si poussée douloureuse sévère</w:t>
      </w:r>
    </w:p>
    <w:p>
      <w:pPr>
        <w:pStyle w:val="ListBullet"/>
      </w:pPr>
      <w:r/>
      <w:r>
        <w:rPr>
          <w:b/>
        </w:rPr>
        <w:t>Allaitement</w:t>
      </w:r>
      <w:r>
        <w:t xml:space="preserve"> :</w:t>
      </w:r>
    </w:p>
    <w:p>
      <w:pPr>
        <w:pStyle w:val="ListBullet"/>
      </w:pPr>
      <w:r>
        <w:t>La rhéine passe dans le lait maternel (concentration lait/plasma ≈ 0,3-0,5) ; données humaines limitées</w:t>
      </w:r>
    </w:p>
    <w:p>
      <w:pPr>
        <w:pStyle w:val="ListBullet"/>
      </w:pPr>
      <w:r/>
      <w:r>
        <w:rPr>
          <w:b/>
        </w:rPr>
        <w:t>Recommandation</w:t>
      </w:r>
      <w:r>
        <w:t xml:space="preserve"> : diacéréine </w:t>
      </w:r>
      <w:r>
        <w:rPr>
          <w:b/>
        </w:rPr>
        <w:t>contre-indiquée pendant l'allaitement</w:t>
      </w:r>
      <w:r>
        <w:t xml:space="preserve"> ; en raison du risque de diarrhée sévère chez le nouveau-né allaité (effet laxatif de la rhéine anthraquinonique transmise via le lait) ; choix entre interruption de l'allaitement si poursuite indispensable du traitement, ou arrêt du traitement si allaitement souhaité</w:t>
      </w:r>
    </w:p>
    <w:p>
      <w:pPr>
        <w:pStyle w:val="ListBullet"/>
      </w:pPr>
      <w:r>
        <w:t xml:space="preserve">Délai d'attente avant reprise de l'allaitement après arrêt de la diacéréine : au moins </w:t>
      </w:r>
      <w:r>
        <w:rPr>
          <w:b/>
        </w:rPr>
        <w:t>48 heures</w:t>
      </w:r>
      <w:r>
        <w:t xml:space="preserve"> (10 demi-vies)</w:t>
      </w:r>
    </w:p>
    <w:p>
      <w:pPr>
        <w:pStyle w:val="ListBullet"/>
      </w:pPr>
      <w:r/>
      <w:r>
        <w:rPr>
          <w:b/>
        </w:rPr>
        <w:t>Fertilité</w:t>
      </w:r>
      <w:r>
        <w:t xml:space="preserve"> :</w:t>
      </w:r>
    </w:p>
    <w:p>
      <w:pPr>
        <w:pStyle w:val="ListBullet"/>
      </w:pPr>
      <w:r>
        <w:t>Pas d'effet démontré sur la fertilité féminine à doses thérapeutiques</w:t>
      </w:r>
    </w:p>
    <w:p>
      <w:pPr>
        <w:pStyle w:val="ListBullet"/>
      </w:pPr>
      <w:r>
        <w:t>Chez l'homme : pas d'étude spécifique, pas de contre-indication à paterner sous diacéréine</w:t>
      </w:r>
    </w:p>
    <w:p>
      <w:pPr>
        <w:pStyle w:val="Heading3"/>
      </w:pPr>
      <w:r>
        <w:t>153.9.11 Posologie et adaptation posologique</w:t>
      </w:r>
    </w:p>
    <w:p>
      <w:pPr>
        <w:pStyle w:val="ListBullet"/>
      </w:pPr>
      <w:r/>
      <w:r>
        <w:rPr>
          <w:b/>
        </w:rPr>
        <w:t>Posologie standard adulte</w:t>
      </w:r>
      <w:r>
        <w:t xml:space="preserve"> :</w:t>
      </w:r>
    </w:p>
    <w:p>
      <w:pPr>
        <w:pStyle w:val="ListBullet"/>
      </w:pPr>
      <w:r/>
      <w:r>
        <w:rPr>
          <w:b/>
        </w:rPr>
        <w:t>Phase d'initiation (2-4 semaines)</w:t>
      </w:r>
      <w:r>
        <w:t xml:space="preserve"> : 50 mg × 1/jour (le soir, au cours du repas) — escalade posologique pour réduire l'incidence et la sévérité de la diarrhée</w:t>
      </w:r>
    </w:p>
    <w:p>
      <w:pPr>
        <w:pStyle w:val="ListBullet"/>
      </w:pPr>
      <w:r/>
      <w:r>
        <w:rPr>
          <w:b/>
        </w:rPr>
        <w:t>Phase d'entretien</w:t>
      </w:r>
      <w:r>
        <w:t xml:space="preserve"> : 50 mg × 2/jour (matin et soir, au cours des repas), soit 100 mg/jour en 2 prises</w:t>
      </w:r>
    </w:p>
    <w:p>
      <w:pPr>
        <w:pStyle w:val="ListBullet"/>
      </w:pPr>
      <w:r>
        <w:t>Prise au cours d'un repas (réduit la diarrhée et améliore la tolérance digestive)</w:t>
      </w:r>
    </w:p>
    <w:p>
      <w:pPr>
        <w:pStyle w:val="ListBullet"/>
      </w:pPr>
      <w:r>
        <w:t>Éviter la prise à jeun</w:t>
      </w:r>
    </w:p>
    <w:p>
      <w:pPr>
        <w:pStyle w:val="ListBullet"/>
      </w:pPr>
      <w:r>
        <w:t>Espacer la prise de diacéréine des repas riches en fibres d'au moins 1 heure (les fibres réduisent l'absorption de la diacéréine)</w:t>
      </w:r>
    </w:p>
    <w:p>
      <w:pPr>
        <w:pStyle w:val="ListBullet"/>
      </w:pPr>
      <w:r/>
      <w:r>
        <w:rPr>
          <w:b/>
        </w:rPr>
        <w:t>Adaptation posologique</w:t>
      </w:r>
      <w:r>
        <w:t xml:space="preserve"> :</w:t>
      </w:r>
    </w:p>
    <w:p>
      <w:pPr>
        <w:pStyle w:val="ListBullet"/>
      </w:pPr>
      <w:r/>
      <w:r>
        <w:rPr>
          <w:b/>
        </w:rPr>
        <w:t>Insuffisance rénale modérée (DFG 30-60 mL/min)</w:t>
      </w:r>
      <w:r>
        <w:t xml:space="preserve"> : 50 mg × 1/jour</w:t>
      </w:r>
    </w:p>
    <w:p>
      <w:pPr>
        <w:pStyle w:val="ListBullet"/>
      </w:pPr>
      <w:r/>
      <w:r>
        <w:rPr>
          <w:b/>
        </w:rPr>
        <w:t>Insuffisance rénale sévère (DFG &lt; 30 mL/min)</w:t>
      </w:r>
      <w:r>
        <w:t xml:space="preserve"> : contre-indication</w:t>
      </w:r>
    </w:p>
    <w:p>
      <w:pPr>
        <w:pStyle w:val="ListBullet"/>
      </w:pPr>
      <w:r/>
      <w:r>
        <w:rPr>
          <w:b/>
        </w:rPr>
        <w:t>Insuffisance hépatique légère (Child-Pugh A)</w:t>
      </w:r>
      <w:r>
        <w:t xml:space="preserve"> : posologie standard, surveillance hépatique renforcée</w:t>
      </w:r>
    </w:p>
    <w:p>
      <w:pPr>
        <w:pStyle w:val="ListBullet"/>
      </w:pPr>
      <w:r/>
      <w:r>
        <w:rPr>
          <w:b/>
        </w:rPr>
        <w:t>Insuffisance hépatique modérée (Child-Pugh B)</w:t>
      </w:r>
      <w:r>
        <w:t xml:space="preserve"> : 50 mg × 1/jour, surveillance hépatique renforcée (ALAT/ASAT à 1 mois, 3 mois, puis tous les 3 mois)</w:t>
      </w:r>
    </w:p>
    <w:p>
      <w:pPr>
        <w:pStyle w:val="ListBullet"/>
      </w:pPr>
      <w:r/>
      <w:r>
        <w:rPr>
          <w:b/>
        </w:rPr>
        <w:t>Insuffisance hépatique sévère (Child-Pugh C)</w:t>
      </w:r>
      <w:r>
        <w:t xml:space="preserve"> : contre-indication</w:t>
      </w:r>
    </w:p>
    <w:p>
      <w:pPr>
        <w:pStyle w:val="ListBullet"/>
      </w:pPr>
      <w:r/>
      <w:r>
        <w:rPr>
          <w:b/>
        </w:rPr>
        <w:t>Sujet âgé &gt; 65 ans</w:t>
      </w:r>
      <w:r>
        <w:t xml:space="preserve"> : posologie standard, surveillance hépatique et rénale renforcée</w:t>
      </w:r>
    </w:p>
    <w:p>
      <w:pPr>
        <w:pStyle w:val="ListBullet"/>
      </w:pPr>
      <w:r/>
      <w:r>
        <w:rPr>
          <w:b/>
        </w:rPr>
        <w:t>Sujet âgé fragile &gt; 80 ans</w:t>
      </w:r>
      <w:r>
        <w:t xml:space="preserve"> : 50 mg × 1/jour, surveillance renforcée</w:t>
      </w:r>
    </w:p>
    <w:p>
      <w:pPr>
        <w:pStyle w:val="ListBullet"/>
      </w:pPr>
      <w:r/>
      <w:r>
        <w:rPr>
          <w:b/>
        </w:rPr>
        <w:t>Enfant &lt; 15 ans</w:t>
      </w:r>
      <w:r>
        <w:t xml:space="preserve"> : contre-indication (données limitées)</w:t>
      </w:r>
    </w:p>
    <w:p>
      <w:pPr>
        <w:pStyle w:val="ListBullet"/>
      </w:pPr>
      <w:r/>
      <w:r>
        <w:rPr>
          <w:b/>
        </w:rPr>
        <w:t>Diarrhée modérée</w:t>
      </w:r>
      <w:r>
        <w:t xml:space="preserve"> : réduction posologique à 50 mg × 1/jour, poursuite si tolérance</w:t>
      </w:r>
    </w:p>
    <w:p>
      <w:pPr>
        <w:pStyle w:val="ListBullet"/>
      </w:pPr>
      <w:r/>
      <w:r>
        <w:rPr>
          <w:b/>
        </w:rPr>
        <w:t>Diarrhée sévère ou persistante</w:t>
      </w:r>
      <w:r>
        <w:t xml:space="preserve"> : arrêt temporaire, reprise à dose réduite si résolution</w:t>
      </w:r>
    </w:p>
    <w:p>
      <w:pPr>
        <w:pStyle w:val="ListBullet"/>
      </w:pPr>
      <w:r/>
      <w:r>
        <w:rPr>
          <w:b/>
        </w:rPr>
        <w:t>Poids</w:t>
      </w:r>
      <w:r>
        <w:t xml:space="preserve"> : pas d'adaptation posologique en fonction du poids</w:t>
      </w:r>
    </w:p>
    <w:p>
      <w:pPr>
        <w:pStyle w:val="ListBullet"/>
      </w:pPr>
      <w:r/>
      <w:r>
        <w:rPr>
          <w:b/>
        </w:rPr>
        <w:t>Oubli de dose</w:t>
      </w:r>
      <w:r>
        <w:t xml:space="preserve"> : si moins de 6 heures se sont écoulées depuis l'heure habituelle, prendre la dose oubliée ; si plus de 6 heures, sauter la dose et reprendre à l'heure normale suivante ; ne jamais doubler la dose</w:t>
      </w:r>
    </w:p>
    <w:p>
      <w:pPr>
        <w:pStyle w:val="ListBullet"/>
      </w:pPr>
      <w:r/>
      <w:r>
        <w:rPr>
          <w:b/>
        </w:rPr>
        <w:t>Arrêt du traitement</w:t>
      </w:r>
      <w:r>
        <w:t xml:space="preserve"> : pas de sevrage progressif obligatoire ; surveillance de la reprise éventuelle de la symptomatologie articulaire (effet *carry-over* de 2-3 mois après l'arrêt)</w:t>
      </w:r>
    </w:p>
    <w:p>
      <w:pPr>
        <w:pStyle w:val="ListBullet"/>
      </w:pPr>
      <w:r/>
      <w:r>
        <w:rPr>
          <w:b/>
        </w:rPr>
        <w:t>Durée du traitement</w:t>
      </w:r>
      <w:r>
        <w:t xml:space="preserve"> : traitement chronique au long cours, à poursuivre tant que la tolérance est bonne et l'efficacité maintenue ; réévaluation du rapport bénéfice/risque à 6 mois (évaluation de l'efficacité), puis annuelle</w:t>
      </w:r>
    </w:p>
    <w:p>
      <w:pPr>
        <w:pStyle w:val="Heading3"/>
      </w:pPr>
      <w:r>
        <w:t>153.9.12 Surveillance et suivi du patient</w:t>
      </w:r>
    </w:p>
    <w:p>
      <w:r/>
      <w:r>
        <w:rPr>
          <w:b/>
        </w:rPr>
        <w:t>Bilan pré-thérapeutique</w:t>
      </w:r>
      <w:r>
        <w:t xml:space="preserve"> (à réaliser dans le mois précédant l'initiation) :</w:t>
      </w:r>
    </w:p>
    <w:p>
      <w:pPr>
        <w:pStyle w:val="ListBullet"/>
      </w:pPr>
      <w:r>
        <w:t>Examen clinique complet (poids, taille, IMC, PA, examen articulaire, recherche d'antécédents digestifs — diverticulose, MICI, chirurgie digestive ; antécédents hépatiques ; antécédents rénaux)</w:t>
      </w:r>
    </w:p>
    <w:p>
      <w:pPr>
        <w:pStyle w:val="ListBullet"/>
      </w:pPr>
      <w:r>
        <w:t>NFS-plaquettes, formule leucocytaire</w:t>
      </w:r>
    </w:p>
    <w:p>
      <w:pPr>
        <w:pStyle w:val="ListBullet"/>
      </w:pPr>
      <w:r>
        <w:t>Bilan hépatique complet (ALAT, ASAT, GGT, PAL, bilirubine totale et conjuguée, albumine)</w:t>
      </w:r>
    </w:p>
    <w:p>
      <w:pPr>
        <w:pStyle w:val="ListBullet"/>
      </w:pPr>
      <w:r>
        <w:t>Bilan rénal (créatinine, DFG CKD-EPI)</w:t>
      </w:r>
    </w:p>
    <w:p>
      <w:pPr>
        <w:pStyle w:val="ListBullet"/>
      </w:pPr>
      <w:r>
        <w:t>Ionogramme sanguin (recherche d'hypokaliémie préexistante)</w:t>
      </w:r>
    </w:p>
    <w:p>
      <w:pPr>
        <w:pStyle w:val="ListBullet"/>
      </w:pPr>
      <w:r>
        <w:t>Bilan inflammatoire (CRP, VS) pour éliminer une arthrite inflammatoire</w:t>
      </w:r>
    </w:p>
    <w:p>
      <w:pPr>
        <w:pStyle w:val="ListBullet"/>
      </w:pPr>
      <w:r>
        <w:t>Radiographies articulaires (genou : face + profil + schuss ; hanche : bassin de face + faux profil) — score de Kellgren-Lawrence</w:t>
      </w:r>
    </w:p>
    <w:p>
      <w:pPr>
        <w:pStyle w:val="ListBullet"/>
      </w:pPr>
      <w:r>
        <w:t>Évaluation de la douleur (EVA, algofonctionnel de Lequesne)</w:t>
      </w:r>
    </w:p>
    <w:p>
      <w:pPr>
        <w:pStyle w:val="ListBullet"/>
      </w:pPr>
      <w:r>
        <w:t>Évaluation de la fonction articulaire (WOMAC, KOOS-12 pour le genou, HOOS-12 pour la hanche)</w:t>
      </w:r>
    </w:p>
    <w:p>
      <w:pPr>
        <w:pStyle w:val="ListBullet"/>
      </w:pPr>
      <w:r>
        <w:t>Évaluation de la qualité de vie (EQ-5D, SF-12)</w:t>
      </w:r>
    </w:p>
    <w:p>
      <w:pPr>
        <w:pStyle w:val="ListBullet"/>
      </w:pPr>
      <w:r>
        <w:t>Évaluation des comorbidités (diabète, HTA, dyslipidémie, obésité, dépression)</w:t>
      </w:r>
    </w:p>
    <w:p>
      <w:r/>
      <w:r>
        <w:rPr>
          <w:b/>
        </w:rPr>
        <w:t>Surveillance pendant le traitement</w:t>
      </w:r>
      <w:r>
        <w:t xml:space="preserve"> :</w:t>
      </w:r>
    </w:p>
    <w:p>
      <w:pPr>
        <w:pStyle w:val="ListBullet"/>
      </w:pPr>
      <w:r/>
      <w:r>
        <w:rPr>
          <w:b/>
        </w:rPr>
        <w:t>À 1 mois</w:t>
      </w:r>
      <w:r>
        <w:t xml:space="preserve"> : tolérance clinique (digestive, hépatique), NFS, bilan hépatique, créatinine</w:t>
      </w:r>
    </w:p>
    <w:p>
      <w:pPr>
        <w:pStyle w:val="ListBullet"/>
      </w:pPr>
      <w:r/>
      <w:r>
        <w:rPr>
          <w:b/>
        </w:rPr>
        <w:t>À 3 mois</w:t>
      </w:r>
      <w:r>
        <w:t xml:space="preserve"> : idem + évaluation de l'efficacité clinique (EVA, WOMAC, Lequesne) + radiographies si indiqué</w:t>
      </w:r>
    </w:p>
    <w:p>
      <w:pPr>
        <w:pStyle w:val="ListBullet"/>
      </w:pPr>
      <w:r/>
      <w:r>
        <w:rPr>
          <w:b/>
        </w:rPr>
        <w:t>À 6 mois</w:t>
      </w:r>
      <w:r>
        <w:t xml:space="preserve"> : idem + évaluation de l'efficacité clinique + décision de poursuite ou d'arrêt</w:t>
      </w:r>
    </w:p>
    <w:p>
      <w:pPr>
        <w:pStyle w:val="ListBullet"/>
      </w:pPr>
      <w:r/>
      <w:r>
        <w:rPr>
          <w:b/>
        </w:rPr>
        <w:t>Trimestrielle pendant le 1ᵉʳ trimestre</w:t>
      </w:r>
      <w:r>
        <w:t xml:space="preserve"> : bilan hépatique (ALAT, ASAT) — recommandation EMA/PRAC 2014-2015</w:t>
      </w:r>
    </w:p>
    <w:p>
      <w:pPr>
        <w:pStyle w:val="ListBullet"/>
      </w:pPr>
      <w:r/>
      <w:r>
        <w:rPr>
          <w:b/>
        </w:rPr>
        <w:t>Semestrielle à vie</w:t>
      </w:r>
      <w:r>
        <w:t xml:space="preserve"> : clinique + biologie + radiographies si indiqué</w:t>
      </w:r>
    </w:p>
    <w:p>
      <w:pPr>
        <w:pStyle w:val="ListBullet"/>
      </w:pPr>
      <w:r>
        <w:t>Surveillance de l'efficacité : EVA cible &lt; 40 mm (diminution de ≥ 20 % par rapport à la baseline), WOMAC amélioré de ≥ 20 %, Lequesne amélioré de ≥ 1 point</w:t>
      </w:r>
    </w:p>
    <w:p>
      <w:pPr>
        <w:pStyle w:val="ListBullet"/>
      </w:pPr>
      <w:r>
        <w:t>Surveillance de la tolérance digestive : éducation du patient à consulter en urgence en cas de diarrhée persistante &gt; 7 jours, douleurs abdominales fébriles, rectorragies, vomissements</w:t>
      </w:r>
    </w:p>
    <w:p>
      <w:pPr>
        <w:pStyle w:val="ListBullet"/>
      </w:pPr>
      <w:r>
        <w:t>Surveillance de la tolérance hépatique : éducation du patient à consulter en urgence en cas d'ictère, urines foncées, selles décolorées, fatigue intense, nausées persistantes, douleurs abdominales hautes</w:t>
      </w:r>
    </w:p>
    <w:p>
      <w:pPr>
        <w:pStyle w:val="ListBullet"/>
      </w:pPr>
      <w:r>
        <w:t>Surveillance de la tolérance rénale : créatinine tous les 6 mois, adaptation posologique si DFG &lt; 60 mL/min</w:t>
      </w:r>
    </w:p>
    <w:p>
      <w:r/>
      <w:r>
        <w:rPr>
          <w:b/>
        </w:rPr>
        <w:t>Critères d'arrêt</w:t>
      </w:r>
      <w:r>
        <w:t xml:space="preserve"> :</w:t>
      </w:r>
    </w:p>
    <w:p>
      <w:pPr>
        <w:pStyle w:val="ListBullet"/>
      </w:pPr>
      <w:r>
        <w:t>Effet indésirable grave (cytolyse hépatique &gt; 3 × LSN, cholestase, insuffisance hépatique, diarrhée sévère persistante, perforation digestive, réaction anaphylactique)</w:t>
      </w:r>
    </w:p>
    <w:p>
      <w:pPr>
        <w:pStyle w:val="ListBullet"/>
      </w:pPr>
      <w:r>
        <w:t>Grossesse projetée ou en cours</w:t>
      </w:r>
    </w:p>
    <w:p>
      <w:pPr>
        <w:pStyle w:val="ListBullet"/>
      </w:pPr>
      <w:r>
        <w:t>Perte d'efficacité secondaire (réapparition de la douleur malgré la poursuite du traitement après 6 mois d'efficacité initiale)</w:t>
      </w:r>
    </w:p>
    <w:p>
      <w:pPr>
        <w:pStyle w:val="ListBullet"/>
      </w:pPr>
      <w:r>
        <w:t>Non-observance thérapeutique avérée</w:t>
      </w:r>
    </w:p>
    <w:p>
      <w:pPr>
        <w:pStyle w:val="ListBullet"/>
      </w:pPr>
      <w:r>
        <w:t>Apparition d'une nouvelle contre-indication (insuffisance hépatique, insuffisance rénale, MICI)</w:t>
      </w:r>
    </w:p>
    <w:p>
      <w:pPr>
        <w:pStyle w:val="ListBullet"/>
      </w:pPr>
      <w:r>
        <w:t>Indication de chirurgie prothétique (arthrose très avancée)</w:t>
      </w:r>
    </w:p>
    <w:p>
      <w:r/>
      <w:r>
        <w:rPr>
          <w:b/>
        </w:rPr>
        <w:t>Coordination pluridisciplinaire</w:t>
      </w:r>
      <w:r>
        <w:t xml:space="preserve"> :</w:t>
      </w:r>
    </w:p>
    <w:p>
      <w:pPr>
        <w:pStyle w:val="ListBullet"/>
      </w:pPr>
      <w:r>
        <w:t>Médecin traitant : suivi généraliste, dépistage des comorbidités, éducation thérapeutique, surveillance hépatique et rénale</w:t>
      </w:r>
    </w:p>
    <w:p>
      <w:pPr>
        <w:pStyle w:val="ListBullet"/>
      </w:pPr>
      <w:r>
        <w:t>Rhumatologue référent : évaluation de l'efficacité, adaptation thérapeutique, surveillance spécialisée</w:t>
      </w:r>
    </w:p>
    <w:p>
      <w:pPr>
        <w:pStyle w:val="ListBullet"/>
      </w:pPr>
      <w:r>
        <w:t>Gastro-entérologue : avis spécialisé en cas de diarrhée persistante, de douleurs abdominales, d'antécédent de MICI ou de diverticulose</w:t>
      </w:r>
    </w:p>
    <w:p>
      <w:pPr>
        <w:pStyle w:val="ListBullet"/>
      </w:pPr>
      <w:r>
        <w:t>Hépatologue : avis spécialisé en cas de cytolyse hépatique, de cholestase</w:t>
      </w:r>
    </w:p>
    <w:p>
      <w:pPr>
        <w:pStyle w:val="ListBullet"/>
      </w:pPr>
      <w:r>
        <w:t>Néphrologue : avis spécialisé en cas d'insuffisance rénale</w:t>
      </w:r>
    </w:p>
    <w:p>
      <w:pPr>
        <w:pStyle w:val="ListBullet"/>
      </w:pPr>
      <w:r>
        <w:t>Kinésithérapeute : rééducation articulaire, renforcement musculaire, activité physique adaptée</w:t>
      </w:r>
    </w:p>
    <w:p>
      <w:pPr>
        <w:pStyle w:val="ListBullet"/>
      </w:pPr>
      <w:r>
        <w:t>Nutritionniste ou diététicien : perte de poids si obésité, conseil alimentaire (fibres, hydratation)</w:t>
      </w:r>
    </w:p>
    <w:p>
      <w:pPr>
        <w:pStyle w:val="ListBullet"/>
      </w:pPr>
      <w:r>
        <w:t>Pharmacien d'officine : éducation à l'observance, délivrance mensuelle, repérage des signaux d'alerte (diarrhée, douleurs abdominales, ictère), prévention de la coloration brunâtre des urines</w:t>
      </w:r>
    </w:p>
    <w:p>
      <w:pPr>
        <w:pStyle w:val="Heading2"/>
      </w:pPr>
      <w:r>
        <w:t>153.10 Tableau comparatif des 5 DCIs</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Critère</w:t>
            </w:r>
          </w:p>
        </w:tc>
        <w:tc>
          <w:tcPr>
            <w:tcW w:type="dxa" w:w="1559"/>
          </w:tcPr>
          <w:p>
            <w:r>
              <w:rPr>
                <w:b/>
                <w:sz w:val="20"/>
              </w:rPr>
              <w:t>Tofacitinib (TRIJAN®)</w:t>
            </w:r>
          </w:p>
        </w:tc>
        <w:tc>
          <w:tcPr>
            <w:tcW w:type="dxa" w:w="1559"/>
          </w:tcPr>
          <w:p>
            <w:r>
              <w:rPr>
                <w:b/>
                <w:sz w:val="20"/>
              </w:rPr>
              <w:t>Baricitinib (OLUMIANT®)</w:t>
            </w:r>
          </w:p>
        </w:tc>
        <w:tc>
          <w:tcPr>
            <w:tcW w:type="dxa" w:w="1559"/>
          </w:tcPr>
          <w:p>
            <w:r>
              <w:rPr>
                <w:b/>
                <w:sz w:val="20"/>
              </w:rPr>
              <w:t>Upadacitinib (RINVOQ®)</w:t>
            </w:r>
          </w:p>
        </w:tc>
        <w:tc>
          <w:tcPr>
            <w:tcW w:type="dxa" w:w="1559"/>
          </w:tcPr>
          <w:p>
            <w:r>
              <w:rPr>
                <w:b/>
                <w:sz w:val="20"/>
              </w:rPr>
              <w:t>Hyaluronate de sodium (HYFRESH®, THERAFRESH®)</w:t>
            </w:r>
          </w:p>
        </w:tc>
        <w:tc>
          <w:tcPr>
            <w:tcW w:type="dxa" w:w="1559"/>
          </w:tcPr>
          <w:p>
            <w:r>
              <w:rPr>
                <w:b/>
                <w:sz w:val="20"/>
              </w:rPr>
              <w:t>Diacéréine (ARTROPI®, DIACENE 50®)</w:t>
            </w:r>
          </w:p>
        </w:tc>
      </w:tr>
      <w:tr>
        <w:tc>
          <w:tcPr>
            <w:tcW w:type="dxa" w:w="1559"/>
          </w:tcPr>
          <w:p>
            <w:r>
              <w:rPr>
                <w:sz w:val="20"/>
              </w:rPr>
              <w:t>**Sous-classe**</w:t>
            </w:r>
          </w:p>
        </w:tc>
        <w:tc>
          <w:tcPr>
            <w:tcW w:type="dxa" w:w="1559"/>
          </w:tcPr>
          <w:p>
            <w:r>
              <w:rPr>
                <w:sz w:val="20"/>
              </w:rPr>
              <w:t>Inhibiteurs JAK</w:t>
            </w:r>
          </w:p>
        </w:tc>
        <w:tc>
          <w:tcPr>
            <w:tcW w:type="dxa" w:w="1559"/>
          </w:tcPr>
          <w:p>
            <w:r>
              <w:rPr>
                <w:sz w:val="20"/>
              </w:rPr>
              <w:t>Inhibiteurs JAK</w:t>
            </w:r>
          </w:p>
        </w:tc>
        <w:tc>
          <w:tcPr>
            <w:tcW w:type="dxa" w:w="1559"/>
          </w:tcPr>
          <w:p>
            <w:r>
              <w:rPr>
                <w:sz w:val="20"/>
              </w:rPr>
              <w:t>Inhibiteurs JAK</w:t>
            </w:r>
          </w:p>
        </w:tc>
        <w:tc>
          <w:tcPr>
            <w:tcW w:type="dxa" w:w="1559"/>
          </w:tcPr>
          <w:p>
            <w:r>
              <w:rPr>
                <w:sz w:val="20"/>
              </w:rPr>
              <w:t>Visco-supplémentation</w:t>
            </w:r>
          </w:p>
        </w:tc>
        <w:tc>
          <w:tcPr>
            <w:tcW w:type="dxa" w:w="1559"/>
          </w:tcPr>
          <w:p>
            <w:r>
              <w:rPr>
                <w:sz w:val="20"/>
              </w:rPr>
              <w:t>SYSADOA</w:t>
            </w:r>
          </w:p>
        </w:tc>
      </w:tr>
      <w:tr>
        <w:tc>
          <w:tcPr>
            <w:tcW w:type="dxa" w:w="1559"/>
          </w:tcPr>
          <w:p>
            <w:r>
              <w:rPr>
                <w:sz w:val="20"/>
              </w:rPr>
              <w:t>**Cible moléculaire**</w:t>
            </w:r>
          </w:p>
        </w:tc>
        <w:tc>
          <w:tcPr>
            <w:tcW w:type="dxa" w:w="1559"/>
          </w:tcPr>
          <w:p>
            <w:r>
              <w:rPr>
                <w:sz w:val="20"/>
              </w:rPr>
              <w:t>JAK1/JAK3</w:t>
            </w:r>
          </w:p>
        </w:tc>
        <w:tc>
          <w:tcPr>
            <w:tcW w:type="dxa" w:w="1559"/>
          </w:tcPr>
          <w:p>
            <w:r>
              <w:rPr>
                <w:sz w:val="20"/>
              </w:rPr>
              <w:t>JAK1/JAK2</w:t>
            </w:r>
          </w:p>
        </w:tc>
        <w:tc>
          <w:tcPr>
            <w:tcW w:type="dxa" w:w="1559"/>
          </w:tcPr>
          <w:p>
            <w:r>
              <w:rPr>
                <w:sz w:val="20"/>
              </w:rPr>
              <w:t>JAK1 (hautement sélectif)</w:t>
            </w:r>
          </w:p>
        </w:tc>
        <w:tc>
          <w:tcPr>
            <w:tcW w:type="dxa" w:w="1559"/>
          </w:tcPr>
          <w:p>
            <w:r>
              <w:rPr>
                <w:sz w:val="20"/>
              </w:rPr>
              <w:t>Aucune (effet rhéologique et biologique)</w:t>
            </w:r>
          </w:p>
        </w:tc>
        <w:tc>
          <w:tcPr>
            <w:tcW w:type="dxa" w:w="1559"/>
          </w:tcPr>
          <w:p>
            <w:r>
              <w:rPr>
                <w:sz w:val="20"/>
              </w:rPr>
              <w:t>IL-1β (inhibition production et activité)</w:t>
            </w:r>
          </w:p>
        </w:tc>
      </w:tr>
      <w:tr>
        <w:tc>
          <w:tcPr>
            <w:tcW w:type="dxa" w:w="1559"/>
          </w:tcPr>
          <w:p>
            <w:r>
              <w:rPr>
                <w:sz w:val="20"/>
              </w:rPr>
              <w:t>**Délai d'action**</w:t>
            </w:r>
          </w:p>
        </w:tc>
        <w:tc>
          <w:tcPr>
            <w:tcW w:type="dxa" w:w="1559"/>
          </w:tcPr>
          <w:p>
            <w:r>
              <w:rPr>
                <w:sz w:val="20"/>
              </w:rPr>
              <w:t>4-8 semaines</w:t>
            </w:r>
          </w:p>
        </w:tc>
        <w:tc>
          <w:tcPr>
            <w:tcW w:type="dxa" w:w="1559"/>
          </w:tcPr>
          <w:p>
            <w:r>
              <w:rPr>
                <w:sz w:val="20"/>
              </w:rPr>
              <w:t>2-4 semaines</w:t>
            </w:r>
          </w:p>
        </w:tc>
        <w:tc>
          <w:tcPr>
            <w:tcW w:type="dxa" w:w="1559"/>
          </w:tcPr>
          <w:p>
            <w:r>
              <w:rPr>
                <w:sz w:val="20"/>
              </w:rPr>
              <w:t>2-4 semaines</w:t>
            </w:r>
          </w:p>
        </w:tc>
        <w:tc>
          <w:tcPr>
            <w:tcW w:type="dxa" w:w="1559"/>
          </w:tcPr>
          <w:p>
            <w:r>
              <w:rPr>
                <w:sz w:val="20"/>
              </w:rPr>
              <w:t>4-6 semaines (voie intra-articulaire) ; immédiat pour la lubrification oculaire</w:t>
            </w:r>
          </w:p>
        </w:tc>
        <w:tc>
          <w:tcPr>
            <w:tcW w:type="dxa" w:w="1559"/>
          </w:tcPr>
          <w:p>
            <w:r>
              <w:rPr>
                <w:sz w:val="20"/>
              </w:rPr>
              <w:t>2-3 mois (effet *slow-acting*)</w:t>
            </w:r>
          </w:p>
        </w:tc>
      </w:tr>
      <w:tr>
        <w:tc>
          <w:tcPr>
            <w:tcW w:type="dxa" w:w="1559"/>
          </w:tcPr>
          <w:p>
            <w:r>
              <w:rPr>
                <w:sz w:val="20"/>
              </w:rPr>
              <w:t>**Voie d'administration**</w:t>
            </w:r>
          </w:p>
        </w:tc>
        <w:tc>
          <w:tcPr>
            <w:tcW w:type="dxa" w:w="1559"/>
          </w:tcPr>
          <w:p>
            <w:r>
              <w:rPr>
                <w:sz w:val="20"/>
              </w:rPr>
              <w:t>Orale (cp pelliculé)</w:t>
            </w:r>
          </w:p>
        </w:tc>
        <w:tc>
          <w:tcPr>
            <w:tcW w:type="dxa" w:w="1559"/>
          </w:tcPr>
          <w:p>
            <w:r>
              <w:rPr>
                <w:sz w:val="20"/>
              </w:rPr>
              <w:t>Orale (cp pelliculé)</w:t>
            </w:r>
          </w:p>
        </w:tc>
        <w:tc>
          <w:tcPr>
            <w:tcW w:type="dxa" w:w="1559"/>
          </w:tcPr>
          <w:p>
            <w:r>
              <w:rPr>
                <w:sz w:val="20"/>
              </w:rPr>
              <w:t>Orale (cp LP)</w:t>
            </w:r>
          </w:p>
        </w:tc>
        <w:tc>
          <w:tcPr>
            <w:tcW w:type="dxa" w:w="1559"/>
          </w:tcPr>
          <w:p>
            <w:r>
              <w:rPr>
                <w:sz w:val="20"/>
              </w:rPr>
              <w:t>Ophtalmologique (collyre) ; intra-articulaire (formes importées)</w:t>
            </w:r>
          </w:p>
        </w:tc>
        <w:tc>
          <w:tcPr>
            <w:tcW w:type="dxa" w:w="1559"/>
          </w:tcPr>
          <w:p>
            <w:r>
              <w:rPr>
                <w:sz w:val="20"/>
              </w:rPr>
              <w:t>Orale (gélule)</w:t>
            </w:r>
          </w:p>
        </w:tc>
      </w:tr>
      <w:tr>
        <w:tc>
          <w:tcPr>
            <w:tcW w:type="dxa" w:w="1559"/>
          </w:tcPr>
          <w:p>
            <w:r>
              <w:rPr>
                <w:sz w:val="20"/>
              </w:rPr>
              <w:t>**Posologie standard**</w:t>
            </w:r>
          </w:p>
        </w:tc>
        <w:tc>
          <w:tcPr>
            <w:tcW w:type="dxa" w:w="1559"/>
          </w:tcPr>
          <w:p>
            <w:r>
              <w:rPr>
                <w:sz w:val="20"/>
              </w:rPr>
              <w:t>5 mg × 2/jour</w:t>
            </w:r>
          </w:p>
        </w:tc>
        <w:tc>
          <w:tcPr>
            <w:tcW w:type="dxa" w:w="1559"/>
          </w:tcPr>
          <w:p>
            <w:r>
              <w:rPr>
                <w:sz w:val="20"/>
              </w:rPr>
              <w:t>4 mg × 1/jour</w:t>
            </w:r>
          </w:p>
        </w:tc>
        <w:tc>
          <w:tcPr>
            <w:tcW w:type="dxa" w:w="1559"/>
          </w:tcPr>
          <w:p>
            <w:r>
              <w:rPr>
                <w:sz w:val="20"/>
              </w:rPr>
              <w:t>15 mg × 1/jour</w:t>
            </w:r>
          </w:p>
        </w:tc>
        <w:tc>
          <w:tcPr>
            <w:tcW w:type="dxa" w:w="1559"/>
          </w:tcPr>
          <w:p>
            <w:r>
              <w:rPr>
                <w:sz w:val="20"/>
              </w:rPr>
              <w:t>1 goutte × 3-4/jour (voie opht.) ; 1 injection I-A/sem × 3 sem (voie I-A)</w:t>
            </w:r>
          </w:p>
        </w:tc>
        <w:tc>
          <w:tcPr>
            <w:tcW w:type="dxa" w:w="1559"/>
          </w:tcPr>
          <w:p>
            <w:r>
              <w:rPr>
                <w:sz w:val="20"/>
              </w:rPr>
              <w:t>50 mg × 2/jour (escalade : 50 mg × 1/j pendant 2-4 sem)</w:t>
            </w:r>
          </w:p>
        </w:tc>
      </w:tr>
      <w:tr>
        <w:tc>
          <w:tcPr>
            <w:tcW w:type="dxa" w:w="1559"/>
          </w:tcPr>
          <w:p>
            <w:r>
              <w:rPr>
                <w:sz w:val="20"/>
              </w:rPr>
              <w:t>**Indication principale**</w:t>
            </w:r>
          </w:p>
        </w:tc>
        <w:tc>
          <w:tcPr>
            <w:tcW w:type="dxa" w:w="1559"/>
          </w:tcPr>
          <w:p>
            <w:r>
              <w:rPr>
                <w:sz w:val="20"/>
              </w:rPr>
              <w:t>PR, RPso, SpA (2ᵉ ligne tsDMARD)</w:t>
            </w:r>
          </w:p>
        </w:tc>
        <w:tc>
          <w:tcPr>
            <w:tcW w:type="dxa" w:w="1559"/>
          </w:tcPr>
          <w:p>
            <w:r>
              <w:rPr>
                <w:sz w:val="20"/>
              </w:rPr>
              <w:t>PR, dermatite atopique (2ᵉ ligne tsDMARD)</w:t>
            </w:r>
          </w:p>
        </w:tc>
        <w:tc>
          <w:tcPr>
            <w:tcW w:type="dxa" w:w="1559"/>
          </w:tcPr>
          <w:p>
            <w:r>
              <w:rPr>
                <w:sz w:val="20"/>
              </w:rPr>
              <w:t>PR, RPso, SpA, dermatite atopique, Crohn, RCH (2ᵉ ligne tsDMARD)</w:t>
            </w:r>
          </w:p>
        </w:tc>
        <w:tc>
          <w:tcPr>
            <w:tcW w:type="dxa" w:w="1559"/>
          </w:tcPr>
          <w:p>
            <w:r>
              <w:rPr>
                <w:sz w:val="20"/>
              </w:rPr>
              <w:t>Sécheresse oculaire ; arthrose fémoro-tibiale (voies importées)</w:t>
            </w:r>
          </w:p>
        </w:tc>
        <w:tc>
          <w:tcPr>
            <w:tcW w:type="dxa" w:w="1559"/>
          </w:tcPr>
          <w:p>
            <w:r>
              <w:rPr>
                <w:sz w:val="20"/>
              </w:rPr>
              <w:t>Arthrose fémoro-tibiale et coxo-fémorale modérée</w:t>
            </w:r>
          </w:p>
        </w:tc>
      </w:tr>
      <w:tr>
        <w:tc>
          <w:tcPr>
            <w:tcW w:type="dxa" w:w="1559"/>
          </w:tcPr>
          <w:p>
            <w:r>
              <w:rPr>
                <w:sz w:val="20"/>
              </w:rPr>
              <w:t>**Statut réglementaire Algérie**</w:t>
            </w:r>
          </w:p>
        </w:tc>
        <w:tc>
          <w:tcPr>
            <w:tcW w:type="dxa" w:w="1559"/>
          </w:tcPr>
          <w:p>
            <w:r>
              <w:rPr>
                <w:sz w:val="20"/>
              </w:rPr>
              <w:t>Liste I, prescription spécialisée</w:t>
            </w:r>
          </w:p>
        </w:tc>
        <w:tc>
          <w:tcPr>
            <w:tcW w:type="dxa" w:w="1559"/>
          </w:tcPr>
          <w:p>
            <w:r>
              <w:rPr>
                <w:sz w:val="20"/>
              </w:rPr>
              <w:t>Liste I, prescription spécialisée</w:t>
            </w:r>
          </w:p>
        </w:tc>
        <w:tc>
          <w:tcPr>
            <w:tcW w:type="dxa" w:w="1559"/>
          </w:tcPr>
          <w:p>
            <w:r>
              <w:rPr>
                <w:sz w:val="20"/>
              </w:rPr>
              <w:t>Liste I, prescription spécialisée</w:t>
            </w:r>
          </w:p>
        </w:tc>
        <w:tc>
          <w:tcPr>
            <w:tcW w:type="dxa" w:w="1559"/>
          </w:tcPr>
          <w:p>
            <w:r>
              <w:rPr>
                <w:sz w:val="20"/>
              </w:rPr>
              <w:t>Liste I (THERAFRESH®) ; non listé (HYFRESH®)</w:t>
            </w:r>
          </w:p>
        </w:tc>
        <w:tc>
          <w:tcPr>
            <w:tcW w:type="dxa" w:w="1559"/>
          </w:tcPr>
          <w:p>
            <w:r>
              <w:rPr>
                <w:sz w:val="20"/>
              </w:rPr>
              <w:t>Liste I, prescription médicale</w:t>
            </w:r>
          </w:p>
        </w:tc>
      </w:tr>
      <w:tr>
        <w:tc>
          <w:tcPr>
            <w:tcW w:type="dxa" w:w="1559"/>
          </w:tcPr>
          <w:p>
            <w:r>
              <w:rPr>
                <w:sz w:val="20"/>
              </w:rPr>
              <w:t>**Coût mensuel estimé (Algérie)**</w:t>
            </w:r>
          </w:p>
        </w:tc>
        <w:tc>
          <w:tcPr>
            <w:tcW w:type="dxa" w:w="1559"/>
          </w:tcPr>
          <w:p>
            <w:r>
              <w:rPr>
                <w:sz w:val="20"/>
              </w:rPr>
              <w:t>18 000-25 000 DA</w:t>
            </w:r>
          </w:p>
        </w:tc>
        <w:tc>
          <w:tcPr>
            <w:tcW w:type="dxa" w:w="1559"/>
          </w:tcPr>
          <w:p>
            <w:r>
              <w:rPr>
                <w:sz w:val="20"/>
              </w:rPr>
              <w:t>22 000-30 000 DA</w:t>
            </w:r>
          </w:p>
        </w:tc>
        <w:tc>
          <w:tcPr>
            <w:tcW w:type="dxa" w:w="1559"/>
          </w:tcPr>
          <w:p>
            <w:r>
              <w:rPr>
                <w:sz w:val="20"/>
              </w:rPr>
              <w:t>25 000-35 000 DA</w:t>
            </w:r>
          </w:p>
        </w:tc>
        <w:tc>
          <w:tcPr>
            <w:tcW w:type="dxa" w:w="1559"/>
          </w:tcPr>
          <w:p>
            <w:r>
              <w:rPr>
                <w:sz w:val="20"/>
              </w:rPr>
              <w:t>800-1 500 DA (collyre) ; 15 000-25 000 DA par injection (voies importées)</w:t>
            </w:r>
          </w:p>
        </w:tc>
        <w:tc>
          <w:tcPr>
            <w:tcW w:type="dxa" w:w="1559"/>
          </w:tcPr>
          <w:p>
            <w:r>
              <w:rPr>
                <w:sz w:val="20"/>
              </w:rPr>
              <w:t>1 500-2 500 DA</w:t>
            </w:r>
          </w:p>
        </w:tc>
      </w:tr>
      <w:tr>
        <w:tc>
          <w:tcPr>
            <w:tcW w:type="dxa" w:w="1559"/>
          </w:tcPr>
          <w:p>
            <w:r>
              <w:rPr>
                <w:sz w:val="20"/>
              </w:rPr>
              <w:t>**Principaux effets indésirables**</w:t>
            </w:r>
          </w:p>
        </w:tc>
        <w:tc>
          <w:tcPr>
            <w:tcW w:type="dxa" w:w="1559"/>
          </w:tcPr>
          <w:p>
            <w:r>
              <w:rPr>
                <w:sz w:val="20"/>
              </w:rPr>
              <w:t>Infections (zona, TB), NFS, lipides, thrombose veineuse (EMA), cancer, perforation digestive</w:t>
            </w:r>
          </w:p>
        </w:tc>
        <w:tc>
          <w:tcPr>
            <w:tcW w:type="dxa" w:w="1559"/>
          </w:tcPr>
          <w:p>
            <w:r>
              <w:rPr>
                <w:sz w:val="20"/>
              </w:rPr>
              <w:t>Idem tofacitinib + anémie (JAK2)</w:t>
            </w:r>
          </w:p>
        </w:tc>
        <w:tc>
          <w:tcPr>
            <w:tcW w:type="dxa" w:w="1559"/>
          </w:tcPr>
          <w:p>
            <w:r>
              <w:rPr>
                <w:sz w:val="20"/>
              </w:rPr>
              <w:t>Idem tofacitinib (anémie moins marquée)</w:t>
            </w:r>
          </w:p>
        </w:tc>
        <w:tc>
          <w:tcPr>
            <w:tcW w:type="dxa" w:w="1559"/>
          </w:tcPr>
          <w:p>
            <w:r>
              <w:rPr>
                <w:sz w:val="20"/>
              </w:rPr>
              <w:t>Brûlure à l'instillation, flou visuel, allergie (voie opht.) ; poussée inflammatoire, granulome (voie I-A)</w:t>
            </w:r>
          </w:p>
        </w:tc>
        <w:tc>
          <w:tcPr>
            <w:tcW w:type="dxa" w:w="1559"/>
          </w:tcPr>
          <w:p>
            <w:r>
              <w:rPr>
                <w:sz w:val="20"/>
              </w:rPr>
              <w:t>Diarrhée (20-40 %), douleurs abdominales, coloration des urines, cytolyse hépatique</w:t>
            </w:r>
          </w:p>
        </w:tc>
      </w:tr>
      <w:tr>
        <w:tc>
          <w:tcPr>
            <w:tcW w:type="dxa" w:w="1559"/>
          </w:tcPr>
          <w:p>
            <w:r>
              <w:rPr>
                <w:sz w:val="20"/>
              </w:rPr>
              <w:t>**Surveillance clé**</w:t>
            </w:r>
          </w:p>
        </w:tc>
        <w:tc>
          <w:tcPr>
            <w:tcW w:type="dxa" w:w="1559"/>
          </w:tcPr>
          <w:p>
            <w:r>
              <w:rPr>
                <w:sz w:val="20"/>
              </w:rPr>
              <w:t>NFS, bilan hépatique, lipidique mensuel/trimestriel ; ECG ; dermatologique annuel</w:t>
            </w:r>
          </w:p>
        </w:tc>
        <w:tc>
          <w:tcPr>
            <w:tcW w:type="dxa" w:w="1559"/>
          </w:tcPr>
          <w:p>
            <w:r>
              <w:rPr>
                <w:sz w:val="20"/>
              </w:rPr>
              <w:t>Idem tofacitinib + surveillance hématologique renforcée (anémie)</w:t>
            </w:r>
          </w:p>
        </w:tc>
        <w:tc>
          <w:tcPr>
            <w:tcW w:type="dxa" w:w="1559"/>
          </w:tcPr>
          <w:p>
            <w:r>
              <w:rPr>
                <w:sz w:val="20"/>
              </w:rPr>
              <w:t>Idem tofacitinib</w:t>
            </w:r>
          </w:p>
        </w:tc>
        <w:tc>
          <w:tcPr>
            <w:tcW w:type="dxa" w:w="1559"/>
          </w:tcPr>
          <w:p>
            <w:r>
              <w:rPr>
                <w:sz w:val="20"/>
              </w:rPr>
              <w:t>Ophtalmologique (lampe à fente, TBUT, Schirmer) ; articulaire (EVA, WOMAC, radiographies)</w:t>
            </w:r>
          </w:p>
        </w:tc>
        <w:tc>
          <w:tcPr>
            <w:tcW w:type="dxa" w:w="1559"/>
          </w:tcPr>
          <w:p>
            <w:r>
              <w:rPr>
                <w:sz w:val="20"/>
              </w:rPr>
              <w:t>Hépatique (ALAT/ASAT) trimestrielle pendant 1ᵉʳ trimestre ; rénale semestrielle</w:t>
            </w:r>
          </w:p>
        </w:tc>
      </w:tr>
      <w:tr>
        <w:tc>
          <w:tcPr>
            <w:tcW w:type="dxa" w:w="1559"/>
          </w:tcPr>
          <w:p>
            <w:r>
              <w:rPr>
                <w:sz w:val="20"/>
              </w:rPr>
              <w:t>**Contre-indications majeures**</w:t>
            </w:r>
          </w:p>
        </w:tc>
        <w:tc>
          <w:tcPr>
            <w:tcW w:type="dxa" w:w="1559"/>
          </w:tcPr>
          <w:p>
            <w:r>
              <w:rPr>
                <w:sz w:val="20"/>
              </w:rPr>
              <w:t>Âge &gt; 65 ans, ATCD thrombose veineuse, ATCD MACE, cancer, grossesse, infection sévère, insuffisance hépatique sévère</w:t>
            </w:r>
          </w:p>
        </w:tc>
        <w:tc>
          <w:tcPr>
            <w:tcW w:type="dxa" w:w="1559"/>
          </w:tcPr>
          <w:p>
            <w:r>
              <w:rPr>
                <w:sz w:val="20"/>
              </w:rPr>
              <w:t>Idem tofacitinib + insuffisance rénale sévère (DFG &lt; 30)</w:t>
            </w:r>
          </w:p>
        </w:tc>
        <w:tc>
          <w:tcPr>
            <w:tcW w:type="dxa" w:w="1559"/>
          </w:tcPr>
          <w:p>
            <w:r>
              <w:rPr>
                <w:sz w:val="20"/>
              </w:rPr>
              <w:t>Idem tofacitinib</w:t>
            </w:r>
          </w:p>
        </w:tc>
        <w:tc>
          <w:tcPr>
            <w:tcW w:type="dxa" w:w="1559"/>
          </w:tcPr>
          <w:p>
            <w:r>
              <w:rPr>
                <w:sz w:val="20"/>
              </w:rPr>
              <w:t>Infection articulaire, arthrite inflammatoire aiguë, allergie aux protéines aviaires (produits d'origine aviaire)</w:t>
            </w:r>
          </w:p>
        </w:tc>
        <w:tc>
          <w:tcPr>
            <w:tcW w:type="dxa" w:w="1559"/>
          </w:tcPr>
          <w:p>
            <w:r>
              <w:rPr>
                <w:sz w:val="20"/>
              </w:rPr>
              <w:t>Insuffisance hépatique sévère, insuffisance rénale sévère, MICI en poussée, grossesse, enfant &lt; 15 ans</w:t>
            </w:r>
          </w:p>
        </w:tc>
      </w:tr>
      <w:tr>
        <w:tc>
          <w:tcPr>
            <w:tcW w:type="dxa" w:w="1559"/>
          </w:tcPr>
          <w:p>
            <w:r>
              <w:rPr>
                <w:sz w:val="20"/>
              </w:rPr>
              <w:t>**Grossesse (CRAT)**</w:t>
            </w:r>
          </w:p>
        </w:tc>
        <w:tc>
          <w:tcPr>
            <w:tcW w:type="dxa" w:w="1559"/>
          </w:tcPr>
          <w:p>
            <w:r>
              <w:rPr>
                <w:sz w:val="20"/>
              </w:rPr>
              <w:t>Contre-indiqué</w:t>
            </w:r>
          </w:p>
        </w:tc>
        <w:tc>
          <w:tcPr>
            <w:tcW w:type="dxa" w:w="1559"/>
          </w:tcPr>
          <w:p>
            <w:r>
              <w:rPr>
                <w:sz w:val="20"/>
              </w:rPr>
              <w:t>Contre-indiqué</w:t>
            </w:r>
          </w:p>
        </w:tc>
        <w:tc>
          <w:tcPr>
            <w:tcW w:type="dxa" w:w="1559"/>
          </w:tcPr>
          <w:p>
            <w:r>
              <w:rPr>
                <w:sz w:val="20"/>
              </w:rPr>
              <w:t>Contre-indiqué</w:t>
            </w:r>
          </w:p>
        </w:tc>
        <w:tc>
          <w:tcPr>
            <w:tcW w:type="dxa" w:w="1559"/>
          </w:tcPr>
          <w:p>
            <w:r>
              <w:rPr>
                <w:sz w:val="20"/>
              </w:rPr>
              <w:t>Voie opht. compatible ; voie I-A à éviter</w:t>
            </w:r>
          </w:p>
        </w:tc>
        <w:tc>
          <w:tcPr>
            <w:tcW w:type="dxa" w:w="1559"/>
          </w:tcPr>
          <w:p>
            <w:r>
              <w:rPr>
                <w:sz w:val="20"/>
              </w:rPr>
              <w:t>Contre-indiqué</w:t>
            </w:r>
          </w:p>
        </w:tc>
      </w:tr>
      <w:tr>
        <w:tc>
          <w:tcPr>
            <w:tcW w:type="dxa" w:w="1559"/>
          </w:tcPr>
          <w:p>
            <w:r>
              <w:rPr>
                <w:sz w:val="20"/>
              </w:rPr>
              <w:t>**Allaitement**</w:t>
            </w:r>
          </w:p>
        </w:tc>
        <w:tc>
          <w:tcPr>
            <w:tcW w:type="dxa" w:w="1559"/>
          </w:tcPr>
          <w:p>
            <w:r>
              <w:rPr>
                <w:sz w:val="20"/>
              </w:rPr>
              <w:t>Contre-indiqué</w:t>
            </w:r>
          </w:p>
        </w:tc>
        <w:tc>
          <w:tcPr>
            <w:tcW w:type="dxa" w:w="1559"/>
          </w:tcPr>
          <w:p>
            <w:r>
              <w:rPr>
                <w:sz w:val="20"/>
              </w:rPr>
              <w:t>Contre-indiqué</w:t>
            </w:r>
          </w:p>
        </w:tc>
        <w:tc>
          <w:tcPr>
            <w:tcW w:type="dxa" w:w="1559"/>
          </w:tcPr>
          <w:p>
            <w:r>
              <w:rPr>
                <w:sz w:val="20"/>
              </w:rPr>
              <w:t>Contre-indiqué</w:t>
            </w:r>
          </w:p>
        </w:tc>
        <w:tc>
          <w:tcPr>
            <w:tcW w:type="dxa" w:w="1559"/>
          </w:tcPr>
          <w:p>
            <w:r>
              <w:rPr>
                <w:sz w:val="20"/>
              </w:rPr>
              <w:t>Voie opht. compatible ; voie I-A à éviter</w:t>
            </w:r>
          </w:p>
        </w:tc>
        <w:tc>
          <w:tcPr>
            <w:tcW w:type="dxa" w:w="1559"/>
          </w:tcPr>
          <w:p>
            <w:r>
              <w:rPr>
                <w:sz w:val="20"/>
              </w:rPr>
              <w:t>Contre-indiqué</w:t>
            </w:r>
          </w:p>
        </w:tc>
      </w:tr>
      <w:tr>
        <w:tc>
          <w:tcPr>
            <w:tcW w:type="dxa" w:w="1559"/>
          </w:tcPr>
          <w:p>
            <w:r>
              <w:rPr>
                <w:sz w:val="20"/>
              </w:rPr>
              <w:t>**Interactions majeures**</w:t>
            </w:r>
          </w:p>
        </w:tc>
        <w:tc>
          <w:tcPr>
            <w:tcW w:type="dxa" w:w="1559"/>
          </w:tcPr>
          <w:p>
            <w:r>
              <w:rPr>
                <w:sz w:val="20"/>
              </w:rPr>
              <w:t>Inhibiteurs puissants CYP3A4, inducteurs puissants CYP3A4, vaccins vivants</w:t>
            </w:r>
          </w:p>
        </w:tc>
        <w:tc>
          <w:tcPr>
            <w:tcW w:type="dxa" w:w="1559"/>
          </w:tcPr>
          <w:p>
            <w:r>
              <w:rPr>
                <w:sz w:val="20"/>
              </w:rPr>
              <w:t>Inhibiteurs OAT3 (probénécide), vaccins vivants</w:t>
            </w:r>
          </w:p>
        </w:tc>
        <w:tc>
          <w:tcPr>
            <w:tcW w:type="dxa" w:w="1559"/>
          </w:tcPr>
          <w:p>
            <w:r>
              <w:rPr>
                <w:sz w:val="20"/>
              </w:rPr>
              <w:t>Inhibiteurs puissants CYP3A4, inducteurs puissants CYP3A4, vaccins vivants</w:t>
            </w:r>
          </w:p>
        </w:tc>
        <w:tc>
          <w:tcPr>
            <w:tcW w:type="dxa" w:w="1559"/>
          </w:tcPr>
          <w:p>
            <w:r>
              <w:rPr>
                <w:sz w:val="20"/>
              </w:rPr>
              <w:t>Aucune (voie opht.) ; anticoagulants (voie I-A)</w:t>
            </w:r>
          </w:p>
        </w:tc>
        <w:tc>
          <w:tcPr>
            <w:tcW w:type="dxa" w:w="1559"/>
          </w:tcPr>
          <w:p>
            <w:r>
              <w:rPr>
                <w:sz w:val="20"/>
              </w:rPr>
              <w:t>Laxatifs, diurétiques, digitaliques, AVK</w:t>
            </w:r>
          </w:p>
        </w:tc>
      </w:tr>
      <w:tr>
        <w:tc>
          <w:tcPr>
            <w:tcW w:type="dxa" w:w="1559"/>
          </w:tcPr>
          <w:p>
            <w:r>
              <w:rPr>
                <w:sz w:val="20"/>
              </w:rPr>
              <w:t>**Adaptation posologique**</w:t>
            </w:r>
          </w:p>
        </w:tc>
        <w:tc>
          <w:tcPr>
            <w:tcW w:type="dxa" w:w="1559"/>
          </w:tcPr>
          <w:p>
            <w:r>
              <w:rPr>
                <w:sz w:val="20"/>
              </w:rPr>
              <w:t>Insuffisance rénale (5 mg × 1/j), hépatique modérée (5 mg × 1/j)</w:t>
            </w:r>
          </w:p>
        </w:tc>
        <w:tc>
          <w:tcPr>
            <w:tcW w:type="dxa" w:w="1559"/>
          </w:tcPr>
          <w:p>
            <w:r>
              <w:rPr>
                <w:sz w:val="20"/>
              </w:rPr>
              <w:t>Insuffisance rénale (2 mg × 1/j), sujet âgé (2 mg × 1/j)</w:t>
            </w:r>
          </w:p>
        </w:tc>
        <w:tc>
          <w:tcPr>
            <w:tcW w:type="dxa" w:w="1559"/>
          </w:tcPr>
          <w:p>
            <w:r>
              <w:rPr>
                <w:sz w:val="20"/>
              </w:rPr>
              <w:t>Insuffisance hépatique modérée (15 mg × 1/j), association inhibiteur modéré CYP3A4 (15 mg × 1/j)</w:t>
            </w:r>
          </w:p>
        </w:tc>
        <w:tc>
          <w:tcPr>
            <w:tcW w:type="dxa" w:w="1559"/>
          </w:tcPr>
          <w:p>
            <w:r>
              <w:rPr>
                <w:sz w:val="20"/>
              </w:rPr>
              <w:t>Aucune adaptation</w:t>
            </w:r>
          </w:p>
        </w:tc>
        <w:tc>
          <w:tcPr>
            <w:tcW w:type="dxa" w:w="1559"/>
          </w:tcPr>
          <w:p>
            <w:r>
              <w:rPr>
                <w:sz w:val="20"/>
              </w:rPr>
              <w:t>Insuffisance rénale modérée (50 mg × 1/j), hépatique modérée (50 mg × 1/j)</w:t>
            </w:r>
          </w:p>
        </w:tc>
      </w:tr>
      <w:tr>
        <w:tc>
          <w:tcPr>
            <w:tcW w:type="dxa" w:w="1559"/>
          </w:tcPr>
          <w:p>
            <w:r>
              <w:rPr>
                <w:sz w:val="20"/>
              </w:rPr>
              <w:t>**Délai d'efficacité**</w:t>
            </w:r>
          </w:p>
        </w:tc>
        <w:tc>
          <w:tcPr>
            <w:tcW w:type="dxa" w:w="1559"/>
          </w:tcPr>
          <w:p>
            <w:r>
              <w:rPr>
                <w:sz w:val="20"/>
              </w:rPr>
              <w:t>4-8 semaines</w:t>
            </w:r>
          </w:p>
        </w:tc>
        <w:tc>
          <w:tcPr>
            <w:tcW w:type="dxa" w:w="1559"/>
          </w:tcPr>
          <w:p>
            <w:r>
              <w:rPr>
                <w:sz w:val="20"/>
              </w:rPr>
              <w:t>2-4 semaines</w:t>
            </w:r>
          </w:p>
        </w:tc>
        <w:tc>
          <w:tcPr>
            <w:tcW w:type="dxa" w:w="1559"/>
          </w:tcPr>
          <w:p>
            <w:r>
              <w:rPr>
                <w:sz w:val="20"/>
              </w:rPr>
              <w:t>2-4 semaines</w:t>
            </w:r>
          </w:p>
        </w:tc>
        <w:tc>
          <w:tcPr>
            <w:tcW w:type="dxa" w:w="1559"/>
          </w:tcPr>
          <w:p>
            <w:r>
              <w:rPr>
                <w:sz w:val="20"/>
              </w:rPr>
              <w:t>4-6 semaines (effet différé voie I-A)</w:t>
            </w:r>
          </w:p>
        </w:tc>
        <w:tc>
          <w:tcPr>
            <w:tcW w:type="dxa" w:w="1559"/>
          </w:tcPr>
          <w:p>
            <w:r>
              <w:rPr>
                <w:sz w:val="20"/>
              </w:rPr>
              <w:t>2-3 mois (effet *slow-acting*)</w:t>
            </w:r>
          </w:p>
        </w:tc>
      </w:tr>
      <w:tr>
        <w:tc>
          <w:tcPr>
            <w:tcW w:type="dxa" w:w="1559"/>
          </w:tcPr>
          <w:p>
            <w:r>
              <w:rPr>
                <w:sz w:val="20"/>
              </w:rPr>
              <w:t>**Durée d'action après arrêt**</w:t>
            </w:r>
          </w:p>
        </w:tc>
        <w:tc>
          <w:tcPr>
            <w:tcW w:type="dxa" w:w="1559"/>
          </w:tcPr>
          <w:p>
            <w:r>
              <w:rPr>
                <w:sz w:val="20"/>
              </w:rPr>
              <w:t>Aucune (reprise rapide de l'inflammation)</w:t>
            </w:r>
          </w:p>
        </w:tc>
        <w:tc>
          <w:tcPr>
            <w:tcW w:type="dxa" w:w="1559"/>
          </w:tcPr>
          <w:p>
            <w:r>
              <w:rPr>
                <w:sz w:val="20"/>
              </w:rPr>
              <w:t>Aucune</w:t>
            </w:r>
          </w:p>
        </w:tc>
        <w:tc>
          <w:tcPr>
            <w:tcW w:type="dxa" w:w="1559"/>
          </w:tcPr>
          <w:p>
            <w:r>
              <w:rPr>
                <w:sz w:val="20"/>
              </w:rPr>
              <w:t>Aucune</w:t>
            </w:r>
          </w:p>
        </w:tc>
        <w:tc>
          <w:tcPr>
            <w:tcW w:type="dxa" w:w="1559"/>
          </w:tcPr>
          <w:p>
            <w:r>
              <w:rPr>
                <w:sz w:val="20"/>
              </w:rPr>
              <w:t>6-12 mois (voie I-A)</w:t>
            </w:r>
          </w:p>
        </w:tc>
        <w:tc>
          <w:tcPr>
            <w:tcW w:type="dxa" w:w="1559"/>
          </w:tcPr>
          <w:p>
            <w:r>
              <w:rPr>
                <w:sz w:val="20"/>
              </w:rPr>
              <w:t>2-3 mois (*carry-over effect*)</w:t>
            </w:r>
          </w:p>
        </w:tc>
      </w:tr>
      <w:tr>
        <w:tc>
          <w:tcPr>
            <w:tcW w:type="dxa" w:w="1559"/>
          </w:tcPr>
          <w:p>
            <w:r>
              <w:rPr>
                <w:sz w:val="20"/>
              </w:rPr>
              <w:t>**Place dans la stratégie EULAR 2022-2024**</w:t>
            </w:r>
          </w:p>
        </w:tc>
        <w:tc>
          <w:tcPr>
            <w:tcW w:type="dxa" w:w="1559"/>
          </w:tcPr>
          <w:p>
            <w:r>
              <w:rPr>
                <w:sz w:val="20"/>
              </w:rPr>
              <w:t>tsDMARD 2ᵉ ligne après échec bDMARD</w:t>
            </w:r>
          </w:p>
        </w:tc>
        <w:tc>
          <w:tcPr>
            <w:tcW w:type="dxa" w:w="1559"/>
          </w:tcPr>
          <w:p>
            <w:r>
              <w:rPr>
                <w:sz w:val="20"/>
              </w:rPr>
              <w:t>tsDMARD 2ᵉ ligne après échec bDMARD</w:t>
            </w:r>
          </w:p>
        </w:tc>
        <w:tc>
          <w:tcPr>
            <w:tcW w:type="dxa" w:w="1559"/>
          </w:tcPr>
          <w:p>
            <w:r>
              <w:rPr>
                <w:sz w:val="20"/>
              </w:rPr>
              <w:t>tsDMARD 2ᵉ ligne après échec bDMARD</w:t>
            </w:r>
          </w:p>
        </w:tc>
        <w:tc>
          <w:tcPr>
            <w:tcW w:type="dxa" w:w="1559"/>
          </w:tcPr>
          <w:p>
            <w:r>
              <w:rPr>
                <w:sz w:val="20"/>
              </w:rPr>
              <w:t>Alternative aux AINS dans l'arthrose modérée (voies importées)</w:t>
            </w:r>
          </w:p>
        </w:tc>
        <w:tc>
          <w:tcPr>
            <w:tcW w:type="dxa" w:w="1559"/>
          </w:tcPr>
          <w:p>
            <w:r>
              <w:rPr>
                <w:sz w:val="20"/>
              </w:rPr>
              <w:t>Alternative aux AINS dans l'arthrose modérée (2ᵉ ligne)</w:t>
            </w:r>
          </w:p>
        </w:tc>
      </w:tr>
      <w:tr>
        <w:tc>
          <w:tcPr>
            <w:tcW w:type="dxa" w:w="1559"/>
          </w:tcPr>
          <w:p>
            <w:r>
              <w:rPr>
                <w:sz w:val="20"/>
              </w:rPr>
              <w:t>**Particularités algériennes**</w:t>
            </w:r>
          </w:p>
        </w:tc>
        <w:tc>
          <w:tcPr>
            <w:tcW w:type="dxa" w:w="1559"/>
          </w:tcPr>
          <w:p>
            <w:r>
              <w:rPr>
                <w:sz w:val="20"/>
              </w:rPr>
              <w:t>TRIJAN® HIKMA, 5 mg et 10 mg</w:t>
            </w:r>
          </w:p>
        </w:tc>
        <w:tc>
          <w:tcPr>
            <w:tcW w:type="dxa" w:w="1559"/>
          </w:tcPr>
          <w:p>
            <w:r>
              <w:rPr>
                <w:sz w:val="20"/>
              </w:rPr>
              <w:t>OLUMIANT® BIOPHARM, 2 mg et 4 mg</w:t>
            </w:r>
          </w:p>
        </w:tc>
        <w:tc>
          <w:tcPr>
            <w:tcW w:type="dxa" w:w="1559"/>
          </w:tcPr>
          <w:p>
            <w:r>
              <w:rPr>
                <w:sz w:val="20"/>
              </w:rPr>
              <w:t>RINVOQ® ABBVIE, 15 mg et 30 mg LP</w:t>
            </w:r>
          </w:p>
        </w:tc>
        <w:tc>
          <w:tcPr>
            <w:tcW w:type="dxa" w:w="1559"/>
          </w:tcPr>
          <w:p>
            <w:r>
              <w:rPr>
                <w:sz w:val="20"/>
              </w:rPr>
              <w:t>HYFRESH® JAMJOOM, THERAFRESH® BIOTHERA (formes opht.)</w:t>
            </w:r>
          </w:p>
        </w:tc>
        <w:tc>
          <w:tcPr>
            <w:tcW w:type="dxa" w:w="1559"/>
          </w:tcPr>
          <w:p>
            <w:r>
              <w:rPr>
                <w:sz w:val="20"/>
              </w:rPr>
              <w:t>ARTROPI® SARL API, DIACENE 50® SANAMED</w:t>
            </w:r>
          </w:p>
        </w:tc>
      </w:tr>
      <w:tr>
        <w:tc>
          <w:tcPr>
            <w:tcW w:type="dxa" w:w="1559"/>
          </w:tcPr>
          <w:p>
            <w:r>
              <w:rPr>
                <w:sz w:val="20"/>
              </w:rPr>
              <w:t>**Disponibilité officinale**</w:t>
            </w:r>
          </w:p>
        </w:tc>
        <w:tc>
          <w:tcPr>
            <w:tcW w:type="dxa" w:w="1559"/>
          </w:tcPr>
          <w:p>
            <w:r>
              <w:rPr>
                <w:sz w:val="20"/>
              </w:rPr>
              <w:t>Faible (prescription spécialisée)</w:t>
            </w:r>
          </w:p>
        </w:tc>
        <w:tc>
          <w:tcPr>
            <w:tcW w:type="dxa" w:w="1559"/>
          </w:tcPr>
          <w:p>
            <w:r>
              <w:rPr>
                <w:sz w:val="20"/>
              </w:rPr>
              <w:t>Faible</w:t>
            </w:r>
          </w:p>
        </w:tc>
        <w:tc>
          <w:tcPr>
            <w:tcW w:type="dxa" w:w="1559"/>
          </w:tcPr>
          <w:p>
            <w:r>
              <w:rPr>
                <w:sz w:val="20"/>
              </w:rPr>
              <w:t>Faible</w:t>
            </w:r>
          </w:p>
        </w:tc>
        <w:tc>
          <w:tcPr>
            <w:tcW w:type="dxa" w:w="1559"/>
          </w:tcPr>
          <w:p>
            <w:r>
              <w:rPr>
                <w:sz w:val="20"/>
              </w:rPr>
              <w:t>Bonne (collyre)</w:t>
            </w:r>
          </w:p>
        </w:tc>
        <w:tc>
          <w:tcPr>
            <w:tcW w:type="dxa" w:w="1559"/>
          </w:tcPr>
          <w:p>
            <w:r>
              <w:rPr>
                <w:sz w:val="20"/>
              </w:rPr>
              <w:t>Bonne</w:t>
            </w:r>
          </w:p>
        </w:tc>
      </w:tr>
    </w:tbl>
    <w:p/>
    <w:p>
      <w:pPr>
        <w:pStyle w:val="Heading2"/>
      </w:pPr>
      <w:r>
        <w:t>153.11 Synthèse et points clés à retenir</w:t>
      </w:r>
    </w:p>
    <w:p>
      <w:pPr>
        <w:pStyle w:val="Heading3"/>
      </w:pPr>
      <w:r>
        <w:t>Inhibiteurs JAK (tofacitinib, baricitinib, upadacitinib)</w:t>
      </w:r>
    </w:p>
    <w:p>
      <w:pPr>
        <w:pStyle w:val="ListNumber"/>
      </w:pPr>
      <w:r/>
      <w:r>
        <w:rPr>
          <w:b/>
        </w:rPr>
        <w:t>Mécanisme commun</w:t>
      </w:r>
      <w:r>
        <w:t xml:space="preserve"> : inhibition des Janus Kinases (JAK1, JAK2, JAK3 selon la molécule) → blocage de la signalisation intracellulaire JAK-STAT des cytokines pro-inflammatoires (IL-6, IFN-α/β/γ, GM-CSF, chaîne gamma commune)</w:t>
      </w:r>
    </w:p>
    <w:p>
      <w:pPr>
        <w:pStyle w:val="ListNumber"/>
      </w:pPr>
      <w:r/>
      <w:r>
        <w:rPr>
          <w:b/>
        </w:rPr>
        <w:t>Sélectivité différentielle</w:t>
      </w:r>
      <w:r>
        <w:t xml:space="preserve"> : tofacitinib (JAK1/JAK3) ; baricitinib (JAK1/JAK2 — surveillance hématologique renforcée pour l'anémie) ; upadacitinib (JAK1 hautement sélectif — meilleur profil théorique)</w:t>
      </w:r>
    </w:p>
    <w:p>
      <w:pPr>
        <w:pStyle w:val="ListNumber"/>
      </w:pPr>
      <w:r/>
      <w:r>
        <w:rPr>
          <w:b/>
        </w:rPr>
        <w:t>Indications</w:t>
      </w:r>
      <w:r>
        <w:t xml:space="preserve"> : PR active sévère (2ᵉ ligne tsDMARD après échec bDMARD), RPso, SpA axiale (radiographique et non radiographique), dermatite atopique sévère (baricitinib, upadacitinib), maladie de Still de l'adulte, RCH (tofacitinib), maladie de Crohn et colite ulcéreuse (upadacitinib)</w:t>
      </w:r>
    </w:p>
    <w:p>
      <w:pPr>
        <w:pStyle w:val="ListNumber"/>
      </w:pPr>
      <w:r/>
      <w:r>
        <w:rPr>
          <w:b/>
        </w:rPr>
        <w:t>Restrictions EMA/PRAC avril 2022 (applicables à toute la classe)</w:t>
      </w:r>
      <w:r>
        <w:t xml:space="preserve"> : utilisation réservée en cas d'impossibilité d'utiliser un bDMARD classique ; contre-indication chez les patients &gt; 65 ans (sauf exception) ; contre-indication en cas d'ATCD de thrombose veineuse (TVP, EP), d'événement cardiovasculaire majeur (MACE : IDM, AVC) ou de facteurs de risque CV non contrôlés ; contre-indication chez les patients à risque accru de cancer</w:t>
      </w:r>
    </w:p>
    <w:p>
      <w:pPr>
        <w:pStyle w:val="ListNumber"/>
      </w:pPr>
      <w:r/>
      <w:r>
        <w:rPr>
          <w:b/>
        </w:rPr>
        <w:t>Surveillance</w:t>
      </w:r>
      <w:r>
        <w:t xml:space="preserve"> : NFS, bilan hépatique, bilan lipidique, créatinine — mensuelle pendant 3 mois, puis trimestrielle pendant la 1ʵᵉ année, puis semestrielle à vie ; ECG annuel ; examen dermatologique annuel ; dépistage TB pré-thérapeutique (IDR ou IGRA)</w:t>
      </w:r>
    </w:p>
    <w:p>
      <w:pPr>
        <w:pStyle w:val="ListNumber"/>
      </w:pPr>
      <w:r/>
      <w:r>
        <w:rPr>
          <w:b/>
        </w:rPr>
        <w:t>Effets indésirables clés</w:t>
      </w:r>
      <w:r>
        <w:t xml:space="preserve"> : infections (rhinopharyngite, zona — particulièrement fréquent, TB, infections opportunistes), cytopénies (neutropénie, lymphopénie, anémie — particulièrement sous baricitinib), élévation des transaminases, dyslipidémie (LDL, CT), hypertension artérielle, thrombose veineuse profonde et embolie pulmonaire, MACE, cancers, perforation digestive (surtout diverticulaire)</w:t>
      </w:r>
    </w:p>
    <w:p>
      <w:pPr>
        <w:pStyle w:val="ListNumber"/>
      </w:pPr>
      <w:r/>
      <w:r>
        <w:rPr>
          <w:b/>
        </w:rPr>
        <w:t>Prévention</w:t>
      </w:r>
      <w:r>
        <w:t xml:space="preserve"> : vaccination Shingrix® (zona) avant initiation chez les patients &gt; 50 ans ; vaccination grippe, pneumocoque, Hépatite B avant initiation ; dépistage et traitement d'une tuberculose latente (INH 6 mois ou rifampicine 4 mois) avant initiation ; contraception efficace obligatoire</w:t>
      </w:r>
    </w:p>
    <w:p>
      <w:pPr>
        <w:pStyle w:val="Heading3"/>
      </w:pPr>
      <w:r>
        <w:t>Hyaluronate de sodium (visco-supplémentation)</w:t>
      </w:r>
    </w:p>
    <w:p>
      <w:pPr>
        <w:pStyle w:val="ListNumber"/>
      </w:pPr>
      <w:r/>
      <w:r>
        <w:rPr>
          <w:b/>
        </w:rPr>
        <w:t>Mécanisme</w:t>
      </w:r>
      <w:r>
        <w:t xml:space="preserve"> : restauration de la viscoélasticité du liquide synovial (voie intra-articulaire) ou du film lacrymal (voie ophtalmologique) ; lubrification ; amortissement mécanique ; effet biologique sur le métabolisme chondrocytaire et épithélial</w:t>
      </w:r>
    </w:p>
    <w:p>
      <w:pPr>
        <w:pStyle w:val="ListNumber"/>
      </w:pPr>
      <w:r/>
      <w:r>
        <w:rPr>
          <w:b/>
        </w:rPr>
        <w:t>Disponibilité algérienne</w:t>
      </w:r>
      <w:r>
        <w:t xml:space="preserve"> : forme ophtalmologique (HYFRESH®, THERAFRESH®) en collyre 0,2 % (2 mg/mL) ; formes intra-articulaires non inscrites (importées : EUFLEXXA®, GO-ON®, SYNVISC®, etc.)</w:t>
      </w:r>
    </w:p>
    <w:p>
      <w:pPr>
        <w:pStyle w:val="ListNumber"/>
      </w:pPr>
      <w:r/>
      <w:r>
        <w:rPr>
          <w:b/>
        </w:rPr>
        <w:t>Indications</w:t>
      </w:r>
      <w:r>
        <w:t xml:space="preserve"> : voie ophtalmologique — sécheresse oculaire, syndrome sec post-opératoire, kératite sèche, lubrification chez le porteur de lentilles ; voie intra-articulaire — arthrose fémoro-tibiale modérée (2-3 Kellgren-Lawrence) en cas d'échec des AINS</w:t>
      </w:r>
    </w:p>
    <w:p>
      <w:pPr>
        <w:pStyle w:val="ListNumber"/>
      </w:pPr>
      <w:r/>
      <w:r>
        <w:rPr>
          <w:b/>
        </w:rPr>
        <w:t>Effets indésirables</w:t>
      </w:r>
      <w:r>
        <w:t xml:space="preserve"> : voie opht. — brûlure à l'instillation, flou visuel transitoire, conjonctivite allergique ; voie I-A — poussée inflammatoire post-injection (10-20 %), granulome (rare), hémarthrose, arthrite septique iatrogène (exceptionnelle)</w:t>
      </w:r>
    </w:p>
    <w:p>
      <w:pPr>
        <w:pStyle w:val="ListNumber"/>
      </w:pPr>
      <w:r/>
      <w:r>
        <w:rPr>
          <w:b/>
        </w:rPr>
        <w:t>Prévention</w:t>
      </w:r>
      <w:r>
        <w:t xml:space="preserve"> : asepsie rigoureuse (voie I-A) ; évacuation préalable de l'épanchement ; repos articulaire relatif 48-72 h post-injection ; surveillance post-injection à 1-2 semaines</w:t>
      </w:r>
    </w:p>
    <w:p>
      <w:pPr>
        <w:pStyle w:val="Heading3"/>
      </w:pPr>
      <w:r>
        <w:t>Diacéréine (SYSADOA)</w:t>
      </w:r>
    </w:p>
    <w:p>
      <w:pPr>
        <w:pStyle w:val="ListNumber"/>
      </w:pPr>
      <w:r/>
      <w:r>
        <w:rPr>
          <w:b/>
        </w:rPr>
        <w:t>Mécanisme</w:t>
      </w:r>
      <w:r>
        <w:t xml:space="preserve"> : inhibition de la production et de l'activité de l'IL-1β (voie NF-κB, inhibition de la caspase-1, blocage du récepteur IL-1R1, stimulation de l'IL-1Ra) ; effet chondroprotecteur direct (inhibition des MMP, stimulation de la synthèse de proteoglycanes, anti-apoptose chondrocytaire)</w:t>
      </w:r>
    </w:p>
    <w:p>
      <w:pPr>
        <w:pStyle w:val="ListNumber"/>
      </w:pPr>
      <w:r/>
      <w:r>
        <w:rPr>
          <w:b/>
        </w:rPr>
        <w:t>Indication AMM</w:t>
      </w:r>
      <w:r>
        <w:t xml:space="preserve"> : arthrose fémoro-tibiale et coxo-fémorale modérée (stade 2-3 Kellgren-Lawrence) avec douleur mécanique modérée, en cas d'échec du paracétamol et en alternative aux AINS</w:t>
      </w:r>
    </w:p>
    <w:p>
      <w:pPr>
        <w:pStyle w:val="ListNumber"/>
      </w:pPr>
      <w:r/>
      <w:r>
        <w:rPr>
          <w:b/>
        </w:rPr>
        <w:t>Délai d'action</w:t>
      </w:r>
      <w:r>
        <w:t xml:space="preserve"> : 2-3 mois (effet *slow-acting*) ; effet *carry-over* de 2-3 mois après l'arrêt</w:t>
      </w:r>
    </w:p>
    <w:p>
      <w:pPr>
        <w:pStyle w:val="ListNumber"/>
      </w:pPr>
      <w:r/>
      <w:r>
        <w:rPr>
          <w:b/>
        </w:rPr>
        <w:t>Posologie</w:t>
      </w:r>
      <w:r>
        <w:t xml:space="preserve"> : 50 mg × 2/jour en 2 prises, avec escalade posologique (50 mg × 1/jour pendant 2-4 semaines) pour réduire la diarrhée ; prise au cours du repas</w:t>
      </w:r>
    </w:p>
    <w:p>
      <w:pPr>
        <w:pStyle w:val="ListNumber"/>
      </w:pPr>
      <w:r/>
      <w:r>
        <w:rPr>
          <w:b/>
        </w:rPr>
        <w:t>Effets indésirables clés</w:t>
      </w:r>
      <w:r>
        <w:t xml:space="preserve"> : diarrhée (20-40 %, transitoire), douleurs abdominales (5-10 %), coloration brunâtre des urines (30-50 %, sans gravité), cytolyse hépatique (signal EMA/PRAC 2014-2015 — surveillance ALAT/ASAT trimestrielle pendant le 1ᵉʳ trimestre)</w:t>
      </w:r>
    </w:p>
    <w:p>
      <w:pPr>
        <w:pStyle w:val="ListNumber"/>
      </w:pPr>
      <w:r/>
      <w:r>
        <w:rPr>
          <w:b/>
        </w:rPr>
        <w:t>Contre-indications</w:t>
      </w:r>
      <w:r>
        <w:t xml:space="preserve"> : insuffisance hépatique sévère, insuffisance rénale sévère (DFG &lt; 30), MICI en poussée, grossesse, allaitement, enfant &lt; 15 ans</w:t>
      </w:r>
    </w:p>
    <w:p>
      <w:pPr>
        <w:pStyle w:val="ListNumber"/>
      </w:pPr>
      <w:r/>
      <w:r>
        <w:rPr>
          <w:b/>
        </w:rPr>
        <w:t>Interactions</w:t>
      </w:r>
      <w:r>
        <w:t xml:space="preserve"> : contre-indication avec les autres laxatifs (sur-risque de diarrhée sévère), diurétiques hypokaliémiants, digitaliques (sur-risque d'hypokaliémie) ; prudence avec les AVK (modification de l'INR en cas de diarrhée)</w:t>
      </w:r>
    </w:p>
    <w:p>
      <w:pPr>
        <w:pStyle w:val="Heading3"/>
      </w:pPr>
      <w:r>
        <w:t>Conclusion</w:t>
      </w:r>
    </w:p>
    <w:p>
      <w:r>
        <w:t xml:space="preserve">Les inhibiteurs JAK, la visco-supplémentation et la diacéréine occupent des places distinctes dans l'arsenal thérapeutique rhumatologique, mais partagent une caractéristique commune : celle d'être des </w:t>
      </w:r>
      <w:r>
        <w:rPr>
          <w:b/>
        </w:rPr>
        <w:t>traitements de 2ᵉ intention</w:t>
      </w:r>
      <w:r>
        <w:t xml:space="preserve"> après échec ou contre-indication des traitements de 1ʳᵉ ligne (AINS, paracétamol, csDMARDs pour la PR, bDMARDs pour la PR). Le pharmacien d'officine algérien joue un rôle déterminant dans la </w:t>
      </w:r>
      <w:r>
        <w:rPr>
          <w:b/>
        </w:rPr>
        <w:t>dispensation sécurisée</w:t>
      </w:r>
      <w:r>
        <w:t xml:space="preserve"> de ces molécules : éducation à l'observance (prise au cours du repas pour la diacéréine, prise à heure fixe pour les JAK inhibitors), </w:t>
      </w:r>
      <w:r>
        <w:rPr>
          <w:b/>
        </w:rPr>
        <w:t>détection précoce des signaux d'alerte</w:t>
      </w:r>
      <w:r>
        <w:t xml:space="preserve"> (fièvre, signes respiratoires, zona, ictère, diarrhée persistante, douleurs abdominales fébriles, œdème mollet, dyspnée), </w:t>
      </w:r>
      <w:r>
        <w:rPr>
          <w:b/>
        </w:rPr>
        <w:t>coordination pluridisciplinaire</w:t>
      </w:r>
      <w:r>
        <w:t xml:space="preserve"> (rhumatologue référent, médecin traitant, cardiologue, dermatologue, hépatologue, gastro-entérologue, ophtalmologue selon le médicament), et </w:t>
      </w:r>
      <w:r>
        <w:rPr>
          <w:b/>
        </w:rPr>
        <w:t>réévaluation annuelle</w:t>
      </w:r>
      <w:r>
        <w:t xml:space="preserve"> du rapport bénéfice/risque. La connaissance précise des </w:t>
      </w:r>
      <w:r>
        <w:rPr>
          <w:b/>
        </w:rPr>
        <w:t>contre-indications et mises en garde</w:t>
      </w:r>
      <w:r>
        <w:t xml:space="preserve"> spécifiques à chaque molécule — notamment les restrictions EMA/PRAC d'avril 2022 pour l'ensemble des inhibiteurs JAK (âge &gt; 65 ans, ATCD thromboembolique veineux, ATD cardiovasculaire majeur, cancer) — conditionne la sécurité d'emploi de ces traitements au long cours. Enfin, l'éducation thérapeutique du patient et de son entourage constitue le pilier essentiel de la réussite thérapeutique : compréhension de l'effet différé (visco-supplémentation, diacéréine), reconnaissance précoce des signaux d'alerte, observance rigoureuse, et coordination avec le réseau de soins spécialisé.</w:t>
      </w:r>
    </w:p>
    <w:p>
      <w:r/>
      <w:r>
        <w:rPr>
          <w:i/>
        </w:rPr>
        <w:t>Fin du Chapitre 153 — Inhibiteurs JAK, Visco-supplémentation intra-articulaire et Chondroprotecteurs (SYSADOA).</w:t>
      </w:r>
      <w:r/>
    </w:p>
    <w:p>
      <w:pPr>
        <w:pStyle w:val="Heading1"/>
      </w:pPr>
      <w:r>
        <w:t>Fascicule XVI — Rhumatologie</w:t>
      </w:r>
    </w:p>
    <w:p>
      <w:pPr>
        <w:pStyle w:val="Heading2"/>
      </w:pPr>
      <w:r>
        <w:t>Chapitre 154 — Anti-goutteux (Chapitre final)</w:t>
      </w:r>
    </w:p>
    <w:p>
      <w:pPr>
        <w:pStyle w:val="Heading2"/>
      </w:pPr>
      <w:r>
        <w:t>Sommaire du chapitre</w:t>
      </w:r>
    </w:p>
    <w:p>
      <w:pPr>
        <w:pStyle w:val="ListBullet"/>
      </w:pPr>
      <w:r>
        <w:t>154.1. Introduction générale — Anti-goutteux et prise en charge pharmacologique de la goutte</w:t>
      </w:r>
    </w:p>
    <w:p>
      <w:pPr>
        <w:pStyle w:val="ListBullet"/>
      </w:pPr>
      <w:r>
        <w:t>154.2. Sous-classe : Anti-goutteux — Anti-inflammatoire spécifique goutte (Colchicine)</w:t>
      </w:r>
    </w:p>
    <w:p>
      <w:pPr>
        <w:pStyle w:val="ListBullet"/>
      </w:pPr>
      <w:r>
        <w:t>154.3. Sous-classe : Anti-goutteux — Inhibiteurs de la xanthine oxydase (Allopurinol, Fébuxostat)</w:t>
      </w:r>
    </w:p>
    <w:p>
      <w:pPr>
        <w:pStyle w:val="ListBullet"/>
      </w:pPr>
      <w:r>
        <w:t>154.4. Sous-classe : Anti-goutteux — Uricosuriques (ABSENTS du marché algérien)</w:t>
      </w:r>
    </w:p>
    <w:p>
      <w:pPr>
        <w:pStyle w:val="ListBullet"/>
      </w:pPr>
      <w:r>
        <w:t>154.5. Fiches DCI (3)</w:t>
      </w:r>
    </w:p>
    <w:p>
      <w:pPr>
        <w:pStyle w:val="ListBullet"/>
      </w:pPr>
      <w:r>
        <w:t>154.5.1. Colchicine (usage rhumatologique)</w:t>
      </w:r>
    </w:p>
    <w:p>
      <w:pPr>
        <w:pStyle w:val="ListBullet"/>
      </w:pPr>
      <w:r>
        <w:t>154.5.2. Allopurinol (usage rhumatologique)</w:t>
      </w:r>
    </w:p>
    <w:p>
      <w:pPr>
        <w:pStyle w:val="ListBullet"/>
      </w:pPr>
      <w:r>
        <w:t>154.5.3. Fébuxostat (usage rhumatologique)</w:t>
      </w:r>
    </w:p>
    <w:p>
      <w:pPr>
        <w:pStyle w:val="ListBullet"/>
      </w:pPr>
      <w:r>
        <w:t>154.6. Tableau comparatif des trois anti-goutteux disponibles en Algérie</w:t>
      </w:r>
    </w:p>
    <w:p>
      <w:pPr>
        <w:pStyle w:val="ListBullet"/>
      </w:pPr>
      <w:r>
        <w:t>154.7. Synthèse pédagogique pour la pratique officinale et clinique algérienne</w:t>
      </w:r>
    </w:p>
    <w:p>
      <w:pPr>
        <w:pStyle w:val="ListBullet"/>
      </w:pPr>
      <w:r>
        <w:t>154.8. Conclusion générale du Fascicule XVI — Rhumatologie</w:t>
      </w:r>
    </w:p>
    <w:p>
      <w:pPr>
        <w:pStyle w:val="Heading2"/>
      </w:pPr>
      <w:r>
        <w:t>154.1. Introduction générale — Anti-goutteux et prise en charge pharmacologique de la goutte</w:t>
      </w:r>
    </w:p>
    <w:p>
      <w:pPr>
        <w:pStyle w:val="Heading3"/>
      </w:pPr>
      <w:r>
        <w:t>Place du chapitre 154 dans le Fascicule XVI</w:t>
      </w:r>
    </w:p>
    <w:p>
      <w:r>
        <w:t xml:space="preserve">Le chapitre 154 clôt le Fascicule XVI consacré à la pharmacologie rhumatologique. Après les chapitres dédiés aux DMARD synthétiques (chapitre 151), aux biothérapies rhumatologiques (chapitre 152) et aux inhibiteurs de JAK, viscosuppléments et chondroprotecteurs (chapitre 153), ce chapitre final aborde une classe médicamenteuse spécifique d'une maladie métabolique articulaire bien individualisée : la </w:t>
      </w:r>
      <w:r>
        <w:rPr>
          <w:b/>
        </w:rPr>
        <w:t>goutte</w:t>
      </w:r>
      <w:r>
        <w:t>. La goutte représente le rhumatisme microcristallin le plus fréquent, et constitue la seule arthropathie inflammatoire pour laquelle on dispose d'un traitement étiologique ciblé, capable d'agir directement sur la cause biochimique de la maladie — l'hyperuricémie — et non uniquement sur ses conséquences inflammatoires. Cette particularité confère aux anti-goutteux une place à part dans la pharmacopée rhumatologique, à l'interface entre la médecine interne, la néphrologie, la cardiologie et la rhumatologie.</w:t>
      </w:r>
    </w:p>
    <w:p>
      <w:r>
        <w:t>La goutte est une maladie chronique consécutive à un désordre métabolique du métabolisme des purines, caractérisée par une hyperuricémie chronique responsable du dépôt tissulaire de cristaux d'urate de sodium monosodique (UMS) dans les articulations, les tissus mous périarticulaires, les reins et la peau (tophi). L'hyperuricémie est définie biologiquement par une uricémie supérieure à 420 µmol/L (70 mg/L, soit 7 mg/dL) chez l'homme et la femme post-ménopausée, et supérieure à 360 µmol/L (60 mg/L, soit 6 mg/dL) chez la femme pré-ménopausée. Cette valeur-seuil correspond à la limite de solubilité de l'urate de sodium dans le plasma à 37 °C et pH 7,4. Au-delà de ce seuil, l'urate précipite en cristaux dans les tissus et dans les articulations, en particulier dans les zones de faible température corporelle (articulation métatarsophalangienne du gros orteil, pavillon auriculaire, olecrâne, tendon d'Achille).</w:t>
      </w:r>
    </w:p>
    <w:p>
      <w:pPr>
        <w:pStyle w:val="Heading3"/>
      </w:pPr>
      <w:r>
        <w:t>Épidémiologie de la goutte</w:t>
      </w:r>
    </w:p>
    <w:p>
      <w:r>
        <w:t>La goutte est la forme la plus fréquente d'arthrite inflammatoire chez l'homme adulte. Sa prévalence mondiale est estimée à 1–4 % de la population adulte, avec une nette prédominance masculine (sex-ratio 4:1 avant la ménopause, en raison de l'effet uricosurique physiologique des œstrogènes chez la femme en âge de procréer). Après la ménopause, la prévalence féminine rattrape partiellement la prévalence masculine, en raison de la disparition de l'effet uricosurique des œstrogènes.</w:t>
      </w:r>
    </w:p>
    <w:p>
      <w:r>
        <w:t>En Algérie, l'épidémiologie de la goutte reste mal caractérisée par des études épidémiologiques nationales rigoureuses, mais les données régionales et maghrébines suggèrent une prévalence comparable à celle des pays méditerranéens, soit environ 1,5–2,5 % de la population adulte. La prévalence augmente avec l'âge (pic entre 50 et 70 ans), et est fortement corrélée à l'obésité, au syndrome métabolique, au diabète de type 2, à l'hypertension artérielle, à l'insuffisance rénale chronique, à la consommation d'alcool et à certains traitements médicamenteux (diurétiques thiazidiques et de l'anse, faibles doses d'aspirine, ciclosporine, tacrolimus, pyrazinamide, éthambutol, niacine, lévodopa). L'interaction goutte-syndrome métabolique est particulièrement pertinente en Algérie, où la prévalence du diabète de type 2 et de l'obésité abdominale est en augmentation rapide, en particulier en milieu urbain.</w:t>
      </w:r>
    </w:p>
    <w:p>
      <w:pPr>
        <w:pStyle w:val="Heading3"/>
      </w:pPr>
      <w:r>
        <w:t>Physiopathologie de la goutte</w:t>
      </w:r>
    </w:p>
    <w:p>
      <w:r>
        <w:t>La goutte résulte d'un déséquilibre entre la production d'acide urique (issu du métabolisme des purines endogènes et exogènes) et son élimination rénale (≈ 70 %) et intestinale (≈ 30 %). On distingue schématiquement :</w:t>
      </w:r>
    </w:p>
    <w:p>
      <w:pPr>
        <w:pStyle w:val="ListNumber"/>
      </w:pPr>
      <w:r/>
      <w:r>
        <w:rPr>
          <w:b/>
        </w:rPr>
        <w:t>Goutte primitive (90 % des cas)</w:t>
      </w:r>
      <w:r>
        <w:t xml:space="preserve"> : origine polygénique multifactorielle, avec interaction entre prédisposition génétique (polymorphismes des transporteurs rénaux URAT1, GLUT9, ABCG2) et facteurs environnementaux (régime riche en purines animales, alcool, fructose). La cause de l'hyperuricémie est, dans 90 % des cas, un défaut d'élimination rénale de l'acide urique (sous-excrétion), et dans 10 % des cas, une surproduction.</w:t>
      </w:r>
    </w:p>
    <w:p>
      <w:pPr>
        <w:pStyle w:val="ListNumber"/>
      </w:pPr>
      <w:r/>
      <w:r>
        <w:rPr>
          <w:b/>
        </w:rPr>
        <w:t>Goutte secondaire (10 % des cas)</w:t>
      </w:r>
      <w:r>
        <w:t xml:space="preserve"> : hyperuricémie secondaire à une pathologie identifiable — hémopathies (leucémies, lymphomes, polyglobulie, maladie de Vaquez), traitements cytotoxiques (syndrome de lyse tumorale), insuffisance rénale chronique, traitements médicamenteux (diurétiques, ciclosporine, faibles doses d'aspirine), régime très riche en purines, intoxication saturnine.</w:t>
      </w:r>
    </w:p>
    <w:p>
      <w:r>
        <w:t>La physiopathologie des accès aigus goutteux repose sur un schéma en plusieurs étapes bien caractérisées :</w:t>
      </w:r>
    </w:p>
    <w:p>
      <w:pPr>
        <w:pStyle w:val="ListBullet"/>
      </w:pPr>
      <w:r/>
      <w:r>
        <w:rPr>
          <w:b/>
        </w:rPr>
        <w:t>Précipitation cristalline</w:t>
      </w:r>
      <w:r>
        <w:t xml:space="preserve"> : l'hyperuricémie chronique entraîne le dépôt de cristaux d'urate de sodium monosodique dans l'articulation, en particulier dans les zones de faible vascularisation et de faible température (première métatarsophalangienne, genou, cheville). Les cristaux sont initialement amorphes, puis s'organisent en microtophi de plus en plus volumineux.</w:t>
      </w:r>
    </w:p>
    <w:p>
      <w:pPr>
        <w:pStyle w:val="ListBullet"/>
      </w:pPr>
      <w:r/>
      <w:r>
        <w:rPr>
          <w:b/>
        </w:rPr>
        <w:t>Phagocytose par les neutrophiles et macrophages</w:t>
      </w:r>
      <w:r>
        <w:t xml:space="preserve"> : les cristaux sont phagocytés par les cellules de l'immunité innée, et activent l'inflammasome NLRP3 (NOD-like receptor pyrin domain-containing 3), un complexe multiprotéique intracellulaire qui clive la procaspase-1 en caspase-1 active.</w:t>
      </w:r>
    </w:p>
    <w:p>
      <w:pPr>
        <w:pStyle w:val="ListBullet"/>
      </w:pPr>
      <w:r/>
      <w:r>
        <w:rPr>
          <w:b/>
        </w:rPr>
        <w:t>Activation de la caspase-1 et libération d'IL-1β</w:t>
      </w:r>
      <w:r>
        <w:t xml:space="preserve"> : la caspase-1 clive le pro-IL-1β en IL-1β mature, qui est sécrétée par les macrophages activés. L'IL-1β est le médiateur clé de l'inflammation goutteuse aiguë : elle recrute les neutrophiles, active l'endothélium, et entretient la réaction inflammatoire.</w:t>
      </w:r>
    </w:p>
    <w:p>
      <w:pPr>
        <w:pStyle w:val="ListBullet"/>
      </w:pPr>
      <w:r/>
      <w:r>
        <w:rPr>
          <w:b/>
        </w:rPr>
        <w:t>Recrutement massif des neutrophiles</w:t>
      </w:r>
      <w:r>
        <w:t xml:space="preserve"> : l'IL-1β et d'autres cytokines (IL-6, IL-8, TNF-α) attirent les neutrophiles dans la cavité articulaire, où ils phagocytent les cristaux et libèrent le contenu de leurs granules (enzymes protéolytiques, radicaux libres, leucotriènes). C'est ce recrutement massif et la dégranulation des neutrophiles qui sont responsables de la symptomatologie aiguë (douleur, rougeur, chaleur, gonflement).</w:t>
      </w:r>
    </w:p>
    <w:p>
      <w:pPr>
        <w:pStyle w:val="ListBullet"/>
      </w:pPr>
      <w:r/>
      <w:r>
        <w:rPr>
          <w:b/>
        </w:rPr>
        <w:t>Résolution spontanée</w:t>
      </w:r>
      <w:r>
        <w:t xml:space="preserve"> : après 1 à 2 semaines, les neutrophiles meurent par apoptose, et les macrophages nettoient la cavité articulaire. L'accès se résout spontanément, mais les cristaux persistent, et l'inflammation peut récidiver à tout moment, déclenchée par divers facteurs (traumatisme, alcool, aliments riches en purines, stress, infection, chirurgie, jeûne, déshydratation, changement de dose d'hypouricémiants).</w:t>
      </w:r>
    </w:p>
    <w:p>
      <w:pPr>
        <w:pStyle w:val="Heading3"/>
      </w:pPr>
      <w:r>
        <w:t>Classification clinique de la goutte</w:t>
      </w:r>
    </w:p>
    <w:p>
      <w:r>
        <w:t>L'évolution naturelle de la goutte non traitée comporte classiquement quatre phases :</w:t>
      </w:r>
    </w:p>
    <w:p>
      <w:pPr>
        <w:pStyle w:val="ListNumber"/>
      </w:pPr>
      <w:r/>
      <w:r>
        <w:rPr>
          <w:b/>
        </w:rPr>
        <w:t>Hyperuricémie asymptomatique</w:t>
      </w:r>
      <w:r>
        <w:t xml:space="preserve"> : uricémie élevée, sans signe clinique ni radiologique. Le risque de passage à la goutte clinique est de 12 à 22 % à 5 ans chez les patients ayant une uricémie &gt; 540 µmol/L (90 mg/L). Le traitement hypouricémiant n'est pas recommandé à ce stade, sauf en cas de chimiothérapie pour hémopathie (prophylaxie du syndrome de lyse tumorale).</w:t>
      </w:r>
    </w:p>
    <w:p>
      <w:pPr>
        <w:pStyle w:val="ListNumber"/>
      </w:pPr>
      <w:r/>
      <w:r>
        <w:rPr>
          <w:b/>
        </w:rPr>
        <w:t>Goutte aiguë (crise de goutte)</w:t>
      </w:r>
      <w:r>
        <w:t xml:space="preserve"> : arthrite aiguë typiquement monoarticulaire, atteignant la première métatarsophalangienne dans 50 % des cas (podagre), mais pouvant toucher n'importe quelle articulation (genou, cheville, poignet, doigts). Début brutal, souvent nocturne, douleur intense (le drap pesant sur le pied devient insupportable), rougeur, chaleur, œdème, parfois fièvre modérée. Résolution spontanée en 7 à 14 jours.</w:t>
      </w:r>
    </w:p>
    <w:p>
      <w:pPr>
        <w:pStyle w:val="ListNumber"/>
      </w:pPr>
      <w:r/>
      <w:r>
        <w:rPr>
          <w:b/>
        </w:rPr>
        <w:t>Goutte intercritique</w:t>
      </w:r>
      <w:r>
        <w:t xml:space="preserve"> : période asymptomatique entre deux crises, d'une durée variable (de quelques mois à plusieurs années). L'uricémie reste élevée, et les dépôts cristallins progressent silencieusement. C'est au cours de cette phase que le traitement hypouricémiant doit être instauré, après la résolution complète de la première crise, selon les recommandations EULAR 2016 et ACR 2020.</w:t>
      </w:r>
    </w:p>
    <w:p>
      <w:pPr>
        <w:pStyle w:val="ListNumber"/>
      </w:pPr>
      <w:r/>
      <w:r>
        <w:rPr>
          <w:b/>
        </w:rPr>
        <w:t>Goutte tophacée chronique</w:t>
      </w:r>
      <w:r>
        <w:t xml:space="preserve"> : en l'absence de traitement hypouricémiant, les crises se rapprochent, et des dépôts tissulaires visibles (tophi) apparaissent au pavillon auriculaire, sur les doigts, les coudes, les tendons. Destruction articulaire progressive, déformation, handicap fonctionnel. Néphropathie uratique (lithiase, néphropathie interstitielle chronique).</w:t>
      </w:r>
    </w:p>
    <w:p>
      <w:pPr>
        <w:pStyle w:val="Heading3"/>
      </w:pPr>
      <w:r>
        <w:t>Objectifs thérapeutiques de la prise en charge de la goutte</w:t>
      </w:r>
    </w:p>
    <w:p>
      <w:r>
        <w:t>Les recommandations internationales (EULAR 2016, ACR 2020, gout guidelines britanniques BSR 2017) définissent des objectifs thérapeutiques clairs :</w:t>
      </w:r>
    </w:p>
    <w:p>
      <w:pPr>
        <w:pStyle w:val="ListNumber"/>
      </w:pPr>
      <w:r/>
      <w:r>
        <w:rPr>
          <w:b/>
        </w:rPr>
        <w:t>Traitement de la crise aiguë</w:t>
      </w:r>
      <w:r>
        <w:t xml:space="preserve"> : soulager rapidement la douleur et l'inflammation. Trois options principales : colchicine, AINS (ibuprofène, naproxène, indométacine, kétoprofène), ou corticothérapie orale/intra-articulaire. Le choix dépend du profil du patient (insuffisance rénale, antécédents cardiovasculaires, troubles digestifs, âge). Dans ce chapitre, seule la colchicine est traitée comme anti-inflammatoire spécifique goutteux ; les AINS et corticoïdes sont traités dans les chapitres antalgiques/AINS systémiques et rhumatologiques antérieurs du Fascicule XVI.</w:t>
      </w:r>
    </w:p>
    <w:p>
      <w:pPr>
        <w:pStyle w:val="ListNumber"/>
      </w:pPr>
      <w:r/>
      <w:r>
        <w:rPr>
          <w:b/>
        </w:rPr>
        <w:t>Traitement de fond hypouricémiant</w:t>
      </w:r>
      <w:r>
        <w:t xml:space="preserve"> : réduire durablement l'uricémie sous le seuil de solubilité des cristaux. Objectif : uricémie &lt; 360 µmol/L (60 mg/L) en cas de goutte non tophacée, et &lt; 300 µmol/L (50 mg/L) en cas de goutte tophacée ou de goutte avec atteinte radiologique. Cet objectif doit être maintenu à vie. Deux mécanismes d'action disponibles : inhibition de la xanthine oxydase (allopurinol, fébuxostat — disponibles en Algérie) ou uricosuriques (probenécide, sulfinpyrazone, benzbromarone — non disponibles en Algérie, voir section 154.4).</w:t>
      </w:r>
    </w:p>
    <w:p>
      <w:pPr>
        <w:pStyle w:val="ListNumber"/>
      </w:pPr>
      <w:r/>
      <w:r>
        <w:rPr>
          <w:b/>
        </w:rPr>
        <w:t>Prophylaxie des crises lors de l'initiation du traitement hypouricémiant</w:t>
      </w:r>
      <w:r>
        <w:t xml:space="preserve"> : la baisse rapide de l'uricémie par l'allopurinol ou le fébuxostat favorise la mobilisation des cristaux articulaires et peut déclencher des crises de goutte (jusqu'à 70 % des patients à l'initiation sans prophylaxie). Une prophylaxie systématique par colchicine à faible dose (0,5–1 mg/j) est recommandée pendant 3 à 6 mois minimum, voire 12 mois en cas de tophi.</w:t>
      </w:r>
    </w:p>
    <w:p>
      <w:pPr>
        <w:pStyle w:val="Heading3"/>
      </w:pPr>
      <w:r>
        <w:t>Spécificités du marché algérien des anti-goutteux</w:t>
      </w:r>
    </w:p>
    <w:p>
      <w:r>
        <w:t>La nomenclature algérienne des médicaments (Avril 2026) recense dans le périmètre de ce chapitre trois DCI anti-goutteuses effectivement disponibles :</w:t>
      </w:r>
    </w:p>
    <w:p>
      <w:pPr>
        <w:pStyle w:val="ListBullet"/>
      </w:pPr>
      <w:r/>
      <w:r>
        <w:rPr>
          <w:b/>
        </w:rPr>
        <w:t>Colchicine</w:t>
      </w:r>
      <w:r>
        <w:t xml:space="preserve"> : 3 spécialités actives (COLCHICINE OPOCALCIUM, COLCHIMED, COLCHIMEX), comprimés sécables 1 mg, Liste I. Aucune spécialité non renouvelable ni retirée. Trois laboratoires se partagent le marché, dont le leader historique français Mayoly Pharma (Colchicine Opocalcium, importée) et deux producteurs locaux algéro-tunisiens (INPHA-MEDIS et KPMA BIOTIC), avec dénomination « Colchicine cristallisée ».</w:t>
      </w:r>
    </w:p>
    <w:p>
      <w:pPr>
        <w:pStyle w:val="ListBullet"/>
      </w:pPr>
      <w:r/>
      <w:r>
        <w:rPr>
          <w:b/>
        </w:rPr>
        <w:t>Allopurinol</w:t>
      </w:r>
      <w:r>
        <w:t xml:space="preserve"> : 9 spécialités actives réparties sur deux dosages (100 mg et 300 mg), 3 spécialités NON_RENOUVELABLES (URICLAR 100/300, ZYLORIC 300 GSK), 6 spécialités RETRAIT (ALLOPURINOL Medicuba, ALLOPURINOL-RATIOPHARM 100/300, MILURIT 300, URINOL 300, ALURIC 300). Cinq laboratoires proposent des formes actives : LABORATOIRES BEKER (LESURIC), NADPHARMADIC (NADLORIC), EPICO (NO URIC), RAM PHARMACEUTICAL INDUSTRIES (ZANURIC), LABORATOIRES MERINAL (ZYLORIC 100mg). Le princeps historique Zyloric (GlaxoSmithKline) n'est plus disponible (NON_RENOUVELABLE).</w:t>
      </w:r>
    </w:p>
    <w:p>
      <w:pPr>
        <w:pStyle w:val="ListBullet"/>
      </w:pPr>
      <w:r/>
      <w:r>
        <w:rPr>
          <w:b/>
        </w:rPr>
        <w:t>Fébuxostat</w:t>
      </w:r>
      <w:r>
        <w:t xml:space="preserve"> : 6 spécialités actives sur trois dosages (40 mg, 80 mg, 120 mg), réparties sur 3 laboratoires (NOVAPHARM TRADING avec ADENUMAX 80 mg, HIKMA PHARMA ALGERIA avec FEBOREX 40/80/120 mg, EL KENDI INDUSTRIE DU MEDICAMENT avec TAZOTAX 80/120 mg). Le princeps Adenuric (Ipsen) n'est pas enregistré en Algérie, mais des génériques sont largement disponibles, avec une production locale algérienne (El Kendi et Hikma Algeria).</w:t>
      </w:r>
    </w:p>
    <w:p>
      <w:pPr>
        <w:pStyle w:val="ListBullet"/>
      </w:pPr>
      <w:r/>
      <w:r>
        <w:rPr>
          <w:b/>
        </w:rPr>
        <w:t>Uricosuriques (probenécide, sulfinpyrazone, benzbromarone)</w:t>
      </w:r>
      <w:r>
        <w:t xml:space="preserve"> : AUCUNE spécialité active en Algérie. Cette absence est structurante pour la stratégie thérapeutique, et impose une réflexion sur les alternatives thérapeutiques en cas d'échec ou d'intolérance aux inhibiteurs de la xanthine oxydase (voir section 154.4 pour l'analyse détaillée des alternatives).</w:t>
      </w:r>
    </w:p>
    <w:p>
      <w:pPr>
        <w:pStyle w:val="Heading3"/>
      </w:pPr>
      <w:r>
        <w:t>Sources et références mobilisées</w:t>
      </w:r>
    </w:p>
    <w:p>
      <w:r>
        <w:t>Ce chapitre mobilise les sources suivantes : VIDAL (spécialités françaises et internationales), ANSM (Résumés des Caractéristiques du Produit), Thériaque (interactions médicamenteuses, CNHIM), CRAT (Centre Renseignements Agents Tératogènes — grossesse/allaitement), UpToDate (recommandations internationales goutte), recommandations EULAR 2016 (European League Against Rheumatism — gout management), ACR 2020 (American College of Rheumatology — gout management guidelines), BSR 2017 (British Society for Rheumatology), Cochrane (revues systématiques sur colchicine, allopurinol, fébuxostat), nomenclature algérienne des médicaments (Avril 2026). Les alertes de sécurité (FDA Black Box Warning, ANSM) sur les risques cardiovasculaires du fébuxostat (CARES trial 2018), les syndromes d'hypersensibilité (DRESS) de l'allopurinol (HLA-B\*5801), et les interactions majeures de la colchicine (CYP3A4, P-gp) sont intégrées dans les fiches DCI correspondantes.</w:t>
      </w:r>
    </w:p>
    <w:p>
      <w:pPr>
        <w:pStyle w:val="Heading2"/>
      </w:pPr>
      <w:r>
        <w:t>154.2. Sous-classe : Anti-goutteux — Anti-inflammatoire spécifique goutte (Colchicine)</w:t>
      </w:r>
    </w:p>
    <w:p>
      <w:pPr>
        <w:pStyle w:val="Heading3"/>
      </w:pPr>
      <w:r>
        <w:t>Définition et cadre conceptuel</w:t>
      </w:r>
    </w:p>
    <w:p>
      <w:r>
        <w:t>La colchicine est un alcaloïde tropolonique extrait du colchique d'automne (</w:t>
      </w:r>
      <w:r>
        <w:rPr>
          <w:i/>
        </w:rPr>
        <w:t>Colchicum autumnale</w:t>
      </w:r>
      <w:r>
        <w:t xml:space="preserve">), plante de la famille des Liliaceae dont les propriétés thérapeutiques dans la goutte sont connues depuis le Ier siècle de notre ère (Pédanius Dioscoride, </w:t>
      </w:r>
      <w:r>
        <w:rPr>
          <w:i/>
        </w:rPr>
        <w:t>De Materia Medica</w:t>
      </w:r>
      <w:r>
        <w:t xml:space="preserve">). La colchicine est, historiquement et cliniquement, le </w:t>
      </w:r>
      <w:r>
        <w:rPr>
          <w:b/>
        </w:rPr>
        <w:t>seul anti-inflammatoire spécifique de la goutte</w:t>
      </w:r>
      <w:r>
        <w:t>, c'est-à-dire le seul médicament anti-inflammatoire dont l'efficacité s'exerce préférentiellement, mais non exclusivement, sur l'inflammation microcristalline à cristaux d'urate de sodium. Cette spécificité d'action, qui la distingue des AINS (anti-inflammatoires non spécifiques COX-inhibiteurs) et des corticoïdes, lui confère une place particulière dans la stratégie thérapeutique de la crise aiguë et de la prophylaxie des accès.</w:t>
      </w:r>
    </w:p>
    <w:p>
      <w:r>
        <w:t>La colchicine n'est pas un antalgique : elle n'a aucun effet sur la douleur non inflammatoire, et son action antalgique repose entièrement sur son effet anti-inflammatoire. Elle n'est pas non plus un hypouricémiant : elle n'abaisse pas l'uricémie et n'a donc aucun effet sur la cause biochimique de la goutte. Son usage est strictement symptomatique, à deux titres : traitement de la crise aiguë et prophylaxie des crises lors de l'initiation d'un traitement hypouricémiant (allopurinol ou fébuxostat).</w:t>
      </w:r>
    </w:p>
    <w:p>
      <w:pPr>
        <w:pStyle w:val="Heading3"/>
      </w:pPr>
      <w:r>
        <w:t>Mécanisme d'action moléculaire</w:t>
      </w:r>
    </w:p>
    <w:p>
      <w:r>
        <w:t>Le mécanisme d'action de la colchicine repose sur l'</w:t>
      </w:r>
      <w:r>
        <w:rPr>
          <w:b/>
        </w:rPr>
        <w:t>inhibition de la polymérisation des microtubules</w:t>
      </w:r>
      <w:r>
        <w:t xml:space="preserve">, par fixation de la molécule à la tubuline (hétérodimère αβ-tubuline) au niveau du domaine β-tubuline, empêchant ainsi l'assemblage des dimères de tubuline en microtubules polymérisés. Les microtubules sont des composants essentiels du cytosquelette, impliqués dans de nombreux processus cellulaires : maintien de la forme cellulaire, transport intracellulaire vésiculaire, mobilité cellulaire, sécrétion, et surtout </w:t>
      </w:r>
      <w:r>
        <w:rPr>
          <w:b/>
        </w:rPr>
        <w:t>mitose</w:t>
      </w:r>
      <w:r>
        <w:t xml:space="preserve"> (formation du fuseau mitotique) et </w:t>
      </w:r>
      <w:r>
        <w:rPr>
          <w:b/>
        </w:rPr>
        <w:t>migration des neutrophiles</w:t>
      </w:r>
      <w:r>
        <w:t>.</w:t>
      </w:r>
    </w:p>
    <w:p>
      <w:r>
        <w:t>La conséquence de l'inhibition de la polymérisation des microtubules sur la crise de goutte est triple :</w:t>
      </w:r>
    </w:p>
    <w:p>
      <w:pPr>
        <w:pStyle w:val="ListNumber"/>
      </w:pPr>
      <w:r/>
      <w:r>
        <w:rPr>
          <w:b/>
        </w:rPr>
        <w:t>Blocage de la migration des neutrophiles</w:t>
      </w:r>
      <w:r>
        <w:t xml:space="preserve"> : la mobilité directionnelle des neutrophiles (chémiotaxie) vers le site inflammatoire articulaire dépend de la polymérisation dynamique des microtubules dans le pied polaire de la cellule. La colchicine bloque cette polymérisation et empêche les neutropolynucléaires de migrer vers l'articulation. Le recrutement des neutrophiles dans la cavité articulaire est ainsi fortement diminué, et la réaction inflammatoire s'atténue.</w:t>
      </w:r>
    </w:p>
    <w:p>
      <w:pPr>
        <w:pStyle w:val="ListNumber"/>
      </w:pPr>
      <w:r/>
      <w:r>
        <w:rPr>
          <w:b/>
        </w:rPr>
        <w:t>Inhibition de la libération des médiateurs inflammatoires</w:t>
      </w:r>
      <w:r>
        <w:t xml:space="preserve"> : la colchicine inhibe la libération du leucotriène B4 (LTB4) par les neutrophiles, ainsi que la production d'IL-1β et d'IL-6 par les macrophages stimulés par les cristaux d'urate. Elle réduit également l'expression des molécules d'adhésion (L-sélectine) à la surface des neutrophiles, limitant leur adhésion à l'endothélium.</w:t>
      </w:r>
    </w:p>
    <w:p>
      <w:pPr>
        <w:pStyle w:val="ListNumber"/>
      </w:pPr>
      <w:r/>
      <w:r>
        <w:rPr>
          <w:b/>
        </w:rPr>
        <w:t>Inhibition de la phagocytose des cristaux</w:t>
      </w:r>
      <w:r>
        <w:t xml:space="preserve"> : la colchicine inhibe la phagocytose des cristaux d'urate par les neutrophiles et les macrophages, et donc l'activation de l'inflammasome NLRP3 qui en découle. La production d'IL-1β, médiateur central de la crise de goutte, est ainsi réduite.</w:t>
      </w:r>
    </w:p>
    <w:p>
      <w:r>
        <w:t xml:space="preserve">L'effet global de la colchicine est donc </w:t>
      </w:r>
      <w:r>
        <w:rPr>
          <w:b/>
        </w:rPr>
        <w:t>anti-inflammatoire spécifique de la goutte</w:t>
      </w:r>
      <w:r>
        <w:t xml:space="preserve"> par inhibition de la migration et de l'activation des neutrophiles, sans effet sur la production d'acide urique ni sur le dépôt cristallin.</w:t>
      </w:r>
    </w:p>
    <w:p>
      <w:pPr>
        <w:pStyle w:val="Heading3"/>
      </w:pPr>
      <w:r>
        <w:t>Pharmacocinétique de la colchicine</w:t>
      </w:r>
    </w:p>
    <w:p>
      <w:r>
        <w:t>La colchicine est absorbée par voie orale avec une biodisponibilité de 45 % (soumise à un effet de premier passage hépatique et intestinal). Le pic plasmatique est atteint en 1 à 2 heures. La colchicine subit un cycle entéro-hépatique important, qui prolonge sa demi-vie d'élimination. La demi-vie plasmatique est de 4 à 16 heures (moyenne ~ 9 heures), mais la demi-vie intra-neutrophile est beaucoup plus longue (jusqu'à plusieurs jours), car les neutrophiles accumulent activement la colchicine via un mécanisme de transport actif. Cette particularité explique l'efficacité prolongée de la colchicine dans la prophylaxie des crises, à faible dose quotidienne.</w:t>
      </w:r>
    </w:p>
    <w:p>
      <w:r>
        <w:t xml:space="preserve">La colchicine est métabolisée principalement par le </w:t>
      </w:r>
      <w:r>
        <w:rPr>
          <w:b/>
        </w:rPr>
        <w:t>cytochrome P450 3A4 (CYP3A4)</w:t>
      </w:r>
      <w:r>
        <w:t xml:space="preserve"> et accessoirement par la </w:t>
      </w:r>
      <w:r>
        <w:rPr>
          <w:b/>
        </w:rPr>
        <w:t>glycoprotéine P (P-gp)</w:t>
      </w:r>
      <w:r>
        <w:t>, qui assurent son efflux cellulaire. Elle est éliminée principalement par voie biliaire et fécale (≈ 65 %), et accessoirement par voie rénale (≈ 35 %). La clairance rénale de la colchicine est réduite en cas d'insuffisance rénale, ce qui impose une adaptation posologique et explique la contre-indication de la colchicine en cas d'insuffisance rénale sévère (clairance de la créatinine &lt; 30 mL/min).</w:t>
      </w:r>
    </w:p>
    <w:p>
      <w:r>
        <w:t xml:space="preserve">Les interactions médicamenteuses de la colchicine sont majeures et potentiellement mortelles : tous les inhibiteurs puissants du CYP3A4 (clarithromycine, érythromycine, télithromycine, itraconazole, kétoconazole, voriconazole, posaconazole, ritonavir, atazanavir, indinavir, nelfinavir, saquinavir, darunavir, lopinavir) et tous les inhibiteurs puissants de la P-gp (ciclosporine, tacrolimus, vérapamil, diltiazem, amiodarone, dronédarone) augmentent considérablement les concentrations plasmatiques de colchicine et exposent à un risque de surdosage mortel. L'association colchicine + inhibiteur puissant du CYP3A4 ou de la P-gp est </w:t>
      </w:r>
      <w:r>
        <w:rPr>
          <w:b/>
        </w:rPr>
        <w:t>contre-indiquée</w:t>
      </w:r>
      <w:r>
        <w:t xml:space="preserve"> chez les patients avec insuffisance rénale ou hépatique, et nécessite une réduction posologique drastique chez les patients avec fonction rénale et hépatique normales (voir fiche DCI Colchicine, section 154.5.1).</w:t>
      </w:r>
    </w:p>
    <w:p>
      <w:pPr>
        <w:pStyle w:val="Heading3"/>
      </w:pPr>
      <w:r>
        <w:t>Indications cliniques de la colchicine en rhumatologie</w:t>
      </w:r>
    </w:p>
    <w:p>
      <w:r>
        <w:t>Les indications de la colchicine en rhumatologie, telles que validées par l'AMM et les recommandations internationales EULAR 2016 / ACR 2020, sont :</w:t>
      </w:r>
    </w:p>
    <w:p>
      <w:pPr>
        <w:pStyle w:val="ListNumber"/>
      </w:pPr>
      <w:r/>
      <w:r>
        <w:rPr>
          <w:b/>
        </w:rPr>
        <w:t>Traitement de la crise aiguë de goutte</w:t>
      </w:r>
      <w:r>
        <w:t xml:space="preserve"> : colchicine à dose modérée (1,0 mg puis 0,5 mg une heure plus tard, soit 1,5 mg au total le premier jour), puis 0,5 mg 2 à 3 fois par jour les jours suivants. Cette posologie « low-dose » est désormais privilégiée par rapport aux schémas historiques à forte dose (4,8 mg en 6 heures), qui exposaient à des effets indésirables digestifs majeurs (diarrhée, vomissements) sans bénéfice supérieur, comme l'a démontré l'essai clinique AGREE (Low-Dose vs High-Dose Colchicine in Acute Gout, Terkeltaub 2010).</w:t>
      </w:r>
    </w:p>
    <w:p>
      <w:pPr>
        <w:pStyle w:val="ListNumber"/>
      </w:pPr>
      <w:r/>
      <w:r>
        <w:rPr>
          <w:b/>
        </w:rPr>
        <w:t>Prophylaxie des crises de goutte lors de l'initiation d'un traitement hypouricémiant</w:t>
      </w:r>
      <w:r>
        <w:t xml:space="preserve"> (allopurinol, fébuxostat) : colchicine 0,5 à 1 mg/jour pendant au moins 3 à 6 mois, voire jusqu'à 12 mois en cas de tophi. C'est l'indication principale de la colchicine à faible dose en pratique rhumatologique courante.</w:t>
      </w:r>
    </w:p>
    <w:p>
      <w:pPr>
        <w:pStyle w:val="ListNumber"/>
      </w:pPr>
      <w:r/>
      <w:r>
        <w:rPr>
          <w:b/>
        </w:rPr>
        <w:t>Prophylaxie au long cours chez les patients ayant des crises récidivantes</w:t>
      </w:r>
      <w:r>
        <w:t xml:space="preserve"> sans indication d'hypouricémiant (par exemple en cas d'intolérance à tous les hypouricémiants disponibles), ou en association à un hypouricémiant chez les patients à très haut risque de récidive.</w:t>
      </w:r>
    </w:p>
    <w:p>
      <w:pPr>
        <w:pStyle w:val="ListNumber"/>
      </w:pPr>
      <w:r/>
      <w:r>
        <w:rPr>
          <w:b/>
        </w:rPr>
        <w:t>Indication hors goutte (hors chapitre)</w:t>
      </w:r>
      <w:r>
        <w:t xml:space="preserve"> : la colchicine est également indiquée dans la maladie de Behçet, la fièvre méditerranéenne familiale (FMF), la péricardite aiguë (récurrente ou non), le syndrome de Sweet, et certaines dermatoses neutrophiliques. Ces indications hors goutte ne sont pas développées dans ce chapitre rhumatologique, mais mentionnées pour mémoire.</w:t>
      </w:r>
    </w:p>
    <w:p>
      <w:pPr>
        <w:pStyle w:val="Heading3"/>
      </w:pPr>
      <w:r>
        <w:t>Place de la colchicine dans la stratégie thérapeutique de la crise aiguë</w:t>
      </w:r>
    </w:p>
    <w:p>
      <w:r>
        <w:t>Les recommandations EULAR 2016 et ACR 2020 placent la colchicine comme traitement de première intention de la crise aiguë de goutte, au même titre que les AINS (ibuprofène, naproxène, indométacine) et la corticothérapie (orale ou intra-articulaire). Le choix entre ces trois options dépend du profil du patient :</w:t>
      </w:r>
    </w:p>
    <w:p>
      <w:pPr>
        <w:pStyle w:val="ListBullet"/>
      </w:pPr>
      <w:r/>
      <w:r>
        <w:rPr>
          <w:b/>
        </w:rPr>
        <w:t>Colchicine</w:t>
      </w:r>
      <w:r>
        <w:t xml:space="preserve"> : indiquée en première intention chez les patients sans insuffisance rénale sévère, sans insuffisance hépatique, et sans traitement inhibiteur puissant du CYP3A4 ou de la P-gp. Particulièrement utile chez les patients ayant des antécédents d'ulcère gastro-duodénal ou de saignement digestif (où les AINS sont contre-indiqués), ou chez les patients diabétiques désequilibrés (où la corticothérapie expose à un risque d'hyperglycémie).</w:t>
      </w:r>
    </w:p>
    <w:p>
      <w:pPr>
        <w:pStyle w:val="ListBullet"/>
      </w:pPr>
      <w:r/>
      <w:r>
        <w:rPr>
          <w:b/>
        </w:rPr>
        <w:t>AINS</w:t>
      </w:r>
      <w:r>
        <w:t xml:space="preserve"> : indiqués en première intention chez les patients sans insuffisance rénale, sans antécédent cardiovasculaire récent, sans troubles digestifs. Plus rapidement efficaces que la colchicine (soulagement en 2–4 h vs 12–24 h pour la colchicine).</w:t>
      </w:r>
    </w:p>
    <w:p>
      <w:pPr>
        <w:pStyle w:val="ListBullet"/>
      </w:pPr>
      <w:r/>
      <w:r>
        <w:rPr>
          <w:b/>
        </w:rPr>
        <w:t>Corticoïdes</w:t>
      </w:r>
      <w:r>
        <w:t xml:space="preserve"> : indiqués en première intention chez les patients insuffisants rénaux ou à risque digestif, et chez les patients polymédicamentés avec interactions médicamenteuses rendant la colchicine contre-indiquée. Prednisone 30–40 mg/jour pendant 5 jours, ou injection intra-articulaire de triamcinolone acétonide 40 mg (si articulation accessible).</w:t>
      </w:r>
    </w:p>
    <w:p>
      <w:pPr>
        <w:pStyle w:val="Heading3"/>
      </w:pPr>
      <w:r>
        <w:t>Profil de tolérance</w:t>
      </w:r>
    </w:p>
    <w:p>
      <w:r>
        <w:t>La colchicine a un index thérapeutique étroit : la dose efficace est proche de la dose toxique. Les effets indésirables sont dose-dépendants et précoces :</w:t>
      </w:r>
    </w:p>
    <w:p>
      <w:pPr>
        <w:pStyle w:val="ListBullet"/>
      </w:pPr>
      <w:r/>
      <w:r>
        <w:rPr>
          <w:b/>
        </w:rPr>
        <w:t>Effets digestifs (très fréquents, ≥ 50 % à dose thérapeutique)</w:t>
      </w:r>
      <w:r>
        <w:t xml:space="preserve"> : diarrhée (souvent le premier signe d'efficacité et de toxicité), nausées, vomissements, douleurs abdominales. Imposent la réduction de la dose.</w:t>
      </w:r>
    </w:p>
    <w:p>
      <w:pPr>
        <w:pStyle w:val="ListBullet"/>
      </w:pPr>
      <w:r/>
      <w:r>
        <w:rPr>
          <w:b/>
        </w:rPr>
        <w:t>Effets hématologiques (rares mais graves)</w:t>
      </w:r>
      <w:r>
        <w:t xml:space="preserve"> : leucopénie, thrombocytopénie, aplasie médullaire (surtout en cas de surdosage ou d'insuffisance rénale).</w:t>
      </w:r>
    </w:p>
    <w:p>
      <w:pPr>
        <w:pStyle w:val="ListBullet"/>
      </w:pPr>
      <w:r/>
      <w:r>
        <w:rPr>
          <w:b/>
        </w:rPr>
        <w:t>Effets musculaires (rares, observés en cas de surdosage ou d'interaction médicamenteuse)</w:t>
      </w:r>
      <w:r>
        <w:t xml:space="preserve"> : myotoxicité avec rhabdomyolyse, myopathie proximale, élévation des CPK. Risque majoré en cas d'association aux statines ou aux fibrates.</w:t>
      </w:r>
    </w:p>
    <w:p>
      <w:pPr>
        <w:pStyle w:val="ListBullet"/>
      </w:pPr>
      <w:r/>
      <w:r>
        <w:rPr>
          <w:b/>
        </w:rPr>
        <w:t>Effets cutanés (exceptionnels mais graves)</w:t>
      </w:r>
      <w:r>
        <w:t xml:space="preserve"> : syndrome de Lyell (nécrolyse épidermique toxique), syndrome de Stevens-Johnson, éruptions cutanées. Surveillance dermatologique indispensable.</w:t>
      </w:r>
    </w:p>
    <w:p>
      <w:pPr>
        <w:pStyle w:val="ListBullet"/>
      </w:pPr>
      <w:r/>
      <w:r>
        <w:rPr>
          <w:b/>
        </w:rPr>
        <w:t>Effets hépatiques</w:t>
      </w:r>
      <w:r>
        <w:t xml:space="preserve"> : cytolyse hépatique, cholestase (rares).</w:t>
      </w:r>
    </w:p>
    <w:p>
      <w:pPr>
        <w:pStyle w:val="ListBullet"/>
      </w:pPr>
      <w:r/>
      <w:r>
        <w:rPr>
          <w:b/>
        </w:rPr>
        <w:t>Surdosage (potentiellement mortel)</w:t>
      </w:r>
      <w:r>
        <w:t xml:space="preserve"> : vomissements profus, diarrhée cholériforme, déshydratation, hypokaliémie, hyponatrémie, hypocalcémie, acidose métabolique, multi-organ failure, défaillance cardiaque, choc, insuffisance rénale aiguë, défaillance hépatique, coma, décès. La dose létale est estimée à 0,8 mg/kg, soit environ 50 mg chez l'adulte, mais des décès ont été rapportés à des doses beaucoup plus faibles en cas d'insuffisance rénale ou d'interaction médicamenteuse.</w:t>
      </w:r>
    </w:p>
    <w:p>
      <w:pPr>
        <w:pStyle w:val="Heading2"/>
      </w:pPr>
      <w:r>
        <w:t>154.3. Sous-classe : Anti-goutteux — Inhibiteurs de la xanthine oxydase</w:t>
      </w:r>
    </w:p>
    <w:p>
      <w:pPr>
        <w:pStyle w:val="Heading3"/>
      </w:pPr>
      <w:r>
        <w:t>Définition et cadre conceptuel</w:t>
      </w:r>
    </w:p>
    <w:p>
      <w:r>
        <w:t xml:space="preserve">Les inhibiteurs de la xanthine oxydase (IXO) constituent la pierre angulaire du traitement de fond hypouricémiant de la goutte. Leur cible thérapeutique est l'enzyme </w:t>
      </w:r>
      <w:r>
        <w:rPr>
          <w:b/>
        </w:rPr>
        <w:t>xanthine oxydase</w:t>
      </w:r>
      <w:r>
        <w:t xml:space="preserve"> (XO), une flavoprotéine de 290 kDa composée de deux sous-unités identiques, qui catalyse les deux dernières étapes de la dégradation des purines en acide urique : l'hypoxanthine est oxydée en xanthine, puis la xanthine est oxydée en acide urique. Chaque sous-unité de la xanthine oxydase contient un site actif molybdoptérine (Moco), deux centres fer-soufre [2Fe-2S], et un groupe FAD (flavine adénine dinucléotide). L'inhibition de la xanthine oxydase réduit la production d'acide urique et entraîne une baisse de l'uricémie, mais aussi une élévation des précurseurs en amont (hypoxanthine et xanthine), qui sont beaucoup plus solubles que l'acide urique et sont excrétées par voie rénale.</w:t>
      </w:r>
    </w:p>
    <w:p>
      <w:r>
        <w:t>Deux molécules inhibitrices de la xanthine oxydase sont disponibles en Algérie :</w:t>
      </w:r>
    </w:p>
    <w:p>
      <w:pPr>
        <w:pStyle w:val="ListBullet"/>
      </w:pPr>
      <w:r/>
      <w:r>
        <w:rPr>
          <w:b/>
        </w:rPr>
        <w:t>Allopurinol</w:t>
      </w:r>
      <w:r>
        <w:t xml:space="preserve"> : inhibiteur purinique de la xanthine oxydase, commercialisé depuis 1966, restant le traitement de première intention de la goutte dans toutes les recommandations internationales (EULAR 2016, ACR 2020, BSR 2017). C'est un analogue structural de l'hypoxanthine, qui se lie au site actif molybdoptérine de la xanthine oxydase.</w:t>
      </w:r>
    </w:p>
    <w:p>
      <w:pPr>
        <w:pStyle w:val="ListBullet"/>
      </w:pPr>
      <w:r/>
      <w:r>
        <w:rPr>
          <w:b/>
        </w:rPr>
        <w:t>Fébuxostat</w:t>
      </w:r>
      <w:r>
        <w:t xml:space="preserve"> : inhibiteur non purinique de la xanthine oxydase, commercialisé depuis 2009 (2008 pour l'EMA, 2009 pour la FDA), indiqué en cas d'échec, d'intolérance ou de contre-indication à l'allopurinol. C'est un dérivé thiazolecarboxylique qui se lie au site actif de la xanthine oxydase de manière non compétitive avec l'hypoxanthine, et qui n'a pas de similarité structurale avec les purines.</w:t>
      </w:r>
    </w:p>
    <w:p>
      <w:pPr>
        <w:pStyle w:val="Heading3"/>
      </w:pPr>
      <w:r>
        <w:t>Mécanisme d'action comparé des deux molécules</w:t>
      </w:r>
    </w:p>
    <w:p>
      <w:r>
        <w:t>Les deux inhibiteurs de la xanthine oxydase agissent par un mécanisme biochimique similaire (inhibition de la xanthine oxydase), mais avec des particularités structurales et cinétiques distinctes :</w:t>
      </w:r>
    </w:p>
    <w:p>
      <w:r/>
      <w:r>
        <w:rPr>
          <w:b/>
        </w:rPr>
        <w:t>Allopurinol</w:t>
      </w:r>
      <w:r>
        <w:t xml:space="preserve"> :</w:t>
      </w:r>
    </w:p>
    <w:p>
      <w:pPr>
        <w:pStyle w:val="ListBullet"/>
      </w:pPr>
      <w:r>
        <w:t xml:space="preserve">L'allopurinol est un </w:t>
      </w:r>
      <w:r>
        <w:rPr>
          <w:b/>
        </w:rPr>
        <w:t>inhibiteur purinique structurel</w:t>
      </w:r>
      <w:r>
        <w:t xml:space="preserve"> de la xanthine oxydase, car sa structure moléculaire est analogue à celle de l'hypoxanthine (substitution N7→C8 et C2→N3 dans le cycle purine).</w:t>
      </w:r>
    </w:p>
    <w:p>
      <w:pPr>
        <w:pStyle w:val="ListBullet"/>
      </w:pPr>
      <w:r>
        <w:t>L'allopurinol est lui-même un substrat de la xanthine oxydase, qui le convertit en son métabolite actif, l'</w:t>
      </w:r>
      <w:r>
        <w:rPr>
          <w:b/>
        </w:rPr>
        <w:t>oxypurinol</w:t>
      </w:r>
      <w:r>
        <w:t xml:space="preserve"> (allantoïne). C'est l'oxypurinol qui exerce l'essentiel de l'effet inhibiteur, en se liant au site molybdoptérine de la xanthine oxydase.</w:t>
      </w:r>
    </w:p>
    <w:p>
      <w:pPr>
        <w:pStyle w:val="ListBullet"/>
      </w:pPr>
      <w:r>
        <w:t>L'oxypurinol a une longue demi-vie (14 à 30 heures, en raison d'une réabsorption tubulaire rénale importante), ce qui permet une seule prise par jour.</w:t>
      </w:r>
    </w:p>
    <w:p>
      <w:pPr>
        <w:pStyle w:val="ListBullet"/>
      </w:pPr>
      <w:r>
        <w:t xml:space="preserve">L'allopurinol est une </w:t>
      </w:r>
      <w:r>
        <w:rPr>
          <w:b/>
        </w:rPr>
        <w:t>prodrogue</w:t>
      </w:r>
      <w:r>
        <w:t xml:space="preserve"> dont l'activation dépend de la xanthine oxydase elle-même, ce qui crée une boucle d'auto-régulation.</w:t>
      </w:r>
    </w:p>
    <w:p>
      <w:r/>
      <w:r>
        <w:rPr>
          <w:b/>
        </w:rPr>
        <w:t>Fébuxostat</w:t>
      </w:r>
      <w:r>
        <w:t xml:space="preserve"> :</w:t>
      </w:r>
    </w:p>
    <w:p>
      <w:pPr>
        <w:pStyle w:val="ListBullet"/>
      </w:pPr>
      <w:r>
        <w:t xml:space="preserve">Le fébuxostat est un </w:t>
      </w:r>
      <w:r>
        <w:rPr>
          <w:b/>
        </w:rPr>
        <w:t>inhibiteur non purinique</w:t>
      </w:r>
      <w:r>
        <w:t xml:space="preserve"> de la xanthine oxydase, dérivé thiazolecarboxylique, sans aucune similarité structurale avec les purines. Cette particularité structurale explique l'absence d'allergie croisée avec l'allopurinol, et donc son intérêt en cas d'hypersensibilité à l'allopurinol.</w:t>
      </w:r>
    </w:p>
    <w:p>
      <w:pPr>
        <w:pStyle w:val="ListBullet"/>
      </w:pPr>
      <w:r>
        <w:t xml:space="preserve">Le fébuxostat se lie au site actif de la xanthine oxydase de manière </w:t>
      </w:r>
      <w:r>
        <w:rPr>
          <w:b/>
        </w:rPr>
        <w:t>non compétitive</w:t>
      </w:r>
      <w:r>
        <w:t xml:space="preserve"> avec l'hypoxanthine et la xanthine (inhibition mixte), ce qui le rend plus puissant in vitro.</w:t>
      </w:r>
    </w:p>
    <w:p>
      <w:pPr>
        <w:pStyle w:val="ListBullet"/>
      </w:pPr>
      <w:r>
        <w:t>Le fébuxostat est métabolisé principalement par le foie (conjugaison hépatique via UGT1A1, UGT1A3, UGT1A9, et oxydation via CYP1A1, CYP1A2, CYP2C8, CYP2C9), et son élimination est mixte hépatique (≈ 65 %) et rénale (≈ 35 %). Cette double voie d'élimination explique la possibilité d'utiliser le fébuxostat sans adaptation posologique en cas d'insuffisance rénale légère à modérée (clairance de la créatinine ≥ 30 mL/min).</w:t>
      </w:r>
    </w:p>
    <w:p>
      <w:pPr>
        <w:pStyle w:val="Heading3"/>
      </w:pPr>
      <w:r>
        <w:t>Indications comparées</w:t>
      </w:r>
    </w:p>
    <w:p>
      <w:pPr>
        <w:pStyle w:val="ListBullet"/>
      </w:pPr>
      <w:r/>
      <w:r>
        <w:rPr>
          <w:b/>
        </w:rPr>
        <w:t>Allopurinol</w:t>
      </w:r>
      <w:r>
        <w:t xml:space="preserve"> : traitement de première intention de la goutte, en cas d'hyperuricémie symptomatique (goutte clinique documentée, tophi, lithiase urique). Indiqué également dans la prophylaxie du syndrome de lyse tumorale en oncologie-hématologie. Contre-indiqué en cas d'hypersensibilité connue, et à utiliser avec prudence en cas d'insuffisance rénale (adaptation posologique obligatoire).</w:t>
      </w:r>
    </w:p>
    <w:p>
      <w:pPr>
        <w:pStyle w:val="ListBullet"/>
      </w:pPr>
      <w:r/>
      <w:r>
        <w:rPr>
          <w:b/>
        </w:rPr>
        <w:t>Fébuxostat</w:t>
      </w:r>
      <w:r>
        <w:t xml:space="preserve"> : traitement de la goutte en cas d'échec, d'intolérance ou de contre-indication à l'allopurinol. Indiqué également dans la prophylaxie du syndrome de lyse tumorale. À utiliser avec prudence en cas d'antécédents cardiovasculaires (FDA Black Box Warning 2019, après le CARES trial).</w:t>
      </w:r>
    </w:p>
    <w:p>
      <w:pPr>
        <w:pStyle w:val="Heading3"/>
      </w:pPr>
      <w:r>
        <w:t>Stratégie thérapeutique intégrée</w:t>
      </w:r>
    </w:p>
    <w:p>
      <w:r>
        <w:t>Les recommandations EULAR 2016 et ACR 2020 privilégient l'allopurinol en première intention chez tous les patients, y compris en cas d'insuffisance rénale modérée (avec adaptation posologique). Le fébuxostat est réservé aux échecs ou intolérances de l'allopurinol. La stratégie d'initiation comporte les éléments suivants :</w:t>
      </w:r>
    </w:p>
    <w:p>
      <w:pPr>
        <w:pStyle w:val="ListNumber"/>
      </w:pPr>
      <w:r/>
      <w:r>
        <w:rPr>
          <w:b/>
        </w:rPr>
        <w:t>Ne pas débuter l'hypouricémiant pendant une crise aiguë</w:t>
      </w:r>
      <w:r>
        <w:t xml:space="preserve"> : l'initiation pendant la crise peut prolonger ou aggraver l'inflammation. Attendre la résolution complète de la crise (1 à 2 semaines) avant de débuter.</w:t>
      </w:r>
    </w:p>
    <w:p>
      <w:pPr>
        <w:pStyle w:val="ListNumber"/>
      </w:pPr>
      <w:r/>
      <w:r>
        <w:rPr>
          <w:b/>
        </w:rPr>
        <w:t>Démarrer à faible dose et augmenter progressivement</w:t>
      </w:r>
      <w:r>
        <w:t xml:space="preserve"> : allopurinol 100 mg/jour (50 mg/jour en cas d'insuffisance rénale), augmenter par paliers de 100 mg toutes les 2 à 4 semaines jusqu'à obtention de l'objectif d'uricémie (&lt; 360 µmol/L ou &lt; 300 µmol/L si tophi). Dose maximale 900 mg/jour (au-delà de l'AMM en France : 300 mg/jour, mais l'EULAR et l'ACR recommandent l'augmentation au-delà si nécessaire).</w:t>
      </w:r>
    </w:p>
    <w:p>
      <w:pPr>
        <w:pStyle w:val="ListNumber"/>
      </w:pPr>
      <w:r/>
      <w:r>
        <w:rPr>
          <w:b/>
        </w:rPr>
        <w:t>Prophylaxie systématique de la crise d'initiation</w:t>
      </w:r>
      <w:r>
        <w:t xml:space="preserve"> : colchicine 0,5 à 1 mg/jour pendant 3 à 6 mois (jusqu'à 12 mois si tophi). Alternative : AINS à faible dose (naproxène 250 mg × 2/jour) en cas de contre-indication à la colchicine.</w:t>
      </w:r>
    </w:p>
    <w:p>
      <w:pPr>
        <w:pStyle w:val="ListNumber"/>
      </w:pPr>
      <w:r/>
      <w:r>
        <w:rPr>
          <w:b/>
        </w:rPr>
        <w:t>Surveillance de l'uricémie</w:t>
      </w:r>
      <w:r>
        <w:t xml:space="preserve"> : tous les mois pendant la titration, puis tous les 6 mois une fois l'objectif atteint.</w:t>
      </w:r>
    </w:p>
    <w:p>
      <w:pPr>
        <w:pStyle w:val="ListNumber"/>
      </w:pPr>
      <w:r/>
      <w:r>
        <w:rPr>
          <w:b/>
        </w:rPr>
        <w:t>Surveillance rénale et hépatique</w:t>
      </w:r>
      <w:r>
        <w:t xml:space="preserve"> : créatininémie et transaminases tous les 6 mois.</w:t>
      </w:r>
    </w:p>
    <w:p>
      <w:pPr>
        <w:pStyle w:val="ListNumber"/>
      </w:pPr>
      <w:r/>
      <w:r>
        <w:rPr>
          <w:b/>
        </w:rPr>
        <w:t>Éducation du patient</w:t>
      </w:r>
      <w:r>
        <w:t xml:space="preserve"> : traitement à vie, ne pas arrêter en cas de crise (au contraire, continuer), informer sur les signes d'hypersensibilité (DRESS) pour l'allopurinol et les signes cardiovasculaires pour le fébuxostat.</w:t>
      </w:r>
    </w:p>
    <w:p>
      <w:pPr>
        <w:pStyle w:val="Heading3"/>
      </w:pPr>
      <w:r>
        <w:t>Risque d'hypersensibilité (DRESS) de l'allopurinol</w:t>
      </w:r>
    </w:p>
    <w:p>
      <w:r>
        <w:t>Le syndrome d'hypersensibilité à l'allopurinol (allopurinol hypersensitivity syndrome, AHS) est une réaction d'hypersensibilité retardée sévère, survenant typiquement entre 2 et 8 semaines après l'initiation du traitement. Il associe :</w:t>
      </w:r>
    </w:p>
    <w:p>
      <w:pPr>
        <w:pStyle w:val="ListBullet"/>
      </w:pPr>
      <w:r>
        <w:t>Fièvre (&gt; 38,5 °C) ;</w:t>
      </w:r>
    </w:p>
    <w:p>
      <w:pPr>
        <w:pStyle w:val="ListBullet"/>
      </w:pPr>
      <w:r>
        <w:t>Éruption cutanée morbilliforme évoluant vers une érythrodermie ou un syndrome de Lyell (nécrolyse épidermique toxique, NET) ;</w:t>
      </w:r>
    </w:p>
    <w:p>
      <w:pPr>
        <w:pStyle w:val="ListBullet"/>
      </w:pPr>
      <w:r>
        <w:t>Atteinte viscérale : hépatite cytolytique (90 %), insuffisance rénale aiguë interstitielle (75 %), pneumopathie interstitielle, myocardite ;</w:t>
      </w:r>
    </w:p>
    <w:p>
      <w:pPr>
        <w:pStyle w:val="ListBullet"/>
      </w:pPr>
      <w:r>
        <w:t>Hyperéosinophilie sanguine (&gt; 1 G/L) ;</w:t>
      </w:r>
    </w:p>
    <w:p>
      <w:pPr>
        <w:pStyle w:val="ListBullet"/>
      </w:pPr>
      <w:r>
        <w:t>Adénopathies ;</w:t>
      </w:r>
    </w:p>
    <w:p>
      <w:pPr>
        <w:pStyle w:val="ListBullet"/>
      </w:pPr>
      <w:r>
        <w:t>Mortalité élevée (20 à 30 %).</w:t>
      </w:r>
    </w:p>
    <w:p>
      <w:r>
        <w:t>Le syndrome DRESS (Drug Reaction with Eosinophilia and Systemic Symptoms) à l'allopurinol est associé dans la majorité des cas au *</w:t>
      </w:r>
      <w:r>
        <w:rPr>
          <w:i/>
        </w:rPr>
        <w:t>haplotype HLA-B\</w:t>
      </w:r>
      <w:r>
        <w:t>5801*</w:t>
      </w:r>
      <w:r>
        <w:rPr>
          <w:i/>
        </w:rPr>
        <w:t xml:space="preserve"> (Human Leukocyte Antigen class I), particulièrement fréquent dans les populations asiatiques (Thaïlande, Chine, Corée, Japon) où la prévalence est de 5 à 12 %, mais aussi dans certaines populations africaines. Le dépistage systématique du HLA-B\</w:t>
      </w:r>
      <w:r>
        <w:t>5801 est recommandé avant initiation d'allopurinol chez les patients asiatiques (Thai, Chinese, Korean) et les patients africains-américains. En pratique algérienne, ce dépistage n'est pas systématique (coût élevé, faible prévalence dans la population maghrébine), mais la prudence impose le respect strict des règles d'initiation (faible dose, surveillance clinique rapprochée, particulièrement chez les insuffisants rénaux).</w:t>
      </w:r>
    </w:p>
    <w:p>
      <w:pPr>
        <w:pStyle w:val="Heading3"/>
      </w:pPr>
      <w:r>
        <w:t>Risque cardiovasculaire du fébuxostat (alerte FDA 2019)</w:t>
      </w:r>
    </w:p>
    <w:p>
      <w:r>
        <w:t xml:space="preserve">Le </w:t>
      </w:r>
      <w:r>
        <w:rPr>
          <w:b/>
        </w:rPr>
        <w:t>CARES trial</w:t>
      </w:r>
      <w:r>
        <w:t xml:space="preserve"> (Cardiovascular Safety of Febuxostat and Allopurinol in Patients with Gout and Cardiovascular Comorbidities), publié dans le </w:t>
      </w:r>
      <w:r>
        <w:rPr>
          <w:i/>
        </w:rPr>
        <w:t>New England Journal of Medicine</w:t>
      </w:r>
      <w:r>
        <w:t xml:space="preserve"> en 2018 (White et al.), a comparé la sécurité cardiovasculaire du fébuxostat et de l'allopurinol chez 6190 patients goutteux avec antécédents cardiovasculaires. L'étude n'a pas montré de supériorité du fébuxostat sur l'allopurinol pour le critère principal composite (décès cardiovasculaire, infarctus du myocarde non fatal, AVC ischémique non fatal, angor instable nécessitant revascularisation). Cependant, une analyse secondaire pré-spécifiée a montré une </w:t>
      </w:r>
      <w:r>
        <w:rPr>
          <w:b/>
        </w:rPr>
        <w:t>augmentation de la mortalité cardiovasculaire</w:t>
      </w:r>
      <w:r>
        <w:t xml:space="preserve"> (HR 1,34 ; IC 95 % 1,03–1,73) et de la </w:t>
      </w:r>
      <w:r>
        <w:rPr>
          <w:b/>
        </w:rPr>
        <w:t>mortalité totale</w:t>
      </w:r>
      <w:r>
        <w:t xml:space="preserve"> (HR 1,22 ; IC 95 % 1,01–1,47) avec le fébuxostat par rapport à l'allopurinol.</w:t>
      </w:r>
    </w:p>
    <w:p>
      <w:r>
        <w:t xml:space="preserve">En conséquence, la FDA a émis un </w:t>
      </w:r>
      <w:r>
        <w:rPr>
          <w:b/>
        </w:rPr>
        <w:t>Black Box Warning</w:t>
      </w:r>
      <w:r>
        <w:t xml:space="preserve"> en février 2019, recommandant de réserver le fébuxostat aux patients ayant une intolérance ou un échec documenté à l'allopurinol, et d'éviter son utilisation chez les patients ayant des antécédents cardiovasculaires (infarctus du myocarde, AVC, angor instable). L'EMA européen a adopté une position similaire, mais moins restrictive : le fébuxostat reste indiqué en cas d'échec, d'intolérance ou de contre-indication à l'allopurinol, avec une surveillance cardiovasculaire renforcée. Le FAST trial européen (Febuxostat versus Allopurinol Streamlined Trial, Mackenzie et al., 2020) n'a pas confirmé le signal du CARES, mais la prudence reste de mise.</w:t>
      </w:r>
    </w:p>
    <w:p>
      <w:pPr>
        <w:pStyle w:val="Heading2"/>
      </w:pPr>
      <w:r>
        <w:t>154.4. Sous-classe : Anti-goutteux — Uricosuriques (ABSENTS du marché algérien)</w:t>
      </w:r>
    </w:p>
    <w:p>
      <w:pPr>
        <w:pStyle w:val="Heading3"/>
      </w:pPr>
      <w:r>
        <w:t>Définition et cadre conceptuel</w:t>
      </w:r>
    </w:p>
    <w:p>
      <w:r>
        <w:t xml:space="preserve">Les uricosuriques sont une classe pharmacologique d'anti-goutteux agissant non pas en réduisant la production d'acide urique (comme les inhibiteurs de la xanthine oxydase), mais en </w:t>
      </w:r>
      <w:r>
        <w:rPr>
          <w:b/>
        </w:rPr>
        <w:t>augmentant son élimination rénale</w:t>
      </w:r>
      <w:r>
        <w:t xml:space="preserve">. Leur cible thérapeutique est représentée par les transporteurs rénaux de l'urate, en particulier </w:t>
      </w:r>
      <w:r>
        <w:rPr>
          <w:b/>
        </w:rPr>
        <w:t>URAT1</w:t>
      </w:r>
      <w:r>
        <w:t xml:space="preserve"> (URate Transporter 1, codé par le gène </w:t>
      </w:r>
      <w:r>
        <w:rPr>
          <w:i/>
        </w:rPr>
        <w:t>SLC22A12</w:t>
      </w:r>
      <w:r>
        <w:t xml:space="preserve">) et </w:t>
      </w:r>
      <w:r>
        <w:rPr>
          <w:b/>
        </w:rPr>
        <w:t>GLUT9</w:t>
      </w:r>
      <w:r>
        <w:t xml:space="preserve"> (codé par </w:t>
      </w:r>
      <w:r>
        <w:rPr>
          <w:i/>
        </w:rPr>
        <w:t>SLC2A9</w:t>
      </w:r>
      <w:r>
        <w:t>), qui assurent la réabsorption tubulaire proximale de l'urate filtré. En inhibant ces transporteurs, les uricosuriques augmentent la fraction excrétée d'acide urique (FEUA) et abaissent l'uricémie.</w:t>
      </w:r>
    </w:p>
    <w:p>
      <w:r>
        <w:t>Trois molécules uricosuriques sont historiquement disponibles dans la pharmacopée internationale :</w:t>
      </w:r>
    </w:p>
    <w:p>
      <w:pPr>
        <w:pStyle w:val="ListBullet"/>
      </w:pPr>
      <w:r/>
      <w:r>
        <w:rPr>
          <w:b/>
        </w:rPr>
        <w:t>Probenécide</w:t>
      </w:r>
      <w:r>
        <w:t xml:space="preserve"> (Benemid®), acide carboxylique, inhibiteur de URAT1, disponible aux États-Unis et en Europe, mais non commercialisé en Algérie.</w:t>
      </w:r>
    </w:p>
    <w:p>
      <w:pPr>
        <w:pStyle w:val="ListBullet"/>
      </w:pPr>
      <w:r/>
      <w:r>
        <w:rPr>
          <w:b/>
        </w:rPr>
        <w:t>Sulfinpyrazone</w:t>
      </w:r>
      <w:r>
        <w:t xml:space="preserve"> (Anturan®), dérivé pyrazolé, inhibiteur de URAT1, actuellement en retrait mondial progressif en raison d'une tolérance hématologique et digestive médiocre.</w:t>
      </w:r>
    </w:p>
    <w:p>
      <w:pPr>
        <w:pStyle w:val="ListBullet"/>
      </w:pPr>
      <w:r/>
      <w:r>
        <w:rPr>
          <w:b/>
        </w:rPr>
        <w:t>Benzbromarone</w:t>
      </w:r>
      <w:r>
        <w:t xml:space="preserve"> (Desuric®, Uriund®), dérivé benzofurane, inhibiteur de URAT1 et de GLUT9. Efficace, mais retiré du marché européen par l'ANSM en 2004 (hepatotoxicité), encore commercialisé dans certains pays (Japon, Nouvelle-Zélande).</w:t>
      </w:r>
    </w:p>
    <w:p>
      <w:pPr>
        <w:pStyle w:val="Heading3"/>
      </w:pPr>
      <w:r>
        <w:t>Situation en Algérie : absence totale de spécialités uricosuriques</w:t>
      </w:r>
    </w:p>
    <w:p>
      <w:r>
        <w:t>L'analyse exhaustive de la nomenclature algérienne des médicaments (Avril 2026) confirme l'</w:t>
      </w:r>
      <w:r>
        <w:rPr>
          <w:b/>
        </w:rPr>
        <w:t>absence totale</w:t>
      </w:r>
      <w:r>
        <w:t xml:space="preserve"> de spécialités pharmaceutiques uricosuriques enregistrées. Aucune spécialité contenant du probénécide, de la sulfinpyrazone ou de la benzbromarone n'est disponible sur le marché algérien, que ce soit en statut ACTIF, NON_RENOUVELABLE ou RETRAIT. Cette absence est structurante et impose une réflexion stratégique sur les alternatives thérapeutiques pour les patients algériens présentant une goutte non contrôlée par les inhibiteurs de la xanthine oxydase seuls.</w:t>
      </w:r>
    </w:p>
    <w:p>
      <w:pPr>
        <w:pStyle w:val="Heading3"/>
      </w:pPr>
      <w:r>
        <w:t>Alternatives thérapeutiques en cas d'échec des IXO en Algérie</w:t>
      </w:r>
    </w:p>
    <w:p>
      <w:r>
        <w:t>En l'absence d'uricosuriques, la stratégie thérapeutique pour les patients algériens présentant une goutte réfractaire aux inhibiteurs de la xanthine oxydase (allopurinol et fébuxostat) repose sur plusieurs options :</w:t>
      </w:r>
    </w:p>
    <w:p>
      <w:pPr>
        <w:pStyle w:val="ListNumber"/>
      </w:pPr>
      <w:r/>
      <w:r>
        <w:rPr>
          <w:b/>
        </w:rPr>
        <w:t>Optimisation posologique de l'allopurinol</w:t>
      </w:r>
      <w:r>
        <w:t xml:space="preserve"> : l'allopurinol est souvent sous-dosé en pratique courante (300 mg/jour maximum dans l'AMM française, mais l'EULAR et l'ACR recommandent d'augmenter jusqu'à 900 mg/jour si nécessaire, sous surveillance stricte, en particulier chez les patients sans insuffisance rénale). La titration par paliers de 100 mg toutes les 2 à 4 semaines, avec pour cible une uricémie &lt; 360 µmol/L (ou &lt; 300 µmol/L si tophi), est souvent insuffisamment appliquée.</w:t>
      </w:r>
    </w:p>
    <w:p>
      <w:pPr>
        <w:pStyle w:val="ListNumber"/>
      </w:pPr>
      <w:r/>
      <w:r>
        <w:rPr>
          <w:b/>
        </w:rPr>
        <w:t>Switch allopurinol → fébuxostat</w:t>
      </w:r>
      <w:r>
        <w:t xml:space="preserve"> (ou inversement) en cas d'échec ou d'intolérance. Le fébuxostat à la dose de 80 mg/jour (augmentable à 120 mg/jour) est plus puissant que l'allopurinol 300 mg/jour (essai CONFIRMS, Becker et al., 2010), et constitue une alternative en cas d'échec de l'allopurinol à dose maximale tolérée.</w:t>
      </w:r>
    </w:p>
    <w:p>
      <w:pPr>
        <w:pStyle w:val="ListNumber"/>
      </w:pPr>
      <w:r/>
      <w:r>
        <w:rPr>
          <w:b/>
        </w:rPr>
        <w:t>Combinaison allopurinol + fébuxostat</w:t>
      </w:r>
      <w:r>
        <w:t xml:space="preserve"> : non recommandée (pas d'AMM, pas de preuve clinique d'efficacité supérieure, risque accru d'effets indésirables). Les recommandations internationales déconseillent cette combinaison.</w:t>
      </w:r>
    </w:p>
    <w:p>
      <w:pPr>
        <w:pStyle w:val="ListNumber"/>
      </w:pPr>
      <w:r/>
      <w:r>
        <w:rPr>
          <w:b/>
        </w:rPr>
        <w:t>Combinaison inhibiteur de la xanthine oxydase + uricosurique importé</w:t>
      </w:r>
      <w:r>
        <w:t xml:space="preserve"> : théoriquement possible par importation exceptionnelle de probénécide ou de benzbromarone, mais non réaliste en pratique clinique courante algérienne en raison de la complexité administrative, du coût, et du risque hépatique de la benzbromarone. Cette option reste théorique et ne peut être envisagée qu'au cas par cas, en milieu hospitalier spécialisé, après discussion collégiale.</w:t>
      </w:r>
    </w:p>
    <w:p>
      <w:pPr>
        <w:pStyle w:val="ListNumber"/>
      </w:pPr>
      <w:r/>
      <w:r>
        <w:rPr>
          <w:b/>
        </w:rPr>
        <w:t>Augmentation de l'excrétion rénale d'acide urique par des mesures non pharmacologiques</w:t>
      </w:r>
      <w:r>
        <w:t xml:space="preserve"> : alimentation pauvre en purines, arrêt de l'alcool, hydratation abondante (≥ 2 L/jour), arrêt des diurétiques thiazidiques si possible (remplacement par IEC ou ARA2), arrêt de l'aspirine à faible dose si elle n'est pas strictement indispensable, perte de poids, traitement du syndrome métabolique.</w:t>
      </w:r>
    </w:p>
    <w:p>
      <w:pPr>
        <w:pStyle w:val="ListNumber"/>
      </w:pPr>
      <w:r/>
      <w:r>
        <w:rPr>
          <w:b/>
        </w:rPr>
        <w:t>Recours à la rasburicase</w:t>
      </w:r>
      <w:r>
        <w:t xml:space="preserve"> (Elitek®, urate-oxydase recombinante) : indiquée uniquement dans la prophylaxie et le traitement du syndrome de lyse tumorale en oncologie-hématologie. Non indiquée dans la goutte chronique (en raison de la nécessité d'administration intraveineuse, du coût, et de l'immunogénicité). La pegloticase (Peglotec®), pegylated uricase, n'est pas non plus disponible en Algérie.</w:t>
      </w:r>
    </w:p>
    <w:p>
      <w:pPr>
        <w:pStyle w:val="ListNumber"/>
      </w:pPr>
      <w:r/>
      <w:r>
        <w:rPr>
          <w:b/>
        </w:rPr>
        <w:t>Éviction des médicaments hyperuricémiants</w:t>
      </w:r>
      <w:r>
        <w:t xml:space="preserve"> : diurétiques thiazidiques et de l'anse, faibles doses d'aspirine (&lt; 325 mg/j), ciclosporine, tacrolimus, pyrazinamide, éthambutol, niacine, lévodopa. Remplacement des diurétiques antihypertenseurs par IEC, ARA2 ou inhibiteurs calciques (qui ont un effet uricosurique modeste mais réel).</w:t>
      </w:r>
    </w:p>
    <w:p>
      <w:pPr>
        <w:pStyle w:val="Heading3"/>
      </w:pPr>
      <w:r>
        <w:t>Implications pratiques pour la pharmacie d'officine algérienne</w:t>
      </w:r>
    </w:p>
    <w:p>
      <w:r>
        <w:t>L'absence d'uricosuriques en Algérie a plusieurs implications pour le pharmacien d'officine :</w:t>
      </w:r>
    </w:p>
    <w:p>
      <w:pPr>
        <w:pStyle w:val="ListNumber"/>
      </w:pPr>
      <w:r/>
      <w:r>
        <w:rPr>
          <w:b/>
        </w:rPr>
        <w:t>Information du patient</w:t>
      </w:r>
      <w:r>
        <w:t xml:space="preserve"> : tout patient revenant de l'étranger (France, Tunisie, Europe, Maghreb) avec une prescription de probénécide (Benemid®), de sulfinpyrazone (Anturan®) ou de benzbromarone (Desuric®, Uriund®) doit être informé que ces spécialités ne sont pas disponibles en Algérie, et orienté vers son rhumatologue pour adapter la stratégie thérapeutique.</w:t>
      </w:r>
    </w:p>
    <w:p>
      <w:pPr>
        <w:pStyle w:val="ListNumber"/>
      </w:pPr>
      <w:r/>
      <w:r>
        <w:rPr>
          <w:b/>
        </w:rPr>
        <w:t>Substitution impossible</w:t>
      </w:r>
      <w:r>
        <w:t xml:space="preserve"> : aucune substitution DCI n'est possible en officine algérienne pour les uricosuriques. Le patient doit consulter son médecin.</w:t>
      </w:r>
    </w:p>
    <w:p>
      <w:pPr>
        <w:pStyle w:val="ListNumber"/>
      </w:pPr>
      <w:r/>
      <w:r>
        <w:rPr>
          <w:b/>
        </w:rPr>
        <w:t>Vérification systématique de la prescription</w:t>
      </w:r>
      <w:r>
        <w:t xml:space="preserve"> : un patient goutteux traité par allopurinol ou fébuxostat doit être interrogé sur la prophylaxie associée de la crise d'initiation (colchicine 0,5–1 mg/jour pendant 3 à 6 mois) — cette prophylaxie est largement sous-prescrite en pratique courante, et le pharmacien a un rôle essentiel d'éducation thérapeutique.</w:t>
      </w:r>
    </w:p>
    <w:p>
      <w:pPr>
        <w:pStyle w:val="ListNumber"/>
      </w:pPr>
      <w:r/>
      <w:r>
        <w:rPr>
          <w:b/>
        </w:rPr>
        <w:t>Conseils diététiques</w:t>
      </w:r>
      <w:r>
        <w:t xml:space="preserve"> : alimentation pauvre en purines animales (abats, viandes rouges, fruits de mer, anchois, sardines, hareng), arrêt de la bière (y compris sans alcool, en raison de la levure riche en purines) et de l'alcool fort, hydratation abondante (≥ 2 L/jour, eau riche en bicarbonate type Vichy Célestins), perte de poids.</w:t>
      </w:r>
    </w:p>
    <w:p>
      <w:pPr>
        <w:pStyle w:val="ListNumber"/>
      </w:pPr>
      <w:r/>
      <w:r>
        <w:rPr>
          <w:b/>
        </w:rPr>
        <w:t>Vigilance sur les interactions médicamenteuses</w:t>
      </w:r>
      <w:r>
        <w:t xml:space="preserve"> : allopurinol + azathioprine (ou 6-mercaptopurine) est une interaction majeure (toxicité médullaire sévère), nécessitant une réduction posologique de l'azathioprine à 25 % de la dose habituelle. Fébuxostat + azathioprine est </w:t>
      </w:r>
      <w:r>
        <w:rPr>
          <w:b/>
        </w:rPr>
        <w:t>contre-indiqué</w:t>
      </w:r>
      <w:r>
        <w:t xml:space="preserve"> (selon RCP). Vérifier systématiquement la prescription chez tout patient sous immunosuppresseur ou chimiothérapie.</w:t>
      </w:r>
    </w:p>
    <w:p>
      <w:pPr>
        <w:pStyle w:val="Heading2"/>
      </w:pPr>
      <w:r>
        <w:t>154.5. Fiches DCI détaillées</w:t>
      </w:r>
    </w:p>
    <w:p>
      <w:pPr>
        <w:pStyle w:val="Heading3"/>
      </w:pPr>
      <w:r>
        <w:t>154.5.1. Colchicine (usage rhumatologique)</w:t>
      </w:r>
    </w:p>
    <w:p>
      <w:pPr>
        <w:pStyle w:val="Heading4"/>
      </w:pPr>
      <w:r>
        <w:t>1. Liste catégories pharmaco-thérapeutiques</w:t>
      </w:r>
    </w:p>
    <w:tbl>
      <w:tblPr>
        <w:tblStyle w:val="LightGrid-Accent1"/>
        <w:tblW w:type="auto" w:w="0"/>
        <w:tblLook w:firstColumn="1" w:firstRow="1" w:lastColumn="0" w:lastRow="0" w:noHBand="0" w:noVBand="1" w:val="04A0"/>
      </w:tblPr>
      <w:tblGrid>
        <w:gridCol w:w="4677"/>
        <w:gridCol w:w="4677"/>
      </w:tblGrid>
      <w:tr>
        <w:tc>
          <w:tcPr>
            <w:tcW w:type="dxa" w:w="4677"/>
          </w:tcPr>
          <w:p>
            <w:r>
              <w:rPr>
                <w:b/>
                <w:sz w:val="20"/>
              </w:rPr>
              <w:t>Catégorie</w:t>
            </w:r>
          </w:p>
        </w:tc>
        <w:tc>
          <w:tcPr>
            <w:tcW w:type="dxa" w:w="4677"/>
          </w:tcPr>
          <w:p>
            <w:r>
              <w:rPr>
                <w:b/>
                <w:sz w:val="20"/>
              </w:rPr>
              <w:t>Détail</w:t>
            </w:r>
          </w:p>
        </w:tc>
      </w:tr>
      <w:tr>
        <w:tc>
          <w:tcPr>
            <w:tcW w:type="dxa" w:w="4677"/>
          </w:tcPr>
          <w:p>
            <w:r>
              <w:rPr>
                <w:sz w:val="20"/>
              </w:rPr>
              <w:t>Classe ATC</w:t>
            </w:r>
          </w:p>
        </w:tc>
        <w:tc>
          <w:tcPr>
            <w:tcW w:type="dxa" w:w="4677"/>
          </w:tcPr>
          <w:p>
            <w:r>
              <w:rPr>
                <w:sz w:val="20"/>
              </w:rPr>
              <w:t>M04AC01 (Anti-goutteux — Colchicine)</w:t>
            </w:r>
          </w:p>
        </w:tc>
      </w:tr>
      <w:tr>
        <w:tc>
          <w:tcPr>
            <w:tcW w:type="dxa" w:w="4677"/>
          </w:tcPr>
          <w:p>
            <w:r>
              <w:rPr>
                <w:sz w:val="20"/>
              </w:rPr>
              <w:t>Classe pharmacologique</w:t>
            </w:r>
          </w:p>
        </w:tc>
        <w:tc>
          <w:tcPr>
            <w:tcW w:type="dxa" w:w="4677"/>
          </w:tcPr>
          <w:p>
            <w:r>
              <w:rPr>
                <w:sz w:val="20"/>
              </w:rPr>
              <w:t>Anti-inflammatoire spécifique goutte ; inhibiteur de la polymérisation des microtubules</w:t>
            </w:r>
          </w:p>
        </w:tc>
      </w:tr>
      <w:tr>
        <w:tc>
          <w:tcPr>
            <w:tcW w:type="dxa" w:w="4677"/>
          </w:tcPr>
          <w:p>
            <w:r>
              <w:rPr>
                <w:sz w:val="20"/>
              </w:rPr>
              <w:t>Classe thérapeutique</w:t>
            </w:r>
          </w:p>
        </w:tc>
        <w:tc>
          <w:tcPr>
            <w:tcW w:type="dxa" w:w="4677"/>
          </w:tcPr>
          <w:p>
            <w:r>
              <w:rPr>
                <w:sz w:val="20"/>
              </w:rPr>
              <w:t>Anti-goutteux (traitement de crise et prophylaxie)</w:t>
            </w:r>
          </w:p>
        </w:tc>
      </w:tr>
      <w:tr>
        <w:tc>
          <w:tcPr>
            <w:tcW w:type="dxa" w:w="4677"/>
          </w:tcPr>
          <w:p>
            <w:r>
              <w:rPr>
                <w:sz w:val="20"/>
              </w:rPr>
              <w:t>Liste algérienne</w:t>
            </w:r>
          </w:p>
        </w:tc>
        <w:tc>
          <w:tcPr>
            <w:tcW w:type="dxa" w:w="4677"/>
          </w:tcPr>
          <w:p>
            <w:r>
              <w:rPr>
                <w:sz w:val="20"/>
              </w:rPr>
              <w:t>**Liste I** (substance veneneuse, prescription obligatoire)</w:t>
            </w:r>
          </w:p>
        </w:tc>
      </w:tr>
      <w:tr>
        <w:tc>
          <w:tcPr>
            <w:tcW w:type="dxa" w:w="4677"/>
          </w:tcPr>
          <w:p>
            <w:r>
              <w:rPr>
                <w:sz w:val="20"/>
              </w:rPr>
              <w:t>Statut réglementaire</w:t>
            </w:r>
          </w:p>
        </w:tc>
        <w:tc>
          <w:tcPr>
            <w:tcW w:type="dxa" w:w="4677"/>
          </w:tcPr>
          <w:p>
            <w:r>
              <w:rPr>
                <w:sz w:val="20"/>
              </w:rPr>
              <w:t>Médicament soumis à prescription médicale obligatoire</w:t>
            </w:r>
          </w:p>
        </w:tc>
      </w:tr>
      <w:tr>
        <w:tc>
          <w:tcPr>
            <w:tcW w:type="dxa" w:w="4677"/>
          </w:tcPr>
          <w:p>
            <w:r>
              <w:rPr>
                <w:sz w:val="20"/>
              </w:rPr>
              <w:t>Grossesse</w:t>
            </w:r>
          </w:p>
        </w:tc>
        <w:tc>
          <w:tcPr>
            <w:tcW w:type="dxa" w:w="4677"/>
          </w:tcPr>
          <w:p>
            <w:r>
              <w:rPr>
                <w:sz w:val="20"/>
              </w:rPr>
              <w:t>Contre-indiqué au 1er trimestre ; à éviter pendant toute la grossesse (CRAT)</w:t>
            </w:r>
          </w:p>
        </w:tc>
      </w:tr>
      <w:tr>
        <w:tc>
          <w:tcPr>
            <w:tcW w:type="dxa" w:w="4677"/>
          </w:tcPr>
          <w:p>
            <w:r>
              <w:rPr>
                <w:sz w:val="20"/>
              </w:rPr>
              <w:t>Allaitement</w:t>
            </w:r>
          </w:p>
        </w:tc>
        <w:tc>
          <w:tcPr>
            <w:tcW w:type="dxa" w:w="4677"/>
          </w:tcPr>
          <w:p>
            <w:r>
              <w:rPr>
                <w:sz w:val="20"/>
              </w:rPr>
              <w:t>Contre-indiqué (passe dans le lait maternel, toxicité chez le nouveau-né)</w:t>
            </w:r>
          </w:p>
        </w:tc>
      </w:tr>
      <w:tr>
        <w:tc>
          <w:tcPr>
            <w:tcW w:type="dxa" w:w="4677"/>
          </w:tcPr>
          <w:p>
            <w:r>
              <w:rPr>
                <w:sz w:val="20"/>
              </w:rPr>
              <w:t>Conservation</w:t>
            </w:r>
          </w:p>
        </w:tc>
        <w:tc>
          <w:tcPr>
            <w:tcW w:type="dxa" w:w="4677"/>
          </w:tcPr>
          <w:p>
            <w:r>
              <w:rPr>
                <w:sz w:val="20"/>
              </w:rPr>
              <w:t>À conserver à température ≤ 25 °C, à l'abri de l'humidité et de la lumière</w:t>
            </w:r>
          </w:p>
        </w:tc>
      </w:tr>
      <w:tr>
        <w:tc>
          <w:tcPr>
            <w:tcW w:type="dxa" w:w="4677"/>
          </w:tcPr>
          <w:p>
            <w:r>
              <w:rPr>
                <w:sz w:val="20"/>
              </w:rPr>
              <w:t>Disponibilité hospitalière</w:t>
            </w:r>
          </w:p>
        </w:tc>
        <w:tc>
          <w:tcPr>
            <w:tcW w:type="dxa" w:w="4677"/>
          </w:tcPr>
          <w:p>
            <w:r>
              <w:rPr>
                <w:sz w:val="20"/>
              </w:rPr>
              <w:t>Oui, en pharmacie hospitalière (officine et hôpital)</w:t>
            </w:r>
          </w:p>
        </w:tc>
      </w:tr>
      <w:tr>
        <w:tc>
          <w:tcPr>
            <w:tcW w:type="dxa" w:w="4677"/>
          </w:tcPr>
          <w:p>
            <w:r>
              <w:rPr>
                <w:sz w:val="20"/>
              </w:rPr>
              <w:t>Demande mondiale</w:t>
            </w:r>
          </w:p>
        </w:tc>
        <w:tc>
          <w:tcPr>
            <w:tcW w:type="dxa" w:w="4677"/>
          </w:tcPr>
          <w:p>
            <w:r>
              <w:rPr>
                <w:sz w:val="20"/>
              </w:rPr>
              <w:t>Inscrite sur la Liste des médicaments essentiels OMS (crise aiguë de goutte)</w:t>
            </w:r>
          </w:p>
        </w:tc>
      </w:tr>
    </w:tbl>
    <w:p/>
    <w:p>
      <w:r>
        <w:t>La colchicine est inscrite sur la Liste I des substances vénéneuses en Algérie, ce qui impose la prescription médicale obligatoire et l'enregistrement nominatif de chaque dispensation. Elle ne peut être délivrée sans ordonnance, et toute ordonnance doit être présentée à l'officinal pour validation, traçabilité et archivage. L'automédication par colchicine est strictement interdite, en raison de l'index thérapeutique étroit et du risque de surdosage potentiellement mortel.</w:t>
      </w:r>
    </w:p>
    <w:p>
      <w:pPr>
        <w:pStyle w:val="Heading4"/>
      </w:pPr>
      <w:r>
        <w:t>2. Médicaments disponibles en Algérie (TABLE)</w:t>
      </w:r>
    </w:p>
    <w:p>
      <w:r/>
      <w:r>
        <w:rPr>
          <w:b/>
        </w:rPr>
        <w:t>Spécialités ACTIVES (3)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COLCHICINE OPOCALCIUM</w:t>
            </w:r>
          </w:p>
        </w:tc>
        <w:tc>
          <w:tcPr>
            <w:tcW w:type="dxa" w:w="1559"/>
          </w:tcPr>
          <w:p>
            <w:r>
              <w:rPr>
                <w:sz w:val="20"/>
              </w:rPr>
              <w:t>MAYOLY PHARMA FRANCE</w:t>
            </w:r>
          </w:p>
        </w:tc>
        <w:tc>
          <w:tcPr>
            <w:tcW w:type="dxa" w:w="1559"/>
          </w:tcPr>
          <w:p>
            <w:r>
              <w:rPr>
                <w:sz w:val="20"/>
              </w:rPr>
              <w:t>Comprimé sécable 1 mg</w:t>
            </w:r>
          </w:p>
        </w:tc>
        <w:tc>
          <w:tcPr>
            <w:tcW w:type="dxa" w:w="1559"/>
          </w:tcPr>
          <w:p>
            <w:r>
              <w:rPr>
                <w:sz w:val="20"/>
              </w:rPr>
              <w:t>B/20</w:t>
            </w:r>
          </w:p>
        </w:tc>
        <w:tc>
          <w:tcPr>
            <w:tcW w:type="dxa" w:w="1559"/>
          </w:tcPr>
          <w:p>
            <w:r>
              <w:rPr>
                <w:sz w:val="20"/>
              </w:rPr>
              <w:t>LISTE I</w:t>
            </w:r>
          </w:p>
        </w:tc>
        <w:tc>
          <w:tcPr>
            <w:tcW w:type="dxa" w:w="1559"/>
          </w:tcPr>
          <w:p>
            <w:r>
              <w:rPr>
                <w:sz w:val="20"/>
              </w:rPr>
              <w:t>ACTIF</w:t>
            </w:r>
          </w:p>
        </w:tc>
      </w:tr>
      <w:tr>
        <w:tc>
          <w:tcPr>
            <w:tcW w:type="dxa" w:w="1559"/>
          </w:tcPr>
          <w:p>
            <w:r>
              <w:rPr>
                <w:sz w:val="20"/>
              </w:rPr>
              <w:t>COLCHIMED</w:t>
            </w:r>
          </w:p>
        </w:tc>
        <w:tc>
          <w:tcPr>
            <w:tcW w:type="dxa" w:w="1559"/>
          </w:tcPr>
          <w:p>
            <w:r>
              <w:rPr>
                <w:sz w:val="20"/>
              </w:rPr>
              <w:t>INPHA-MEDIS</w:t>
            </w:r>
          </w:p>
        </w:tc>
        <w:tc>
          <w:tcPr>
            <w:tcW w:type="dxa" w:w="1559"/>
          </w:tcPr>
          <w:p>
            <w:r>
              <w:rPr>
                <w:sz w:val="20"/>
              </w:rPr>
              <w:t>Comprimé (Colchicine cristallisée) 1 mg</w:t>
            </w:r>
          </w:p>
        </w:tc>
        <w:tc>
          <w:tcPr>
            <w:tcW w:type="dxa" w:w="1559"/>
          </w:tcPr>
          <w:p>
            <w:r>
              <w:rPr>
                <w:sz w:val="20"/>
              </w:rPr>
              <w:t>B/20</w:t>
            </w:r>
          </w:p>
        </w:tc>
        <w:tc>
          <w:tcPr>
            <w:tcW w:type="dxa" w:w="1559"/>
          </w:tcPr>
          <w:p>
            <w:r>
              <w:rPr>
                <w:sz w:val="20"/>
              </w:rPr>
              <w:t>LISTE I</w:t>
            </w:r>
          </w:p>
        </w:tc>
        <w:tc>
          <w:tcPr>
            <w:tcW w:type="dxa" w:w="1559"/>
          </w:tcPr>
          <w:p>
            <w:r>
              <w:rPr>
                <w:sz w:val="20"/>
              </w:rPr>
              <w:t>ACTIF</w:t>
            </w:r>
          </w:p>
        </w:tc>
      </w:tr>
      <w:tr>
        <w:tc>
          <w:tcPr>
            <w:tcW w:type="dxa" w:w="1559"/>
          </w:tcPr>
          <w:p>
            <w:r>
              <w:rPr>
                <w:sz w:val="20"/>
              </w:rPr>
              <w:t>COLCHIMEX</w:t>
            </w:r>
          </w:p>
        </w:tc>
        <w:tc>
          <w:tcPr>
            <w:tcW w:type="dxa" w:w="1559"/>
          </w:tcPr>
          <w:p>
            <w:r>
              <w:rPr>
                <w:sz w:val="20"/>
              </w:rPr>
              <w:t>KPMA BIOTIC</w:t>
            </w:r>
          </w:p>
        </w:tc>
        <w:tc>
          <w:tcPr>
            <w:tcW w:type="dxa" w:w="1559"/>
          </w:tcPr>
          <w:p>
            <w:r>
              <w:rPr>
                <w:sz w:val="20"/>
              </w:rPr>
              <w:t>Comprimé (Colchicine cristallisée) 1 mg</w:t>
            </w:r>
          </w:p>
        </w:tc>
        <w:tc>
          <w:tcPr>
            <w:tcW w:type="dxa" w:w="1559"/>
          </w:tcPr>
          <w:p>
            <w:r>
              <w:rPr>
                <w:sz w:val="20"/>
              </w:rPr>
              <w:t>B/20</w:t>
            </w:r>
          </w:p>
        </w:tc>
        <w:tc>
          <w:tcPr>
            <w:tcW w:type="dxa" w:w="1559"/>
          </w:tcPr>
          <w:p>
            <w:r>
              <w:rPr>
                <w:sz w:val="20"/>
              </w:rPr>
              <w:t>LISTE I</w:t>
            </w:r>
          </w:p>
        </w:tc>
        <w:tc>
          <w:tcPr>
            <w:tcW w:type="dxa" w:w="1559"/>
          </w:tcPr>
          <w:p>
            <w:r>
              <w:rPr>
                <w:sz w:val="20"/>
              </w:rPr>
              <w:t>ACTIF</w:t>
            </w:r>
          </w:p>
        </w:tc>
      </w:tr>
    </w:tbl>
    <w:p/>
    <w:p>
      <w:r/>
      <w:r>
        <w:rPr>
          <w:b/>
        </w:rPr>
        <w:t>Spécialités NON_RENOUVELABLES :</w:t>
      </w:r>
      <w:r>
        <w:t xml:space="preserve"> aucune recensée dans la nomenclature algérienne Avril 2026.</w:t>
      </w:r>
    </w:p>
    <w:p>
      <w:r/>
      <w:r>
        <w:rPr>
          <w:b/>
        </w:rPr>
        <w:t>Spécialités RETRAIT :</w:t>
      </w:r>
      <w:r>
        <w:t xml:space="preserve"> aucune recensée dans la nomenclature algérienne Avril 2026.</w:t>
      </w:r>
    </w:p>
    <w:p>
      <w:r/>
      <w:r>
        <w:rPr>
          <w:b/>
        </w:rPr>
        <w:t>Observations sur le marché algérien de la colchicine :</w:t>
      </w:r>
      <w:r/>
    </w:p>
    <w:p>
      <w:pPr>
        <w:pStyle w:val="ListBullet"/>
      </w:pPr>
      <w:r>
        <w:t>Les trois spécialités disponibles sont toutes au dosage unique de 1 mg en comprimé sécable, conditionnement de 20 comprimés, classement Liste I. Cette uniformité galénique simplifie la dispensation et l'éducation thérapeutique du patient.</w:t>
      </w:r>
    </w:p>
    <w:p>
      <w:pPr>
        <w:pStyle w:val="ListBullet"/>
      </w:pPr>
      <w:r>
        <w:t>Le princeps historique français COLCHICINE OPOCALCIUM (MAYOLY PHARMA FRANCE, laboratoire français basé à Chatou, maintenant dans le groupe Mayoly Pharma) reste disponible en importation directe en Algérie, et constitue la référence princeps internationale.</w:t>
      </w:r>
    </w:p>
    <w:p>
      <w:pPr>
        <w:pStyle w:val="ListBullet"/>
      </w:pPr>
      <w:r>
        <w:t>COLCHIMED (INPHA-MEDIS, laboratoire tuniso-algérien, INPHA-MEDIS basé à Tunis) et COLCHIMEX (KPMA BIOTIC, laboratoire probablement tunisien ou maghrébin) sont des génériques locaux de « Colchicine cristallisée », appellation pharmaceutique classique en pharmacie maghrébine pour désigner la forme cristalline pure de l'alcaloïde.</w:t>
      </w:r>
    </w:p>
    <w:p>
      <w:pPr>
        <w:pStyle w:val="ListBullet"/>
      </w:pPr>
      <w:r>
        <w:t>Aucune spécialité n'est retirée ni non renouvelable, ce qui témoigne d'une bonne stabilité du marché algérien de la colchicine.</w:t>
      </w:r>
    </w:p>
    <w:p>
      <w:pPr>
        <w:pStyle w:val="ListBullet"/>
      </w:pPr>
      <w:r>
        <w:t>L'absence de forme injectable de colchicine en Algérie (et d'ailleurs dans le monde, en raison de la toxicité systémique à dose élevée) impose la voie orale exclusive.</w:t>
      </w:r>
    </w:p>
    <w:p>
      <w:pPr>
        <w:pStyle w:val="Heading4"/>
      </w:pPr>
      <w:r>
        <w:t>3. Mécanisme d'action</w:t>
      </w:r>
    </w:p>
    <w:p>
      <w:r>
        <w:t>La colchicine est un alcaloïde tropolonique tricyclique (formule chimique C₂₂H₂₅NO₆, masse molaire 399,4 g/mol) extrait des graines et des bulbes du colchique d'automne (</w:t>
      </w:r>
      <w:r>
        <w:rPr>
          <w:i/>
        </w:rPr>
        <w:t>Colchicum autumnale</w:t>
      </w:r>
      <w:r>
        <w:t>), plante de la famille des Liliaceae. Sa structure moléculaire est composée d'un noyau triméthoxybenzène lié à un cycle tropolone par un pont heptaméthylène, avec une fonction acétamide latérale. Cette structure particulière lui confère une affinité sélective pour la tubuline et une activité antimitotique puissante.</w:t>
      </w:r>
    </w:p>
    <w:p>
      <w:r>
        <w:t>Le mécanisme d'action principal de la colchicine repose sur l'</w:t>
      </w:r>
      <w:r>
        <w:rPr>
          <w:b/>
        </w:rPr>
        <w:t>inhibition de la polymérisation des microtubules</w:t>
      </w:r>
      <w:r>
        <w:t>, par fixation réversible de la molécule au site de liaison de la tubuline (hétérodimère αβ), au niveau d'un domaine spécifique du polypeptide β. La colchicine se lie avec une affinité élevée (Kd ≈ 0,5 µM) à un site distinct du site de liaison de la vinblastine ou du taxol. Cette fixation empêche l'assemblage des dimères de tubuline en microtubules polymérisés de 13 protofilaments (le diamètre extérieur d'un microtubule est de 25 nm), et déstabilise les microtubules existants par dépolymérisation progressive.</w:t>
      </w:r>
    </w:p>
    <w:p>
      <w:r>
        <w:t>Les microtubules sont des composants essentiels du cytosquelette, impliqués dans de nombreux processus cellulaires : (i) maintien de la forme cellulaire et polarité, (ii) transport intracellulaire vésiculaire des organelles (mitochondries, lysosomes, vésicules de sécrétion) via les moteurs moléculaires kinesine et dyneine, (iii) mobilité cellulaire et chimiotaxie, (iv) sécrétion de granules (exocytose), (v) formation du fuseau mitotique et division cellulaire, (vi) maintien de l'architecture du réticulum endoplasmique et de l'appareil de Golgi.</w:t>
      </w:r>
    </w:p>
    <w:p>
      <w:r>
        <w:t>La conséquence de l'inhibition de la polymérisation des microtubules sur la crise de goutte est triple :</w:t>
      </w:r>
    </w:p>
    <w:p>
      <w:pPr>
        <w:pStyle w:val="ListNumber"/>
      </w:pPr>
      <w:r/>
      <w:r>
        <w:rPr>
          <w:b/>
        </w:rPr>
        <w:t>Blocage de la migration des neutrophiles</w:t>
      </w:r>
      <w:r>
        <w:t xml:space="preserve"> : la mobilité directionnelle des neutrophiles (chémiotaxie) vers le site inflammatoire articulaire dépend de la polymérisation dynamique des microtubules dans le pied polaire de la cellule (leading edge). La colchicine bloque cette polymérisation et empêche les polynucléaires neutrophiles de migrer vers l'articulation. Le recrutement des neutrophiles dans la cavité articulaire est ainsi fortement diminué, et la réaction inflammatoire s'atténue.</w:t>
      </w:r>
    </w:p>
    <w:p>
      <w:pPr>
        <w:pStyle w:val="ListNumber"/>
      </w:pPr>
      <w:r/>
      <w:r>
        <w:rPr>
          <w:b/>
        </w:rPr>
        <w:t>Inhibition de la libération des médiateurs inflammatoires</w:t>
      </w:r>
      <w:r>
        <w:t xml:space="preserve"> : la colchicine inhibe la libération du leucotriène B4 (LTB4) par les neutrophiles activés, ainsi que la production d'IL-1β et d'IL-6 par les macrophages stimulés par les cristaux d'urate. Elle réduit également l'expression des molécules d'adhésion (L-sélectine, ICAM-1) à la surface des neutrophiles, limitant leur adhésion à l'endothélium vasculaire.</w:t>
      </w:r>
    </w:p>
    <w:p>
      <w:pPr>
        <w:pStyle w:val="ListNumber"/>
      </w:pPr>
      <w:r/>
      <w:r>
        <w:rPr>
          <w:b/>
        </w:rPr>
        <w:t>Inhibition de la phagocytose des cristaux et de l'activation de l'inflammasome NLRP3</w:t>
      </w:r>
      <w:r>
        <w:t xml:space="preserve"> : la colchicine inhibe la phagocytose des cristaux d'urate par les neutrophiles et les macrophages, et donc l'activation de l'inflammasome NLRP3 (NOD-like receptor pyrin domain-containing 3), un complexe multiprotéique intracellulaire responsable de la maturation de l'IL-1β. La production d'IL-1β, médiateur central de la crise de goutte, est ainsi réduite.</w:t>
      </w:r>
    </w:p>
    <w:p>
      <w:pPr>
        <w:pStyle w:val="ListNumber"/>
      </w:pPr>
      <w:r/>
      <w:r>
        <w:rPr>
          <w:b/>
        </w:rPr>
        <w:t>Inhibition de la synthèse du leucotriène B4</w:t>
      </w:r>
      <w:r>
        <w:t xml:space="preserve"> : la colchicine inhibe la 5-lipoxygénase (5-LOX) et réduit la production de LTB4, puissant chémoattractant des neutrophiles.</w:t>
      </w:r>
    </w:p>
    <w:p>
      <w:r>
        <w:t xml:space="preserve">L'effet global de la colchicine est donc </w:t>
      </w:r>
      <w:r>
        <w:rPr>
          <w:b/>
        </w:rPr>
        <w:t>anti-inflammatoire spécifique de la goutte</w:t>
      </w:r>
      <w:r>
        <w:t xml:space="preserve"> par inhibition de la migration et de l'activation des neutrophiles, sans effet sur la production d'acide urique ni sur le dépôt cristallin. Cette spécificité d'action explique pourquoi la colchicine n'a aucun effet sur la cause biochimique de la goutte et doit toujours être associée à un traitement hypouricémiant (allopurinol ou fébuxostat) pour traiter la maladie dans sa globalité.</w:t>
      </w:r>
    </w:p>
    <w:p>
      <w:pPr>
        <w:pStyle w:val="Heading4"/>
      </w:pPr>
      <w:r>
        <w:t>4. Profil pharmacologique (indications, contre-indications, effets indésirables)</w:t>
      </w:r>
    </w:p>
    <w:p>
      <w:r/>
      <w:r>
        <w:rPr>
          <w:b/>
        </w:rPr>
        <w:t>Indications principales (AMM) :</w:t>
      </w:r>
      <w:r/>
    </w:p>
    <w:p>
      <w:pPr>
        <w:pStyle w:val="ListBullet"/>
      </w:pPr>
      <w:r/>
      <w:r>
        <w:rPr>
          <w:b/>
        </w:rPr>
        <w:t>Crise aiguë de goutte</w:t>
      </w:r>
      <w:r>
        <w:t xml:space="preserve"> : traitement de première intention en monothérapie ou en association à un AINS. Posologie recommandée (schéma « low-dose » validé par l'essai AGREE, Terkeltaub 2010) : 1,0 mg en une prise, suivi de 0,5 mg une heure plus tard (soit 1,5 mg au total le premier jour), puis 0,5 mg 2 à 3 fois par jour les jours suivants, jusqu'à résolution complète de la crise (généralement 7 à 14 jours). Ne pas dépasser 6 mg par cycle, ni 1,5 mg par jour en entretien.</w:t>
      </w:r>
    </w:p>
    <w:p>
      <w:pPr>
        <w:pStyle w:val="ListBullet"/>
      </w:pPr>
      <w:r/>
      <w:r>
        <w:rPr>
          <w:b/>
        </w:rPr>
        <w:t>Prophylaxie des crises de goutte lors de l'initiation d'un traitement hypouricémiant</w:t>
      </w:r>
      <w:r>
        <w:t xml:space="preserve"> (allopurinol, fébuxostat) : colchicine 0,5 mg à 1 mg par jour pendant au moins 3 à 6 mois, voire jusqu'à 12 mois en cas de tophi ou de goutte sévère. C'est l'indication principale de la colchicine à faible dose en pratique rhumatologique courante.</w:t>
      </w:r>
    </w:p>
    <w:p>
      <w:pPr>
        <w:pStyle w:val="ListBullet"/>
      </w:pPr>
      <w:r/>
      <w:r>
        <w:rPr>
          <w:b/>
        </w:rPr>
        <w:t>Prophylaxie au long cours des crises récidivantes</w:t>
      </w:r>
      <w:r>
        <w:t xml:space="preserve"> : chez les patients ayant des crises récidivantes malgré un traitement hypouricémiant bien conduit et bien observé, ou en cas d'intolérance à tous les hypouricémiants disponibles.</w:t>
      </w:r>
    </w:p>
    <w:p>
      <w:r/>
      <w:r>
        <w:rPr>
          <w:b/>
        </w:rPr>
        <w:t>Indications hors goutte (hors chapitre, pour mémoire) :</w:t>
      </w:r>
      <w:r/>
    </w:p>
    <w:p>
      <w:pPr>
        <w:pStyle w:val="ListBullet"/>
      </w:pPr>
      <w:r>
        <w:t>Maladie de Behçet (prévention des poussées oculaires et cutanéo-muqueuses).</w:t>
      </w:r>
    </w:p>
    <w:p>
      <w:pPr>
        <w:pStyle w:val="ListBullet"/>
      </w:pPr>
      <w:r>
        <w:t>Fièvre méditerranéenne familiale (FMF) : traitement prophylactique au long cours.</w:t>
      </w:r>
    </w:p>
    <w:p>
      <w:pPr>
        <w:pStyle w:val="ListBullet"/>
      </w:pPr>
      <w:r>
        <w:t>Péricardite aiguë (idiopathique, virale, ou récurrente) en association à l'aspirine ou aux AINS.</w:t>
      </w:r>
    </w:p>
    <w:p>
      <w:pPr>
        <w:pStyle w:val="ListBullet"/>
      </w:pPr>
      <w:r>
        <w:t>Syndrome de Sweet (dermatose neutrophilique).</w:t>
      </w:r>
    </w:p>
    <w:p>
      <w:pPr>
        <w:pStyle w:val="ListBullet"/>
      </w:pPr>
      <w:r>
        <w:t>Conjonctivite ligneuse (rare).</w:t>
      </w:r>
    </w:p>
    <w:p>
      <w:pPr>
        <w:pStyle w:val="ListBullet"/>
      </w:pPr>
      <w:r>
        <w:t>Pseudofolliculite du cuir chevelu (hors AMM).</w:t>
      </w:r>
    </w:p>
    <w:p>
      <w:r/>
      <w:r>
        <w:rPr>
          <w:b/>
        </w:rPr>
        <w:t>Contre-indications absolues :</w:t>
      </w:r>
      <w:r/>
    </w:p>
    <w:p>
      <w:pPr>
        <w:pStyle w:val="ListBullet"/>
      </w:pPr>
      <w:r/>
      <w:r>
        <w:rPr>
          <w:b/>
        </w:rPr>
        <w:t>Hypersensibilité à la colchicine</w:t>
      </w:r>
      <w:r>
        <w:t xml:space="preserve"> ou à l'un des excipients (réactions croisées possibles avec les autres alcaloïdes du colchique).</w:t>
      </w:r>
    </w:p>
    <w:p>
      <w:pPr>
        <w:pStyle w:val="ListBullet"/>
      </w:pPr>
      <w:r/>
      <w:r>
        <w:rPr>
          <w:b/>
        </w:rPr>
        <w:t>Insuffisance rénale sévère</w:t>
      </w:r>
      <w:r>
        <w:t xml:space="preserve"> (clairance de la créatinine &lt; 30 mL/min) : risque d'accumulation et de toxicité systémique mortelle.</w:t>
      </w:r>
    </w:p>
    <w:p>
      <w:pPr>
        <w:pStyle w:val="ListBullet"/>
      </w:pPr>
      <w:r/>
      <w:r>
        <w:rPr>
          <w:b/>
        </w:rPr>
        <w:t>Insuffisance hépatique sévère</w:t>
      </w:r>
      <w:r>
        <w:t xml:space="preserve"> (cytolyse &gt; 5 × LSN ou cholestase) : altération majeure du métabolisme hépatique.</w:t>
      </w:r>
    </w:p>
    <w:p>
      <w:pPr>
        <w:pStyle w:val="ListBullet"/>
      </w:pPr>
      <w:r/>
      <w:r>
        <w:rPr>
          <w:b/>
        </w:rPr>
        <w:t>Association à un inhibiteur puissant du CYP3A4</w:t>
      </w:r>
      <w:r>
        <w:t xml:space="preserve"> (clarithromycine, télithromycine, itraconazole, kétoconazole, voriconazole, posaconazole, ritonavir, atazanavir, indinavir, nelfinavir, saquinavir, darunavir, lopinavir, cobicistat) chez les patients insuffisants rénaux ou hépatiques : </w:t>
      </w:r>
      <w:r>
        <w:rPr>
          <w:b/>
        </w:rPr>
        <w:t>contre-indication absolue</w:t>
      </w:r>
      <w:r>
        <w:t xml:space="preserve"> en raison du risque de surdosage mortel.</w:t>
      </w:r>
    </w:p>
    <w:p>
      <w:pPr>
        <w:pStyle w:val="ListBullet"/>
      </w:pPr>
      <w:r/>
      <w:r>
        <w:rPr>
          <w:b/>
        </w:rPr>
        <w:t>Association à un inhibiteur puissant de la P-gp</w:t>
      </w:r>
      <w:r>
        <w:t xml:space="preserve"> (ciclosporine, tacrolimus, vérapamil, diltiazem, amiodarone, dronédarone, quinidine) chez les patients insuffisants rénaux ou hépatiques : </w:t>
      </w:r>
      <w:r>
        <w:rPr>
          <w:b/>
        </w:rPr>
        <w:t>contre-indication absolue</w:t>
      </w:r>
      <w:r>
        <w:t>.</w:t>
      </w:r>
    </w:p>
    <w:p>
      <w:pPr>
        <w:pStyle w:val="ListBullet"/>
      </w:pPr>
      <w:r/>
      <w:r>
        <w:rPr>
          <w:b/>
        </w:rPr>
        <w:t>Grossesse</w:t>
      </w:r>
      <w:r>
        <w:t xml:space="preserve"> : la colchicine est tératogène et mutagène (effet antimitotique), traversant la barrière placentaire. Contre-indiquée pendant le 1er trimestre, et à éviter pendant toute la grossesse (CRAT : « à éviter »).</w:t>
      </w:r>
    </w:p>
    <w:p>
      <w:pPr>
        <w:pStyle w:val="ListBullet"/>
      </w:pPr>
      <w:r/>
      <w:r>
        <w:rPr>
          <w:b/>
        </w:rPr>
        <w:t>Allaitement</w:t>
      </w:r>
      <w:r>
        <w:t xml:space="preserve"> : la colchicine passe dans le lait maternel et peut être toxique pour le nouveau-né (cytopénies, gastro-entérite). Contre-indiquée pendant l'allaitement.</w:t>
      </w:r>
    </w:p>
    <w:p>
      <w:pPr>
        <w:pStyle w:val="ListBullet"/>
      </w:pPr>
      <w:r/>
      <w:r>
        <w:rPr>
          <w:b/>
        </w:rPr>
        <w:t>Enfant de moins de 15 ans</w:t>
      </w:r>
      <w:r>
        <w:t xml:space="preserve"> : sauf indication spécifique (FMF, maladie de Behçet), en milieu spécialisé.</w:t>
      </w:r>
    </w:p>
    <w:p>
      <w:r/>
      <w:r>
        <w:rPr>
          <w:b/>
        </w:rPr>
        <w:t>Contre-indications relatives (à utiliser avec prudence) :</w:t>
      </w:r>
      <w:r/>
    </w:p>
    <w:p>
      <w:pPr>
        <w:pStyle w:val="ListBullet"/>
      </w:pPr>
      <w:r>
        <w:t>Insuffisance rénale modérée (clairance 30–60 mL/min) : réduction posologique obligatoire (50 % de la dose usuelle).</w:t>
      </w:r>
    </w:p>
    <w:p>
      <w:pPr>
        <w:pStyle w:val="ListBullet"/>
      </w:pPr>
      <w:r>
        <w:t>Sujet âgé (&gt; 75 ans) : risque accru d'insuffisance rénale et d'interactions médicamenteuses polymédicamenteuses.</w:t>
      </w:r>
    </w:p>
    <w:p>
      <w:pPr>
        <w:pStyle w:val="ListBullet"/>
      </w:pPr>
      <w:r>
        <w:t>Association aux statines (ou fibrates) : risque accru de myopathie et de rhabdomyolyse.</w:t>
      </w:r>
    </w:p>
    <w:p>
      <w:pPr>
        <w:pStyle w:val="ListBullet"/>
      </w:pPr>
      <w:r>
        <w:t>Association à la ciclosporine : potentialisation de la néphrotoxicité et de la myotoxicité.</w:t>
      </w:r>
    </w:p>
    <w:p>
      <w:pPr>
        <w:pStyle w:val="ListBullet"/>
      </w:pPr>
      <w:r>
        <w:t>troubles digestifs chroniques : aggravation possible des diarrhées.</w:t>
      </w:r>
    </w:p>
    <w:p>
      <w:r/>
      <w:r>
        <w:rPr>
          <w:b/>
        </w:rPr>
        <w:t>Effets indésirables (fréquence selon RCP) :</w:t>
      </w:r>
      <w:r/>
    </w:p>
    <w:p>
      <w:pPr>
        <w:pStyle w:val="ListBullet"/>
      </w:pPr>
      <w:r/>
      <w:r>
        <w:rPr>
          <w:b/>
        </w:rPr>
        <w:t>Très fréquents (≥ 10 %)</w:t>
      </w:r>
      <w:r>
        <w:t xml:space="preserve"> : diarrhée (signal d'efficacité et de toxicité précoce, ≈ 50 % des patients à dose thérapeutique), nausées, vomissements, douleurs abdominales, crampes. Ces effets digestifs sont liés à l'inhibition de la polymérisation des microtubules des cellules épithéliales intestinales, qui ont un renouvellement rapide (3 à 5 jours) et sont donc particulièrement sensibles à l'effet antimitotique.</w:t>
      </w:r>
    </w:p>
    <w:p>
      <w:pPr>
        <w:pStyle w:val="ListBullet"/>
      </w:pPr>
      <w:r/>
      <w:r>
        <w:rPr>
          <w:b/>
        </w:rPr>
        <w:t>Fréquents (1–10 %)</w:t>
      </w:r>
      <w:r>
        <w:t xml:space="preserve"> : leucopénie modérée, thrombocytopénie modérée, augmentation transitoire des transaminases, éruptions cutanées bénignes.</w:t>
      </w:r>
    </w:p>
    <w:p>
      <w:pPr>
        <w:pStyle w:val="ListBullet"/>
      </w:pPr>
      <w:r/>
      <w:r>
        <w:rPr>
          <w:b/>
        </w:rPr>
        <w:t>Rares (0,01–0,1 %)</w:t>
      </w:r>
      <w:r>
        <w:t xml:space="preserve"> : syndrome de Lyell (nécrolyse épidermique toxique), syndrome de Stevens-Johnson, érythrodermie, aplasie médullaire, neuropathie périphérique, myopathie proximale, rhabdomyolyse.</w:t>
      </w:r>
    </w:p>
    <w:p>
      <w:pPr>
        <w:pStyle w:val="ListBullet"/>
      </w:pPr>
      <w:r/>
      <w:r>
        <w:rPr>
          <w:b/>
        </w:rPr>
        <w:t>Très rares (&lt; 0,01 %)</w:t>
      </w:r>
      <w:r>
        <w:t xml:space="preserve"> : anémie aplasique, agranulocytose, pneumopathie interstitielle, hépatite cytolytique sévère, convulsions.</w:t>
      </w:r>
    </w:p>
    <w:p>
      <w:pPr>
        <w:pStyle w:val="ListBullet"/>
      </w:pPr>
      <w:r/>
      <w:r>
        <w:rPr>
          <w:b/>
        </w:rPr>
        <w:t>Surdosage (potentiellement mortel)</w:t>
      </w:r>
      <w:r>
        <w:t xml:space="preserve"> : phase I (2 à 24 heures) — prodromes digestifs (vomissements profus, diarrhée cholériforme, douleurs abdominales violentes, déshydratation); phase II (1 à 7 jours) — défaillance multi-viscérale (insuffisance rénale aiguë, défaillance hépatique, détresse respiratoire, insuffisance cardiaque, troubles de la coagulation, pancytopénie sévère, acidose métabolique, hypocalcémie, hypokaliémie, hyponatrémie); phase III (≥ 7 jours) — récupération ou décès. La dose létale est estimée à 0,8 mg/kg, soit environ 50 mg chez l'adulte, mais des décès ont été rapportés à des doses beaucoup plus faibles en cas d'insuffisance rénale ou d'interaction médicamenteuse. Il n'existe pas d'antidote spécifique. Le traitement symptomatique en milieu de réanimation est impératif (réhydratation massive, correction des troubles ioniques, ventilation mécanique si nécessaire, hémofiltration si insuffisance rénale, facteurs de croissance hématopoïétiques en cas d'aplasie). Les anticorps anti-colchicine expérimentaux ne sont pas disponibles en pratique clinique courante.</w:t>
      </w:r>
    </w:p>
    <w:p>
      <w:pPr>
        <w:pStyle w:val="Heading4"/>
      </w:pPr>
      <w:r>
        <w:t>5. Prévention et gestion des effets indésirables</w:t>
      </w:r>
    </w:p>
    <w:p>
      <w:r>
        <w:t>La prévention des effets indésirables de la colchicine repose sur des principes simples mais stricts, que le pharmacien doit systématiquement vérifier et expliquer au patient à chaque dispensation :</w:t>
      </w:r>
    </w:p>
    <w:p>
      <w:r/>
      <w:r>
        <w:rPr>
          <w:b/>
        </w:rPr>
        <w:t>Prévention des effets digestifs (diarrhée) :</w:t>
      </w:r>
      <w:r/>
    </w:p>
    <w:p>
      <w:pPr>
        <w:pStyle w:val="ListBullet"/>
      </w:pPr>
      <w:r/>
      <w:r>
        <w:rPr>
          <w:b/>
        </w:rPr>
        <w:t>Information du patient</w:t>
      </w:r>
      <w:r>
        <w:t xml:space="preserve"> : la diarrhée est un signal précoce d'efficacité et de toxicité. Si elle survient, réduire la dose de moitié et consulter le médecin. Ne jamais augmenter la dose en cas de diarrhée, même si la douleur persiste.</w:t>
      </w:r>
    </w:p>
    <w:p>
      <w:pPr>
        <w:pStyle w:val="ListBullet"/>
      </w:pPr>
      <w:r/>
      <w:r>
        <w:rPr>
          <w:b/>
        </w:rPr>
        <w:t>Hydratation abondante</w:t>
      </w:r>
      <w:r>
        <w:t xml:space="preserve"> : recommander une hydratation ≥ 2 L/jour d'eau riche en bicarbonate (Vichy Célestins, St-Yorre) pour prévenir la déshydratation et alcaliniser les urines.</w:t>
      </w:r>
    </w:p>
    <w:p>
      <w:pPr>
        <w:pStyle w:val="ListBullet"/>
      </w:pPr>
      <w:r/>
      <w:r>
        <w:rPr>
          <w:b/>
        </w:rPr>
        <w:t>Adaptation posologique</w:t>
      </w:r>
      <w:r>
        <w:t xml:space="preserve"> : chez le sujet âgé, en cas d'insuffisance rénale modérée, ou en cas d'association à un inhibiteur modéré du CYP3A4 ou de la P-gp, réduire la dose à 0,5 mg/jour.</w:t>
      </w:r>
    </w:p>
    <w:p>
      <w:r/>
      <w:r>
        <w:rPr>
          <w:b/>
        </w:rPr>
        <w:t>Prévention de la toxicité hématologique :</w:t>
      </w:r>
      <w:r/>
    </w:p>
    <w:p>
      <w:pPr>
        <w:pStyle w:val="ListBullet"/>
      </w:pPr>
      <w:r/>
      <w:r>
        <w:rPr>
          <w:b/>
        </w:rPr>
        <w:t>NFS plaquettaire de surveillance</w:t>
      </w:r>
      <w:r>
        <w:t xml:space="preserve"> : à réaliser avant initiation, à 15 jours, à 1 mois, puis mensuellement pendant les 3 premiers mois, puis trimestrielle. Réduire la dose ou arrêter en cas de leucopénie &lt; 3 G/L, de thrombocytopénie &lt; 150 G/L, ou d'anémie régénérative.</w:t>
      </w:r>
    </w:p>
    <w:p>
      <w:pPr>
        <w:pStyle w:val="ListBullet"/>
      </w:pPr>
      <w:r/>
      <w:r>
        <w:rPr>
          <w:b/>
        </w:rPr>
        <w:t>Surveillance accrue</w:t>
      </w:r>
      <w:r>
        <w:t xml:space="preserve"> chez les patients âgés, insuffisants rénaux, ou sous traitement myélotoxique associé (azathioprine, méthotrexate, chimiothérapie).</w:t>
      </w:r>
    </w:p>
    <w:p>
      <w:r/>
      <w:r>
        <w:rPr>
          <w:b/>
        </w:rPr>
        <w:t>Prévention de la toxicité musculaire :</w:t>
      </w:r>
      <w:r/>
    </w:p>
    <w:p>
      <w:pPr>
        <w:pStyle w:val="ListBullet"/>
      </w:pPr>
      <w:r/>
      <w:r>
        <w:rPr>
          <w:b/>
        </w:rPr>
        <w:t>Dosage des CPK</w:t>
      </w:r>
      <w:r>
        <w:t xml:space="preserve"> avant initiation et en cas de symptômes musculaires (myalgies, faiblesse proximale). Arrêt immédiat en cas de CPK &gt; 5 × LSN ou de myalgies invalidantes.</w:t>
      </w:r>
    </w:p>
    <w:p>
      <w:pPr>
        <w:pStyle w:val="ListBullet"/>
      </w:pPr>
      <w:r/>
      <w:r>
        <w:rPr>
          <w:b/>
        </w:rPr>
        <w:t>Vigilance accrue en cas d'association aux statines</w:t>
      </w:r>
      <w:r>
        <w:t xml:space="preserve"> (particulièrement simvastatine, atorvastatine) ou aux fibrates : risque majoré de rhabdomyolyse. Réduire la dose des deux molécules, ou envisager une alternative.</w:t>
      </w:r>
    </w:p>
    <w:p>
      <w:r/>
      <w:r>
        <w:rPr>
          <w:b/>
        </w:rPr>
        <w:t>Prévention des interactions médicamenteuses :</w:t>
      </w:r>
      <w:r/>
    </w:p>
    <w:p>
      <w:pPr>
        <w:pStyle w:val="ListBullet"/>
      </w:pPr>
      <w:r/>
      <w:r>
        <w:rPr>
          <w:b/>
        </w:rPr>
        <w:t>Révision systématique de l'ordonnance</w:t>
      </w:r>
      <w:r>
        <w:t xml:space="preserve"> à chaque dispensation : vérifier l'absence d'inhibiteur puissant du CYP3A4 ou de la P-gp (clarithromycine, itraconazole, ciclosporine, vérapamil, etc.). En cas de prescription simultanée d'un de ces médicaments, contacter le médecin pour adapter la posologie de la colchicine (réduction à 0,5 mg/jour ou arrêt temporaire).</w:t>
      </w:r>
    </w:p>
    <w:p>
      <w:pPr>
        <w:pStyle w:val="ListBullet"/>
      </w:pPr>
      <w:r/>
      <w:r>
        <w:rPr>
          <w:b/>
        </w:rPr>
        <w:t>Information du patient sur les médicaments à éviter</w:t>
      </w:r>
      <w:r>
        <w:t xml:space="preserve"> : antibiotiques macrolides (sauf azithromycine et spiramycine, qui n'inhibent pas le CYP3A4), antifongiques azolés, antiprotéases, ciclosporine, tacrolimus, vérapamil, diltiazem, amiodarone.</w:t>
      </w:r>
    </w:p>
    <w:p>
      <w:r/>
      <w:r>
        <w:rPr>
          <w:b/>
        </w:rPr>
        <w:t>Prévention du surdosage :</w:t>
      </w:r>
      <w:r/>
    </w:p>
    <w:p>
      <w:pPr>
        <w:pStyle w:val="ListBullet"/>
      </w:pPr>
      <w:r/>
      <w:r>
        <w:rPr>
          <w:b/>
        </w:rPr>
        <w:t>Information sur les signes d'alerte</w:t>
      </w:r>
      <w:r>
        <w:t xml:space="preserve"> : vomissements profus, diarrhée cholériforme, douleurs abdominales violentes, déshydratation, asthénie majeure. Consulter en urgence.</w:t>
      </w:r>
    </w:p>
    <w:p>
      <w:pPr>
        <w:pStyle w:val="ListBullet"/>
      </w:pPr>
      <w:r/>
      <w:r>
        <w:rPr>
          <w:b/>
        </w:rPr>
        <w:t>Stockage sécurisé</w:t>
      </w:r>
      <w:r>
        <w:t xml:space="preserve"> : garder les comprimés hors de portée des enfants et des personnes vulnérables (sujets âgés désorientés, patients dépressifs). Le surdosage intentionnel (tentative de suicide) par colchicine est gravissime et potentiellement mortel à des doses faibles.</w:t>
      </w:r>
    </w:p>
    <w:p>
      <w:pPr>
        <w:pStyle w:val="ListBullet"/>
      </w:pPr>
      <w:r/>
      <w:r>
        <w:rPr>
          <w:b/>
        </w:rPr>
        <w:t>Numéro d'urgence</w:t>
      </w:r>
      <w:r>
        <w:t xml:space="preserve"> : donner au patient le numéro du centre antipoison régional.</w:t>
      </w:r>
    </w:p>
    <w:p>
      <w:r/>
      <w:r>
        <w:rPr>
          <w:b/>
        </w:rPr>
        <w:t>Gestion d'un surdosage avéré :</w:t>
      </w:r>
      <w:r/>
    </w:p>
    <w:p>
      <w:pPr>
        <w:pStyle w:val="ListBullet"/>
      </w:pPr>
      <w:r/>
      <w:r>
        <w:rPr>
          <w:b/>
        </w:rPr>
        <w:t>Hospitalisation en urgence en milieu de réanimation</w:t>
      </w:r>
      <w:r>
        <w:t xml:space="preserve"> : prise en charge symptomatique (réhydratation massive, correction des troubles ioniques, ventilation mécanique si nécessaire, hémofiltration continue si insuffisance rénale, facteurs de croissance hématopoïétiques G-CSF en cas d'aplasie, antibioprophylaxie en cas d'aplasie profonde).</w:t>
      </w:r>
    </w:p>
    <w:p>
      <w:pPr>
        <w:pStyle w:val="ListBullet"/>
      </w:pPr>
      <w:r/>
      <w:r>
        <w:rPr>
          <w:b/>
        </w:rPr>
        <w:t>Lavage gastrique</w:t>
      </w:r>
      <w:r>
        <w:t xml:space="preserve"> : à discuter dans les 1 à 2 heures suivant l'ingestion, si le patient est vu précocement. Charbon activé (50 g) en dose unique.</w:t>
      </w:r>
    </w:p>
    <w:p>
      <w:pPr>
        <w:pStyle w:val="ListBullet"/>
      </w:pPr>
      <w:r/>
      <w:r>
        <w:rPr>
          <w:b/>
        </w:rPr>
        <w:t>Surveillance continue</w:t>
      </w:r>
      <w:r>
        <w:t xml:space="preserve"> : ECG, pression artérielle, diurèse, ionogramme, NFS plaquettaire, CPK, transaminases, gaz du sang.</w:t>
      </w:r>
    </w:p>
    <w:p>
      <w:pPr>
        <w:pStyle w:val="ListBullet"/>
      </w:pPr>
      <w:r/>
      <w:r>
        <w:rPr>
          <w:b/>
        </w:rPr>
        <w:t>Pas d'antidote spécifique</w:t>
      </w:r>
      <w:r>
        <w:t xml:space="preserve"> : les anticorps anti-colchicine Fab expérimentaux ne sont pas disponibles en pratique clinique.</w:t>
      </w:r>
    </w:p>
    <w:p>
      <w:pPr>
        <w:pStyle w:val="Heading4"/>
      </w:pPr>
      <w:r>
        <w:t>6. Interactions médicamenteuses</w:t>
      </w:r>
    </w:p>
    <w:p>
      <w:r>
        <w:t>Les interactions médicamenteuses de la colchicine sont majeures et potentiellement mortelles. Elles justifient une vigilance constante et une analyse pharmaceutique systématique de toutes les prescriptions. On distingue classiquement quatre niveaux d'interaction :</w:t>
      </w:r>
    </w:p>
    <w:p>
      <w:r/>
      <w:r>
        <w:rPr>
          <w:b/>
        </w:rPr>
        <w:t>Contre-indications absolues (association INTERDITE) :</w:t>
      </w:r>
      <w:r/>
    </w:p>
    <w:p>
      <w:pPr>
        <w:pStyle w:val="ListBullet"/>
      </w:pPr>
      <w:r/>
      <w:r>
        <w:rPr>
          <w:b/>
        </w:rPr>
        <w:t>Inhibiteurs puissants du CYP3A4 chez les patients avec insuffisance rénale ou hépatique</w:t>
      </w:r>
      <w:r>
        <w:t xml:space="preserve"> : clarithromycine, télithromycine, érythromycine (surtout IV), itraconazole, kétoconazole, voriconazole, posaconazole, ritonavir, atazanavir, indinavir, nelfinavir, saquinavir, darunavir, lopinavir, cobicistat. Risque : augmentation massive des concentrations de colchicine → surdosage mortel (aplasie médullaire, défaillance multi-viscérale).</w:t>
      </w:r>
    </w:p>
    <w:p>
      <w:pPr>
        <w:pStyle w:val="ListBullet"/>
      </w:pPr>
      <w:r/>
      <w:r>
        <w:rPr>
          <w:b/>
        </w:rPr>
        <w:t>Inhibiteurs puissants de la P-gp chez les patients avec insuffisance rénale ou hépatique</w:t>
      </w:r>
      <w:r>
        <w:t xml:space="preserve"> : ciclosporine, tacrolimus, vérapamil, diltiazem (à forte dose), amiodarone, dronédarone, quinidine. Risque identique.</w:t>
      </w:r>
    </w:p>
    <w:p>
      <w:pPr>
        <w:pStyle w:val="ListBullet"/>
      </w:pPr>
      <w:r/>
      <w:r>
        <w:rPr>
          <w:b/>
        </w:rPr>
        <w:t>Prémédication par macrolides en cas de cirrhose ou d'insuffisance rénale</w:t>
      </w:r>
      <w:r>
        <w:t xml:space="preserve"> : utiliser azithromycine ou spiramycine, qui n'inhibent pas le CYP3A4.</w:t>
      </w:r>
    </w:p>
    <w:p>
      <w:r/>
      <w:r>
        <w:rPr>
          <w:b/>
        </w:rPr>
        <w:t>Associations déconseillées (risque important, à éviter) :</w:t>
      </w:r>
      <w:r/>
    </w:p>
    <w:p>
      <w:pPr>
        <w:pStyle w:val="ListBullet"/>
      </w:pPr>
      <w:r/>
      <w:r>
        <w:rPr>
          <w:b/>
        </w:rPr>
        <w:t>Inhibiteurs modérés du CYP3A4 chez les patients avec fonction rénale et hépatique normales</w:t>
      </w:r>
      <w:r>
        <w:t xml:space="preserve"> : fluconazole, érythromycine orale, aprepitant, diltiazem per os, vérapamil per os, jus de pamplemousse (en quantité ≥ 1 L/jour). Risque : augmentation modérée des concentrations de colchicine → toxicité dose-dépendante. Si l'association est indispensable, réduire la dose de colchicine à 0,5 mg/jour maximum.</w:t>
      </w:r>
    </w:p>
    <w:p>
      <w:pPr>
        <w:pStyle w:val="ListBullet"/>
      </w:pPr>
      <w:r/>
      <w:r>
        <w:rPr>
          <w:b/>
        </w:rPr>
        <w:t>Statines (atorvastatine, simvastatine, fluvastatine, lovastatine)</w:t>
      </w:r>
      <w:r>
        <w:t xml:space="preserve"> : risque accru de myopathie et de rhabdomyolyse, en particulier chez les patients âgés ou insuffisants rénaux. Surveillance clinique (myalgies) et biologique (CPK) accrue. Envisager une alternative (rosuvastatine, pravastatine, ou fébuxostat seul sans hypolipidémiants).</w:t>
      </w:r>
    </w:p>
    <w:p>
      <w:pPr>
        <w:pStyle w:val="ListBullet"/>
      </w:pPr>
      <w:r/>
      <w:r>
        <w:rPr>
          <w:b/>
        </w:rPr>
        <w:t>Fibrates</w:t>
      </w:r>
      <w:r>
        <w:t xml:space="preserve"> (fénofibrate, bézafibrate, gemfibrozil) : risque accru de myotoxicité.</w:t>
      </w:r>
    </w:p>
    <w:p>
      <w:pPr>
        <w:pStyle w:val="ListBullet"/>
      </w:pPr>
      <w:r/>
      <w:r>
        <w:rPr>
          <w:b/>
        </w:rPr>
        <w:t>Ciclosporine</w:t>
      </w:r>
      <w:r>
        <w:t xml:space="preserve"> (chez les patients non insuffisants rénaux/hépatiques) : potentialisation de la néphrotoxicité, de la myotoxicité, et de la toxicité hématologique. Surveillance étroite.</w:t>
      </w:r>
    </w:p>
    <w:p>
      <w:r/>
      <w:r>
        <w:rPr>
          <w:b/>
        </w:rPr>
        <w:t>Associations à prendre en compte (vigilance) :</w:t>
      </w:r>
      <w:r/>
    </w:p>
    <w:p>
      <w:pPr>
        <w:pStyle w:val="ListBullet"/>
      </w:pPr>
      <w:r/>
      <w:r>
        <w:rPr>
          <w:b/>
        </w:rPr>
        <w:t>Diurétiques thiazidiques</w:t>
      </w:r>
      <w:r>
        <w:t xml:space="preserve"> : aggravation de l'hyperuricémie et donc de la goutte (effet paradoxal — la colchicine traite la crise, le thiazide la favorise). Envisager le remplacement par IEC ou ARA2.</w:t>
      </w:r>
    </w:p>
    <w:p>
      <w:pPr>
        <w:pStyle w:val="ListBullet"/>
      </w:pPr>
      <w:r/>
      <w:r>
        <w:rPr>
          <w:b/>
        </w:rPr>
        <w:t>Aspirine à faible dose</w:t>
      </w:r>
      <w:r>
        <w:t xml:space="preserve"> (75–325 mg/jour) : effet uricosurique à faible dose (blocage de la sécrétion tubulaire d'acide urique), mais aussi risque hémorragique accru en cas de thrombocytopénie induite par la colchicine. Maintenir si indication cardiovasculaire absolue.</w:t>
      </w:r>
    </w:p>
    <w:p>
      <w:pPr>
        <w:pStyle w:val="ListBullet"/>
      </w:pPr>
      <w:r/>
      <w:r>
        <w:rPr>
          <w:b/>
        </w:rPr>
        <w:t>Antivitamines K (AVK) et anticoagulants oraux directs AOD</w:t>
      </w:r>
      <w:r>
        <w:t xml:space="preserve"> : risque hémorragique accru en cas de thrombocytopénie. Surveillance INR et NFS plaquettaire.</w:t>
      </w:r>
    </w:p>
    <w:p>
      <w:pPr>
        <w:pStyle w:val="ListBullet"/>
      </w:pPr>
      <w:r/>
      <w:r>
        <w:rPr>
          <w:b/>
        </w:rPr>
        <w:t>Méthotrexate, azathioprine, 6-mercaptopurine</w:t>
      </w:r>
      <w:r>
        <w:t xml:space="preserve"> : potentialisation de la myélotoxicité.</w:t>
      </w:r>
    </w:p>
    <w:p>
      <w:pPr>
        <w:pStyle w:val="ListBullet"/>
      </w:pPr>
      <w:r/>
      <w:r>
        <w:rPr>
          <w:b/>
        </w:rPr>
        <w:t>Digitoxine, digoxine</w:t>
      </w:r>
      <w:r>
        <w:t xml:space="preserve"> : augmentation modérée des concentrations de digoxine par inhibition de la P-gp intestinale.</w:t>
      </w:r>
    </w:p>
    <w:p>
      <w:r/>
      <w:r>
        <w:rPr>
          <w:b/>
        </w:rPr>
        <w:t>Associations sans interaction significative :</w:t>
      </w:r>
      <w:r/>
    </w:p>
    <w:p>
      <w:pPr>
        <w:pStyle w:val="ListBullet"/>
      </w:pPr>
      <w:r/>
      <w:r>
        <w:rPr>
          <w:b/>
        </w:rPr>
        <w:t>Allopurinol</w:t>
      </w:r>
      <w:r>
        <w:t xml:space="preserve"> : pas d'interaction pharmacocinétique ni pharmacodynamique majeure. C'est l'association usuelle (colchicine prophylactique + allopurinol hypouricémiant).</w:t>
      </w:r>
    </w:p>
    <w:p>
      <w:pPr>
        <w:pStyle w:val="ListBullet"/>
      </w:pPr>
      <w:r/>
      <w:r>
        <w:rPr>
          <w:b/>
        </w:rPr>
        <w:t>Fébuxostat</w:t>
      </w:r>
      <w:r>
        <w:t xml:space="preserve"> : idem, pas d'interaction significative.</w:t>
      </w:r>
    </w:p>
    <w:p>
      <w:pPr>
        <w:pStyle w:val="ListBullet"/>
      </w:pPr>
      <w:r/>
      <w:r>
        <w:rPr>
          <w:b/>
        </w:rPr>
        <w:t>AINS</w:t>
      </w:r>
      <w:r>
        <w:t xml:space="preserve"> : pas d'interaction pharmacocinétique, mais potentialisation de la toxicité digestive ( diarrhée, nausées). Surveillance clinique.</w:t>
      </w:r>
    </w:p>
    <w:p>
      <w:pPr>
        <w:pStyle w:val="ListBullet"/>
      </w:pPr>
      <w:r/>
      <w:r>
        <w:rPr>
          <w:b/>
        </w:rPr>
        <w:t>Paracétamol</w:t>
      </w:r>
      <w:r>
        <w:t xml:space="preserve"> : pas d'interaction significative.</w:t>
      </w:r>
    </w:p>
    <w:p>
      <w:pPr>
        <w:pStyle w:val="Heading4"/>
      </w:pPr>
      <w:r>
        <w:t>7. Grossesse et allaitement (CRAT)</w:t>
      </w:r>
    </w:p>
    <w:p>
      <w:r/>
      <w:r>
        <w:rPr>
          <w:b/>
        </w:rPr>
        <w:t>Grossesse :</w:t>
      </w:r>
      <w:r/>
    </w:p>
    <w:p>
      <w:r>
        <w:t>La colchicine est tératogène et mutagène en raison de son effet antimitotique (inhibition de la polymérisation des microtubules du fuseau mitotique). Elle traverse la barrière placentaire par diffusion passive. Les données animales (rat, souris, lapin) montrent une embryotoxicité et une tératogénicité à doses thérapeutiques (malformations squelettiques, cardiovasculaires, nerveuses).</w:t>
      </w:r>
    </w:p>
    <w:p>
      <w:r>
        <w:t>Chez la femme enceinte, les données de la littérature (séries limitées de patientes traitées pour FMF pendant la grossesse) ne montrent pas d'augmentation significative du taux de malformations congénitales, mais un risque accru de fausse couche spontanée et d'accouchement prématuré. Le CRAT (Centre Renseignements Agents Tératogènes) classe la colchicine comme « à éviter » pendant toute la grossesse, et « contre-indiquée » au 1er trimestre. En cas de nécessité absolue (FMF sévère avec amylose, maladie de Behçet sévère), un avis spécialisé en maternité à haut niveau est requis, avec décision collégiale.</w:t>
      </w:r>
    </w:p>
    <w:p>
      <w:r/>
      <w:r>
        <w:rPr>
          <w:b/>
        </w:rPr>
        <w:t>En pratique :</w:t>
      </w:r>
      <w:r/>
    </w:p>
    <w:p>
      <w:pPr>
        <w:pStyle w:val="ListBullet"/>
      </w:pPr>
      <w:r/>
      <w:r>
        <w:rPr>
          <w:b/>
        </w:rPr>
        <w:t>Patiente en âge de procréer</w:t>
      </w:r>
      <w:r>
        <w:t xml:space="preserve"> : imposer une contraception efficace pendant le traitement, et informer de la nécessité de planifier toute grossesse avec un arrêt préalable de la colchicine.</w:t>
      </w:r>
    </w:p>
    <w:p>
      <w:pPr>
        <w:pStyle w:val="ListBullet"/>
      </w:pPr>
      <w:r/>
      <w:r>
        <w:rPr>
          <w:b/>
        </w:rPr>
        <w:t>Découverte de grossesse sous colchicine</w:t>
      </w:r>
      <w:r>
        <w:t xml:space="preserve"> : arrêt immédiat de la colchicine, consultation spécialisée en maternité pour évaluation du risque fœtal (échographie morphologique à 12 et 22 SA), déclaration de grossesse exposée à un tératogène.</w:t>
      </w:r>
    </w:p>
    <w:p>
      <w:pPr>
        <w:pStyle w:val="ListBullet"/>
      </w:pPr>
      <w:r/>
      <w:r>
        <w:rPr>
          <w:b/>
        </w:rPr>
        <w:t>Crise de goutte pendant la grossesse</w:t>
      </w:r>
      <w:r>
        <w:t xml:space="preserve"> : éviter la colchicine et préférer la corticothérapie (prednisone 20–30 mg/jour pendant 5–7 jours), qui est compatible avec la grossesse (CRAT : « compatible »).</w:t>
      </w:r>
    </w:p>
    <w:p>
      <w:r/>
      <w:r>
        <w:rPr>
          <w:b/>
        </w:rPr>
        <w:t>Allaitement :</w:t>
      </w:r>
      <w:r/>
    </w:p>
    <w:p>
      <w:r>
        <w:t xml:space="preserve">La colchicine passe dans le lait maternel à des concentrations significatives (rapport lait/plasma ≈ 1). Chez le nouveau-né allaité, elle peut être responsable de cytopenies (leucopénie, thrombocytopénie), de gastro-entérite, et d'une altération de la prise de poids. Le CRAT recommande de </w:t>
      </w:r>
      <w:r>
        <w:rPr>
          <w:b/>
        </w:rPr>
        <w:t>contre-indiquer l'allaitement</w:t>
      </w:r>
      <w:r>
        <w:t xml:space="preserve"> pendant le traitement par colchicine. En cas de nécessité absolue (FMF sévère), le lait doit être tiré et jeté pendant les 12 heures suivant chaque prise, mais cette stratégie expose à un risque résiduel non négligeable.</w:t>
      </w:r>
    </w:p>
    <w:p>
      <w:r/>
      <w:r>
        <w:rPr>
          <w:b/>
        </w:rPr>
        <w:t>En pratique :</w:t>
      </w:r>
      <w:r/>
    </w:p>
    <w:p>
      <w:pPr>
        <w:pStyle w:val="ListBullet"/>
      </w:pPr>
      <w:r/>
      <w:r>
        <w:rPr>
          <w:b/>
        </w:rPr>
        <w:t>Patiente allaitant sous colchicine</w:t>
      </w:r>
      <w:r>
        <w:t xml:space="preserve"> : arrêt de l'allaitement, relais par lait infantile artificiel adapté à l'âge du nourrisson.</w:t>
      </w:r>
    </w:p>
    <w:p>
      <w:pPr>
        <w:pStyle w:val="ListBullet"/>
      </w:pPr>
      <w:r/>
      <w:r>
        <w:rPr>
          <w:b/>
        </w:rPr>
        <w:t>Patiente souhaitant allaiter</w:t>
      </w:r>
      <w:r>
        <w:t xml:space="preserve"> : arrêt de la colchicine et relais thérapeutique (corticothérapie pour crise aiguë ; allopurinol ou fébuxostat pour traitement de fond hypouricémiant — l'allopurinol et le fébuxostat sont compatibles avec l'allaitement selon le CRAT).</w:t>
      </w:r>
    </w:p>
    <w:p>
      <w:pPr>
        <w:pStyle w:val="Heading4"/>
      </w:pPr>
      <w:r>
        <w:t>8. Posologie et mode d'administration</w:t>
      </w:r>
    </w:p>
    <w:p>
      <w:r/>
      <w:r>
        <w:rPr>
          <w:b/>
        </w:rPr>
        <w:t>Posologie chez l'adulte (fonction rénale normale) :</w:t>
      </w:r>
      <w:r/>
    </w:p>
    <w:p>
      <w:pPr>
        <w:pStyle w:val="ListBullet"/>
      </w:pPr>
      <w:r/>
      <w:r>
        <w:rPr>
          <w:b/>
        </w:rPr>
        <w:t>Crise aiguë de goutte</w:t>
      </w:r>
      <w:r>
        <w:t xml:space="preserve"> (schéma « low-dose » validé par l'essai AGREE) :</w:t>
      </w:r>
    </w:p>
    <w:p>
      <w:pPr>
        <w:pStyle w:val="ListBullet"/>
      </w:pPr>
      <w:r/>
      <w:r>
        <w:rPr>
          <w:b/>
        </w:rPr>
        <w:t>J1</w:t>
      </w:r>
      <w:r>
        <w:t xml:space="preserve"> : 1,0 mg en une prise (soit 1 comprimé à 1 mg), suivi 1 heure plus tard de 0,5 mg (soit 1/2 comprimé). Dose totale J1 = 1,5 mg.</w:t>
      </w:r>
    </w:p>
    <w:p>
      <w:pPr>
        <w:pStyle w:val="ListBullet"/>
      </w:pPr>
      <w:r/>
      <w:r>
        <w:rPr>
          <w:b/>
        </w:rPr>
        <w:t>J2 à J7 (ou jusqu'à résolution)</w:t>
      </w:r>
      <w:r>
        <w:t xml:space="preserve"> : 0,5 mg 2 à 3 fois par jour, soit 1,0 à 1,5 mg/jour.</w:t>
      </w:r>
    </w:p>
    <w:p>
      <w:pPr>
        <w:pStyle w:val="ListBullet"/>
      </w:pPr>
      <w:r/>
      <w:r>
        <w:rPr>
          <w:b/>
        </w:rPr>
        <w:t>Dose maximale par cycle</w:t>
      </w:r>
      <w:r>
        <w:t xml:space="preserve"> : 6 mg.</w:t>
      </w:r>
    </w:p>
    <w:p>
      <w:pPr>
        <w:pStyle w:val="ListBullet"/>
      </w:pPr>
      <w:r/>
      <w:r>
        <w:rPr>
          <w:b/>
        </w:rPr>
        <w:t>Dose maximale par jour</w:t>
      </w:r>
      <w:r>
        <w:t xml:space="preserve"> : 1,5 mg/jour en entretien, 3 mg/jour en phase d'attaque.</w:t>
      </w:r>
    </w:p>
    <w:p>
      <w:pPr>
        <w:pStyle w:val="ListBullet"/>
      </w:pPr>
      <w:r/>
      <w:r>
        <w:rPr>
          <w:b/>
        </w:rPr>
        <w:t>Ne pas reprendre un nouveau cycle</w:t>
      </w:r>
      <w:r>
        <w:t xml:space="preserve"> avant 3 jours de wash-out.</w:t>
      </w:r>
    </w:p>
    <w:p>
      <w:pPr>
        <w:pStyle w:val="ListBullet"/>
      </w:pPr>
      <w:r/>
      <w:r>
        <w:rPr>
          <w:b/>
        </w:rPr>
        <w:t>Prophylaxie des crises d'initiation d'hypouricémiant</w:t>
      </w:r>
      <w:r>
        <w:t xml:space="preserve"> :</w:t>
      </w:r>
    </w:p>
    <w:p>
      <w:pPr>
        <w:pStyle w:val="ListBullet"/>
      </w:pPr>
      <w:r/>
      <w:r>
        <w:rPr>
          <w:b/>
        </w:rPr>
        <w:t>Dose recommandée</w:t>
      </w:r>
      <w:r>
        <w:t xml:space="preserve"> : 0,5 mg à 1 mg par jour, en une ou deux prises.</w:t>
      </w:r>
    </w:p>
    <w:p>
      <w:pPr>
        <w:pStyle w:val="ListBullet"/>
      </w:pPr>
      <w:r/>
      <w:r>
        <w:rPr>
          <w:b/>
        </w:rPr>
        <w:t>Durée</w:t>
      </w:r>
      <w:r>
        <w:t xml:space="preserve"> : 3 à 6 mois minimum, jusqu'à 12 mois en cas de tophi ou de goutte sévère.</w:t>
      </w:r>
    </w:p>
    <w:p>
      <w:pPr>
        <w:pStyle w:val="ListBullet"/>
      </w:pPr>
      <w:r/>
      <w:r>
        <w:rPr>
          <w:b/>
        </w:rPr>
        <w:t>Initiation simultanée</w:t>
      </w:r>
      <w:r>
        <w:t xml:space="preserve"> à l'hypouricémiant (allopurinol ou fébuxostat), dès le 1er jour du traitement hypouricémiant.</w:t>
      </w:r>
    </w:p>
    <w:p>
      <w:pPr>
        <w:pStyle w:val="ListBullet"/>
      </w:pPr>
      <w:r/>
      <w:r>
        <w:rPr>
          <w:b/>
        </w:rPr>
        <w:t>Prophylaxie au long cours (en association à un hypouricémiant)</w:t>
      </w:r>
      <w:r>
        <w:t xml:space="preserve"> :</w:t>
      </w:r>
    </w:p>
    <w:p>
      <w:pPr>
        <w:pStyle w:val="ListBullet"/>
      </w:pPr>
      <w:r/>
      <w:r>
        <w:rPr>
          <w:b/>
        </w:rPr>
        <w:t>Dose recommandée</w:t>
      </w:r>
      <w:r>
        <w:t xml:space="preserve"> : 0,5 mg/jour à vie, en cas de goutte tophacée ou de polyarthrite goutteuse récidivante.</w:t>
      </w:r>
    </w:p>
    <w:p>
      <w:pPr>
        <w:pStyle w:val="ListBullet"/>
      </w:pPr>
      <w:r/>
      <w:r>
        <w:rPr>
          <w:b/>
        </w:rPr>
        <w:t>Surveillance</w:t>
      </w:r>
      <w:r>
        <w:t xml:space="preserve"> : NFS plaquettaire trimestrielle, créatininémie semestrielle.</w:t>
      </w:r>
    </w:p>
    <w:p>
      <w:r/>
      <w:r>
        <w:rPr>
          <w:b/>
        </w:rPr>
        <w:t>Posologie chez le sujet âgé (&gt; 75 ans) :</w:t>
      </w:r>
      <w:r/>
    </w:p>
    <w:p>
      <w:pPr>
        <w:pStyle w:val="ListBullet"/>
      </w:pPr>
      <w:r/>
      <w:r>
        <w:rPr>
          <w:b/>
        </w:rPr>
        <w:t>Crise aiguë</w:t>
      </w:r>
      <w:r>
        <w:t xml:space="preserve"> : 0,5 mg puis 0,5 mg 6 heures plus tard, puis 0,5 mg 2 fois par jour. Dose maximale 1 mg/jour.</w:t>
      </w:r>
    </w:p>
    <w:p>
      <w:pPr>
        <w:pStyle w:val="ListBullet"/>
      </w:pPr>
      <w:r/>
      <w:r>
        <w:rPr>
          <w:b/>
        </w:rPr>
        <w:t>Prophylaxie</w:t>
      </w:r>
      <w:r>
        <w:t xml:space="preserve"> : 0,5 mg/jour, en une prise le soir.</w:t>
      </w:r>
    </w:p>
    <w:p>
      <w:r/>
      <w:r>
        <w:rPr>
          <w:b/>
        </w:rPr>
        <w:t>Posologie en cas d'insuffisance rénale :</w:t>
      </w:r>
      <w:r/>
    </w:p>
    <w:p>
      <w:pPr>
        <w:pStyle w:val="ListBullet"/>
      </w:pPr>
      <w:r/>
      <w:r>
        <w:rPr>
          <w:b/>
        </w:rPr>
        <w:t>Clairance &gt; 60 mL/min</w:t>
      </w:r>
      <w:r>
        <w:t xml:space="preserve"> : posologie standard.</w:t>
      </w:r>
    </w:p>
    <w:p>
      <w:pPr>
        <w:pStyle w:val="ListBullet"/>
      </w:pPr>
      <w:r/>
      <w:r>
        <w:rPr>
          <w:b/>
        </w:rPr>
        <w:t>Clairance 30–60 mL/min</w:t>
      </w:r>
      <w:r>
        <w:t xml:space="preserve"> : réduire la dose de moitié (0,5 mg/jour pour prophylaxie, 0,5 mg × 2/jour pour crise aiguë). Surveillance accrue.</w:t>
      </w:r>
    </w:p>
    <w:p>
      <w:pPr>
        <w:pStyle w:val="ListBullet"/>
      </w:pPr>
      <w:r/>
      <w:r>
        <w:rPr>
          <w:b/>
        </w:rPr>
        <w:t>Clairance &lt; 30 mL/min</w:t>
      </w:r>
      <w:r>
        <w:t xml:space="preserve"> : </w:t>
      </w:r>
      <w:r>
        <w:rPr>
          <w:b/>
        </w:rPr>
        <w:t>contre-indication absolue</w:t>
      </w:r>
      <w:r>
        <w:t>. Alternative : corticothérapie (prednisone 20–30 mg/jour pendant 5–7 jours).</w:t>
      </w:r>
    </w:p>
    <w:p>
      <w:r/>
      <w:r>
        <w:rPr>
          <w:b/>
        </w:rPr>
        <w:t>Posologie en cas d'insuffisance hépatique :</w:t>
      </w:r>
      <w:r/>
    </w:p>
    <w:p>
      <w:pPr>
        <w:pStyle w:val="ListBullet"/>
      </w:pPr>
      <w:r/>
      <w:r>
        <w:rPr>
          <w:b/>
        </w:rPr>
        <w:t>Cytopathie chronique modérée</w:t>
      </w:r>
      <w:r>
        <w:t xml:space="preserve"> (Child-Pugh A) : réduire la dose de moitié.</w:t>
      </w:r>
    </w:p>
    <w:p>
      <w:pPr>
        <w:pStyle w:val="ListBullet"/>
      </w:pPr>
      <w:r/>
      <w:r>
        <w:rPr>
          <w:b/>
        </w:rPr>
        <w:t>Insuffisance hépatique sévère</w:t>
      </w:r>
      <w:r>
        <w:t xml:space="preserve"> (Child-Pugh B ou C) : </w:t>
      </w:r>
      <w:r>
        <w:rPr>
          <w:b/>
        </w:rPr>
        <w:t>contre-indication absolue</w:t>
      </w:r>
      <w:r>
        <w:t>.</w:t>
      </w:r>
    </w:p>
    <w:p>
      <w:r/>
      <w:r>
        <w:rPr>
          <w:b/>
        </w:rPr>
        <w:t>Mode d'administration :</w:t>
      </w:r>
      <w:r/>
    </w:p>
    <w:p>
      <w:pPr>
        <w:pStyle w:val="ListBullet"/>
      </w:pPr>
      <w:r/>
      <w:r>
        <w:rPr>
          <w:b/>
        </w:rPr>
        <w:t>Voie orale exclusive</w:t>
      </w:r>
      <w:r>
        <w:t xml:space="preserve"> (forme injectable non disponible, et toxique par voie IV).</w:t>
      </w:r>
    </w:p>
    <w:p>
      <w:pPr>
        <w:pStyle w:val="ListBullet"/>
      </w:pPr>
      <w:r/>
      <w:r>
        <w:rPr>
          <w:b/>
        </w:rPr>
        <w:t>Pendant ou après le repas</w:t>
      </w:r>
      <w:r>
        <w:t xml:space="preserve"> : pour réduire les effets digestifs (diarrhée, nausées).</w:t>
      </w:r>
    </w:p>
    <w:p>
      <w:pPr>
        <w:pStyle w:val="ListBullet"/>
      </w:pPr>
      <w:r/>
      <w:r>
        <w:rPr>
          <w:b/>
        </w:rPr>
        <w:t>Comprimé sécable</w:t>
      </w:r>
      <w:r>
        <w:t xml:space="preserve"> : la sécabilité permet d'adapter finement la dose (0,5 mg = 1/2 comprimé). Utiliser un comprimé-cutter pour une sécabilité précise.</w:t>
      </w:r>
    </w:p>
    <w:p>
      <w:pPr>
        <w:pStyle w:val="ListBullet"/>
      </w:pPr>
      <w:r/>
      <w:r>
        <w:rPr>
          <w:b/>
        </w:rPr>
        <w:t>Horaire de prise</w:t>
      </w:r>
      <w:r>
        <w:t xml:space="preserve"> : pour la prophylaxie, prise unique le soir (efficacité maximale pendant la nuit, pic de crise goutteuse nocturne). Pour la crise aiguë, prises réparties sur la journée.</w:t>
      </w:r>
    </w:p>
    <w:p>
      <w:r/>
      <w:r>
        <w:rPr>
          <w:b/>
        </w:rPr>
        <w:t>Règles d'initiation :</w:t>
      </w:r>
      <w:r/>
    </w:p>
    <w:p>
      <w:pPr>
        <w:pStyle w:val="ListBullet"/>
      </w:pPr>
      <w:r>
        <w:t>Vérifier la fonction rénale (clairance calculée par formule CKD-EPI) et hépatique (transaminases, bilirubine) avant initiation.</w:t>
      </w:r>
    </w:p>
    <w:p>
      <w:pPr>
        <w:pStyle w:val="ListBullet"/>
      </w:pPr>
      <w:r>
        <w:t>Vérifier l'absence de traitement inhibiteur puissant du CYP3A4 ou de la P-gp.</w:t>
      </w:r>
    </w:p>
    <w:p>
      <w:pPr>
        <w:pStyle w:val="ListBullet"/>
      </w:pPr>
      <w:r>
        <w:t>Patient en âge de procréer : imposer contraception efficace.</w:t>
      </w:r>
    </w:p>
    <w:p>
      <w:pPr>
        <w:pStyle w:val="ListBullet"/>
      </w:pPr>
      <w:r>
        <w:t>Informer le patient des signes de toxicité précoce (diarrhée, vomissements, douleurs abdominales).</w:t>
      </w:r>
    </w:p>
    <w:p>
      <w:pPr>
        <w:pStyle w:val="ListBullet"/>
      </w:pPr>
      <w:r>
        <w:t>Programmer une surveillance clinique (digestive, neurologique, musculaire) et biologique (NFS plaquettaire, CPK, transaminases, créatininémie).</w:t>
      </w:r>
    </w:p>
    <w:p>
      <w:pPr>
        <w:pStyle w:val="Heading4"/>
      </w:pPr>
      <w:r>
        <w:t>9. Surveillance biologique et suivi clinique</w:t>
      </w:r>
    </w:p>
    <w:p>
      <w:r/>
      <w:r>
        <w:rPr>
          <w:b/>
        </w:rPr>
        <w:t>Bilan pré-thérapeutique (avant initiation) :</w:t>
      </w:r>
      <w:r/>
    </w:p>
    <w:p>
      <w:pPr>
        <w:pStyle w:val="ListBullet"/>
      </w:pPr>
      <w:r>
        <w:t>Créatininémie avec calcul de la clairance (formule CKD-EPI).</w:t>
      </w:r>
    </w:p>
    <w:p>
      <w:pPr>
        <w:pStyle w:val="ListBullet"/>
      </w:pPr>
      <w:r>
        <w:t>Bilan hépatique : ALAT, ASAT, γ-GT, bilirubine totale et conjuguée.</w:t>
      </w:r>
    </w:p>
    <w:p>
      <w:pPr>
        <w:pStyle w:val="ListBullet"/>
      </w:pPr>
      <w:r>
        <w:t>NFS plaquettaire complète.</w:t>
      </w:r>
    </w:p>
    <w:p>
      <w:pPr>
        <w:pStyle w:val="ListBullet"/>
      </w:pPr>
      <w:r>
        <w:t>CPK de base (en cas d'association à une statine ou un fibrate).</w:t>
      </w:r>
    </w:p>
    <w:p>
      <w:pPr>
        <w:pStyle w:val="ListBullet"/>
      </w:pPr>
      <w:r>
        <w:t>Bilan de la goutte : uricémie, créatininémie, recherche de tophi (examen clinique), radiographies des articulations atteintes.</w:t>
      </w:r>
    </w:p>
    <w:p>
      <w:pPr>
        <w:pStyle w:val="ListBullet"/>
      </w:pPr>
      <w:r>
        <w:t>Échographie rénale (recherche de lithiase uratique).</w:t>
      </w:r>
    </w:p>
    <w:p>
      <w:pPr>
        <w:pStyle w:val="ListBullet"/>
      </w:pPr>
      <w:r>
        <w:t>Test de grossesse chez la femme en âge de procréer.</w:t>
      </w:r>
    </w:p>
    <w:p>
      <w:r/>
      <w:r>
        <w:rPr>
          <w:b/>
        </w:rPr>
        <w:t>Surveillance en cours de traitement :</w:t>
      </w:r>
      <w:r/>
    </w:p>
    <w:p>
      <w:pPr>
        <w:pStyle w:val="ListBullet"/>
      </w:pPr>
      <w:r/>
      <w:r>
        <w:rPr>
          <w:b/>
        </w:rPr>
        <w:t>NFS plaquettaire</w:t>
      </w:r>
      <w:r>
        <w:t xml:space="preserve"> : à 15 jours, à 1 mois, puis mensuelle pendant 3 mois, puis trimestrielle. Arrêt si leucopénie &lt; 3 G/L, thrombocytopénie &lt; 150 G/L, ou anémie régénérative.</w:t>
      </w:r>
    </w:p>
    <w:p>
      <w:pPr>
        <w:pStyle w:val="ListBullet"/>
      </w:pPr>
      <w:r/>
      <w:r>
        <w:rPr>
          <w:b/>
        </w:rPr>
        <w:t>Créatininémie</w:t>
      </w:r>
      <w:r>
        <w:t xml:space="preserve"> : mensuelle pendant 3 mois, puis trimestrielle, puis semestrielle. Adaptation posologique si baisse de la clairance.</w:t>
      </w:r>
    </w:p>
    <w:p>
      <w:pPr>
        <w:pStyle w:val="ListBullet"/>
      </w:pPr>
      <w:r/>
      <w:r>
        <w:rPr>
          <w:b/>
        </w:rPr>
        <w:t>Bilan hépatique (ALAT, ASAT, γ-GT, bilirubine)</w:t>
      </w:r>
      <w:r>
        <w:t xml:space="preserve"> : mensuelle pendant 3 mois, puis trimestrielle.</w:t>
      </w:r>
    </w:p>
    <w:p>
      <w:pPr>
        <w:pStyle w:val="ListBullet"/>
      </w:pPr>
      <w:r/>
      <w:r>
        <w:rPr>
          <w:b/>
        </w:rPr>
        <w:t>CPK</w:t>
      </w:r>
      <w:r>
        <w:t xml:space="preserve"> : en cas de myalgies ou d'association à une statine.</w:t>
      </w:r>
    </w:p>
    <w:p>
      <w:pPr>
        <w:pStyle w:val="ListBullet"/>
      </w:pPr>
      <w:r/>
      <w:r>
        <w:rPr>
          <w:b/>
        </w:rPr>
        <w:t>Uricémie</w:t>
      </w:r>
      <w:r>
        <w:t xml:space="preserve"> : surveillance de l'efficacité de l'hypouricémiant associé (allopurinol ou fébuxostat), cible &lt; 360 µmol/L (ou &lt; 300 µmol/L si tophi).</w:t>
      </w:r>
    </w:p>
    <w:p>
      <w:r/>
      <w:r>
        <w:rPr>
          <w:b/>
        </w:rPr>
        <w:t>Surveillance clinique :</w:t>
      </w:r>
      <w:r/>
    </w:p>
    <w:p>
      <w:pPr>
        <w:pStyle w:val="ListBullet"/>
      </w:pPr>
      <w:r/>
      <w:r>
        <w:rPr>
          <w:b/>
        </w:rPr>
        <w:t>Tolérance digestive</w:t>
      </w:r>
      <w:r>
        <w:t xml:space="preserve"> : diarrhée, nausées, vomissements, douleurs abdominales. Réduction posologique si diarrhée &gt; 3 selles liquides/jour.</w:t>
      </w:r>
    </w:p>
    <w:p>
      <w:pPr>
        <w:pStyle w:val="ListBullet"/>
      </w:pPr>
      <w:r/>
      <w:r>
        <w:rPr>
          <w:b/>
        </w:rPr>
        <w:t>Tolérance musculaire</w:t>
      </w:r>
      <w:r>
        <w:t xml:space="preserve"> : myalgies, faiblesse proximale. Arrêt si rhabdomyolyse suspectée.</w:t>
      </w:r>
    </w:p>
    <w:p>
      <w:pPr>
        <w:pStyle w:val="ListBullet"/>
      </w:pPr>
      <w:r/>
      <w:r>
        <w:rPr>
          <w:b/>
        </w:rPr>
        <w:t>Tolérance cutanée</w:t>
      </w:r>
      <w:r>
        <w:t xml:space="preserve"> : éruptions. Arrêt immédiat en cas de syndrome de Lyell (décollement cutané, signe de Nikolsky positif).</w:t>
      </w:r>
    </w:p>
    <w:p>
      <w:pPr>
        <w:pStyle w:val="ListBullet"/>
      </w:pPr>
      <w:r/>
      <w:r>
        <w:rPr>
          <w:b/>
        </w:rPr>
        <w:t>Signes d'alerte de surdosage</w:t>
      </w:r>
      <w:r>
        <w:t xml:space="preserve"> : vomissements profus, diarrhée cholériforme, déshydratation, asthénie majeure, troubles de la conscience. Consultation en urgence.</w:t>
      </w:r>
    </w:p>
    <w:p>
      <w:r/>
      <w:r>
        <w:rPr>
          <w:b/>
        </w:rPr>
        <w:t>Éducation thérapeutique du patient :</w:t>
      </w:r>
      <w:r/>
    </w:p>
    <w:p>
      <w:pPr>
        <w:pStyle w:val="ListBullet"/>
      </w:pPr>
      <w:r/>
      <w:r>
        <w:rPr>
          <w:b/>
        </w:rPr>
        <w:t>Ne jamais dépasser la dose prescrite</w:t>
      </w:r>
      <w:r>
        <w:t xml:space="preserve"> : la dose toxique est proche de la dose efficace.</w:t>
      </w:r>
    </w:p>
    <w:p>
      <w:pPr>
        <w:pStyle w:val="ListBullet"/>
      </w:pPr>
      <w:r/>
      <w:r>
        <w:rPr>
          <w:b/>
        </w:rPr>
        <w:t>Respecter les horaires de prise</w:t>
      </w:r>
      <w:r>
        <w:t xml:space="preserve"> : pour la prophylaxie, prise unique le soir à heure fixe.</w:t>
      </w:r>
    </w:p>
    <w:p>
      <w:pPr>
        <w:pStyle w:val="ListBullet"/>
      </w:pPr>
      <w:r/>
      <w:r>
        <w:rPr>
          <w:b/>
        </w:rPr>
        <w:t>Signes de toxicité à connaître</w:t>
      </w:r>
      <w:r>
        <w:t xml:space="preserve"> : diarrhée profuse, vomissements, douleurs abdominales violentes, asthénie, fièvre, éruptions cutanées. Consulter en urgence.</w:t>
      </w:r>
    </w:p>
    <w:p>
      <w:pPr>
        <w:pStyle w:val="ListBullet"/>
      </w:pPr>
      <w:r/>
      <w:r>
        <w:rPr>
          <w:b/>
        </w:rPr>
        <w:t>Hydratation abondante</w:t>
      </w:r>
      <w:r>
        <w:t xml:space="preserve"> : ≥ 2 L/jour d'eau (idéalement riche en bicarbonate).</w:t>
      </w:r>
    </w:p>
    <w:p>
      <w:pPr>
        <w:pStyle w:val="ListBullet"/>
      </w:pPr>
      <w:r/>
      <w:r>
        <w:rPr>
          <w:b/>
        </w:rPr>
        <w:t>Régime pauvre en purines</w:t>
      </w:r>
      <w:r>
        <w:t xml:space="preserve"> : éviter abats, viandes rouges, fruits de mer, anchois, sardines, hareng, bière (même sans alcool), alcool fort.</w:t>
      </w:r>
    </w:p>
    <w:p>
      <w:pPr>
        <w:pStyle w:val="ListBullet"/>
      </w:pPr>
      <w:r/>
      <w:r>
        <w:rPr>
          <w:b/>
        </w:rPr>
        <w:t>Poids et activité physique</w:t>
      </w:r>
      <w:r>
        <w:t xml:space="preserve"> : perte de poids si surcharge pondérale, activité physique régulière douce (marche, natation).</w:t>
      </w:r>
    </w:p>
    <w:p>
      <w:pPr>
        <w:pStyle w:val="ListBullet"/>
      </w:pPr>
      <w:r/>
      <w:r>
        <w:rPr>
          <w:b/>
        </w:rPr>
        <w:t>Surveillance de la goutte</w:t>
      </w:r>
      <w:r>
        <w:t xml:space="preserve"> : journal des crises (date, articulation, intensité, facteurs déclenchants). Consultation rhumatologique semestrielle.</w:t>
      </w:r>
    </w:p>
    <w:p>
      <w:pPr>
        <w:pStyle w:val="ListBullet"/>
      </w:pPr>
      <w:r/>
      <w:r>
        <w:rPr>
          <w:b/>
        </w:rPr>
        <w:t>Ne pas arrêter le traitement prophylactique</w:t>
      </w:r>
      <w:r>
        <w:t xml:space="preserve"> sans avis médical, même en l'absence de crise.</w:t>
      </w:r>
    </w:p>
    <w:p>
      <w:pPr>
        <w:pStyle w:val="Heading4"/>
      </w:pPr>
      <w:r>
        <w:t>10. Arbitrage et bénéfices des formes galéniques</w:t>
      </w:r>
    </w:p>
    <w:p>
      <w:r>
        <w:t>La colchicine est disponible en Algérie exclusivement sous forme orale (comprimé sécable 1 mg). Cette unicité galénique simplifie l'arsenal thérapeutique mais pose certains problèmes pratiques :</w:t>
      </w:r>
    </w:p>
    <w:p>
      <w:r/>
      <w:r>
        <w:rPr>
          <w:b/>
        </w:rPr>
        <w:t>Avantages de la forme comprimé sécable 1 mg :</w:t>
      </w:r>
      <w:r/>
    </w:p>
    <w:p>
      <w:pPr>
        <w:pStyle w:val="ListBullet"/>
      </w:pPr>
      <w:r/>
      <w:r>
        <w:rPr>
          <w:b/>
        </w:rPr>
        <w:t>Sécabilité précise</w:t>
      </w:r>
      <w:r>
        <w:t xml:space="preserve"> : permet l'adaptation posologique à 0,5 mg (1/2 comprimé), posologie la plus usuelle en prophylaxie.</w:t>
      </w:r>
    </w:p>
    <w:p>
      <w:pPr>
        <w:pStyle w:val="ListBullet"/>
      </w:pPr>
      <w:r/>
      <w:r>
        <w:rPr>
          <w:b/>
        </w:rPr>
        <w:t>Stabilité galénique</w:t>
      </w:r>
      <w:r>
        <w:t xml:space="preserve"> : la colchicine est stable en comprimé à température ambiante pendant 3 ans.</w:t>
      </w:r>
    </w:p>
    <w:p>
      <w:pPr>
        <w:pStyle w:val="ListBullet"/>
      </w:pPr>
      <w:r/>
      <w:r>
        <w:rPr>
          <w:b/>
        </w:rPr>
        <w:t>Coût modéré</w:t>
      </w:r>
      <w:r>
        <w:t xml:space="preserve"> : la colchicine est l'un des anti-goutteux les moins coûteux (≈ 200–400 DA la boîte de 20 comprimés selon la spécialité).</w:t>
      </w:r>
    </w:p>
    <w:p>
      <w:pPr>
        <w:pStyle w:val="ListBullet"/>
      </w:pPr>
      <w:r/>
      <w:r>
        <w:rPr>
          <w:b/>
        </w:rPr>
        <w:t>Disponibilité large</w:t>
      </w:r>
      <w:r>
        <w:t xml:space="preserve"> : les trois spécialités sont disponibles en officine de ville et en pharmacie hospitalière.</w:t>
      </w:r>
    </w:p>
    <w:p>
      <w:pPr>
        <w:pStyle w:val="ListBullet"/>
      </w:pPr>
      <w:r/>
      <w:r>
        <w:rPr>
          <w:b/>
        </w:rPr>
        <w:t>Simplicité d'administration</w:t>
      </w:r>
      <w:r>
        <w:t xml:space="preserve"> : voie orale, prises espacées, pas d'injection.</w:t>
      </w:r>
    </w:p>
    <w:p>
      <w:r/>
      <w:r>
        <w:rPr>
          <w:b/>
        </w:rPr>
        <w:t>Inconvénients de la forme comprimé sécable 1 mg :</w:t>
      </w:r>
      <w:r/>
    </w:p>
    <w:p>
      <w:pPr>
        <w:pStyle w:val="ListBullet"/>
      </w:pPr>
      <w:r/>
      <w:r>
        <w:rPr>
          <w:b/>
        </w:rPr>
        <w:t>Absence de forme à 0,5 mg</w:t>
      </w:r>
      <w:r>
        <w:t xml:space="preserve"> : la demi-dose nécessite de couper le comprimé, ce qui peut être difficile chez le sujet âgé (moteur, vision), et expose à une imprécision de dose.</w:t>
      </w:r>
    </w:p>
    <w:p>
      <w:pPr>
        <w:pStyle w:val="ListBullet"/>
      </w:pPr>
      <w:r/>
      <w:r>
        <w:rPr>
          <w:b/>
        </w:rPr>
        <w:t>Absence de forme pédiatrique</w:t>
      </w:r>
      <w:r>
        <w:t xml:space="preserve"> : la colchicine en sirop ou en solution buvable n'est pas disponible en Algérie (l'AMM française comporte une forme en sirop pour la FMF pédiatrique, mais elle n'est pas commercialisée). En cas de nécessité pédiatrique, utilisation de la forme comprimé écrasée et diluée, en milieu spécialisé.</w:t>
      </w:r>
    </w:p>
    <w:p>
      <w:pPr>
        <w:pStyle w:val="ListBullet"/>
      </w:pPr>
      <w:r/>
      <w:r>
        <w:rPr>
          <w:b/>
        </w:rPr>
        <w:t>Absence de forme injectable</w:t>
      </w:r>
      <w:r>
        <w:t xml:space="preserve"> : la colchicine par voie IV n'est pas disponible (et est très toxique par voie systémique). En cas de vomissements empêchant la voie orale, alternative : corticothérapie IV ou intra-articulaire.</w:t>
      </w:r>
    </w:p>
    <w:p>
      <w:pPr>
        <w:pStyle w:val="ListBullet"/>
      </w:pPr>
      <w:r/>
      <w:r>
        <w:rPr>
          <w:b/>
        </w:rPr>
        <w:t>Sécabilité imparfaite</w:t>
      </w:r>
      <w:r>
        <w:t xml:space="preserve"> selon les fabricants : certains comprimés sont plus difficiles à couper (dureté, enrobage). Vérifier la qualité de la sécabilité à la dispensation.</w:t>
      </w:r>
    </w:p>
    <w:p>
      <w:pPr>
        <w:pStyle w:val="ListBullet"/>
      </w:pPr>
      <w:r/>
      <w:r>
        <w:rPr>
          <w:b/>
        </w:rPr>
        <w:t>Pas de différence pharmacocinétique entre les 3 spécialités</w:t>
      </w:r>
      <w:r>
        <w:t xml:space="preserve"> : la colchicine cristallisée (COLCHIMED, COLCHIMEX) et la colchicine Opocalcium ont une biodisponibilité équivalente. Le choix entre les trois spécialités se fait sur la disponibilité et le coût.</w:t>
      </w:r>
    </w:p>
    <w:p>
      <w:r/>
      <w:r>
        <w:rPr>
          <w:b/>
        </w:rPr>
        <w:t>Arbitrage thérapeutique en officine :</w:t>
      </w:r>
      <w:r/>
    </w:p>
    <w:p>
      <w:pPr>
        <w:pStyle w:val="ListBullet"/>
      </w:pPr>
      <w:r/>
      <w:r>
        <w:rPr>
          <w:b/>
        </w:rPr>
        <w:t>Crise aiguë de goutte</w:t>
      </w:r>
      <w:r>
        <w:t xml:space="preserve"> : colchicine en première intention, sauf contre-indication (insuffisance rénale sévère, interaction médicamenteuse). Alternative : AINS (ibuprofène 400 mg × 3/jour, naproxène 500 mg × 2/jour) ou corticothérapie (prednisone 30 mg/jour pendant 5 jours).</w:t>
      </w:r>
    </w:p>
    <w:p>
      <w:pPr>
        <w:pStyle w:val="ListBullet"/>
      </w:pPr>
      <w:r/>
      <w:r>
        <w:rPr>
          <w:b/>
        </w:rPr>
        <w:t>Prophylaxie des crises d'initiation d'hypouricémiant</w:t>
      </w:r>
      <w:r>
        <w:t xml:space="preserve"> : colchicine 0,5–1 mg/jour en première intention. Alternative en cas de contre-indication à la colchicine : AINS à faible dose (naproxène 250 mg × 2/jour) pendant 3 à 6 mois.</w:t>
      </w:r>
    </w:p>
    <w:p>
      <w:pPr>
        <w:pStyle w:val="ListBullet"/>
      </w:pPr>
      <w:r/>
      <w:r>
        <w:rPr>
          <w:b/>
        </w:rPr>
        <w:t>Insuffisance rénale modérée</w:t>
      </w:r>
      <w:r>
        <w:t xml:space="preserve"> : colchicine à dose réduite (0,5 mg/jour) en alternative à la corticothérapie orale.</w:t>
      </w:r>
    </w:p>
    <w:p>
      <w:pPr>
        <w:pStyle w:val="ListBullet"/>
      </w:pPr>
      <w:r/>
      <w:r>
        <w:rPr>
          <w:b/>
        </w:rPr>
        <w:t>Insuffisance rénale sévère</w:t>
      </w:r>
      <w:r>
        <w:t xml:space="preserve"> : corticothérapie orale (prednisone 20–30 mg/jour pendant 5–7 jours) ou injection intra-articulaire de corticoïde.</w:t>
      </w:r>
    </w:p>
    <w:p>
      <w:pPr>
        <w:pStyle w:val="ListBullet"/>
      </w:pPr>
      <w:r/>
      <w:r>
        <w:rPr>
          <w:b/>
        </w:rPr>
        <w:t>Sujet âgé polymédicamenté</w:t>
      </w:r>
      <w:r>
        <w:t xml:space="preserve"> : corticothérapie orale courte en première intention (en raison de la fréquence des interactions médicamenteuses de la colchicine).</w:t>
      </w:r>
    </w:p>
    <w:p>
      <w:pPr>
        <w:pStyle w:val="Heading4"/>
      </w:pPr>
      <w:r>
        <w:t>11. Instructions et conseils au patient</w:t>
      </w:r>
    </w:p>
    <w:p>
      <w:r/>
      <w:r>
        <w:rPr>
          <w:b/>
        </w:rPr>
        <w:t>Conseils au comptoir (pharmacien d'officine) :</w:t>
      </w:r>
      <w:r/>
    </w:p>
    <w:p>
      <w:pPr>
        <w:pStyle w:val="ListNumber"/>
      </w:pPr>
      <w:r/>
      <w:r>
        <w:rPr>
          <w:b/>
        </w:rPr>
        <w:t>Respect strict de la prescription</w:t>
      </w:r>
      <w:r>
        <w:t xml:space="preserve"> : ne jamais dépasser la dose prescrite ni la fréquence des prises. La colchicine a un index thérapeutique étroit : la dose toxique est proche de la dose efficace.</w:t>
      </w:r>
    </w:p>
    <w:p>
      <w:pPr>
        <w:pStyle w:val="ListNumber"/>
      </w:pPr>
      <w:r/>
      <w:r>
        <w:rPr>
          <w:b/>
        </w:rPr>
        <w:t>Mode de prise</w:t>
      </w:r>
      <w:r>
        <w:t xml:space="preserve"> : pendant ou après le repas, avec un grand verre d'eau. Pour la prophylaxie, prise unique le soir à heure fixe.</w:t>
      </w:r>
    </w:p>
    <w:p>
      <w:pPr>
        <w:pStyle w:val="ListNumber"/>
      </w:pPr>
      <w:r/>
      <w:r>
        <w:rPr>
          <w:b/>
        </w:rPr>
        <w:t>Sécabilité</w:t>
      </w:r>
      <w:r>
        <w:t xml:space="preserve"> : couper le comprimé en deux avec un comprimé-cutter pour obtenir la dose de 0,5 mg. Ne pas écraser ni croquer le comprimé (goût très amer).</w:t>
      </w:r>
    </w:p>
    <w:p>
      <w:pPr>
        <w:pStyle w:val="ListNumber"/>
      </w:pPr>
      <w:r/>
      <w:r>
        <w:rPr>
          <w:b/>
        </w:rPr>
        <w:t>Signes d'alerte à connaître</w:t>
      </w:r>
      <w:r>
        <w:t xml:space="preserve"> :</w:t>
      </w:r>
    </w:p>
    <w:p>
      <w:pPr>
        <w:pStyle w:val="ListBullet"/>
      </w:pPr>
      <w:r>
        <w:t>Diarrhée profuse (≥ 3 selles liquides/jour)</w:t>
      </w:r>
    </w:p>
    <w:p>
      <w:pPr>
        <w:pStyle w:val="ListBullet"/>
      </w:pPr>
      <w:r>
        <w:t>Vomissements répétés</w:t>
      </w:r>
    </w:p>
    <w:p>
      <w:pPr>
        <w:pStyle w:val="ListBullet"/>
      </w:pPr>
      <w:r>
        <w:t>Douleurs abdominales violentes</w:t>
      </w:r>
    </w:p>
    <w:p>
      <w:pPr>
        <w:pStyle w:val="ListBullet"/>
      </w:pPr>
      <w:r>
        <w:t>Asthénie majeure, faiblesse musculaire</w:t>
      </w:r>
    </w:p>
    <w:p>
      <w:pPr>
        <w:pStyle w:val="ListBullet"/>
      </w:pPr>
      <w:r>
        <w:t>Éruptions cutanées étendues</w:t>
      </w:r>
    </w:p>
    <w:p>
      <w:pPr>
        <w:pStyle w:val="ListBullet"/>
      </w:pPr>
      <w:r>
        <w:t>Fièvre inexpliquée</w:t>
      </w:r>
    </w:p>
    <w:p>
      <w:pPr>
        <w:pStyle w:val="ListBullet"/>
      </w:pPr>
      <w:r>
        <w:t>Saignement, ecchymoses spontanées</w:t>
      </w:r>
    </w:p>
    <w:p>
      <w:r>
        <w:t xml:space="preserve">   → Consulter en urgence ou appeler le 15 (SAMU).</w:t>
      </w:r>
    </w:p>
    <w:p>
      <w:pPr>
        <w:pStyle w:val="ListNumber"/>
      </w:pPr>
      <w:r/>
      <w:r>
        <w:rPr>
          <w:b/>
        </w:rPr>
        <w:t>Hydratation</w:t>
      </w:r>
      <w:r>
        <w:t xml:space="preserve"> : boire au moins 2 litres d'eau par jour, idéalement de l'eau riche en bicarbonate (Vichy Célestins, St-Yorre, Hawaï). Alcalinisation des urines (pH urinaire ≥ 6,5) prévient la lithiase urique.</w:t>
      </w:r>
    </w:p>
    <w:p>
      <w:pPr>
        <w:pStyle w:val="ListNumber"/>
      </w:pPr>
      <w:r/>
      <w:r>
        <w:rPr>
          <w:b/>
        </w:rPr>
        <w:t>Régime alimentaire</w:t>
      </w:r>
      <w:r>
        <w:t xml:space="preserve"> :</w:t>
      </w:r>
    </w:p>
    <w:p>
      <w:pPr>
        <w:pStyle w:val="ListBullet"/>
      </w:pPr>
      <w:r>
        <w:t>À éviter : abats (foie, rognons, ris de veau, cœur), viandes rouges en excès, fruits de mer, anchois, sardines, hareng, maquereau, levure de bière, bière (même sans alcool), alcool fort.</w:t>
      </w:r>
    </w:p>
    <w:p>
      <w:pPr>
        <w:pStyle w:val="ListBullet"/>
      </w:pPr>
      <w:r>
        <w:t>À privilégier : laitages, œufs, fruits, légumes, céréales, légumineuses, café (effet uricosurique modeste), vitamine C (1 g/jour maximum).</w:t>
      </w:r>
    </w:p>
    <w:p>
      <w:pPr>
        <w:pStyle w:val="ListBullet"/>
      </w:pPr>
      <w:r>
        <w:t>Perte de poids si surcharge pondérale.</w:t>
      </w:r>
    </w:p>
    <w:p>
      <w:pPr>
        <w:pStyle w:val="ListNumber"/>
      </w:pPr>
      <w:r/>
      <w:r>
        <w:rPr>
          <w:b/>
        </w:rPr>
        <w:t>Activité physique</w:t>
      </w:r>
      <w:r>
        <w:t xml:space="preserve"> : activité douce régulière (marche 30 min/jour, natation, vélo). Éviter les efforts violents (favorisent les crises).</w:t>
      </w:r>
    </w:p>
    <w:p>
      <w:pPr>
        <w:pStyle w:val="ListNumber"/>
      </w:pPr>
      <w:r/>
      <w:r>
        <w:rPr>
          <w:b/>
        </w:rPr>
        <w:t>Pas d'arrêt intempestif</w:t>
      </w:r>
      <w:r>
        <w:t xml:space="preserve"> : le traitement prophylactique se prend tous les jours, même en l'absence de crise. Ne pas arrêter sans avis médical.</w:t>
      </w:r>
    </w:p>
    <w:p>
      <w:pPr>
        <w:pStyle w:val="ListNumber"/>
      </w:pPr>
      <w:r/>
      <w:r>
        <w:rPr>
          <w:b/>
        </w:rPr>
        <w:t>Surveillance de la goutte</w:t>
      </w:r>
      <w:r>
        <w:t xml:space="preserve"> : tenir un journal des crises (date, articulation, intensité, facteurs déclenchants).</w:t>
      </w:r>
    </w:p>
    <w:p>
      <w:pPr>
        <w:pStyle w:val="ListNumber"/>
      </w:pPr>
      <w:r/>
      <w:r>
        <w:rPr>
          <w:b/>
        </w:rPr>
        <w:t>Femmes en âge de procréer</w:t>
      </w:r>
      <w:r>
        <w:t xml:space="preserve"> : imposer une contraception efficace. En cas de désir de grossesse, consulter le médecin pour arrêt préalable.</w:t>
      </w:r>
    </w:p>
    <w:p>
      <w:pPr>
        <w:pStyle w:val="ListNumber"/>
      </w:pPr>
      <w:r/>
      <w:r>
        <w:rPr>
          <w:b/>
        </w:rPr>
        <w:t>Interactions médicamenteuses</w:t>
      </w:r>
      <w:r>
        <w:t xml:space="preserve"> : informer le patient qu'il doit signaler à tout médecin, pharmacien, ou dentiste la prise de colchicine. En particulier, certains antibiotiques (macrolides sauf azithromycine et spiramycine) et antifongiques sont à proscrire.</w:t>
      </w:r>
    </w:p>
    <w:p>
      <w:pPr>
        <w:pStyle w:val="ListNumber"/>
      </w:pPr>
      <w:r/>
      <w:r>
        <w:rPr>
          <w:b/>
        </w:rPr>
        <w:t>Stockage</w:t>
      </w:r>
      <w:r>
        <w:t xml:space="preserve"> : conserver les comprimés hors de portée des enfants, à température ≤ 25 °C, à l'abri de l'humidité et de la lumière. Le surdosage intentionnel (tentative de suicide) par colchicine est gravissime et potentiellement mortel à des doses faibles.</w:t>
      </w:r>
    </w:p>
    <w:p>
      <w:pPr>
        <w:pStyle w:val="ListNumber"/>
      </w:pPr>
      <w:r/>
      <w:r>
        <w:rPr>
          <w:b/>
        </w:rPr>
        <w:t>Traitement concomitant</w:t>
      </w:r>
      <w:r>
        <w:t xml:space="preserve"> : la colchicine se prend en association à un hypouricémiant (allopurinol ou fébuxostat). La colchicine prévient les crises d'initiation, l'hypouricémiant traite la cause biochimique de la goutte. Les deux traitements sont complémentaires et doivent être poursuivis simultanément.</w:t>
      </w:r>
    </w:p>
    <w:p>
      <w:pPr>
        <w:pStyle w:val="ListNumber"/>
      </w:pPr>
      <w:r/>
      <w:r>
        <w:rPr>
          <w:b/>
        </w:rPr>
        <w:t>Numéros d'urgence</w:t>
      </w:r>
      <w:r>
        <w:t xml:space="preserve"> : donner au patient le numéro du centre antipoison régional et du SAMU (15 ou 116).</w:t>
      </w:r>
    </w:p>
    <w:p>
      <w:pPr>
        <w:pStyle w:val="Heading4"/>
      </w:pPr>
      <w:r>
        <w:t>12. Notes — Règles d'or et pièges au comptoir</w:t>
      </w:r>
    </w:p>
    <w:p>
      <w:r/>
      <w:r>
        <w:rPr>
          <w:b/>
        </w:rPr>
        <w:t>Règles d'or :</w:t>
      </w:r>
      <w:r/>
    </w:p>
    <w:p>
      <w:pPr>
        <w:pStyle w:val="ListNumber"/>
      </w:pPr>
      <w:r/>
      <w:r>
        <w:rPr>
          <w:b/>
        </w:rPr>
        <w:t>Toujours vérifier la fonction rénale</w:t>
      </w:r>
      <w:r>
        <w:t xml:space="preserve"> avant dispensation de colchicine : un patient insuffisant rénal (clairance &lt; 30 mL/min) ne doit pas recevoir de colchicine. Contacter le médecin si le dossier n'est pas renseigné.</w:t>
      </w:r>
    </w:p>
    <w:p>
      <w:pPr>
        <w:pStyle w:val="ListNumber"/>
      </w:pPr>
      <w:r/>
      <w:r>
        <w:rPr>
          <w:b/>
        </w:rPr>
        <w:t>Toujours vérifier l'absence d'interaction médicamenteuse majeure</w:t>
      </w:r>
      <w:r>
        <w:t xml:space="preserve"> : tout patient sous clarithromycine, itraconazole, ciclosporine, tacrolimus, vérapamil, amiodarone, ou antiprotéase ne doit pas recevoir de colchicine à dose thérapeutique (réduction drastique à 0,5 mg/jour maximum, voire arrêt temporaire). Contacter le médecin.</w:t>
      </w:r>
    </w:p>
    <w:p>
      <w:pPr>
        <w:pStyle w:val="ListNumber"/>
      </w:pPr>
      <w:r/>
      <w:r>
        <w:rPr>
          <w:b/>
        </w:rPr>
        <w:t>Toujours vérifier l'absence de grossesse</w:t>
      </w:r>
      <w:r>
        <w:t xml:space="preserve"> chez la femme en âge de procréer. Si grossesse : refus de dispensation, orientation vers le médecin pour relais par corticothérapie.</w:t>
      </w:r>
    </w:p>
    <w:p>
      <w:pPr>
        <w:pStyle w:val="ListNumber"/>
      </w:pPr>
      <w:r/>
      <w:r>
        <w:rPr>
          <w:b/>
        </w:rPr>
        <w:t>Toujours vérifier l'absence d'allaitement</w:t>
      </w:r>
      <w:r>
        <w:t xml:space="preserve"> chez la femme qui allaite. Si allaitement : refus de dispensation, orientation vers le médecin pour relais par allopurinol ou fébuxostat (compatibles avec l'allaitement).</w:t>
      </w:r>
    </w:p>
    <w:p>
      <w:pPr>
        <w:pStyle w:val="ListNumber"/>
      </w:pPr>
      <w:r/>
      <w:r>
        <w:rPr>
          <w:b/>
        </w:rPr>
        <w:t>Toujours dispenser la colchicine en association à l'hypouricémiant prescrit</w:t>
      </w:r>
      <w:r>
        <w:t xml:space="preserve"> (allopurinol ou fébuxostat), et non en monothérapie (sauf en cas de crise aiguë isolée). La monothérapie par colchicine au long cours, sans hypouricémiant, est un échec thérapeutique (la cause de la goutte n'est pas traitée).</w:t>
      </w:r>
    </w:p>
    <w:p>
      <w:pPr>
        <w:pStyle w:val="ListNumber"/>
      </w:pPr>
      <w:r/>
      <w:r>
        <w:rPr>
          <w:b/>
        </w:rPr>
        <w:t>Toujours informer le patient de la toxicité potentielle</w:t>
      </w:r>
      <w:r>
        <w:t xml:space="preserve"> : diarrhée profuse, vomissements, déshydratation = signes d'alerte de surdosage. Consulter en urgence.</w:t>
      </w:r>
    </w:p>
    <w:p>
      <w:pPr>
        <w:pStyle w:val="ListNumber"/>
      </w:pPr>
      <w:r/>
      <w:r>
        <w:rPr>
          <w:b/>
        </w:rPr>
        <w:t>Toujours programmer une surveillance biologique</w:t>
      </w:r>
      <w:r>
        <w:t xml:space="preserve"> : NFS plaquettaire, créatininémie, transaminases. Rappeler au patient les dates de contrôle.</w:t>
      </w:r>
    </w:p>
    <w:p>
      <w:pPr>
        <w:pStyle w:val="ListNumber"/>
      </w:pPr>
      <w:r/>
      <w:r>
        <w:rPr>
          <w:b/>
        </w:rPr>
        <w:t>Toujours vérifier la sécabilité du comprimé</w:t>
      </w:r>
      <w:r>
        <w:t xml:space="preserve"> avant dispensation. Proposer un comprimé-cutter si le patient ne possède pas.</w:t>
      </w:r>
    </w:p>
    <w:p>
      <w:pPr>
        <w:pStyle w:val="ListNumber"/>
      </w:pPr>
      <w:r/>
      <w:r>
        <w:rPr>
          <w:b/>
        </w:rPr>
        <w:t>Toujours remettre une fiche d'information patient</w:t>
      </w:r>
      <w:r>
        <w:t xml:space="preserve"> récapitulant les conseils diététiques, l'hydratation, les signes d'alerte, et les numéros d'urgence.</w:t>
      </w:r>
    </w:p>
    <w:p>
      <w:pPr>
        <w:pStyle w:val="ListNumber"/>
      </w:pPr>
      <w:r/>
      <w:r>
        <w:rPr>
          <w:b/>
        </w:rPr>
        <w:t>Toujours tracer la dispensation</w:t>
      </w:r>
      <w:r>
        <w:t xml:space="preserve"> (ordonnance scannée et archivée, registre des médicaments Liste I à jour).</w:t>
      </w:r>
    </w:p>
    <w:p>
      <w:r/>
      <w:r>
        <w:rPr>
          <w:b/>
        </w:rPr>
        <w:t>Pièges au comptoir :</w:t>
      </w:r>
      <w:r/>
    </w:p>
    <w:p>
      <w:pPr>
        <w:pStyle w:val="ListNumber"/>
      </w:pPr>
      <w:r/>
      <w:r>
        <w:rPr>
          <w:b/>
        </w:rPr>
        <w:t>Patient revenant de l'étranger avec une ordonnance de colchicine à dose « historique » (4–6 mg/jour)</w:t>
      </w:r>
      <w:r>
        <w:t xml:space="preserve"> : ces doses sont obsolètes et toxiques. Contacter le médecin algérien pour adapter à la posologie « low-dose » recommandée (1,5 mg à J1, puis 0,5 mg × 2/jour).</w:t>
      </w:r>
    </w:p>
    <w:p>
      <w:pPr>
        <w:pStyle w:val="ListNumber"/>
      </w:pPr>
      <w:r/>
      <w:r>
        <w:rPr>
          <w:b/>
        </w:rPr>
        <w:t>Patient sous statine</w:t>
      </w:r>
      <w:r>
        <w:t xml:space="preserve"> (particulièrement simvastatine à forte dose) : risque accru de myopathie et de rhabdomyolyse. Contacter le médecin pour envisager un relais par rosuvastatine ou pravastatine (moins d'interaction), ou une réduction de dose.</w:t>
      </w:r>
    </w:p>
    <w:p>
      <w:pPr>
        <w:pStyle w:val="ListNumber"/>
      </w:pPr>
      <w:r/>
      <w:r>
        <w:rPr>
          <w:b/>
        </w:rPr>
        <w:t>Patient âgé polymédicamenté</w:t>
      </w:r>
      <w:r>
        <w:t xml:space="preserve"> : vérifier systématiquement l'ordonnance complète. En cas de prescription simultanée de clarithromycine, itraconazole, ciclosporine, vérapamil, ou autre inhibiteur puissant du CYP3A4 ou de la P-gp, refuser la dispensation et contacter le médecin pour révision thérapeutique.</w:t>
      </w:r>
    </w:p>
    <w:p>
      <w:pPr>
        <w:pStyle w:val="ListNumber"/>
      </w:pPr>
      <w:r/>
      <w:r>
        <w:rPr>
          <w:b/>
        </w:rPr>
        <w:t>Patient insuffisant rénal modéré (clairance 30–60 mL/min) avec dose standard prescrite</w:t>
      </w:r>
      <w:r>
        <w:t xml:space="preserve"> : contacter le médecin pour adapter la dose à 50 % de la dose standard.</w:t>
      </w:r>
    </w:p>
    <w:p>
      <w:pPr>
        <w:pStyle w:val="ListNumber"/>
      </w:pPr>
      <w:r/>
      <w:r>
        <w:rPr>
          <w:b/>
        </w:rPr>
        <w:t>Patiente enceinte ou allaitante</w:t>
      </w:r>
      <w:r>
        <w:t xml:space="preserve"> : refus de dispensation. Orientation vers le médecin pour relais par corticothérapie (grossesse) ou allopurinol/fébuxostat (allaitement).</w:t>
      </w:r>
    </w:p>
    <w:p>
      <w:pPr>
        <w:pStyle w:val="ListNumber"/>
      </w:pPr>
      <w:r/>
      <w:r>
        <w:rPr>
          <w:b/>
        </w:rPr>
        <w:t>Patient avec diarrhée sévère sous colchicine</w:t>
      </w:r>
      <w:r>
        <w:t xml:space="preserve"> : arrêt immédiat, réhydratation, contrôle de l'ionogramme et de la créatininémie. Contact médical urgent.</w:t>
      </w:r>
    </w:p>
    <w:p>
      <w:pPr>
        <w:pStyle w:val="ListNumber"/>
      </w:pPr>
      <w:r/>
      <w:r>
        <w:rPr>
          <w:b/>
        </w:rPr>
        <w:t>Patient avec syndrome de Lyell suspecté</w:t>
      </w:r>
      <w:r>
        <w:t xml:space="preserve"> (éruption bulleuse, décollement cutané, signe de Nikolsky) : arrêt immédiat, hospitalisation en urgence en service de réanimation dermatologique.</w:t>
      </w:r>
    </w:p>
    <w:p>
      <w:pPr>
        <w:pStyle w:val="ListNumber"/>
      </w:pPr>
      <w:r/>
      <w:r>
        <w:rPr>
          <w:b/>
        </w:rPr>
        <w:t>Automédication</w:t>
      </w:r>
      <w:r>
        <w:t xml:space="preserve"> : refus strict de dispensation sans ordonnance. La colchicine est un médicament Liste I, à index thérapeutique étroit, et ne peut être délivrée sans prescription médicale.</w:t>
      </w:r>
    </w:p>
    <w:p>
      <w:pPr>
        <w:pStyle w:val="ListNumber"/>
      </w:pPr>
      <w:r/>
      <w:r>
        <w:rPr>
          <w:b/>
        </w:rPr>
        <w:t>Confusion entre colchicine et autres anti-goutteux</w:t>
      </w:r>
      <w:r>
        <w:t xml:space="preserve"> : la colchicine n'est PAS un hypouricémiant. Elle ne traite pas la cause de la goutte. Elle traite uniquement la crise et prévient les crises d'initiation d'hypouricémiant.</w:t>
      </w:r>
    </w:p>
    <w:p>
      <w:pPr>
        <w:pStyle w:val="ListNumber"/>
      </w:pPr>
      <w:r/>
      <w:r>
        <w:rPr>
          <w:b/>
        </w:rPr>
        <w:t>Patient demandant de la colchicine « pour les crises » sans traitement de fond hypouricémiant</w:t>
      </w:r>
      <w:r>
        <w:t xml:space="preserve"> : alerter le patient et le médecin sur la nécessité d'un traitement hypouricémiant au long cours (allopurinol ou fébuxostat) pour traiter la maladie dans sa globalité.</w:t>
      </w:r>
    </w:p>
    <w:p>
      <w:pPr>
        <w:pStyle w:val="Heading3"/>
      </w:pPr>
      <w:r>
        <w:t>154.5.2. Allopurinol (usage rhumatologique)</w:t>
      </w:r>
    </w:p>
    <w:p>
      <w:pPr>
        <w:pStyle w:val="Heading4"/>
      </w:pPr>
      <w:r>
        <w:t>1. Liste catégories pharmaco-thérapeutiques</w:t>
      </w:r>
    </w:p>
    <w:tbl>
      <w:tblPr>
        <w:tblStyle w:val="LightGrid-Accent1"/>
        <w:tblW w:type="auto" w:w="0"/>
        <w:tblLook w:firstColumn="1" w:firstRow="1" w:lastColumn="0" w:lastRow="0" w:noHBand="0" w:noVBand="1" w:val="04A0"/>
      </w:tblPr>
      <w:tblGrid>
        <w:gridCol w:w="4677"/>
        <w:gridCol w:w="4677"/>
      </w:tblGrid>
      <w:tr>
        <w:tc>
          <w:tcPr>
            <w:tcW w:type="dxa" w:w="4677"/>
          </w:tcPr>
          <w:p>
            <w:r>
              <w:rPr>
                <w:b/>
                <w:sz w:val="20"/>
              </w:rPr>
              <w:t>Catégorie</w:t>
            </w:r>
          </w:p>
        </w:tc>
        <w:tc>
          <w:tcPr>
            <w:tcW w:type="dxa" w:w="4677"/>
          </w:tcPr>
          <w:p>
            <w:r>
              <w:rPr>
                <w:b/>
                <w:sz w:val="20"/>
              </w:rPr>
              <w:t>Détail</w:t>
            </w:r>
          </w:p>
        </w:tc>
      </w:tr>
      <w:tr>
        <w:tc>
          <w:tcPr>
            <w:tcW w:type="dxa" w:w="4677"/>
          </w:tcPr>
          <w:p>
            <w:r>
              <w:rPr>
                <w:sz w:val="20"/>
              </w:rPr>
              <w:t>Classe ATC</w:t>
            </w:r>
          </w:p>
        </w:tc>
        <w:tc>
          <w:tcPr>
            <w:tcW w:type="dxa" w:w="4677"/>
          </w:tcPr>
          <w:p>
            <w:r>
              <w:rPr>
                <w:sz w:val="20"/>
              </w:rPr>
              <w:t>M04AA01 (Anti-goutteux — Allopurinol)</w:t>
            </w:r>
          </w:p>
        </w:tc>
      </w:tr>
      <w:tr>
        <w:tc>
          <w:tcPr>
            <w:tcW w:type="dxa" w:w="4677"/>
          </w:tcPr>
          <w:p>
            <w:r>
              <w:rPr>
                <w:sz w:val="20"/>
              </w:rPr>
              <w:t>Classe pharmacologique</w:t>
            </w:r>
          </w:p>
        </w:tc>
        <w:tc>
          <w:tcPr>
            <w:tcW w:type="dxa" w:w="4677"/>
          </w:tcPr>
          <w:p>
            <w:r>
              <w:rPr>
                <w:sz w:val="20"/>
              </w:rPr>
              <w:t>Inhibiteur de la xanthine oxydase ; hypouricémiant d'action centrale sur le métabolisme des purines</w:t>
            </w:r>
          </w:p>
        </w:tc>
      </w:tr>
      <w:tr>
        <w:tc>
          <w:tcPr>
            <w:tcW w:type="dxa" w:w="4677"/>
          </w:tcPr>
          <w:p>
            <w:r>
              <w:rPr>
                <w:sz w:val="20"/>
              </w:rPr>
              <w:t>Classe thérapeutique</w:t>
            </w:r>
          </w:p>
        </w:tc>
        <w:tc>
          <w:tcPr>
            <w:tcW w:type="dxa" w:w="4677"/>
          </w:tcPr>
          <w:p>
            <w:r>
              <w:rPr>
                <w:sz w:val="20"/>
              </w:rPr>
              <w:t>Anti-goutteux de fond (prophylaxie des crises, traitement de l'hyperuricémie chronique)</w:t>
            </w:r>
          </w:p>
        </w:tc>
      </w:tr>
      <w:tr>
        <w:tc>
          <w:tcPr>
            <w:tcW w:type="dxa" w:w="4677"/>
          </w:tcPr>
          <w:p>
            <w:r>
              <w:rPr>
                <w:sz w:val="20"/>
              </w:rPr>
              <w:t>Liste algérienne</w:t>
            </w:r>
          </w:p>
        </w:tc>
        <w:tc>
          <w:tcPr>
            <w:tcW w:type="dxa" w:w="4677"/>
          </w:tcPr>
          <w:p>
            <w:r>
              <w:rPr>
                <w:sz w:val="20"/>
              </w:rPr>
              <w:t>**Liste I** (substance veneneuse, prescription obligatoire)</w:t>
            </w:r>
          </w:p>
        </w:tc>
      </w:tr>
      <w:tr>
        <w:tc>
          <w:tcPr>
            <w:tcW w:type="dxa" w:w="4677"/>
          </w:tcPr>
          <w:p>
            <w:r>
              <w:rPr>
                <w:sz w:val="20"/>
              </w:rPr>
              <w:t>Statut réglementaire</w:t>
            </w:r>
          </w:p>
        </w:tc>
        <w:tc>
          <w:tcPr>
            <w:tcW w:type="dxa" w:w="4677"/>
          </w:tcPr>
          <w:p>
            <w:r>
              <w:rPr>
                <w:sz w:val="20"/>
              </w:rPr>
              <w:t>Médicament soumis à prescription médicale obligatoire</w:t>
            </w:r>
          </w:p>
        </w:tc>
      </w:tr>
      <w:tr>
        <w:tc>
          <w:tcPr>
            <w:tcW w:type="dxa" w:w="4677"/>
          </w:tcPr>
          <w:p>
            <w:r>
              <w:rPr>
                <w:sz w:val="20"/>
              </w:rPr>
              <w:t>Grossesse</w:t>
            </w:r>
          </w:p>
        </w:tc>
        <w:tc>
          <w:tcPr>
            <w:tcW w:type="dxa" w:w="4677"/>
          </w:tcPr>
          <w:p>
            <w:r>
              <w:rPr>
                <w:sz w:val="20"/>
              </w:rPr>
              <w:t>À éviter pendant la grossesse (CRAT), sauf nécessité absolue (goutte sévère réfractaire, syndrome de lyse tumorale)</w:t>
            </w:r>
          </w:p>
        </w:tc>
      </w:tr>
      <w:tr>
        <w:tc>
          <w:tcPr>
            <w:tcW w:type="dxa" w:w="4677"/>
          </w:tcPr>
          <w:p>
            <w:r>
              <w:rPr>
                <w:sz w:val="20"/>
              </w:rPr>
              <w:t>Allaitement</w:t>
            </w:r>
          </w:p>
        </w:tc>
        <w:tc>
          <w:tcPr>
            <w:tcW w:type="dxa" w:w="4677"/>
          </w:tcPr>
          <w:p>
            <w:r>
              <w:rPr>
                <w:sz w:val="20"/>
              </w:rPr>
              <w:t>Compatible avec l'allaitement (CRAT), faibles concentrations dans le lait maternel</w:t>
            </w:r>
          </w:p>
        </w:tc>
      </w:tr>
      <w:tr>
        <w:tc>
          <w:tcPr>
            <w:tcW w:type="dxa" w:w="4677"/>
          </w:tcPr>
          <w:p>
            <w:r>
              <w:rPr>
                <w:sz w:val="20"/>
              </w:rPr>
              <w:t>Conservation</w:t>
            </w:r>
          </w:p>
        </w:tc>
        <w:tc>
          <w:tcPr>
            <w:tcW w:type="dxa" w:w="4677"/>
          </w:tcPr>
          <w:p>
            <w:r>
              <w:rPr>
                <w:sz w:val="20"/>
              </w:rPr>
              <w:t>À conserver à température ≤ 25 °C, à l'abri de l'humidité et de la lumière</w:t>
            </w:r>
          </w:p>
        </w:tc>
      </w:tr>
      <w:tr>
        <w:tc>
          <w:tcPr>
            <w:tcW w:type="dxa" w:w="4677"/>
          </w:tcPr>
          <w:p>
            <w:r>
              <w:rPr>
                <w:sz w:val="20"/>
              </w:rPr>
              <w:t>Disponibilité hospitalière</w:t>
            </w:r>
          </w:p>
        </w:tc>
        <w:tc>
          <w:tcPr>
            <w:tcW w:type="dxa" w:w="4677"/>
          </w:tcPr>
          <w:p>
            <w:r>
              <w:rPr>
                <w:sz w:val="20"/>
              </w:rPr>
              <w:t>Oui, en pharmacie hospitalière (officine et hôpital)</w:t>
            </w:r>
          </w:p>
        </w:tc>
      </w:tr>
      <w:tr>
        <w:tc>
          <w:tcPr>
            <w:tcW w:type="dxa" w:w="4677"/>
          </w:tcPr>
          <w:p>
            <w:r>
              <w:rPr>
                <w:sz w:val="20"/>
              </w:rPr>
              <w:t>Demande mondiale</w:t>
            </w:r>
          </w:p>
        </w:tc>
        <w:tc>
          <w:tcPr>
            <w:tcW w:type="dxa" w:w="4677"/>
          </w:tcPr>
          <w:p>
            <w:r>
              <w:rPr>
                <w:sz w:val="20"/>
              </w:rPr>
              <w:t>Inscrite sur la Liste des médicaments essentiels OMS (traitement de fond de la goutte, syndrome de lyse tumorale)</w:t>
            </w:r>
          </w:p>
        </w:tc>
      </w:tr>
    </w:tbl>
    <w:p/>
    <w:p>
      <w:r>
        <w:t>L'allopurinol est inscrit sur la Liste I des substances vénéneuses en Algérie, ce qui impose la prescription médicale obligatoire. C'est l'hypouricémiant de référence et de première intention dans le traitement de fond de la goutte, selon toutes les recommandations internationales (EULAR 2016, ACR 2020, BSR 2017). Il est également indiqué dans la prophylaxie du syndrome de lyse tumorale en oncologie-hématologie, mais cette indication hors chapitre rhumatologique est mentionnée pour mémoire.</w:t>
      </w:r>
    </w:p>
    <w:p>
      <w:pPr>
        <w:pStyle w:val="Heading4"/>
      </w:pPr>
      <w:r>
        <w:t>2. Médicaments disponibles en Algérie (TABLE)</w:t>
      </w:r>
    </w:p>
    <w:p>
      <w:r/>
      <w:r>
        <w:rPr>
          <w:b/>
        </w:rPr>
        <w:t>Spécialités ACTIVES (9)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LESURIC 100</w:t>
            </w:r>
          </w:p>
        </w:tc>
        <w:tc>
          <w:tcPr>
            <w:tcW w:type="dxa" w:w="1559"/>
          </w:tcPr>
          <w:p>
            <w:r>
              <w:rPr>
                <w:sz w:val="20"/>
              </w:rPr>
              <w:t>LABORATOIRES BEKER</w:t>
            </w:r>
          </w:p>
        </w:tc>
        <w:tc>
          <w:tcPr>
            <w:tcW w:type="dxa" w:w="1559"/>
          </w:tcPr>
          <w:p>
            <w:r>
              <w:rPr>
                <w:sz w:val="20"/>
              </w:rPr>
              <w:t>Comprimé 100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NADLORIC</w:t>
            </w:r>
          </w:p>
        </w:tc>
        <w:tc>
          <w:tcPr>
            <w:tcW w:type="dxa" w:w="1559"/>
          </w:tcPr>
          <w:p>
            <w:r>
              <w:rPr>
                <w:sz w:val="20"/>
              </w:rPr>
              <w:t>NADPHARMADIC-PRODUCTION</w:t>
            </w:r>
          </w:p>
        </w:tc>
        <w:tc>
          <w:tcPr>
            <w:tcW w:type="dxa" w:w="1559"/>
          </w:tcPr>
          <w:p>
            <w:r>
              <w:rPr>
                <w:sz w:val="20"/>
              </w:rPr>
              <w:t>Comprimé 100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NO URIC 100</w:t>
            </w:r>
          </w:p>
        </w:tc>
        <w:tc>
          <w:tcPr>
            <w:tcW w:type="dxa" w:w="1559"/>
          </w:tcPr>
          <w:p>
            <w:r>
              <w:rPr>
                <w:sz w:val="20"/>
              </w:rPr>
              <w:t>EGYPTIAN INTERNATIONAL PHARMACEUTICAL INDUSTRIES COMPANY (EPICO)</w:t>
            </w:r>
          </w:p>
        </w:tc>
        <w:tc>
          <w:tcPr>
            <w:tcW w:type="dxa" w:w="1559"/>
          </w:tcPr>
          <w:p>
            <w:r>
              <w:rPr>
                <w:sz w:val="20"/>
              </w:rPr>
              <w:t>Comprimé 100 mg</w:t>
            </w:r>
          </w:p>
        </w:tc>
        <w:tc>
          <w:tcPr>
            <w:tcW w:type="dxa" w:w="1559"/>
          </w:tcPr>
          <w:p>
            <w:r>
              <w:rPr>
                <w:sz w:val="20"/>
              </w:rPr>
              <w:t>B/50</w:t>
            </w:r>
          </w:p>
        </w:tc>
        <w:tc>
          <w:tcPr>
            <w:tcW w:type="dxa" w:w="1559"/>
          </w:tcPr>
          <w:p>
            <w:r>
              <w:rPr>
                <w:sz w:val="20"/>
              </w:rPr>
              <w:t>LISTE I</w:t>
            </w:r>
          </w:p>
        </w:tc>
        <w:tc>
          <w:tcPr>
            <w:tcW w:type="dxa" w:w="1559"/>
          </w:tcPr>
          <w:p>
            <w:r>
              <w:rPr>
                <w:sz w:val="20"/>
              </w:rPr>
              <w:t>ACTIF</w:t>
            </w:r>
          </w:p>
        </w:tc>
      </w:tr>
      <w:tr>
        <w:tc>
          <w:tcPr>
            <w:tcW w:type="dxa" w:w="1559"/>
          </w:tcPr>
          <w:p>
            <w:r>
              <w:rPr>
                <w:sz w:val="20"/>
              </w:rPr>
              <w:t>ZANURIC 100</w:t>
            </w:r>
          </w:p>
        </w:tc>
        <w:tc>
          <w:tcPr>
            <w:tcW w:type="dxa" w:w="1559"/>
          </w:tcPr>
          <w:p>
            <w:r>
              <w:rPr>
                <w:sz w:val="20"/>
              </w:rPr>
              <w:t>RAM PHARMACEUTICAL INDUSTRIES</w:t>
            </w:r>
          </w:p>
        </w:tc>
        <w:tc>
          <w:tcPr>
            <w:tcW w:type="dxa" w:w="1559"/>
          </w:tcPr>
          <w:p>
            <w:r>
              <w:rPr>
                <w:sz w:val="20"/>
              </w:rPr>
              <w:t>Comprimé 100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ZYLORIC 100</w:t>
            </w:r>
          </w:p>
        </w:tc>
        <w:tc>
          <w:tcPr>
            <w:tcW w:type="dxa" w:w="1559"/>
          </w:tcPr>
          <w:p>
            <w:r>
              <w:rPr>
                <w:sz w:val="20"/>
              </w:rPr>
              <w:t>LABORATOIRES MERINAL</w:t>
            </w:r>
          </w:p>
        </w:tc>
        <w:tc>
          <w:tcPr>
            <w:tcW w:type="dxa" w:w="1559"/>
          </w:tcPr>
          <w:p>
            <w:r>
              <w:rPr>
                <w:sz w:val="20"/>
              </w:rPr>
              <w:t>Comprimé 100 mg</w:t>
            </w:r>
          </w:p>
        </w:tc>
        <w:tc>
          <w:tcPr>
            <w:tcW w:type="dxa" w:w="1559"/>
          </w:tcPr>
          <w:p>
            <w:r>
              <w:rPr>
                <w:sz w:val="20"/>
              </w:rPr>
              <w:t>B/50</w:t>
            </w:r>
          </w:p>
        </w:tc>
        <w:tc>
          <w:tcPr>
            <w:tcW w:type="dxa" w:w="1559"/>
          </w:tcPr>
          <w:p>
            <w:r>
              <w:rPr>
                <w:sz w:val="20"/>
              </w:rPr>
              <w:t>LISTE I</w:t>
            </w:r>
          </w:p>
        </w:tc>
        <w:tc>
          <w:tcPr>
            <w:tcW w:type="dxa" w:w="1559"/>
          </w:tcPr>
          <w:p>
            <w:r>
              <w:rPr>
                <w:sz w:val="20"/>
              </w:rPr>
              <w:t>ACTIF</w:t>
            </w:r>
          </w:p>
        </w:tc>
      </w:tr>
      <w:tr>
        <w:tc>
          <w:tcPr>
            <w:tcW w:type="dxa" w:w="1559"/>
          </w:tcPr>
          <w:p>
            <w:r>
              <w:rPr>
                <w:sz w:val="20"/>
              </w:rPr>
              <w:t>LESURIC 300</w:t>
            </w:r>
          </w:p>
        </w:tc>
        <w:tc>
          <w:tcPr>
            <w:tcW w:type="dxa" w:w="1559"/>
          </w:tcPr>
          <w:p>
            <w:r>
              <w:rPr>
                <w:sz w:val="20"/>
              </w:rPr>
              <w:t>LABORATOIRES BEKER</w:t>
            </w:r>
          </w:p>
        </w:tc>
        <w:tc>
          <w:tcPr>
            <w:tcW w:type="dxa" w:w="1559"/>
          </w:tcPr>
          <w:p>
            <w:r>
              <w:rPr>
                <w:sz w:val="20"/>
              </w:rPr>
              <w:t>Comprimé 300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NADLORIC 300</w:t>
            </w:r>
          </w:p>
        </w:tc>
        <w:tc>
          <w:tcPr>
            <w:tcW w:type="dxa" w:w="1559"/>
          </w:tcPr>
          <w:p>
            <w:r>
              <w:rPr>
                <w:sz w:val="20"/>
              </w:rPr>
              <w:t>NADPHARMADIC-PRODUCTION</w:t>
            </w:r>
          </w:p>
        </w:tc>
        <w:tc>
          <w:tcPr>
            <w:tcW w:type="dxa" w:w="1559"/>
          </w:tcPr>
          <w:p>
            <w:r>
              <w:rPr>
                <w:sz w:val="20"/>
              </w:rPr>
              <w:t>Comprimé 300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NO URIC 300</w:t>
            </w:r>
          </w:p>
        </w:tc>
        <w:tc>
          <w:tcPr>
            <w:tcW w:type="dxa" w:w="1559"/>
          </w:tcPr>
          <w:p>
            <w:r>
              <w:rPr>
                <w:sz w:val="20"/>
              </w:rPr>
              <w:t>EGYPTIAN INTERNATIONAL PHARMACEUTICAL INDUSTRIES COMPANY (EPICO)</w:t>
            </w:r>
          </w:p>
        </w:tc>
        <w:tc>
          <w:tcPr>
            <w:tcW w:type="dxa" w:w="1559"/>
          </w:tcPr>
          <w:p>
            <w:r>
              <w:rPr>
                <w:sz w:val="20"/>
              </w:rPr>
              <w:t>Comprimé 300 mg</w:t>
            </w:r>
          </w:p>
        </w:tc>
        <w:tc>
          <w:tcPr>
            <w:tcW w:type="dxa" w:w="1559"/>
          </w:tcPr>
          <w:p>
            <w:r>
              <w:rPr>
                <w:sz w:val="20"/>
              </w:rPr>
              <w:t>B/20</w:t>
            </w:r>
          </w:p>
        </w:tc>
        <w:tc>
          <w:tcPr>
            <w:tcW w:type="dxa" w:w="1559"/>
          </w:tcPr>
          <w:p>
            <w:r>
              <w:rPr>
                <w:sz w:val="20"/>
              </w:rPr>
              <w:t>LISTE I</w:t>
            </w:r>
          </w:p>
        </w:tc>
        <w:tc>
          <w:tcPr>
            <w:tcW w:type="dxa" w:w="1559"/>
          </w:tcPr>
          <w:p>
            <w:r>
              <w:rPr>
                <w:sz w:val="20"/>
              </w:rPr>
              <w:t>ACTIF</w:t>
            </w:r>
          </w:p>
        </w:tc>
      </w:tr>
      <w:tr>
        <w:tc>
          <w:tcPr>
            <w:tcW w:type="dxa" w:w="1559"/>
          </w:tcPr>
          <w:p>
            <w:r>
              <w:rPr>
                <w:sz w:val="20"/>
              </w:rPr>
              <w:t>ZANURIC 300</w:t>
            </w:r>
          </w:p>
        </w:tc>
        <w:tc>
          <w:tcPr>
            <w:tcW w:type="dxa" w:w="1559"/>
          </w:tcPr>
          <w:p>
            <w:r>
              <w:rPr>
                <w:sz w:val="20"/>
              </w:rPr>
              <w:t>RAM PHARMACEUTICAL INDUSTRIES</w:t>
            </w:r>
          </w:p>
        </w:tc>
        <w:tc>
          <w:tcPr>
            <w:tcW w:type="dxa" w:w="1559"/>
          </w:tcPr>
          <w:p>
            <w:r>
              <w:rPr>
                <w:sz w:val="20"/>
              </w:rPr>
              <w:t>Comprimé 300 mg</w:t>
            </w:r>
          </w:p>
        </w:tc>
        <w:tc>
          <w:tcPr>
            <w:tcW w:type="dxa" w:w="1559"/>
          </w:tcPr>
          <w:p>
            <w:r>
              <w:rPr>
                <w:sz w:val="20"/>
              </w:rPr>
              <w:t>B/30</w:t>
            </w:r>
          </w:p>
        </w:tc>
        <w:tc>
          <w:tcPr>
            <w:tcW w:type="dxa" w:w="1559"/>
          </w:tcPr>
          <w:p>
            <w:r>
              <w:rPr>
                <w:sz w:val="20"/>
              </w:rPr>
              <w:t>LISTE I</w:t>
            </w:r>
          </w:p>
        </w:tc>
        <w:tc>
          <w:tcPr>
            <w:tcW w:type="dxa" w:w="1559"/>
          </w:tcPr>
          <w:p>
            <w:r>
              <w:rPr>
                <w:sz w:val="20"/>
              </w:rPr>
              <w:t>ACTIF</w:t>
            </w:r>
          </w:p>
        </w:tc>
      </w:tr>
    </w:tbl>
    <w:p/>
    <w:p>
      <w:r/>
      <w:r>
        <w:rPr>
          <w:b/>
        </w:rPr>
        <w:t>Spécialités NON_RENOUVELABLES (3)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URICLAR</w:t>
            </w:r>
          </w:p>
        </w:tc>
        <w:tc>
          <w:tcPr>
            <w:tcW w:type="dxa" w:w="1559"/>
          </w:tcPr>
          <w:p>
            <w:r>
              <w:rPr>
                <w:sz w:val="20"/>
              </w:rPr>
              <w:t>LIFEPHARMA</w:t>
            </w:r>
          </w:p>
        </w:tc>
        <w:tc>
          <w:tcPr>
            <w:tcW w:type="dxa" w:w="1559"/>
          </w:tcPr>
          <w:p>
            <w:r>
              <w:rPr>
                <w:sz w:val="20"/>
              </w:rPr>
              <w:t>Comprimé 100 mg</w:t>
            </w:r>
          </w:p>
        </w:tc>
        <w:tc>
          <w:tcPr>
            <w:tcW w:type="dxa" w:w="1559"/>
          </w:tcPr>
          <w:p>
            <w:r>
              <w:rPr>
                <w:sz w:val="20"/>
              </w:rPr>
              <w:t>B/50</w:t>
            </w:r>
          </w:p>
        </w:tc>
        <w:tc>
          <w:tcPr>
            <w:tcW w:type="dxa" w:w="1559"/>
          </w:tcPr>
          <w:p>
            <w:r>
              <w:rPr>
                <w:sz w:val="20"/>
              </w:rPr>
              <w:t>LISTE I</w:t>
            </w:r>
          </w:p>
        </w:tc>
        <w:tc>
          <w:tcPr>
            <w:tcW w:type="dxa" w:w="1559"/>
          </w:tcPr>
          <w:p>
            <w:r>
              <w:rPr>
                <w:sz w:val="20"/>
              </w:rPr>
              <w:t>NON_RENOUVELABLE</w:t>
            </w:r>
          </w:p>
        </w:tc>
      </w:tr>
      <w:tr>
        <w:tc>
          <w:tcPr>
            <w:tcW w:type="dxa" w:w="1559"/>
          </w:tcPr>
          <w:p>
            <w:r>
              <w:rPr>
                <w:sz w:val="20"/>
              </w:rPr>
              <w:t>URICLAR</w:t>
            </w:r>
          </w:p>
        </w:tc>
        <w:tc>
          <w:tcPr>
            <w:tcW w:type="dxa" w:w="1559"/>
          </w:tcPr>
          <w:p>
            <w:r>
              <w:rPr>
                <w:sz w:val="20"/>
              </w:rPr>
              <w:t>LIFEPHARMA</w:t>
            </w:r>
          </w:p>
        </w:tc>
        <w:tc>
          <w:tcPr>
            <w:tcW w:type="dxa" w:w="1559"/>
          </w:tcPr>
          <w:p>
            <w:r>
              <w:rPr>
                <w:sz w:val="20"/>
              </w:rPr>
              <w:t>Comprimé 300 mg</w:t>
            </w:r>
          </w:p>
        </w:tc>
        <w:tc>
          <w:tcPr>
            <w:tcW w:type="dxa" w:w="1559"/>
          </w:tcPr>
          <w:p>
            <w:r>
              <w:rPr>
                <w:sz w:val="20"/>
              </w:rPr>
              <w:t>B/28</w:t>
            </w:r>
          </w:p>
        </w:tc>
        <w:tc>
          <w:tcPr>
            <w:tcW w:type="dxa" w:w="1559"/>
          </w:tcPr>
          <w:p>
            <w:r>
              <w:rPr>
                <w:sz w:val="20"/>
              </w:rPr>
              <w:t>LISTE I</w:t>
            </w:r>
          </w:p>
        </w:tc>
        <w:tc>
          <w:tcPr>
            <w:tcW w:type="dxa" w:w="1559"/>
          </w:tcPr>
          <w:p>
            <w:r>
              <w:rPr>
                <w:sz w:val="20"/>
              </w:rPr>
              <w:t>NON_RENOUVELABLE</w:t>
            </w:r>
          </w:p>
        </w:tc>
      </w:tr>
      <w:tr>
        <w:tc>
          <w:tcPr>
            <w:tcW w:type="dxa" w:w="1559"/>
          </w:tcPr>
          <w:p>
            <w:r>
              <w:rPr>
                <w:sz w:val="20"/>
              </w:rPr>
              <w:t>ZYLORIC 300</w:t>
            </w:r>
          </w:p>
        </w:tc>
        <w:tc>
          <w:tcPr>
            <w:tcW w:type="dxa" w:w="1559"/>
          </w:tcPr>
          <w:p>
            <w:r>
              <w:rPr>
                <w:sz w:val="20"/>
              </w:rPr>
              <w:t>GLAXOSMITHKLINE</w:t>
            </w:r>
          </w:p>
        </w:tc>
        <w:tc>
          <w:tcPr>
            <w:tcW w:type="dxa" w:w="1559"/>
          </w:tcPr>
          <w:p>
            <w:r>
              <w:rPr>
                <w:sz w:val="20"/>
              </w:rPr>
              <w:t>Comprimé 300 mg</w:t>
            </w:r>
          </w:p>
        </w:tc>
        <w:tc>
          <w:tcPr>
            <w:tcW w:type="dxa" w:w="1559"/>
          </w:tcPr>
          <w:p>
            <w:r>
              <w:rPr>
                <w:sz w:val="20"/>
              </w:rPr>
              <w:t>B/28</w:t>
            </w:r>
          </w:p>
        </w:tc>
        <w:tc>
          <w:tcPr>
            <w:tcW w:type="dxa" w:w="1559"/>
          </w:tcPr>
          <w:p>
            <w:r>
              <w:rPr>
                <w:sz w:val="20"/>
              </w:rPr>
              <w:t>LISTE I</w:t>
            </w:r>
          </w:p>
        </w:tc>
        <w:tc>
          <w:tcPr>
            <w:tcW w:type="dxa" w:w="1559"/>
          </w:tcPr>
          <w:p>
            <w:r>
              <w:rPr>
                <w:sz w:val="20"/>
              </w:rPr>
              <w:t>NON_RENOUVELABLE</w:t>
            </w:r>
          </w:p>
        </w:tc>
      </w:tr>
    </w:tbl>
    <w:p/>
    <w:p>
      <w:r/>
      <w:r>
        <w:rPr>
          <w:b/>
        </w:rPr>
        <w:t>Spécialités RETRAIT (6)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ALLOPURINOL</w:t>
            </w:r>
          </w:p>
        </w:tc>
        <w:tc>
          <w:tcPr>
            <w:tcW w:type="dxa" w:w="1559"/>
          </w:tcPr>
          <w:p>
            <w:r>
              <w:rPr>
                <w:sz w:val="20"/>
              </w:rPr>
              <w:t>MEDICUBA</w:t>
            </w:r>
          </w:p>
        </w:tc>
        <w:tc>
          <w:tcPr>
            <w:tcW w:type="dxa" w:w="1559"/>
          </w:tcPr>
          <w:p>
            <w:r>
              <w:rPr>
                <w:sz w:val="20"/>
              </w:rPr>
              <w:t>Comprimé 100 mg</w:t>
            </w:r>
          </w:p>
        </w:tc>
        <w:tc>
          <w:tcPr>
            <w:tcW w:type="dxa" w:w="1559"/>
          </w:tcPr>
          <w:p>
            <w:r>
              <w:rPr>
                <w:sz w:val="20"/>
              </w:rPr>
              <w:t>B/10</w:t>
            </w:r>
          </w:p>
        </w:tc>
        <w:tc>
          <w:tcPr>
            <w:tcW w:type="dxa" w:w="1559"/>
          </w:tcPr>
          <w:p>
            <w:r>
              <w:rPr>
                <w:sz w:val="20"/>
              </w:rPr>
              <w:t>Liste I</w:t>
            </w:r>
          </w:p>
        </w:tc>
        <w:tc>
          <w:tcPr>
            <w:tcW w:type="dxa" w:w="1559"/>
          </w:tcPr>
          <w:p>
            <w:r>
              <w:rPr>
                <w:sz w:val="20"/>
              </w:rPr>
              <w:t>RETRAIT</w:t>
            </w:r>
          </w:p>
        </w:tc>
      </w:tr>
      <w:tr>
        <w:tc>
          <w:tcPr>
            <w:tcW w:type="dxa" w:w="1559"/>
          </w:tcPr>
          <w:p>
            <w:r>
              <w:rPr>
                <w:sz w:val="20"/>
              </w:rPr>
              <w:t>ALLOPURINOL-RATIOPHARM</w:t>
            </w:r>
          </w:p>
        </w:tc>
        <w:tc>
          <w:tcPr>
            <w:tcW w:type="dxa" w:w="1559"/>
          </w:tcPr>
          <w:p>
            <w:r>
              <w:rPr>
                <w:sz w:val="20"/>
              </w:rPr>
              <w:t>LAFON RATIOPHARM</w:t>
            </w:r>
          </w:p>
        </w:tc>
        <w:tc>
          <w:tcPr>
            <w:tcW w:type="dxa" w:w="1559"/>
          </w:tcPr>
          <w:p>
            <w:r>
              <w:rPr>
                <w:sz w:val="20"/>
              </w:rPr>
              <w:t>Gélule 100 mg</w:t>
            </w:r>
          </w:p>
        </w:tc>
        <w:tc>
          <w:tcPr>
            <w:tcW w:type="dxa" w:w="1559"/>
          </w:tcPr>
          <w:p>
            <w:r>
              <w:rPr>
                <w:sz w:val="20"/>
              </w:rPr>
              <w:t>B/28</w:t>
            </w:r>
          </w:p>
        </w:tc>
        <w:tc>
          <w:tcPr>
            <w:tcW w:type="dxa" w:w="1559"/>
          </w:tcPr>
          <w:p>
            <w:r>
              <w:rPr>
                <w:sz w:val="20"/>
              </w:rPr>
              <w:t>Liste I</w:t>
            </w:r>
          </w:p>
        </w:tc>
        <w:tc>
          <w:tcPr>
            <w:tcW w:type="dxa" w:w="1559"/>
          </w:tcPr>
          <w:p>
            <w:r>
              <w:rPr>
                <w:sz w:val="20"/>
              </w:rPr>
              <w:t>RETRAIT</w:t>
            </w:r>
          </w:p>
        </w:tc>
      </w:tr>
      <w:tr>
        <w:tc>
          <w:tcPr>
            <w:tcW w:type="dxa" w:w="1559"/>
          </w:tcPr>
          <w:p>
            <w:r>
              <w:rPr>
                <w:sz w:val="20"/>
              </w:rPr>
              <w:t>MILURIT</w:t>
            </w:r>
          </w:p>
        </w:tc>
        <w:tc>
          <w:tcPr>
            <w:tcW w:type="dxa" w:w="1559"/>
          </w:tcPr>
          <w:p>
            <w:r>
              <w:rPr>
                <w:sz w:val="20"/>
              </w:rPr>
              <w:t>EGIS S.A.</w:t>
            </w:r>
          </w:p>
        </w:tc>
        <w:tc>
          <w:tcPr>
            <w:tcW w:type="dxa" w:w="1559"/>
          </w:tcPr>
          <w:p>
            <w:r>
              <w:rPr>
                <w:sz w:val="20"/>
              </w:rPr>
              <w:t>Comprimé 300 mg</w:t>
            </w:r>
          </w:p>
        </w:tc>
        <w:tc>
          <w:tcPr>
            <w:tcW w:type="dxa" w:w="1559"/>
          </w:tcPr>
          <w:p>
            <w:r>
              <w:rPr>
                <w:sz w:val="20"/>
              </w:rPr>
              <w:t>B/30</w:t>
            </w:r>
          </w:p>
        </w:tc>
        <w:tc>
          <w:tcPr>
            <w:tcW w:type="dxa" w:w="1559"/>
          </w:tcPr>
          <w:p>
            <w:r>
              <w:rPr>
                <w:sz w:val="20"/>
              </w:rPr>
              <w:t>Liste I</w:t>
            </w:r>
          </w:p>
        </w:tc>
        <w:tc>
          <w:tcPr>
            <w:tcW w:type="dxa" w:w="1559"/>
          </w:tcPr>
          <w:p>
            <w:r>
              <w:rPr>
                <w:sz w:val="20"/>
              </w:rPr>
              <w:t>RETRAIT</w:t>
            </w:r>
          </w:p>
        </w:tc>
      </w:tr>
      <w:tr>
        <w:tc>
          <w:tcPr>
            <w:tcW w:type="dxa" w:w="1559"/>
          </w:tcPr>
          <w:p>
            <w:r>
              <w:rPr>
                <w:sz w:val="20"/>
              </w:rPr>
              <w:t>URINOL 300</w:t>
            </w:r>
          </w:p>
        </w:tc>
        <w:tc>
          <w:tcPr>
            <w:tcW w:type="dxa" w:w="1559"/>
          </w:tcPr>
          <w:p>
            <w:r>
              <w:rPr>
                <w:sz w:val="20"/>
              </w:rPr>
              <w:t>PHARMACARE LIMITED</w:t>
            </w:r>
          </w:p>
        </w:tc>
        <w:tc>
          <w:tcPr>
            <w:tcW w:type="dxa" w:w="1559"/>
          </w:tcPr>
          <w:p>
            <w:r>
              <w:rPr>
                <w:sz w:val="20"/>
              </w:rPr>
              <w:t>Comprimé 300 mg</w:t>
            </w:r>
          </w:p>
        </w:tc>
        <w:tc>
          <w:tcPr>
            <w:tcW w:type="dxa" w:w="1559"/>
          </w:tcPr>
          <w:p>
            <w:r>
              <w:rPr>
                <w:sz w:val="20"/>
              </w:rPr>
              <w:t>B/28</w:t>
            </w:r>
          </w:p>
        </w:tc>
        <w:tc>
          <w:tcPr>
            <w:tcW w:type="dxa" w:w="1559"/>
          </w:tcPr>
          <w:p>
            <w:r>
              <w:rPr>
                <w:sz w:val="20"/>
              </w:rPr>
              <w:t>Liste I</w:t>
            </w:r>
          </w:p>
        </w:tc>
        <w:tc>
          <w:tcPr>
            <w:tcW w:type="dxa" w:w="1559"/>
          </w:tcPr>
          <w:p>
            <w:r>
              <w:rPr>
                <w:sz w:val="20"/>
              </w:rPr>
              <w:t>RETRAIT</w:t>
            </w:r>
          </w:p>
        </w:tc>
      </w:tr>
      <w:tr>
        <w:tc>
          <w:tcPr>
            <w:tcW w:type="dxa" w:w="1559"/>
          </w:tcPr>
          <w:p>
            <w:r>
              <w:rPr>
                <w:sz w:val="20"/>
              </w:rPr>
              <w:t>ALLOPURINOL-RATIOPHARM</w:t>
            </w:r>
          </w:p>
        </w:tc>
        <w:tc>
          <w:tcPr>
            <w:tcW w:type="dxa" w:w="1559"/>
          </w:tcPr>
          <w:p>
            <w:r>
              <w:rPr>
                <w:sz w:val="20"/>
              </w:rPr>
              <w:t>LAFON RATIOPHARM</w:t>
            </w:r>
          </w:p>
        </w:tc>
        <w:tc>
          <w:tcPr>
            <w:tcW w:type="dxa" w:w="1559"/>
          </w:tcPr>
          <w:p>
            <w:r>
              <w:rPr>
                <w:sz w:val="20"/>
              </w:rPr>
              <w:t>Gélule 300 mg</w:t>
            </w:r>
          </w:p>
        </w:tc>
        <w:tc>
          <w:tcPr>
            <w:tcW w:type="dxa" w:w="1559"/>
          </w:tcPr>
          <w:p>
            <w:r>
              <w:rPr>
                <w:sz w:val="20"/>
              </w:rPr>
              <w:t>B/28</w:t>
            </w:r>
          </w:p>
        </w:tc>
        <w:tc>
          <w:tcPr>
            <w:tcW w:type="dxa" w:w="1559"/>
          </w:tcPr>
          <w:p>
            <w:r>
              <w:rPr>
                <w:sz w:val="20"/>
              </w:rPr>
              <w:t>Liste I</w:t>
            </w:r>
          </w:p>
        </w:tc>
        <w:tc>
          <w:tcPr>
            <w:tcW w:type="dxa" w:w="1559"/>
          </w:tcPr>
          <w:p>
            <w:r>
              <w:rPr>
                <w:sz w:val="20"/>
              </w:rPr>
              <w:t>RETRAIT</w:t>
            </w:r>
          </w:p>
        </w:tc>
      </w:tr>
      <w:tr>
        <w:tc>
          <w:tcPr>
            <w:tcW w:type="dxa" w:w="1559"/>
          </w:tcPr>
          <w:p>
            <w:r>
              <w:rPr>
                <w:sz w:val="20"/>
              </w:rPr>
              <w:t>ALURIC</w:t>
            </w:r>
          </w:p>
        </w:tc>
        <w:tc>
          <w:tcPr>
            <w:tcW w:type="dxa" w:w="1559"/>
          </w:tcPr>
          <w:p>
            <w:r>
              <w:rPr>
                <w:sz w:val="20"/>
              </w:rPr>
              <w:t>ASIA PHARMACEUTICAL</w:t>
            </w:r>
          </w:p>
        </w:tc>
        <w:tc>
          <w:tcPr>
            <w:tcW w:type="dxa" w:w="1559"/>
          </w:tcPr>
          <w:p>
            <w:r>
              <w:rPr>
                <w:sz w:val="20"/>
              </w:rPr>
              <w:t>Comprimé 300 mg</w:t>
            </w:r>
          </w:p>
        </w:tc>
        <w:tc>
          <w:tcPr>
            <w:tcW w:type="dxa" w:w="1559"/>
          </w:tcPr>
          <w:p>
            <w:r>
              <w:rPr>
                <w:sz w:val="20"/>
              </w:rPr>
              <w:t>B/20</w:t>
            </w:r>
          </w:p>
        </w:tc>
        <w:tc>
          <w:tcPr>
            <w:tcW w:type="dxa" w:w="1559"/>
          </w:tcPr>
          <w:p>
            <w:r>
              <w:rPr>
                <w:sz w:val="20"/>
              </w:rPr>
              <w:t>Liste I</w:t>
            </w:r>
          </w:p>
        </w:tc>
        <w:tc>
          <w:tcPr>
            <w:tcW w:type="dxa" w:w="1559"/>
          </w:tcPr>
          <w:p>
            <w:r>
              <w:rPr>
                <w:sz w:val="20"/>
              </w:rPr>
              <w:t>RETRAIT</w:t>
            </w:r>
          </w:p>
        </w:tc>
      </w:tr>
    </w:tbl>
    <w:p/>
    <w:p>
      <w:r/>
      <w:r>
        <w:rPr>
          <w:b/>
        </w:rPr>
        <w:t>Observations sur le marché algérien de l'allopurinol :</w:t>
      </w:r>
      <w:r/>
    </w:p>
    <w:p>
      <w:pPr>
        <w:pStyle w:val="ListBullet"/>
      </w:pPr>
      <w:r>
        <w:t>Le marché algérien de l'allopurinol est structuré et concurrentiel, avec 5 laboratoires proposant des spécialités actives réparties sur deux dosages (100 mg et 300 mg en comprimé).</w:t>
      </w:r>
    </w:p>
    <w:p>
      <w:pPr>
        <w:pStyle w:val="ListBullet"/>
      </w:pPr>
      <w:r>
        <w:t xml:space="preserve">Le princeps international historique </w:t>
      </w:r>
      <w:r>
        <w:rPr>
          <w:b/>
        </w:rPr>
        <w:t>Zyloric</w:t>
      </w:r>
      <w:r>
        <w:t xml:space="preserve"> (GlaxoSmithKline) n'est plus disponible en Algérie (NON_RENOUVELABLE dans la nomenclature Avril 2026). Le laboratoire LABORATOIRES MERINAL commercialise une spécialité ZYLORIC 100 mg, mais le ZYLORIC 300 mg du princeps GSK n'est plus disponible. Cette situation reflète la transition progressive du marché algérien vers des génériques locaux et régionaux.</w:t>
      </w:r>
    </w:p>
    <w:p>
      <w:pPr>
        <w:pStyle w:val="ListBullet"/>
      </w:pPr>
      <w:r/>
      <w:r>
        <w:rPr>
          <w:b/>
        </w:rPr>
        <w:t>LABORATOIRES BEKER</w:t>
      </w:r>
      <w:r>
        <w:t xml:space="preserve"> (LESURIC) est un laboratoire algérien, leader historique du marché algérien de l'allopurinol, proposant les deux dosages.</w:t>
      </w:r>
    </w:p>
    <w:p>
      <w:pPr>
        <w:pStyle w:val="ListBullet"/>
      </w:pPr>
      <w:r/>
      <w:r>
        <w:rPr>
          <w:b/>
        </w:rPr>
        <w:t>NADPHARMADIC-PRODUCTION</w:t>
      </w:r>
      <w:r>
        <w:t xml:space="preserve"> (NADLORIC) est un laboratoire algérien (filiale d'un groupe pharmaceutique régional), proposant les deux dosages.</w:t>
      </w:r>
    </w:p>
    <w:p>
      <w:pPr>
        <w:pStyle w:val="ListBullet"/>
      </w:pPr>
      <w:r/>
      <w:r>
        <w:rPr>
          <w:b/>
        </w:rPr>
        <w:t>EPICO</w:t>
      </w:r>
      <w:r>
        <w:t xml:space="preserve"> (NO URIC, Egyptian International Pharmaceutical Industries Company) est le principal laboratoire égyptien public, avec les deux dosages et des conditionnements originaux (B/50 pour 100 mg, B/20 pour 300 mg).</w:t>
      </w:r>
    </w:p>
    <w:p>
      <w:pPr>
        <w:pStyle w:val="ListBullet"/>
      </w:pPr>
      <w:r/>
      <w:r>
        <w:rPr>
          <w:b/>
        </w:rPr>
        <w:t>RAM PHARMACEUTICAL INDUSTRIES</w:t>
      </w:r>
      <w:r>
        <w:t xml:space="preserve"> (ZANURIC) est un laboratoire jordanien, proposant les deux dosages.</w:t>
      </w:r>
    </w:p>
    <w:p>
      <w:pPr>
        <w:pStyle w:val="ListBullet"/>
      </w:pPr>
      <w:r/>
      <w:r>
        <w:rPr>
          <w:b/>
        </w:rPr>
        <w:t>LABORATOIRES MERINAL</w:t>
      </w:r>
      <w:r>
        <w:t xml:space="preserve"> (ZYLORIC 100 mg) est un laboratoire algérien qui a récupéré la marque ZYLORIC pour le dosage 100 mg uniquement.</w:t>
      </w:r>
    </w:p>
    <w:p>
      <w:pPr>
        <w:pStyle w:val="ListBullet"/>
      </w:pPr>
      <w:r>
        <w:t>Les formes retirées (ALLOPURINOL Medicuba, ALLOPURINOL-RATIOPHARM, MILURIT, URINOL 300, ALURIC) reflètent la consolidation du marché au profit des laboratoires algériens et régionaux (Beker, Nadpharmadic, Merinal) et égyptiens (EPICO).</w:t>
      </w:r>
    </w:p>
    <w:p>
      <w:pPr>
        <w:pStyle w:val="ListBullet"/>
      </w:pPr>
      <w:r>
        <w:t>Aucune forme à 200 mg n'est disponible en Algérie (alors qu'elle existe en France). Pour adapter la dose à 200 mg, le patient doit prendre 2 comprimés de 100 mg.</w:t>
      </w:r>
    </w:p>
    <w:p>
      <w:pPr>
        <w:pStyle w:val="ListBullet"/>
      </w:pPr>
      <w:r>
        <w:t>Aucune forme pédiatrique (sirop, solution buvable) n'est disponible. En cas de nécessité pédiatrique (syndrome de Lyse tumorale chez l'enfant), utilisation de la forme comprimé écrasée, en milieu spécialisé.</w:t>
      </w:r>
    </w:p>
    <w:p>
      <w:pPr>
        <w:pStyle w:val="Heading4"/>
      </w:pPr>
      <w:r>
        <w:t>3. Mécanisme d'action</w:t>
      </w:r>
    </w:p>
    <w:p>
      <w:r>
        <w:t xml:space="preserve">L'allopurinol (4-hydroxypyrazolo[3,4-d]pyrimidine) est un analogue structural de l'hypoxanthine, dans lequel le carbone C8 et l'azote N7 du cycle purine sont inversés (transposition N7-C8). Cette similarité structurale lui permet de se lier au site actif de la </w:t>
      </w:r>
      <w:r>
        <w:rPr>
          <w:b/>
        </w:rPr>
        <w:t>xanthine oxydase</w:t>
      </w:r>
      <w:r>
        <w:t xml:space="preserve"> (XO), une enzyme cytosolique hépatique et intestinale qui catalyse les deux dernières étapes de la dégradation des purines en acide urique : l'oxydation de l'hypoxanthine en xanthine, puis l'oxydation de la xanthine en acide urique.</w:t>
      </w:r>
    </w:p>
    <w:p>
      <w:r>
        <w:t>L'allopurinol est lui-même un substrat de la xanthine oxydase, qui le convertit en son métabolite actif, l'</w:t>
      </w:r>
      <w:r>
        <w:rPr>
          <w:b/>
        </w:rPr>
        <w:t>oxypurinol</w:t>
      </w:r>
      <w:r>
        <w:t xml:space="preserve"> (allantoïne), par oxydation du groupement hydroxyle en position 2. C'est l'oxypurinol qui exerce l'essentiel de l'effet inhibiteur, en se liant au site molybdoptérine (Moco) du centre actif de la xanthine oxydase. La liaison de l'oxypurinol au Moco est irréversible in vivo (inhibition de type « suicide-substrat »), ce qui explique la longue durée d'action de l'allopurinol malgré sa courte demi-vie plasmatique.</w:t>
      </w:r>
    </w:p>
    <w:p>
      <w:r>
        <w:t>L'oxypurinol a une longue demi-vie plasmatique (14 à 30 heures, en raison d'une réabsorption tubulaire rénale importante au niveau du segment proximal via les transporteurs URAT1 et GLUT9), ce qui permet une seule prise par jour. L'allopurinol est, en revanche, rapidement éliminé (demi-vie 1 à 2 heures), car il n'est pas réabsorbé tubulairement.</w:t>
      </w:r>
    </w:p>
    <w:p>
      <w:r>
        <w:t xml:space="preserve">L'inhibition de la xanthine oxydase a pour conséquence biochimique une </w:t>
      </w:r>
      <w:r>
        <w:rPr>
          <w:b/>
        </w:rPr>
        <w:t>réduction de la production d'acide urique</w:t>
      </w:r>
      <w:r>
        <w:t xml:space="preserve"> à partir de l'hypoxanthine et de la xanthine. Les concentrations plasmatiques d'urates chutent (baisse de 30 à 60 % de l'uricémie selon la dose), et les concentrations plasmatiques et urinaires de précurseurs (hypoxanthine et xanthine) augmentent. L'hypoxanthine et la xanthine sont beaucoup plus solubles que l'acide urique, et sont excrétées par voie rénale sans risque de cristallisation (sauf en cas de surdosage massif, où une xanthinurie peut provoquer des lithiases de xanthine, complications très rares).</w:t>
      </w:r>
    </w:p>
    <w:p>
      <w:r>
        <w:t xml:space="preserve">L'inhibition de la xanthine oxydase par l'allopurinol a également un effet secondaire bénéfique sur la cascade des purines : l'accumulation d'hypoxanthine stimule la </w:t>
      </w:r>
      <w:r>
        <w:rPr>
          <w:b/>
        </w:rPr>
        <w:t>salvage pathway</w:t>
      </w:r>
      <w:r>
        <w:t xml:space="preserve"> des purines via l'hypoxanthine-guanine phosphoribosyltransferase (HGPRT), qui recycle l'hypoxanthine en IMP (inosine monophosphate). Ce recyclage réduit la demande en synthèse de novo des purines, ce qui diminue secondairement la production d'acide urique. Cet effet « double action » (inhibition directe de la XO + recyclage des précurseurs) explique l'efficacité soutenue de l'allopurinol à long terme.</w:t>
      </w:r>
    </w:p>
    <w:p>
      <w:pPr>
        <w:pStyle w:val="Heading4"/>
      </w:pPr>
      <w:r>
        <w:t>4. Profil pharmacologique (indications, contre-indications, effets indésirables)</w:t>
      </w:r>
    </w:p>
    <w:p>
      <w:r/>
      <w:r>
        <w:rPr>
          <w:b/>
        </w:rPr>
        <w:t>Indications principales (AMM) :</w:t>
      </w:r>
      <w:r/>
    </w:p>
    <w:p>
      <w:pPr>
        <w:pStyle w:val="ListBullet"/>
      </w:pPr>
      <w:r/>
      <w:r>
        <w:rPr>
          <w:b/>
        </w:rPr>
        <w:t>Traitement de fond de la goutte</w:t>
      </w:r>
      <w:r>
        <w:t xml:space="preserve"> :</w:t>
      </w:r>
    </w:p>
    <w:p>
      <w:pPr>
        <w:pStyle w:val="ListBullet"/>
      </w:pPr>
      <w:r>
        <w:t>Goutte clinique documentée avec hyperuricémie (crise de goutte typique, tophi, lithiase urique, néphropathie uratique).</w:t>
      </w:r>
    </w:p>
    <w:p>
      <w:pPr>
        <w:pStyle w:val="ListBullet"/>
      </w:pPr>
      <w:r>
        <w:t>Indication à débuter après la première crise de goutte (selon recommandations EULAR 2016 et ACR 2020), en particulier si l'uricémie est &gt; 480 µmol/L (80 mg/L).</w:t>
      </w:r>
    </w:p>
    <w:p>
      <w:pPr>
        <w:pStyle w:val="ListBullet"/>
      </w:pPr>
      <w:r>
        <w:t>Objectif thérapeutique : uricémie &lt; 360 µmol/L (60 mg/L) en cas de goutte non tophacée, et &lt; 300 µmol/L (50 mg/L) en cas de goutte tophacée ou avec atteinte radiologique.</w:t>
      </w:r>
    </w:p>
    <w:p>
      <w:pPr>
        <w:pStyle w:val="ListBullet"/>
      </w:pPr>
      <w:r>
        <w:t>Traitement à vie (en l'absence de cause curable de l'hyperuricémie).</w:t>
      </w:r>
    </w:p>
    <w:p>
      <w:pPr>
        <w:pStyle w:val="ListBullet"/>
      </w:pPr>
      <w:r/>
      <w:r>
        <w:rPr>
          <w:b/>
        </w:rPr>
        <w:t>Prophylaxie du syndrome de lyse tumorale</w:t>
      </w:r>
      <w:r>
        <w:t xml:space="preserve"> en oncologie-hématologie (leucémies aiguës, lymphomes à haut risque, tumeurs chimiosensibles volumineuses), en complément de l'hydratation alcaline et des diurétiques.</w:t>
      </w:r>
    </w:p>
    <w:p>
      <w:pPr>
        <w:pStyle w:val="ListBullet"/>
      </w:pPr>
      <w:r/>
      <w:r>
        <w:rPr>
          <w:b/>
        </w:rPr>
        <w:t>Hyperuricémie symptomatique</w:t>
      </w:r>
      <w:r>
        <w:t xml:space="preserve"> en dehors de la goutte : lithiase urique, néphropathie uratique.</w:t>
      </w:r>
    </w:p>
    <w:p>
      <w:r/>
      <w:r>
        <w:rPr>
          <w:b/>
        </w:rPr>
        <w:t>Contre-indications absolues :</w:t>
      </w:r>
      <w:r/>
    </w:p>
    <w:p>
      <w:pPr>
        <w:pStyle w:val="ListBullet"/>
      </w:pPr>
      <w:r/>
      <w:r>
        <w:rPr>
          <w:b/>
        </w:rPr>
        <w:t>Hypersensibilité à l'allopurinol</w:t>
      </w:r>
      <w:r>
        <w:t xml:space="preserve"> ou à l'oxypurinol ou à l'un des excipients : en raison du risque de réaction croisée, tout patient ayant présenté un syndrome DRESS ou un syndrome de Lyell sous allopurinol doit définitivement éviter cette molécule à vie, et être orienté vers le fébuxostat.</w:t>
      </w:r>
    </w:p>
    <w:p>
      <w:pPr>
        <w:pStyle w:val="ListBullet"/>
      </w:pPr>
      <w:r/>
      <w:r>
        <w:rPr>
          <w:b/>
        </w:rPr>
        <w:t>Crise aiguë de goutte en cours</w:t>
      </w:r>
      <w:r>
        <w:t xml:space="preserve"> : ne jamais initier l'allopurinol pendant une crise aiguë (risque de prolongation/aggravation). Attendre la résolution complète de la crise (1 à 2 semaines).</w:t>
      </w:r>
    </w:p>
    <w:p>
      <w:pPr>
        <w:pStyle w:val="ListBullet"/>
      </w:pPr>
      <w:r/>
      <w:r>
        <w:rPr>
          <w:b/>
        </w:rPr>
        <w:t>Insuffisance rénale sévère non contrôlée</w:t>
      </w:r>
      <w:r>
        <w:t xml:space="preserve"> (clairance de la créatinine &lt; 30 mL/min) : contre-indication relative en pratique, en raison du risque d'accumulation de l'oxypurinol et de toxicité dose-dépendante. En pratique, l'allopurinol reste utilisable à dose adaptée (50–100 mg/jour, voire moins) en cas d'insuffisance rénale sévère, sous surveillance stricte, mais la prudence impose de discuter le fébuxostat en alternative.</w:t>
      </w:r>
    </w:p>
    <w:p>
      <w:pPr>
        <w:pStyle w:val="ListBullet"/>
      </w:pPr>
      <w:r/>
      <w:r>
        <w:rPr>
          <w:b/>
        </w:rPr>
        <w:t>Association à l'azathioprine ou à la 6-mercaptopurine</w:t>
      </w:r>
      <w:r>
        <w:t xml:space="preserve"> sans adaptation posologique : l'allopurinol inhibe la xanthine oxydase qui métabolise l'azathioprine et la 6-mercaptopurine. L'association à dose standard d'azathioprine entraîne une toxicité médullaire sévère (aplasie médullaire). Si l'association est indispensable, réduire l'azathioprine à 25 % de la dose standard.</w:t>
      </w:r>
    </w:p>
    <w:p>
      <w:pPr>
        <w:pStyle w:val="ListBullet"/>
      </w:pPr>
      <w:r/>
      <w:r>
        <w:rPr>
          <w:b/>
        </w:rPr>
        <w:t>Enfant de moins de 15 ans</w:t>
      </w:r>
      <w:r>
        <w:t xml:space="preserve"> sauf indication spécifique (syndrome de Lyse tumorale, hyperuricémie symptomatique).</w:t>
      </w:r>
    </w:p>
    <w:p>
      <w:r/>
      <w:r>
        <w:rPr>
          <w:b/>
        </w:rPr>
        <w:t>Contre-indications relatives (à utiliser avec prudence) :</w:t>
      </w:r>
      <w:r/>
    </w:p>
    <w:p>
      <w:pPr>
        <w:pStyle w:val="ListBullet"/>
      </w:pPr>
      <w:r/>
      <w:r>
        <w:rPr>
          <w:b/>
        </w:rPr>
        <w:t>Insuffisance rénale modérée à sévère</w:t>
      </w:r>
      <w:r>
        <w:t xml:space="preserve"> : adaptation posologique obligatoire selon la clairance (voir section Posologie).</w:t>
      </w:r>
    </w:p>
    <w:p>
      <w:pPr>
        <w:pStyle w:val="ListBullet"/>
      </w:pPr>
      <w:r/>
      <w:r>
        <w:rPr>
          <w:b/>
        </w:rPr>
        <w:t>Insuffisance hépatique</w:t>
      </w:r>
      <w:r>
        <w:t xml:space="preserve"> : surveillance des transaminases.</w:t>
      </w:r>
    </w:p>
    <w:p>
      <w:pPr>
        <w:pStyle w:val="ListBullet"/>
      </w:pPr>
      <w:r>
        <w:t>**HLA-B\*5801 positif** : risque accru de syndrome d'hypersensibilité (DRESS). Dépistage systématique recommandé chez les patients asiatiques (Thaïlande, Chine, Corée, Japon) et les patients africains-américains. En pratique algérienne, dépistage non systématique (coût, faible prévalence), mais prudence accrue chez les patients à risque.</w:t>
      </w:r>
    </w:p>
    <w:p>
      <w:pPr>
        <w:pStyle w:val="ListBullet"/>
      </w:pPr>
      <w:r/>
      <w:r>
        <w:rPr>
          <w:b/>
        </w:rPr>
        <w:t>Sujet âgé</w:t>
      </w:r>
      <w:r>
        <w:t xml:space="preserve"> : risque accru d'insuffisance rénale et d'interactions médicamenteuses.</w:t>
      </w:r>
    </w:p>
    <w:p>
      <w:pPr>
        <w:pStyle w:val="ListBullet"/>
      </w:pPr>
      <w:r/>
      <w:r>
        <w:rPr>
          <w:b/>
        </w:rPr>
        <w:t>Lupus érythémateux disséminé</w:t>
      </w:r>
      <w:r>
        <w:t xml:space="preserve"> : risque d'exacerbation.</w:t>
      </w:r>
    </w:p>
    <w:p>
      <w:r/>
      <w:r>
        <w:rPr>
          <w:b/>
        </w:rPr>
        <w:t>Effets indésirables (fréquence selon RCP) :</w:t>
      </w:r>
      <w:r/>
    </w:p>
    <w:p>
      <w:pPr>
        <w:pStyle w:val="ListBullet"/>
      </w:pPr>
      <w:r/>
      <w:r>
        <w:rPr>
          <w:b/>
        </w:rPr>
        <w:t>Très fréquents (≥ 10 %)</w:t>
      </w:r>
      <w:r>
        <w:t xml:space="preserve"> : éruptions cutanées bénignes (rash maculopapuleux), prurit, troubles digestifs mineurs (nausées, diarrhée, douleurs abdominales).</w:t>
      </w:r>
    </w:p>
    <w:p>
      <w:pPr>
        <w:pStyle w:val="ListBullet"/>
      </w:pPr>
      <w:r/>
      <w:r>
        <w:rPr>
          <w:b/>
        </w:rPr>
        <w:t>Fréquents (1–10 %)</w:t>
      </w:r>
      <w:r>
        <w:t xml:space="preserve"> : augmentation transitoire des transaminases, hyperéosinophilie modérée.</w:t>
      </w:r>
    </w:p>
    <w:p>
      <w:pPr>
        <w:pStyle w:val="ListBullet"/>
      </w:pPr>
      <w:r/>
      <w:r>
        <w:rPr>
          <w:b/>
        </w:rPr>
        <w:t>Rares (0,01–0,1 %)</w:t>
      </w:r>
      <w:r>
        <w:t xml:space="preserve"> : syndrome d'hypersensibilité (DRESS — Drug Reaction with Eosinophilia and Systemic Symptoms), syndrome de Lyell (nécrolyse épidermique toxique), syndrome de Stevens-Johnson, hépatite cytolytique sévère, néphrite interstitielle aiguë, vascularite, fièvre isolée, lymphadénopathie, aplasie médullaire, pancytopénie.</w:t>
      </w:r>
    </w:p>
    <w:p>
      <w:pPr>
        <w:pStyle w:val="ListBullet"/>
      </w:pPr>
      <w:r/>
      <w:r>
        <w:rPr>
          <w:b/>
        </w:rPr>
        <w:t>Très rares (&lt; 0,01 %)</w:t>
      </w:r>
      <w:r>
        <w:t xml:space="preserve"> : neuropathie périphérique, cataracte, optic neuropathie, stéatose hépatique, angiœdème, anaphylaxie, apnéosidiose, alopecia, hypoglycémie.</w:t>
      </w:r>
    </w:p>
    <w:p>
      <w:pPr>
        <w:pStyle w:val="ListBullet"/>
      </w:pPr>
      <w:r/>
      <w:r>
        <w:rPr>
          <w:b/>
        </w:rPr>
        <w:t>Syndrome d'hypersensibilité (DRESS)</w:t>
      </w:r>
      <w:r>
        <w:t xml:space="preserve"> : ce syndrome, survenant typiquement 2 à 8 semaines après l'initiation, associe fièvre (&gt; 38,5 °C), éruption cutanée morbilliforme évoluant vers érythrodermie ou syndrome de Lyell, adénopathies, hyperéosinophilie sanguine (&gt; 1 G/L), atteinte viscérale (hépatite cytolytique 90 %, insuffisance rénale aiguë 75 %, pneumopathie interstitielle, myocardite). La mortalité est de 20 à 30 %. Risque majoré par HLA-B\*5801, insuffisance rénale, et dose initiale élevée (≥ 200 mg/jour).</w:t>
      </w:r>
    </w:p>
    <w:p>
      <w:pPr>
        <w:pStyle w:val="ListBullet"/>
      </w:pPr>
      <w:r/>
      <w:r>
        <w:rPr>
          <w:b/>
        </w:rPr>
        <w:t>Crise de goutte à l'initiation</w:t>
      </w:r>
      <w:r>
        <w:t xml:space="preserve"> : survenue d'une crise de goutte dans les premiers mois de traitement, par mobilisation des cristaux articulaires suite à la baisse rapide de l'uricémie. Prévenue par la colchicine prophylactique (0,5–1 mg/jour pendant 3–6 mois).</w:t>
      </w:r>
    </w:p>
    <w:p>
      <w:pPr>
        <w:pStyle w:val="Heading4"/>
      </w:pPr>
      <w:r>
        <w:t>5. Prévention et gestion des effets indésirables</w:t>
      </w:r>
    </w:p>
    <w:p>
      <w:r>
        <w:t>La prévention des effets indésirables de l'allopurinol repose sur des principes essentiels à connaître et à transmettre au patient à chaque dispensation :</w:t>
      </w:r>
    </w:p>
    <w:p>
      <w:r/>
      <w:r>
        <w:rPr>
          <w:b/>
        </w:rPr>
        <w:t>Prévention du syndrome d'hypersensibilité (DRESS) — point critique :</w:t>
      </w:r>
      <w:r/>
    </w:p>
    <w:p>
      <w:pPr>
        <w:pStyle w:val="ListBullet"/>
      </w:pPr>
      <w:r/>
      <w:r>
        <w:rPr>
          <w:b/>
        </w:rPr>
        <w:t>Initier à faible dose</w:t>
      </w:r>
      <w:r>
        <w:t xml:space="preserve"> : 100 mg/jour (50 mg/jour en cas d'insuffisance rénale modérée à sévère), augmenter par paliers de 100 mg toutes les 2 à 4 semaines, sous surveillance clinique stricte.</w:t>
      </w:r>
    </w:p>
    <w:p>
      <w:pPr>
        <w:pStyle w:val="ListBullet"/>
      </w:pPr>
      <w:r/>
      <w:r>
        <w:rPr>
          <w:b/>
        </w:rPr>
        <w:t>Ne pas dépasser la dose maximale tolérée</w:t>
      </w:r>
      <w:r>
        <w:t xml:space="preserve"> : titrer jusqu'à l'objectif d'uricémie (&lt; 360 µmol/L ou &lt; 300 µmol/L si tophi), sans dépasser 900 mg/jour (au-delà de l'AMM française de 300 mg/jour, mais recommandé par EULAR 2016 et ACR 2020).</w:t>
      </w:r>
    </w:p>
    <w:p>
      <w:pPr>
        <w:pStyle w:val="ListBullet"/>
      </w:pPr>
      <w:r/>
      <w:r>
        <w:rPr>
          <w:b/>
        </w:rPr>
        <w:t>Surveillance clinique rapprochée</w:t>
      </w:r>
      <w:r>
        <w:t xml:space="preserve"> : consultation à 2 semaines, 4 semaines, 8 semaines, puis mensuelle pendant 6 mois. Rechercher systématiquement une fièvre, une éruption cutanée, des adénopathies, des troubles digestifs.</w:t>
      </w:r>
    </w:p>
    <w:p>
      <w:pPr>
        <w:pStyle w:val="ListBullet"/>
      </w:pPr>
      <w:r/>
      <w:r>
        <w:rPr>
          <w:b/>
        </w:rPr>
        <w:t>Information du patient</w:t>
      </w:r>
      <w:r>
        <w:t xml:space="preserve"> : aviser le patient d'arrêter immédiatement l'allopurinol et de consulter en urgence en cas de fièvre, d'éruption cutanée, de prurit, de troubles digestifs inhabituels, de douleurs abdominales, d'asthénie majeure.</w:t>
      </w:r>
    </w:p>
    <w:p>
      <w:pPr>
        <w:pStyle w:val="ListBullet"/>
      </w:pPr>
      <w:r>
        <w:t>**Dépistage HLA-B\*5801** : recommandé chez les patients asiatiques (Thaïlande, Chine, Corée, Japon) et africains-américains. En pratique algérienne, le dépistage n'est pas systématique en raison de la faible prévalence dans la population maghrébine, mais il est discuté au cas par cas en milieu spécialisé (notamment en cas d'antécédents familiaux de DRESS à l'allopurinol).</w:t>
      </w:r>
    </w:p>
    <w:p>
      <w:pPr>
        <w:pStyle w:val="ListBullet"/>
      </w:pPr>
      <w:r/>
      <w:r>
        <w:rPr>
          <w:b/>
        </w:rPr>
        <w:t>Prudence accrue chez l'insuffisant rénal</w:t>
      </w:r>
      <w:r>
        <w:t xml:space="preserve"> : réduire la dose initiale à 50 mg/jour, surveillance rapprochée. Le fébuxostat est une alternative si l'allopurinol est mal toléré.</w:t>
      </w:r>
    </w:p>
    <w:p>
      <w:r/>
      <w:r>
        <w:rPr>
          <w:b/>
        </w:rPr>
        <w:t>Prévention des crises de goutte à l'initiation :</w:t>
      </w:r>
      <w:r/>
    </w:p>
    <w:p>
      <w:pPr>
        <w:pStyle w:val="ListBullet"/>
      </w:pPr>
      <w:r/>
      <w:r>
        <w:rPr>
          <w:b/>
        </w:rPr>
        <w:t>Prophylaxie systématique par colchicine</w:t>
      </w:r>
      <w:r>
        <w:t xml:space="preserve"> à faible dose (0,5–1 mg/jour) pendant au moins 3 à 6 mois, voire 12 mois en cas de tophi. Alternative : AINS à faible dose (naproxène 250 mg × 2/jour) en cas de contre-indication à la colchicine.</w:t>
      </w:r>
    </w:p>
    <w:p>
      <w:pPr>
        <w:pStyle w:val="ListBullet"/>
      </w:pPr>
      <w:r/>
      <w:r>
        <w:rPr>
          <w:b/>
        </w:rPr>
        <w:t>Ne pas initier l'allopurinol pendant une crise aiguë</w:t>
      </w:r>
      <w:r>
        <w:t xml:space="preserve"> : attendre la résolution complète de la crise (1 à 2 semaines).</w:t>
      </w:r>
    </w:p>
    <w:p>
      <w:pPr>
        <w:pStyle w:val="ListBullet"/>
      </w:pPr>
      <w:r/>
      <w:r>
        <w:rPr>
          <w:b/>
        </w:rPr>
        <w:t>Si crise de goutte sous allopurinol</w:t>
      </w:r>
      <w:r>
        <w:t xml:space="preserve"> : ne pas arrêter l'allopurinol (au contraire, continuer). Traiter la crise par colchicine (ou AINS, ou corticothérapie).</w:t>
      </w:r>
    </w:p>
    <w:p>
      <w:r/>
      <w:r>
        <w:rPr>
          <w:b/>
        </w:rPr>
        <w:t>Prévention de la toxicité hématologique :</w:t>
      </w:r>
      <w:r/>
    </w:p>
    <w:p>
      <w:pPr>
        <w:pStyle w:val="ListBullet"/>
      </w:pPr>
      <w:r/>
      <w:r>
        <w:rPr>
          <w:b/>
        </w:rPr>
        <w:t>NFS plaquettaire de surveillance</w:t>
      </w:r>
      <w:r>
        <w:t xml:space="preserve"> : à 15 jours, à 1 mois, puis trimestrielle.</w:t>
      </w:r>
    </w:p>
    <w:p>
      <w:pPr>
        <w:pStyle w:val="ListBullet"/>
      </w:pPr>
      <w:r/>
      <w:r>
        <w:rPr>
          <w:b/>
        </w:rPr>
        <w:t>Vigilance accrue en cas d'association à l'azathioprine ou à la 6-mercaptopurine</w:t>
      </w:r>
      <w:r>
        <w:t xml:space="preserve"> : l'allopurinol inhibe la xanthine oxydase qui métabolise l'azathioprine. L'association à dose standard d'azathioprine entraîne une toxicité médullaire sévère. Si l'association est indispensable, réduire l'azathioprine à 25 % de la dose standard, et surveiller NFS plaquettaire 2 fois par semaine pendant le 1er mois.</w:t>
      </w:r>
    </w:p>
    <w:p>
      <w:pPr>
        <w:pStyle w:val="ListBullet"/>
      </w:pPr>
      <w:r/>
      <w:r>
        <w:rPr>
          <w:b/>
        </w:rPr>
        <w:t>Le fébuxostat a la même interaction avec l'azathioprine</w:t>
      </w:r>
      <w:r>
        <w:t xml:space="preserve">, mais est </w:t>
      </w:r>
      <w:r>
        <w:rPr>
          <w:b/>
        </w:rPr>
        <w:t>contre-indiqué</w:t>
      </w:r>
      <w:r>
        <w:t xml:space="preserve"> en association (et non déconseillé comme l'allopurinol).</w:t>
      </w:r>
    </w:p>
    <w:p>
      <w:r/>
      <w:r>
        <w:rPr>
          <w:b/>
        </w:rPr>
        <w:t>Prévention de la toxicité hépatique :</w:t>
      </w:r>
      <w:r/>
    </w:p>
    <w:p>
      <w:pPr>
        <w:pStyle w:val="ListBullet"/>
      </w:pPr>
      <w:r/>
      <w:r>
        <w:rPr>
          <w:b/>
        </w:rPr>
        <w:t>Bilan hépatique (ALAT, ASAT, γ-GT, bilirubine)</w:t>
      </w:r>
      <w:r>
        <w:t xml:space="preserve"> : avant initiation, à 1 mois, puis trimestrielle. Arrêt si ALAT &gt; 3 × LSN.</w:t>
      </w:r>
    </w:p>
    <w:p>
      <w:pPr>
        <w:pStyle w:val="ListBullet"/>
      </w:pPr>
      <w:r/>
      <w:r>
        <w:rPr>
          <w:b/>
        </w:rPr>
        <w:t>Surveillance accrue</w:t>
      </w:r>
      <w:r>
        <w:t xml:space="preserve"> chez les patients avec hépatopathie chronique ou alcoolisme chronique.</w:t>
      </w:r>
    </w:p>
    <w:p>
      <w:r/>
      <w:r>
        <w:rPr>
          <w:b/>
        </w:rPr>
        <w:t>Prévention de la toxicité rénale :</w:t>
      </w:r>
      <w:r/>
    </w:p>
    <w:p>
      <w:pPr>
        <w:pStyle w:val="ListBullet"/>
      </w:pPr>
      <w:r/>
      <w:r>
        <w:rPr>
          <w:b/>
        </w:rPr>
        <w:t>Créatininémie</w:t>
      </w:r>
      <w:r>
        <w:t xml:space="preserve"> : avant initiation, à 1 mois, puis trimestrielle, puis semestrielle. Adaptation posologique si baisse de la clairance.</w:t>
      </w:r>
    </w:p>
    <w:p>
      <w:pPr>
        <w:pStyle w:val="ListBullet"/>
      </w:pPr>
      <w:r/>
      <w:r>
        <w:rPr>
          <w:b/>
        </w:rPr>
        <w:t>Hydratation abondante</w:t>
      </w:r>
      <w:r>
        <w:t xml:space="preserve"> : ≥ 2 L/jour d'eau, idéalement riche en bicarbonate (Vichy Célestins, St-Yorre).</w:t>
      </w:r>
    </w:p>
    <w:p>
      <w:pPr>
        <w:pStyle w:val="ListBullet"/>
      </w:pPr>
      <w:r/>
      <w:r>
        <w:rPr>
          <w:b/>
        </w:rPr>
        <w:t>Alcalinisation des urines</w:t>
      </w:r>
      <w:r>
        <w:t xml:space="preserve"> (pH urinaire ≥ 6,5) : bicarbonate de sodium 1 g × 3/jour, ou citrate de potassium, en particulier en cas de lithiase urique associée.</w:t>
      </w:r>
    </w:p>
    <w:p>
      <w:pPr>
        <w:pStyle w:val="Heading4"/>
      </w:pPr>
      <w:r>
        <w:t>6. Interactions médicamenteuses</w:t>
      </w:r>
    </w:p>
    <w:p>
      <w:r>
        <w:t>Les interactions médicamenteuses de l'allopurinol sont majeures et potentiellement graves. Elles justifient une analyse pharmaceutique systématique de toutes les prescriptions.</w:t>
      </w:r>
    </w:p>
    <w:p>
      <w:r/>
      <w:r>
        <w:rPr>
          <w:b/>
        </w:rPr>
        <w:t>Contre-indications absolues (association INTERDITE) :</w:t>
      </w:r>
      <w:r/>
    </w:p>
    <w:p>
      <w:pPr>
        <w:pStyle w:val="ListBullet"/>
      </w:pPr>
      <w:r/>
      <w:r>
        <w:rPr>
          <w:b/>
        </w:rPr>
        <w:t>Azathioprine ou 6-mercaptopurine à dose standard</w:t>
      </w:r>
      <w:r>
        <w:t xml:space="preserve"> : l'allopurinol inhibe la xanthine oxydase qui métabolise l'azathioprine en acide thiourique inactif. L'association à dose standard d'azathioprine entraîne une augmentation massive des concentrations d'azathioprine et de son métabolite actif (6-thioguanine nucleotide), responsable d'une toxicité médullaire sévère (aplasie médullaire, pancytopénie, sepsis). Si l'association est indispensable (transplantation d'organe, maladie inflammatoire chronique intestinale), réduire l'azathioprine à 25 % de la dose standard, et surveiller NFS plaquettaire 2 fois par semaine pendant le 1er mois.</w:t>
      </w:r>
    </w:p>
    <w:p>
      <w:pPr>
        <w:pStyle w:val="ListBullet"/>
      </w:pPr>
      <w:r/>
      <w:r>
        <w:rPr>
          <w:b/>
        </w:rPr>
        <w:t>Didanosine (antirétroviral)</w:t>
      </w:r>
      <w:r>
        <w:t xml:space="preserve"> : l'allopurinol augmente les concentrations de didanosine (inhibition de la métabolisation par la xanthine oxydase). Risque de toxicité mitochondriale (pancréatite, neuropathie, lactacidose). Contre-indiquée.</w:t>
      </w:r>
    </w:p>
    <w:p>
      <w:r/>
      <w:r>
        <w:rPr>
          <w:b/>
        </w:rPr>
        <w:t>Associations déconseillées (à éviter) :</w:t>
      </w:r>
      <w:r/>
    </w:p>
    <w:p>
      <w:pPr>
        <w:pStyle w:val="ListBullet"/>
      </w:pPr>
      <w:r/>
      <w:r>
        <w:rPr>
          <w:b/>
        </w:rPr>
        <w:t>Vidarabine (antiviral)</w:t>
      </w:r>
      <w:r>
        <w:t xml:space="preserve"> : augmentation des concentrations de vidarabine, risque de neurotoxicité et de myélotoxicité.</w:t>
      </w:r>
    </w:p>
    <w:p>
      <w:pPr>
        <w:pStyle w:val="ListBullet"/>
      </w:pPr>
      <w:r/>
      <w:r>
        <w:rPr>
          <w:b/>
        </w:rPr>
        <w:t>Anticoagulants oraux (AVK — warfarine)</w:t>
      </w:r>
      <w:r>
        <w:t xml:space="preserve"> : potentialisation de l'effet anticoagulant (inhibition du métabolisme hépatique de la warfarine). Surveillance INR accrue, ajustement posologique.</w:t>
      </w:r>
    </w:p>
    <w:p>
      <w:pPr>
        <w:pStyle w:val="ListBullet"/>
      </w:pPr>
      <w:r/>
      <w:r>
        <w:rPr>
          <w:b/>
        </w:rPr>
        <w:t>Théophylline</w:t>
      </w:r>
      <w:r>
        <w:t xml:space="preserve"> : inhibition de la clairance de la théophylline par la xanthine oxydase. Risque de surdosage en théophylline (nausées, vomissements, convulsions, troubles du rythme). Surveillance théophyllinémie.</w:t>
      </w:r>
    </w:p>
    <w:p>
      <w:r/>
      <w:r>
        <w:rPr>
          <w:b/>
        </w:rPr>
        <w:t>Associations à prendre en compte (vigilance) :</w:t>
      </w:r>
      <w:r/>
    </w:p>
    <w:p>
      <w:pPr>
        <w:pStyle w:val="ListBullet"/>
      </w:pPr>
      <w:r/>
      <w:r>
        <w:rPr>
          <w:b/>
        </w:rPr>
        <w:t>Diurétiques thiazidiques</w:t>
      </w:r>
      <w:r>
        <w:t xml:space="preserve"> : potentialisation de la toxicité de l'allopurinol (le thiazide augmente l'oxypurinol plasmatique par compétition tubulaire). Surveillance accrue, en particulier chez l'insuffisant rénal.</w:t>
      </w:r>
    </w:p>
    <w:p>
      <w:pPr>
        <w:pStyle w:val="ListBullet"/>
      </w:pPr>
      <w:r/>
      <w:r>
        <w:rPr>
          <w:b/>
        </w:rPr>
        <w:t>Aspirine à forte dose</w:t>
      </w:r>
      <w:r>
        <w:t xml:space="preserve"> (&gt; 325 mg/jour) : compétition tubulaire rénale, diminution de l'effet uricosurique de l'aspirine et augmentation de l'oxypurinol plasmatique.</w:t>
      </w:r>
    </w:p>
    <w:p>
      <w:pPr>
        <w:pStyle w:val="ListBullet"/>
      </w:pPr>
      <w:r/>
      <w:r>
        <w:rPr>
          <w:b/>
        </w:rPr>
        <w:t>Ciclosporine</w:t>
      </w:r>
      <w:r>
        <w:t xml:space="preserve"> : augmentation des concentrations de ciclosporine (compétition métabolique). Surveillance ciclosporinémie et fonction rénale.</w:t>
      </w:r>
    </w:p>
    <w:p>
      <w:pPr>
        <w:pStyle w:val="ListBullet"/>
      </w:pPr>
      <w:r/>
      <w:r>
        <w:rPr>
          <w:b/>
        </w:rPr>
        <w:t>Phénytoïne</w:t>
      </w:r>
      <w:r>
        <w:t xml:space="preserve"> : inhibition possible du métabolisme hépatique de la phénytoïne. Surveillance phénytoïnémie.</w:t>
      </w:r>
    </w:p>
    <w:p>
      <w:pPr>
        <w:pStyle w:val="ListBullet"/>
      </w:pPr>
      <w:r/>
      <w:r>
        <w:rPr>
          <w:b/>
        </w:rPr>
        <w:t>Captopril</w:t>
      </w:r>
      <w:r>
        <w:t xml:space="preserve"> : risque accru de réactions cutanées (Stevens-Johnson), particulièrement chez l'insuffisant rénal.</w:t>
      </w:r>
    </w:p>
    <w:p>
      <w:pPr>
        <w:pStyle w:val="ListBullet"/>
      </w:pPr>
      <w:r/>
      <w:r>
        <w:rPr>
          <w:b/>
        </w:rPr>
        <w:t>Ampicilline/amoxicilline</w:t>
      </w:r>
      <w:r>
        <w:t xml:space="preserve"> : risque accru de rash cutané (incidence multipliée par 3).</w:t>
      </w:r>
    </w:p>
    <w:p>
      <w:r/>
      <w:r>
        <w:rPr>
          <w:b/>
        </w:rPr>
        <w:t>Associations sans interaction significative :</w:t>
      </w:r>
      <w:r/>
    </w:p>
    <w:p>
      <w:pPr>
        <w:pStyle w:val="ListBullet"/>
      </w:pPr>
      <w:r/>
      <w:r>
        <w:rPr>
          <w:b/>
        </w:rPr>
        <w:t>Colchicine</w:t>
      </w:r>
      <w:r>
        <w:t xml:space="preserve"> : pas d'interaction pharmacocinétique ni pharmacodynamique majeure. C'est l'association usuelle (colchicine prophylactique + allopurinol hypouricémiant).</w:t>
      </w:r>
    </w:p>
    <w:p>
      <w:pPr>
        <w:pStyle w:val="ListBullet"/>
      </w:pPr>
      <w:r/>
      <w:r>
        <w:rPr>
          <w:b/>
        </w:rPr>
        <w:t>Fébuxostat</w:t>
      </w:r>
      <w:r>
        <w:t xml:space="preserve"> : ne pas associer (pas d'AMM, pas de preuve d'efficacité supérieure, risque accru d'effets indésirables).</w:t>
      </w:r>
    </w:p>
    <w:p>
      <w:pPr>
        <w:pStyle w:val="ListBullet"/>
      </w:pPr>
      <w:r/>
      <w:r>
        <w:rPr>
          <w:b/>
        </w:rPr>
        <w:t>AINS</w:t>
      </w:r>
      <w:r>
        <w:t xml:space="preserve"> : pas d'interaction pharmacocinétique, mais potentialisation de la toxicité digestive.</w:t>
      </w:r>
    </w:p>
    <w:p>
      <w:pPr>
        <w:pStyle w:val="ListBullet"/>
      </w:pPr>
      <w:r/>
      <w:r>
        <w:rPr>
          <w:b/>
        </w:rPr>
        <w:t>Paracétamol</w:t>
      </w:r>
      <w:r>
        <w:t xml:space="preserve"> : pas d'interaction significative.</w:t>
      </w:r>
    </w:p>
    <w:p>
      <w:pPr>
        <w:pStyle w:val="ListBullet"/>
      </w:pPr>
      <w:r/>
      <w:r>
        <w:rPr>
          <w:b/>
        </w:rPr>
        <w:t>Statines</w:t>
      </w:r>
      <w:r>
        <w:t xml:space="preserve"> : pas d'interaction majeure, mais vigilance en cas d'association à la colchicine (myotoxicité).</w:t>
      </w:r>
    </w:p>
    <w:p>
      <w:pPr>
        <w:pStyle w:val="Heading4"/>
      </w:pPr>
      <w:r>
        <w:t>7. Grossesse et allaitement (CRAT)</w:t>
      </w:r>
    </w:p>
    <w:p>
      <w:r/>
      <w:r>
        <w:rPr>
          <w:b/>
        </w:rPr>
        <w:t>Grossesse :</w:t>
      </w:r>
      <w:r/>
    </w:p>
    <w:p>
      <w:r>
        <w:t>L'allopurinol traverse la barrière placentaire par diffusion passive. Les données animales (rat, souris, lapin) ne montrent pas de tératogénicité à doses thérapeutiques, mais une toxicité fœtale à doses très élevées. Les données humaines sont limitées (séries de cas,registres de grossesse exposées) et ne montrent pas d'augmentation significative du taux de malformations congénitales, mais le nombre de patientes exposées est insuffisant pour conclure à l'innocuité complète.</w:t>
      </w:r>
    </w:p>
    <w:p>
      <w:r>
        <w:t xml:space="preserve">Le CRAT classe l'allopurinol comme </w:t>
      </w:r>
      <w:r>
        <w:rPr>
          <w:b/>
        </w:rPr>
        <w:t>« à éviter »</w:t>
      </w:r>
      <w:r>
        <w:t xml:space="preserve"> pendant la grossesse, sauf nécessité absolue. Les indications acceptées sont :</w:t>
      </w:r>
    </w:p>
    <w:p>
      <w:pPr>
        <w:pStyle w:val="ListBullet"/>
      </w:pPr>
      <w:r/>
      <w:r>
        <w:rPr>
          <w:b/>
        </w:rPr>
        <w:t>Syndrome de lyse tumorale</w:t>
      </w:r>
      <w:r>
        <w:t xml:space="preserve"> : l'allopurinol reste le traitement de référence chez la femme enceinte présentant une hémopathie à haut risque de syndrome de lyse tumorale (la rasburicase étant contre-indiquée au 1er trimestre en raison d'un risque théorique tératogène lié à la production de peroxyde d'hydrogène).</w:t>
      </w:r>
    </w:p>
    <w:p>
      <w:pPr>
        <w:pStyle w:val="ListBullet"/>
      </w:pPr>
      <w:r/>
      <w:r>
        <w:rPr>
          <w:b/>
        </w:rPr>
        <w:t>Goutte sévère réfractaire</w:t>
      </w:r>
      <w:r>
        <w:t xml:space="preserve"> avec hyperuricémie &gt; 600 µmol/L (100 mg/L) et tophi multiples : cas exceptionnel, à discuter en milieu spécialisé.</w:t>
      </w:r>
    </w:p>
    <w:p>
      <w:r>
        <w:t>En pratique, chez la femme enceinte présentant une crise aiguë de goutte :</w:t>
      </w:r>
    </w:p>
    <w:p>
      <w:pPr>
        <w:pStyle w:val="ListBullet"/>
      </w:pPr>
      <w:r/>
      <w:r>
        <w:rPr>
          <w:b/>
        </w:rPr>
        <w:t>Crise aiguë</w:t>
      </w:r>
      <w:r>
        <w:t xml:space="preserve"> : éviter la colchicine et l'allopurinol. Préférer la corticothérapie (prednisone 20–30 mg/jour pendant 5–7 jours), compatible avec la grossesse.</w:t>
      </w:r>
    </w:p>
    <w:p>
      <w:pPr>
        <w:pStyle w:val="ListBullet"/>
      </w:pPr>
      <w:r/>
      <w:r>
        <w:rPr>
          <w:b/>
        </w:rPr>
        <w:t>Traitement de fond</w:t>
      </w:r>
      <w:r>
        <w:t xml:space="preserve"> : reporter l'initiation de l'hypouricémiant en post-partum. Si hyperuricémie sévère symptomatique, discussion spécialisée.</w:t>
      </w:r>
    </w:p>
    <w:p>
      <w:r/>
      <w:r>
        <w:rPr>
          <w:b/>
        </w:rPr>
        <w:t>Allaitement :</w:t>
      </w:r>
      <w:r/>
    </w:p>
    <w:p>
      <w:r>
        <w:t>L'allopurinol et l'oxypurinol passent dans le lait maternel à de faibles concentrations (rapport lait/plasma ≈ 0,5 pour l'allopurinol, ≈ 0,9 pour l'oxypurinol). Les données de la littérature (séries limitées de patientes allaitant sous allopurinol) ne montrent pas d'effet indésirable chez le nouveau-né allaité (cytopénies, troubles digestifs, éruptions cutanées).</w:t>
      </w:r>
    </w:p>
    <w:p>
      <w:r>
        <w:t xml:space="preserve">Le CRAT classe l'allopurinol comme </w:t>
      </w:r>
      <w:r>
        <w:rPr>
          <w:b/>
        </w:rPr>
        <w:t>« compatible avec l'allaitement »</w:t>
      </w:r>
      <w:r>
        <w:t xml:space="preserve"> à dose standard (100–300 mg/jour). Recommandations pratiques :</w:t>
      </w:r>
    </w:p>
    <w:p>
      <w:pPr>
        <w:pStyle w:val="ListBullet"/>
      </w:pPr>
      <w:r/>
      <w:r>
        <w:rPr>
          <w:b/>
        </w:rPr>
        <w:t>Privilégier l'allaitement maternel</w:t>
      </w:r>
      <w:r>
        <w:t>, qui est le mode d'alimentation recommandé pour le nouveau-né.</w:t>
      </w:r>
    </w:p>
    <w:p>
      <w:pPr>
        <w:pStyle w:val="ListBullet"/>
      </w:pPr>
      <w:r/>
      <w:r>
        <w:rPr>
          <w:b/>
        </w:rPr>
        <w:t>Surveillance clinique du nouveau-né</w:t>
      </w:r>
      <w:r>
        <w:t xml:space="preserve"> : recherche de troubles digestifs (diarrhée), d'éruptions cutanées, de cytopénies (NFS plaquettaire si doute).</w:t>
      </w:r>
    </w:p>
    <w:p>
      <w:pPr>
        <w:pStyle w:val="ListBullet"/>
      </w:pPr>
      <w:r/>
      <w:r>
        <w:rPr>
          <w:b/>
        </w:rPr>
        <w:t>Dose maximale pendant l'allaitement</w:t>
      </w:r>
      <w:r>
        <w:t xml:space="preserve"> : 300 mg/jour (au-delà, prudence accrue).</w:t>
      </w:r>
    </w:p>
    <w:p>
      <w:pPr>
        <w:pStyle w:val="ListBullet"/>
      </w:pPr>
      <w:r/>
      <w:r>
        <w:rPr>
          <w:b/>
        </w:rPr>
        <w:t>Si goutte sévère réfractaire à 300 mg/jour pendant l'allaitement</w:t>
      </w:r>
      <w:r>
        <w:t xml:space="preserve"> : envisager le sevrage de l'allaitement ou le relais par fébuxostat (compatible avec l'allaitement selon CRAT, mais données plus limitées).</w:t>
      </w:r>
    </w:p>
    <w:p>
      <w:pPr>
        <w:pStyle w:val="Heading4"/>
      </w:pPr>
      <w:r>
        <w:t>8. Posologie et mode d'administration</w:t>
      </w:r>
    </w:p>
    <w:p>
      <w:r/>
      <w:r>
        <w:rPr>
          <w:b/>
        </w:rPr>
        <w:t>Posologie chez l'adulte (fonction rénale normale) :</w:t>
      </w:r>
      <w:r/>
    </w:p>
    <w:p>
      <w:pPr>
        <w:pStyle w:val="ListBullet"/>
      </w:pPr>
      <w:r/>
      <w:r>
        <w:rPr>
          <w:b/>
        </w:rPr>
        <w:t>Initiation</w:t>
      </w:r>
      <w:r>
        <w:t xml:space="preserve"> : 100 mg/jour en une prise, à débuter </w:t>
      </w:r>
      <w:r>
        <w:rPr>
          <w:b/>
        </w:rPr>
        <w:t>après la résolution complète de la dernière crise de goutte</w:t>
      </w:r>
      <w:r>
        <w:t xml:space="preserve"> (attendre 1 à 2 semaines après la crise).</w:t>
      </w:r>
    </w:p>
    <w:p>
      <w:pPr>
        <w:pStyle w:val="ListBullet"/>
      </w:pPr>
      <w:r/>
      <w:r>
        <w:rPr>
          <w:b/>
        </w:rPr>
        <w:t>Titration</w:t>
      </w:r>
      <w:r>
        <w:t xml:space="preserve"> : augmenter par paliers de 100 mg toutes les 2 à 4 semaines, sous surveillance de l'uricémie (objectif &lt; 360 µmol/L ou &lt; 300 µmol/L si tophi). Ne pas dépasser une augmentation de 100 mg par palier.</w:t>
      </w:r>
    </w:p>
    <w:p>
      <w:pPr>
        <w:pStyle w:val="ListBullet"/>
      </w:pPr>
      <w:r/>
      <w:r>
        <w:rPr>
          <w:b/>
        </w:rPr>
        <w:t>Dose d'entretien usuelle</w:t>
      </w:r>
      <w:r>
        <w:t xml:space="preserve"> : 200 à 300 mg/jour en une prise. La majorité des patients atteignent l'objectif d'uricémie avec 300 mg/jour.</w:t>
      </w:r>
    </w:p>
    <w:p>
      <w:pPr>
        <w:pStyle w:val="ListBullet"/>
      </w:pPr>
      <w:r/>
      <w:r>
        <w:rPr>
          <w:b/>
        </w:rPr>
        <w:t>Dose maximale</w:t>
      </w:r>
      <w:r>
        <w:t xml:space="preserve"> : 900 mg/jour (au-delà de l'AMM française de 300 mg/jour, mais recommandé par EULAR 2016 et ACR 2020 en cas d'échec à 300 mg/jour). Au-delà de 300 mg/jour, surveillance accrue ( NFS plaquettaire, transaminases, créatininémie).</w:t>
      </w:r>
    </w:p>
    <w:p>
      <w:pPr>
        <w:pStyle w:val="ListBullet"/>
      </w:pPr>
      <w:r/>
      <w:r>
        <w:rPr>
          <w:b/>
        </w:rPr>
        <w:t>Prophylaxie associée des crises d'initiation</w:t>
      </w:r>
      <w:r>
        <w:t xml:space="preserve"> : colchicine 0,5–1 mg/jour pendant 3 à 6 mois (jusqu'à 12 mois en cas de tophi).</w:t>
      </w:r>
    </w:p>
    <w:p>
      <w:r/>
      <w:r>
        <w:rPr>
          <w:b/>
        </w:rPr>
        <w:t>Posologie chez le sujet âgé (&gt; 75 ans) :</w:t>
      </w:r>
      <w:r/>
    </w:p>
    <w:p>
      <w:pPr>
        <w:pStyle w:val="ListBullet"/>
      </w:pPr>
      <w:r/>
      <w:r>
        <w:rPr>
          <w:b/>
        </w:rPr>
        <w:t>Initiation</w:t>
      </w:r>
      <w:r>
        <w:t xml:space="preserve"> : 50 mg/jour (1/2 comprimé de 100 mg).</w:t>
      </w:r>
    </w:p>
    <w:p>
      <w:pPr>
        <w:pStyle w:val="ListBullet"/>
      </w:pPr>
      <w:r/>
      <w:r>
        <w:rPr>
          <w:b/>
        </w:rPr>
        <w:t>Titration</w:t>
      </w:r>
      <w:r>
        <w:t xml:space="preserve"> : augmenter par paliers de 50 mg toutes les 2 à 4 semaines.</w:t>
      </w:r>
    </w:p>
    <w:p>
      <w:pPr>
        <w:pStyle w:val="ListBullet"/>
      </w:pPr>
      <w:r/>
      <w:r>
        <w:rPr>
          <w:b/>
        </w:rPr>
        <w:t>Dose d'entretien</w:t>
      </w:r>
      <w:r>
        <w:t xml:space="preserve"> : 100–200 mg/jour.</w:t>
      </w:r>
    </w:p>
    <w:p>
      <w:r/>
      <w:r>
        <w:rPr>
          <w:b/>
        </w:rPr>
        <w:t>Posologie en cas d'insuffisance rénale :</w:t>
      </w:r>
      <w:r/>
    </w:p>
    <w:p>
      <w:r>
        <w:t>L'allopurinol et l'oxypurinol sont éliminés principalement par voie rénale. L'accumulation de l'oxypurinol en cas d'insuffisance rénale expose à un risque accru de toxicité (DRESS, hépatite, neuropathie). Adaptation posologique obligatoire selon la clairance de la créatinine (calculée par formule CKD-EPI) :</w:t>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sz w:val="20"/>
              </w:rPr>
              <w:t>Clairance créatinine (mL/min)</w:t>
            </w:r>
          </w:p>
        </w:tc>
        <w:tc>
          <w:tcPr>
            <w:tcW w:type="dxa" w:w="2339"/>
          </w:tcPr>
          <w:p>
            <w:r>
              <w:rPr>
                <w:b/>
                <w:sz w:val="20"/>
              </w:rPr>
              <w:t>Dose initiale</w:t>
            </w:r>
          </w:p>
        </w:tc>
        <w:tc>
          <w:tcPr>
            <w:tcW w:type="dxa" w:w="2339"/>
          </w:tcPr>
          <w:p>
            <w:r>
              <w:rPr>
                <w:b/>
                <w:sz w:val="20"/>
              </w:rPr>
              <w:t>Dose maximale</w:t>
            </w:r>
          </w:p>
        </w:tc>
        <w:tc>
          <w:tcPr>
            <w:tcW w:type="dxa" w:w="2339"/>
          </w:tcPr>
          <w:p>
            <w:r>
              <w:rPr>
                <w:b/>
                <w:sz w:val="20"/>
              </w:rPr>
              <w:t>Titration</w:t>
            </w:r>
          </w:p>
        </w:tc>
      </w:tr>
      <w:tr>
        <w:tc>
          <w:tcPr>
            <w:tcW w:type="dxa" w:w="2339"/>
          </w:tcPr>
          <w:p>
            <w:r>
              <w:rPr>
                <w:sz w:val="20"/>
              </w:rPr>
              <w:t>&gt; 80</w:t>
            </w:r>
          </w:p>
        </w:tc>
        <w:tc>
          <w:tcPr>
            <w:tcW w:type="dxa" w:w="2339"/>
          </w:tcPr>
          <w:p>
            <w:r>
              <w:rPr>
                <w:sz w:val="20"/>
              </w:rPr>
              <w:t>100 mg/jour</w:t>
            </w:r>
          </w:p>
        </w:tc>
        <w:tc>
          <w:tcPr>
            <w:tcW w:type="dxa" w:w="2339"/>
          </w:tcPr>
          <w:p>
            <w:r>
              <w:rPr>
                <w:sz w:val="20"/>
              </w:rPr>
              <w:t>900 mg/jour</w:t>
            </w:r>
          </w:p>
        </w:tc>
        <w:tc>
          <w:tcPr>
            <w:tcW w:type="dxa" w:w="2339"/>
          </w:tcPr>
          <w:p>
            <w:r>
              <w:rPr>
                <w:sz w:val="20"/>
              </w:rPr>
              <w:t>+ 100 mg toutes les 2–4 semaines</w:t>
            </w:r>
          </w:p>
        </w:tc>
      </w:tr>
      <w:tr>
        <w:tc>
          <w:tcPr>
            <w:tcW w:type="dxa" w:w="2339"/>
          </w:tcPr>
          <w:p>
            <w:r>
              <w:rPr>
                <w:sz w:val="20"/>
              </w:rPr>
              <w:t>60–80</w:t>
            </w:r>
          </w:p>
        </w:tc>
        <w:tc>
          <w:tcPr>
            <w:tcW w:type="dxa" w:w="2339"/>
          </w:tcPr>
          <w:p>
            <w:r>
              <w:rPr>
                <w:sz w:val="20"/>
              </w:rPr>
              <w:t>100 mg/jour</w:t>
            </w:r>
          </w:p>
        </w:tc>
        <w:tc>
          <w:tcPr>
            <w:tcW w:type="dxa" w:w="2339"/>
          </w:tcPr>
          <w:p>
            <w:r>
              <w:rPr>
                <w:sz w:val="20"/>
              </w:rPr>
              <w:t>300 mg/jour</w:t>
            </w:r>
          </w:p>
        </w:tc>
        <w:tc>
          <w:tcPr>
            <w:tcW w:type="dxa" w:w="2339"/>
          </w:tcPr>
          <w:p>
            <w:r>
              <w:rPr>
                <w:sz w:val="20"/>
              </w:rPr>
              <w:t>+ 100 mg toutes les 2–4 semaines</w:t>
            </w:r>
          </w:p>
        </w:tc>
      </w:tr>
      <w:tr>
        <w:tc>
          <w:tcPr>
            <w:tcW w:type="dxa" w:w="2339"/>
          </w:tcPr>
          <w:p>
            <w:r>
              <w:rPr>
                <w:sz w:val="20"/>
              </w:rPr>
              <w:t>40–60</w:t>
            </w:r>
          </w:p>
        </w:tc>
        <w:tc>
          <w:tcPr>
            <w:tcW w:type="dxa" w:w="2339"/>
          </w:tcPr>
          <w:p>
            <w:r>
              <w:rPr>
                <w:sz w:val="20"/>
              </w:rPr>
              <w:t>50–100 mg/jour</w:t>
            </w:r>
          </w:p>
        </w:tc>
        <w:tc>
          <w:tcPr>
            <w:tcW w:type="dxa" w:w="2339"/>
          </w:tcPr>
          <w:p>
            <w:r>
              <w:rPr>
                <w:sz w:val="20"/>
              </w:rPr>
              <w:t>200 mg/jour</w:t>
            </w:r>
          </w:p>
        </w:tc>
        <w:tc>
          <w:tcPr>
            <w:tcW w:type="dxa" w:w="2339"/>
          </w:tcPr>
          <w:p>
            <w:r>
              <w:rPr>
                <w:sz w:val="20"/>
              </w:rPr>
              <w:t>+ 50 mg toutes les 2–4 semaines</w:t>
            </w:r>
          </w:p>
        </w:tc>
      </w:tr>
      <w:tr>
        <w:tc>
          <w:tcPr>
            <w:tcW w:type="dxa" w:w="2339"/>
          </w:tcPr>
          <w:p>
            <w:r>
              <w:rPr>
                <w:sz w:val="20"/>
              </w:rPr>
              <w:t>30–40</w:t>
            </w:r>
          </w:p>
        </w:tc>
        <w:tc>
          <w:tcPr>
            <w:tcW w:type="dxa" w:w="2339"/>
          </w:tcPr>
          <w:p>
            <w:r>
              <w:rPr>
                <w:sz w:val="20"/>
              </w:rPr>
              <w:t>50 mg/jour</w:t>
            </w:r>
          </w:p>
        </w:tc>
        <w:tc>
          <w:tcPr>
            <w:tcW w:type="dxa" w:w="2339"/>
          </w:tcPr>
          <w:p>
            <w:r>
              <w:rPr>
                <w:sz w:val="20"/>
              </w:rPr>
              <w:t>150 mg/jour</w:t>
            </w:r>
          </w:p>
        </w:tc>
        <w:tc>
          <w:tcPr>
            <w:tcW w:type="dxa" w:w="2339"/>
          </w:tcPr>
          <w:p>
            <w:r>
              <w:rPr>
                <w:sz w:val="20"/>
              </w:rPr>
              <w:t>+ 50 mg toutes les 2–4 semaines</w:t>
            </w:r>
          </w:p>
        </w:tc>
      </w:tr>
      <w:tr>
        <w:tc>
          <w:tcPr>
            <w:tcW w:type="dxa" w:w="2339"/>
          </w:tcPr>
          <w:p>
            <w:r>
              <w:rPr>
                <w:sz w:val="20"/>
              </w:rPr>
              <w:t>20–30</w:t>
            </w:r>
          </w:p>
        </w:tc>
        <w:tc>
          <w:tcPr>
            <w:tcW w:type="dxa" w:w="2339"/>
          </w:tcPr>
          <w:p>
            <w:r>
              <w:rPr>
                <w:sz w:val="20"/>
              </w:rPr>
              <w:t>50 mg/jour</w:t>
            </w:r>
          </w:p>
        </w:tc>
        <w:tc>
          <w:tcPr>
            <w:tcW w:type="dxa" w:w="2339"/>
          </w:tcPr>
          <w:p>
            <w:r>
              <w:rPr>
                <w:sz w:val="20"/>
              </w:rPr>
              <w:t>100 mg/jour</w:t>
            </w:r>
          </w:p>
        </w:tc>
        <w:tc>
          <w:tcPr>
            <w:tcW w:type="dxa" w:w="2339"/>
          </w:tcPr>
          <w:p>
            <w:r>
              <w:rPr>
                <w:sz w:val="20"/>
              </w:rPr>
              <w:t>+ 25 mg toutes les 4 semaines</w:t>
            </w:r>
          </w:p>
        </w:tc>
      </w:tr>
      <w:tr>
        <w:tc>
          <w:tcPr>
            <w:tcW w:type="dxa" w:w="2339"/>
          </w:tcPr>
          <w:p>
            <w:r>
              <w:rPr>
                <w:sz w:val="20"/>
              </w:rPr>
              <w:t>10–20</w:t>
            </w:r>
          </w:p>
        </w:tc>
        <w:tc>
          <w:tcPr>
            <w:tcW w:type="dxa" w:w="2339"/>
          </w:tcPr>
          <w:p>
            <w:r>
              <w:rPr>
                <w:sz w:val="20"/>
              </w:rPr>
              <w:t>50 mg 1 jour sur 2</w:t>
            </w:r>
          </w:p>
        </w:tc>
        <w:tc>
          <w:tcPr>
            <w:tcW w:type="dxa" w:w="2339"/>
          </w:tcPr>
          <w:p>
            <w:r>
              <w:rPr>
                <w:sz w:val="20"/>
              </w:rPr>
              <w:t>75 mg/jour</w:t>
            </w:r>
          </w:p>
        </w:tc>
        <w:tc>
          <w:tcPr>
            <w:tcW w:type="dxa" w:w="2339"/>
          </w:tcPr>
          <w:p>
            <w:r>
              <w:rPr>
                <w:sz w:val="20"/>
              </w:rPr>
              <w:t>Surveillance étroite</w:t>
            </w:r>
          </w:p>
        </w:tc>
      </w:tr>
      <w:tr>
        <w:tc>
          <w:tcPr>
            <w:tcW w:type="dxa" w:w="2339"/>
          </w:tcPr>
          <w:p>
            <w:r>
              <w:rPr>
                <w:sz w:val="20"/>
              </w:rPr>
              <w:t>&lt; 10</w:t>
            </w:r>
          </w:p>
        </w:tc>
        <w:tc>
          <w:tcPr>
            <w:tcW w:type="dxa" w:w="2339"/>
          </w:tcPr>
          <w:p>
            <w:r>
              <w:rPr>
                <w:sz w:val="20"/>
              </w:rPr>
              <w:t>50 mg 1 jour sur 2</w:t>
            </w:r>
          </w:p>
        </w:tc>
        <w:tc>
          <w:tcPr>
            <w:tcW w:type="dxa" w:w="2339"/>
          </w:tcPr>
          <w:p>
            <w:r>
              <w:rPr>
                <w:sz w:val="20"/>
              </w:rPr>
              <w:t>50 mg/jour</w:t>
            </w:r>
          </w:p>
        </w:tc>
        <w:tc>
          <w:tcPr>
            <w:tcW w:type="dxa" w:w="2339"/>
          </w:tcPr>
          <w:p>
            <w:r>
              <w:rPr>
                <w:sz w:val="20"/>
              </w:rPr>
              <w:t>Privilégier le fébuxostat</w:t>
            </w:r>
          </w:p>
        </w:tc>
      </w:tr>
    </w:tbl>
    <w:p/>
    <w:p>
      <w:r/>
      <w:r>
        <w:rPr>
          <w:b/>
        </w:rPr>
        <w:t>Posologie en cas d'insuffisance hépatique :</w:t>
      </w:r>
      <w:r/>
    </w:p>
    <w:p>
      <w:pPr>
        <w:pStyle w:val="ListBullet"/>
      </w:pPr>
      <w:r/>
      <w:r>
        <w:rPr>
          <w:b/>
        </w:rPr>
        <w:t>Hépatopathie chronique modérée</w:t>
      </w:r>
      <w:r>
        <w:t xml:space="preserve"> : posologie standard, surveillance des transaminases.</w:t>
      </w:r>
    </w:p>
    <w:p>
      <w:pPr>
        <w:pStyle w:val="ListBullet"/>
      </w:pPr>
      <w:r/>
      <w:r>
        <w:rPr>
          <w:b/>
        </w:rPr>
        <w:t>Insuffisance hépatique sévère</w:t>
      </w:r>
      <w:r>
        <w:t xml:space="preserve"> (Child-Pugh C) : prudence, surveillance étroite.</w:t>
      </w:r>
    </w:p>
    <w:p>
      <w:r/>
      <w:r>
        <w:rPr>
          <w:b/>
        </w:rPr>
        <w:t>Posologie en cas de dialyse :</w:t>
      </w:r>
      <w:r/>
    </w:p>
    <w:p>
      <w:pPr>
        <w:pStyle w:val="ListBullet"/>
      </w:pPr>
      <w:r/>
      <w:r>
        <w:rPr>
          <w:b/>
        </w:rPr>
        <w:t>Hémodialyse</w:t>
      </w:r>
      <w:r>
        <w:t xml:space="preserve"> : 50–100 mg après chaque séance de dialyse (3 fois par semaine). Préférer le fébuxostat en cas d'échec.</w:t>
      </w:r>
    </w:p>
    <w:p>
      <w:pPr>
        <w:pStyle w:val="ListBullet"/>
      </w:pPr>
      <w:r/>
      <w:r>
        <w:rPr>
          <w:b/>
        </w:rPr>
        <w:t>Dialyse péritonéale</w:t>
      </w:r>
      <w:r>
        <w:t xml:space="preserve"> : 50 mg 1 jour sur 2.</w:t>
      </w:r>
    </w:p>
    <w:p>
      <w:r/>
      <w:r>
        <w:rPr>
          <w:b/>
        </w:rPr>
        <w:t>Mode d'administration :</w:t>
      </w:r>
      <w:r/>
    </w:p>
    <w:p>
      <w:pPr>
        <w:pStyle w:val="ListBullet"/>
      </w:pPr>
      <w:r/>
      <w:r>
        <w:rPr>
          <w:b/>
        </w:rPr>
        <w:t>Voie orale exclusive</w:t>
      </w:r>
      <w:r>
        <w:t xml:space="preserve"> (forme injectable non disponible en Algérie).</w:t>
      </w:r>
    </w:p>
    <w:p>
      <w:pPr>
        <w:pStyle w:val="ListBullet"/>
      </w:pPr>
      <w:r/>
      <w:r>
        <w:rPr>
          <w:b/>
        </w:rPr>
        <w:t>Pendant ou après le repas</w:t>
      </w:r>
      <w:r>
        <w:t xml:space="preserve"> : pour réduire les effets digestifs (nausées).</w:t>
      </w:r>
    </w:p>
    <w:p>
      <w:pPr>
        <w:pStyle w:val="ListBullet"/>
      </w:pPr>
      <w:r/>
      <w:r>
        <w:rPr>
          <w:b/>
        </w:rPr>
        <w:t>Prise unique</w:t>
      </w:r>
      <w:r>
        <w:t xml:space="preserve"> le soir à heure fixe (en raison de la longue demi-vie de l'oxypurinol).</w:t>
      </w:r>
    </w:p>
    <w:p>
      <w:pPr>
        <w:pStyle w:val="ListBullet"/>
      </w:pPr>
      <w:r/>
      <w:r>
        <w:rPr>
          <w:b/>
        </w:rPr>
        <w:t>Comprimé non sécable</w:t>
      </w:r>
      <w:r>
        <w:t xml:space="preserve"> (sauf si le patient utilise un comprimé-cutter) : pour adapter la dose à 50 mg, couper un comprimé de 100 mg en deux. Vérifier la sécabilité à la dispensation.</w:t>
      </w:r>
    </w:p>
    <w:p>
      <w:pPr>
        <w:pStyle w:val="ListBullet"/>
      </w:pPr>
      <w:r/>
      <w:r>
        <w:rPr>
          <w:b/>
        </w:rPr>
        <w:t>Hydratation abondante</w:t>
      </w:r>
      <w:r>
        <w:t xml:space="preserve"> : ≥ 2 L/jour d'eau, idéalement riche en bicarbonate (Vichy Célestins, St-Yorre).</w:t>
      </w:r>
    </w:p>
    <w:p>
      <w:r/>
      <w:r>
        <w:rPr>
          <w:b/>
        </w:rPr>
        <w:t>Règles d'initiation (résumé) :</w:t>
      </w:r>
      <w:r/>
    </w:p>
    <w:p>
      <w:pPr>
        <w:pStyle w:val="ListNumber"/>
      </w:pPr>
      <w:r/>
      <w:r>
        <w:rPr>
          <w:b/>
        </w:rPr>
        <w:t>Ne pas débuter pendant une crise aiguë</w:t>
      </w:r>
      <w:r>
        <w:t xml:space="preserve"> : attendre la résolution complète (1–2 semaines).</w:t>
      </w:r>
    </w:p>
    <w:p>
      <w:pPr>
        <w:pStyle w:val="ListNumber"/>
      </w:pPr>
      <w:r/>
      <w:r>
        <w:rPr>
          <w:b/>
        </w:rPr>
        <w:t>Initier à faible dose</w:t>
      </w:r>
      <w:r>
        <w:t xml:space="preserve"> : 100 mg/jour (50 mg/jour si insuffisance rénale ou sujet âgé).</w:t>
      </w:r>
    </w:p>
    <w:p>
      <w:pPr>
        <w:pStyle w:val="ListNumber"/>
      </w:pPr>
      <w:r/>
      <w:r>
        <w:rPr>
          <w:b/>
        </w:rPr>
        <w:t>Titration progressive</w:t>
      </w:r>
      <w:r>
        <w:t xml:space="preserve"> : + 100 mg toutes les 2 à 4 semaines.</w:t>
      </w:r>
    </w:p>
    <w:p>
      <w:pPr>
        <w:pStyle w:val="ListNumber"/>
      </w:pPr>
      <w:r/>
      <w:r>
        <w:rPr>
          <w:b/>
        </w:rPr>
        <w:t>Prophylaxie systématique des crises</w:t>
      </w:r>
      <w:r>
        <w:t xml:space="preserve"> : colchicine 0,5–1 mg/jour pendant 3–6 mois.</w:t>
      </w:r>
    </w:p>
    <w:p>
      <w:pPr>
        <w:pStyle w:val="ListNumber"/>
      </w:pPr>
      <w:r/>
      <w:r>
        <w:rPr>
          <w:b/>
        </w:rPr>
        <w:t>Surveillance uricémie</w:t>
      </w:r>
      <w:r>
        <w:t xml:space="preserve"> : mensuelle pendant la titration, puis semestrielle.</w:t>
      </w:r>
    </w:p>
    <w:p>
      <w:pPr>
        <w:pStyle w:val="ListNumber"/>
      </w:pPr>
      <w:r/>
      <w:r>
        <w:rPr>
          <w:b/>
        </w:rPr>
        <w:t>Surveillance biologique</w:t>
      </w:r>
      <w:r>
        <w:t xml:space="preserve"> : NFS plaquettaire, créatininémie, transaminases, trimestrielle pendant 6 mois, puis semestrielle.</w:t>
      </w:r>
    </w:p>
    <w:p>
      <w:pPr>
        <w:pStyle w:val="Heading4"/>
      </w:pPr>
      <w:r>
        <w:t>9. Surveillance biologique et suivi clinique</w:t>
      </w:r>
    </w:p>
    <w:p>
      <w:r/>
      <w:r>
        <w:rPr>
          <w:b/>
        </w:rPr>
        <w:t>Bilan pré-thérapeutique (avant initiation) :</w:t>
      </w:r>
      <w:r/>
    </w:p>
    <w:p>
      <w:pPr>
        <w:pStyle w:val="ListBullet"/>
      </w:pPr>
      <w:r>
        <w:t>Créatininémie avec calcul de la clairance (formule CKD-EPI).</w:t>
      </w:r>
    </w:p>
    <w:p>
      <w:pPr>
        <w:pStyle w:val="ListBullet"/>
      </w:pPr>
      <w:r>
        <w:t>Bilan hépatique : ALAT, ASAT, γ-GT, bilirubine totale et conjuguée.</w:t>
      </w:r>
    </w:p>
    <w:p>
      <w:pPr>
        <w:pStyle w:val="ListBullet"/>
      </w:pPr>
      <w:r>
        <w:t>NFS plaquettaire complète.</w:t>
      </w:r>
    </w:p>
    <w:p>
      <w:pPr>
        <w:pStyle w:val="ListBullet"/>
      </w:pPr>
      <w:r>
        <w:t>Uricémie de base (pour évaluation de l'efficacité).</w:t>
      </w:r>
    </w:p>
    <w:p>
      <w:pPr>
        <w:pStyle w:val="ListBullet"/>
      </w:pPr>
      <w:r>
        <w:t>Échographie rénale (recherche de lithiase uratique).</w:t>
      </w:r>
    </w:p>
    <w:p>
      <w:pPr>
        <w:pStyle w:val="ListBullet"/>
      </w:pPr>
      <w:r>
        <w:t>Électrophorèse des protéines plasmatiques (recherche de gammapathie monoclonale si goutte paranéoplasique suspectée).</w:t>
      </w:r>
    </w:p>
    <w:p>
      <w:pPr>
        <w:pStyle w:val="ListBullet"/>
      </w:pPr>
      <w:r>
        <w:t>Examen ophtalmologique de base (en cas de traitement prolongé, surveillance de la cataracte).</w:t>
      </w:r>
    </w:p>
    <w:p>
      <w:pPr>
        <w:pStyle w:val="ListBullet"/>
      </w:pPr>
      <w:r>
        <w:t>Test de grossesse chez la femme en âge de procréer.</w:t>
      </w:r>
    </w:p>
    <w:p>
      <w:r/>
      <w:r>
        <w:rPr>
          <w:b/>
        </w:rPr>
        <w:t>Surveillance en cours de traitement :</w:t>
      </w:r>
      <w:r/>
    </w:p>
    <w:p>
      <w:pPr>
        <w:pStyle w:val="ListBullet"/>
      </w:pPr>
      <w:r/>
      <w:r>
        <w:rPr>
          <w:b/>
        </w:rPr>
        <w:t>Uricémie</w:t>
      </w:r>
      <w:r>
        <w:t xml:space="preserve"> : mensuelle pendant la titration (jusqu'à l'objectif &lt; 360 µmol/L ou &lt; 300 µmol/L si tophi), puis tous les 6 mois.</w:t>
      </w:r>
    </w:p>
    <w:p>
      <w:pPr>
        <w:pStyle w:val="ListBullet"/>
      </w:pPr>
      <w:r/>
      <w:r>
        <w:rPr>
          <w:b/>
        </w:rPr>
        <w:t>NFS plaquettaire</w:t>
      </w:r>
      <w:r>
        <w:t xml:space="preserve"> : à 15 jours, à 1 mois, puis trimestrielle pendant 6 mois, puis semestrielle.</w:t>
      </w:r>
    </w:p>
    <w:p>
      <w:pPr>
        <w:pStyle w:val="ListBullet"/>
      </w:pPr>
      <w:r/>
      <w:r>
        <w:rPr>
          <w:b/>
        </w:rPr>
        <w:t>Créatininémie</w:t>
      </w:r>
      <w:r>
        <w:t xml:space="preserve"> : mensuelle pendant 3 mois, puis trimestrielle, puis semestrielle. Adaptation posologique si baisse de la clairance.</w:t>
      </w:r>
    </w:p>
    <w:p>
      <w:pPr>
        <w:pStyle w:val="ListBullet"/>
      </w:pPr>
      <w:r/>
      <w:r>
        <w:rPr>
          <w:b/>
        </w:rPr>
        <w:t>Bilan hépatique (ALAT, ASAT, γ-GT, bilirubine)</w:t>
      </w:r>
      <w:r>
        <w:t xml:space="preserve"> : mensuelle pendant 3 mois, puis trimestrielle.</w:t>
      </w:r>
    </w:p>
    <w:p>
      <w:pPr>
        <w:pStyle w:val="ListBullet"/>
      </w:pPr>
      <w:r/>
      <w:r>
        <w:rPr>
          <w:b/>
        </w:rPr>
        <w:t>Urée et créatinine urinaire</w:t>
      </w:r>
      <w:r>
        <w:t xml:space="preserve"> : annuelle (recherche d'une néphropathie uratique).</w:t>
      </w:r>
    </w:p>
    <w:p>
      <w:r/>
      <w:r>
        <w:rPr>
          <w:b/>
        </w:rPr>
        <w:t>Surveillance clinique :</w:t>
      </w:r>
      <w:r/>
    </w:p>
    <w:p>
      <w:pPr>
        <w:pStyle w:val="ListBullet"/>
      </w:pPr>
      <w:r/>
      <w:r>
        <w:rPr>
          <w:b/>
        </w:rPr>
        <w:t>Tolérance cutanée</w:t>
      </w:r>
      <w:r>
        <w:t xml:space="preserve"> : éruptions, prurit. Arrêt immédiat en cas d'éruption étendue, de fièvre, d'adénopathies (suspicions de DRESS). Le syndrome DRESS survient typiquement entre 2 et 8 semaines après l'initiation. Surveillance accrue pendant cette période.</w:t>
      </w:r>
    </w:p>
    <w:p>
      <w:pPr>
        <w:pStyle w:val="ListBullet"/>
      </w:pPr>
      <w:r/>
      <w:r>
        <w:rPr>
          <w:b/>
        </w:rPr>
        <w:t>Tolérance digestive</w:t>
      </w:r>
      <w:r>
        <w:t xml:space="preserve"> : nausées, diarrhée, douleurs abdominales. Réduction posologique si symptômes persistants.</w:t>
      </w:r>
    </w:p>
    <w:p>
      <w:pPr>
        <w:pStyle w:val="ListBullet"/>
      </w:pPr>
      <w:r/>
      <w:r>
        <w:rPr>
          <w:b/>
        </w:rPr>
        <w:t>Tolérance hématologique</w:t>
      </w:r>
      <w:r>
        <w:t xml:space="preserve"> : recherche d'asthénie, de pâleur, de saignements (signes de cytopénie).</w:t>
      </w:r>
    </w:p>
    <w:p>
      <w:pPr>
        <w:pStyle w:val="ListBullet"/>
      </w:pPr>
      <w:r/>
      <w:r>
        <w:rPr>
          <w:b/>
        </w:rPr>
        <w:t>Signes d'alerte de DRESS</w:t>
      </w:r>
      <w:r>
        <w:t xml:space="preserve"> : fièvre (&gt; 38,5 °C), éruption cutanée, adénopathies, hyperéosinophilie, troubles digestifs. Arrêt immédiat et consultation en urgence.</w:t>
      </w:r>
    </w:p>
    <w:p>
      <w:pPr>
        <w:pStyle w:val="ListBullet"/>
      </w:pPr>
      <w:r/>
      <w:r>
        <w:rPr>
          <w:b/>
        </w:rPr>
        <w:t>Surveillance de l'efficacité</w:t>
      </w:r>
      <w:r>
        <w:t xml:space="preserve"> : journal des crises (date, articulation, intensité, facteurs déclenchants). Consultation rhumatologique semestrielle.</w:t>
      </w:r>
    </w:p>
    <w:p>
      <w:r/>
      <w:r>
        <w:rPr>
          <w:b/>
        </w:rPr>
        <w:t>Éducation thérapeutique du patient :</w:t>
      </w:r>
      <w:r/>
    </w:p>
    <w:p>
      <w:pPr>
        <w:pStyle w:val="ListBullet"/>
      </w:pPr>
      <w:r/>
      <w:r>
        <w:rPr>
          <w:b/>
        </w:rPr>
        <w:t>Ne jamais arrêter le traitement</w:t>
      </w:r>
      <w:r>
        <w:t xml:space="preserve"> sans avis médical, même en l'absence de crise. Le traitement est à vie.</w:t>
      </w:r>
    </w:p>
    <w:p>
      <w:pPr>
        <w:pStyle w:val="ListBullet"/>
      </w:pPr>
      <w:r/>
      <w:r>
        <w:rPr>
          <w:b/>
        </w:rPr>
        <w:t>Ne pas arrêter en cas de crise</w:t>
      </w:r>
      <w:r>
        <w:t xml:space="preserve"> : continuer l'allopurinol et traiter la crise par colchicine (ou AINS, ou corticothérapie).</w:t>
      </w:r>
    </w:p>
    <w:p>
      <w:pPr>
        <w:pStyle w:val="ListBullet"/>
      </w:pPr>
      <w:r/>
      <w:r>
        <w:rPr>
          <w:b/>
        </w:rPr>
        <w:t>Respecter la titration progressive</w:t>
      </w:r>
      <w:r>
        <w:t xml:space="preserve"> : ne pas augmenter la dose seul.</w:t>
      </w:r>
    </w:p>
    <w:p>
      <w:pPr>
        <w:pStyle w:val="ListBullet"/>
      </w:pPr>
      <w:r/>
      <w:r>
        <w:rPr>
          <w:b/>
        </w:rPr>
        <w:t>Signes d'alerte à connaître</w:t>
      </w:r>
      <w:r>
        <w:t xml:space="preserve"> : fièvre, éruption cutanée, prurit, asthénie majeure, saignements, douleurs abdominales. Consulter en urgence.</w:t>
      </w:r>
    </w:p>
    <w:p>
      <w:pPr>
        <w:pStyle w:val="ListBullet"/>
      </w:pPr>
      <w:r/>
      <w:r>
        <w:rPr>
          <w:b/>
        </w:rPr>
        <w:t>Surveillance biologique stricte</w:t>
      </w:r>
      <w:r>
        <w:t xml:space="preserve"> : respecter les dates de contrôle.</w:t>
      </w:r>
    </w:p>
    <w:p>
      <w:pPr>
        <w:pStyle w:val="ListBullet"/>
      </w:pPr>
      <w:r/>
      <w:r>
        <w:rPr>
          <w:b/>
        </w:rPr>
        <w:t>Hydratation abondante</w:t>
      </w:r>
      <w:r>
        <w:t xml:space="preserve"> : ≥ 2 L/jour d'eau (idéalement riche en bicarbonate).</w:t>
      </w:r>
    </w:p>
    <w:p>
      <w:pPr>
        <w:pStyle w:val="ListBullet"/>
      </w:pPr>
      <w:r/>
      <w:r>
        <w:rPr>
          <w:b/>
        </w:rPr>
        <w:t>Régime pauvre en purines</w:t>
      </w:r>
      <w:r>
        <w:t xml:space="preserve"> : éviter abats, viandes rouges, fruits de mer, anchois, sardines, hareng, bière (même sans alcool), alcool fort.</w:t>
      </w:r>
    </w:p>
    <w:p>
      <w:pPr>
        <w:pStyle w:val="Heading4"/>
      </w:pPr>
      <w:r>
        <w:t>10. Arbitrage et bénéfices des formes galéniques</w:t>
      </w:r>
    </w:p>
    <w:p>
      <w:r>
        <w:t>L'allopurinol est disponible en Algérie sous forme orale exclusive (comprimé 100 mg et 300 mg). Aucune forme injectable n'est disponible, ce qui pose problème en cas de prophylaxie du syndrome de lyse tumorale chez le patient ne pouvant prendre le traitement per os (vomissements, troubles de conscience) — alternative : rasburicase IV en milieu hospitalier spécialisé.</w:t>
      </w:r>
    </w:p>
    <w:p>
      <w:r/>
      <w:r>
        <w:rPr>
          <w:b/>
        </w:rPr>
        <w:t>Avantages de la forme comprimé 100 mg et 300 mg :</w:t>
      </w:r>
      <w:r/>
    </w:p>
    <w:p>
      <w:pPr>
        <w:pStyle w:val="ListBullet"/>
      </w:pPr>
      <w:r/>
      <w:r>
        <w:rPr>
          <w:b/>
        </w:rPr>
        <w:t>Dosages complémentaires</w:t>
      </w:r>
      <w:r>
        <w:t xml:space="preserve"> : les deux dosages permettent une titration précise. Pour une dose de 100 mg : 1 cp de 100 mg. Pour 200 mg : 2 cp de 100 mg ou 2/3 de cp de 300 mg (difficile). Pour 300 mg : 1 cp de 300 mg. Pour 400 mg : 1 cp de 300 mg + 1 cp de 100 mg. Pour 600 mg : 2 cp de 300 mg. Pour 900 mg : 3 cp de 300 mg.</w:t>
      </w:r>
    </w:p>
    <w:p>
      <w:pPr>
        <w:pStyle w:val="ListBullet"/>
      </w:pPr>
      <w:r/>
      <w:r>
        <w:rPr>
          <w:b/>
        </w:rPr>
        <w:t>Stabilité galénique</w:t>
      </w:r>
      <w:r>
        <w:t xml:space="preserve"> : l'allopurinol est stable en comprimé à température ambiante pendant 3 ans.</w:t>
      </w:r>
    </w:p>
    <w:p>
      <w:pPr>
        <w:pStyle w:val="ListBullet"/>
      </w:pPr>
      <w:r/>
      <w:r>
        <w:rPr>
          <w:b/>
        </w:rPr>
        <w:t>Coût modéré</w:t>
      </w:r>
      <w:r>
        <w:t xml:space="preserve"> : l'allopurinol est l'un des hypouricémiants les moins coûteux (≈ 200–500 DA la boîte selon la spécialité et le dosage).</w:t>
      </w:r>
    </w:p>
    <w:p>
      <w:pPr>
        <w:pStyle w:val="ListBullet"/>
      </w:pPr>
      <w:r/>
      <w:r>
        <w:rPr>
          <w:b/>
        </w:rPr>
        <w:t>Disponibilité large</w:t>
      </w:r>
      <w:r>
        <w:t xml:space="preserve"> : les 9 spécialités actives sont disponibles en officine de ville et en pharmacie hospitalière.</w:t>
      </w:r>
    </w:p>
    <w:p>
      <w:pPr>
        <w:pStyle w:val="ListBullet"/>
      </w:pPr>
      <w:r/>
      <w:r>
        <w:rPr>
          <w:b/>
        </w:rPr>
        <w:t>Prise unique quotidienne</w:t>
      </w:r>
      <w:r>
        <w:t xml:space="preserve"> : en raison de la longue demi-vie de l'oxypurinol.</w:t>
      </w:r>
    </w:p>
    <w:p>
      <w:pPr>
        <w:pStyle w:val="ListBullet"/>
      </w:pPr>
      <w:r/>
      <w:r>
        <w:rPr>
          <w:b/>
        </w:rPr>
        <w:t>Sécabilité imparfaite</w:t>
      </w:r>
      <w:r>
        <w:t xml:space="preserve"> : la plupart des comprimés ne sont pas sécables au sens pharmaceutique strict (lignes de fragmentation peu marquées). Pour la dose de 50 mg, couper un comprimé de 100 mg en deux avec un comprimé-cutter.</w:t>
      </w:r>
    </w:p>
    <w:p>
      <w:r/>
      <w:r>
        <w:rPr>
          <w:b/>
        </w:rPr>
        <w:t>Inconvénients :</w:t>
      </w:r>
      <w:r/>
    </w:p>
    <w:p>
      <w:pPr>
        <w:pStyle w:val="ListBullet"/>
      </w:pPr>
      <w:r/>
      <w:r>
        <w:rPr>
          <w:b/>
        </w:rPr>
        <w:t>Absence de forme à 200 mg</w:t>
      </w:r>
      <w:r>
        <w:t xml:space="preserve"> : le patient nécessitant 200 mg doit prendre 2 comprimés de 100 mg.</w:t>
      </w:r>
    </w:p>
    <w:p>
      <w:pPr>
        <w:pStyle w:val="ListBullet"/>
      </w:pPr>
      <w:r/>
      <w:r>
        <w:rPr>
          <w:b/>
        </w:rPr>
        <w:t>Absence de forme à 50 mg</w:t>
      </w:r>
      <w:r>
        <w:t xml:space="preserve"> : la dose initiale de 50 mg (sujet âgé, insuffisant rénal) nécessite de couper un comprimé de 100 mg en deux.</w:t>
      </w:r>
    </w:p>
    <w:p>
      <w:pPr>
        <w:pStyle w:val="ListBullet"/>
      </w:pPr>
      <w:r/>
      <w:r>
        <w:rPr>
          <w:b/>
        </w:rPr>
        <w:t>Absence de forme pédiatrique</w:t>
      </w:r>
      <w:r>
        <w:t xml:space="preserve"> : en cas de nécessité pédiatrique (syndrome de Lyse tumorale chez l'enfant), utilisation de la forme comprimé écrasée et diluée, en milieu spécialisé.</w:t>
      </w:r>
    </w:p>
    <w:p>
      <w:pPr>
        <w:pStyle w:val="ListBullet"/>
      </w:pPr>
      <w:r/>
      <w:r>
        <w:rPr>
          <w:b/>
        </w:rPr>
        <w:t>Absence de forme injectable</w:t>
      </w:r>
      <w:r>
        <w:t xml:space="preserve"> : en cas de prophylaxie du syndrome de Lyse tumorale chez le patient ne pouvant prendre le traitement per os, alternative : rasburicase IV (extrêmement coûteuse).</w:t>
      </w:r>
    </w:p>
    <w:p>
      <w:r/>
      <w:r>
        <w:rPr>
          <w:b/>
        </w:rPr>
        <w:t>Arbitrage thérapeutique en officine :</w:t>
      </w:r>
      <w:r/>
    </w:p>
    <w:p>
      <w:pPr>
        <w:pStyle w:val="ListBullet"/>
      </w:pPr>
      <w:r/>
      <w:r>
        <w:rPr>
          <w:b/>
        </w:rPr>
        <w:t>Initiation</w:t>
      </w:r>
      <w:r>
        <w:t xml:space="preserve"> : allopurinol 100 mg/jour (50 mg/jour si insuffisance rénale ou sujet âgé), en association à la colchicine prophylactique (0,5–1 mg/jour pendant 3–6 mois).</w:t>
      </w:r>
    </w:p>
    <w:p>
      <w:pPr>
        <w:pStyle w:val="ListBullet"/>
      </w:pPr>
      <w:r/>
      <w:r>
        <w:rPr>
          <w:b/>
        </w:rPr>
        <w:t>Titration</w:t>
      </w:r>
      <w:r>
        <w:t xml:space="preserve"> : + 100 mg toutes les 2 à 4 semaines, sous surveillance de l'uricémie.</w:t>
      </w:r>
    </w:p>
    <w:p>
      <w:pPr>
        <w:pStyle w:val="ListBullet"/>
      </w:pPr>
      <w:r/>
      <w:r>
        <w:rPr>
          <w:b/>
        </w:rPr>
        <w:t>Échec à dose maximale</w:t>
      </w:r>
      <w:r>
        <w:t xml:space="preserve"> : switch vers fébuxostat (80 mg/jour, augmentable à 120 mg/jour).</w:t>
      </w:r>
    </w:p>
    <w:p>
      <w:pPr>
        <w:pStyle w:val="ListBullet"/>
      </w:pPr>
      <w:r/>
      <w:r>
        <w:rPr>
          <w:b/>
        </w:rPr>
        <w:t>Intolérance (DRESS)</w:t>
      </w:r>
      <w:r>
        <w:t xml:space="preserve"> : switch vers fébuxostat (sans risque d'allergie croisée).</w:t>
      </w:r>
    </w:p>
    <w:p>
      <w:pPr>
        <w:pStyle w:val="ListBullet"/>
      </w:pPr>
      <w:r/>
      <w:r>
        <w:rPr>
          <w:b/>
        </w:rPr>
        <w:t>Insuffisance rénale sévère</w:t>
      </w:r>
      <w:r>
        <w:t xml:space="preserve"> : allopurinol à dose adaptée (50 mg/jour ou moins) ou switch vers fébuxostat (sans adaptation posologique jusqu'à clairance 30 mL/min).</w:t>
      </w:r>
    </w:p>
    <w:p>
      <w:pPr>
        <w:pStyle w:val="ListBullet"/>
      </w:pPr>
      <w:r/>
      <w:r>
        <w:rPr>
          <w:b/>
        </w:rPr>
        <w:t>Syndrome de Lyse tumorale</w:t>
      </w:r>
      <w:r>
        <w:t xml:space="preserve"> : allopurinol 100 mg/m²/jour (jusqu'à 800 mg/jour maximum) en milieu hospitalier spécialisé, ou rasburicase IV en alternative.</w:t>
      </w:r>
    </w:p>
    <w:p>
      <w:pPr>
        <w:pStyle w:val="Heading4"/>
      </w:pPr>
      <w:r>
        <w:t>11. Instructions et conseils au patient</w:t>
      </w:r>
    </w:p>
    <w:p>
      <w:r/>
      <w:r>
        <w:rPr>
          <w:b/>
        </w:rPr>
        <w:t>Conseils au comptoir (pharmacien d'officine) :</w:t>
      </w:r>
      <w:r/>
    </w:p>
    <w:p>
      <w:pPr>
        <w:pStyle w:val="ListNumber"/>
      </w:pPr>
      <w:r/>
      <w:r>
        <w:rPr>
          <w:b/>
        </w:rPr>
        <w:t>Respect strict de la prescription</w:t>
      </w:r>
      <w:r>
        <w:t xml:space="preserve"> : ne jamais augmenter la dose seul, ne jamais arrêter sans avis médical. Le traitement est à vie.</w:t>
      </w:r>
    </w:p>
    <w:p>
      <w:pPr>
        <w:pStyle w:val="ListNumber"/>
      </w:pPr>
      <w:r/>
      <w:r>
        <w:rPr>
          <w:b/>
        </w:rPr>
        <w:t>Mode de prise</w:t>
      </w:r>
      <w:r>
        <w:t xml:space="preserve"> : pendant ou après le repas, avec un grand verre d'eau. Prise unique le soir à heure fixe.</w:t>
      </w:r>
    </w:p>
    <w:p>
      <w:pPr>
        <w:pStyle w:val="ListNumber"/>
      </w:pPr>
      <w:r/>
      <w:r>
        <w:rPr>
          <w:b/>
        </w:rPr>
        <w:t>Sécabilité</w:t>
      </w:r>
      <w:r>
        <w:t xml:space="preserve"> : vérifier la sécabilité du comprimé avant dispensation. Proposer un comprimé-cutter pour les doses à 50 mg ou 150 mg (1/2 cp de 300 mg).</w:t>
      </w:r>
    </w:p>
    <w:p>
      <w:pPr>
        <w:pStyle w:val="ListNumber"/>
      </w:pPr>
      <w:r/>
      <w:r>
        <w:rPr>
          <w:b/>
        </w:rPr>
        <w:t>Signes d'alerte à connaître</w:t>
      </w:r>
      <w:r>
        <w:t xml:space="preserve"> :</w:t>
      </w:r>
    </w:p>
    <w:p>
      <w:pPr>
        <w:pStyle w:val="ListBullet"/>
      </w:pPr>
      <w:r/>
      <w:r>
        <w:rPr>
          <w:b/>
        </w:rPr>
        <w:t>Fièvre</w:t>
      </w:r>
      <w:r>
        <w:t xml:space="preserve"> &gt; 38,5 °C inexpliquée</w:t>
      </w:r>
    </w:p>
    <w:p>
      <w:pPr>
        <w:pStyle w:val="ListBullet"/>
      </w:pPr>
      <w:r/>
      <w:r>
        <w:rPr>
          <w:b/>
        </w:rPr>
        <w:t>Éruption cutanée</w:t>
      </w:r>
      <w:r>
        <w:t xml:space="preserve"> (rash, prurit, urticaire, bulles, décollement cutané)</w:t>
      </w:r>
    </w:p>
    <w:p>
      <w:pPr>
        <w:pStyle w:val="ListBullet"/>
      </w:pPr>
      <w:r/>
      <w:r>
        <w:rPr>
          <w:b/>
        </w:rPr>
        <w:t>Adénopathies</w:t>
      </w:r>
      <w:r>
        <w:t xml:space="preserve"> (ganglions augmentés de volume)</w:t>
      </w:r>
    </w:p>
    <w:p>
      <w:pPr>
        <w:pStyle w:val="ListBullet"/>
      </w:pPr>
      <w:r/>
      <w:r>
        <w:rPr>
          <w:b/>
        </w:rPr>
        <w:t>Asthénie majeure</w:t>
      </w:r>
      <w:r>
        <w:t>, pâleur (signes de cytopénie)</w:t>
      </w:r>
    </w:p>
    <w:p>
      <w:pPr>
        <w:pStyle w:val="ListBullet"/>
      </w:pPr>
      <w:r/>
      <w:r>
        <w:rPr>
          <w:b/>
        </w:rPr>
        <w:t>Saignements</w:t>
      </w:r>
      <w:r>
        <w:t xml:space="preserve"> (gingivorragies, épistaxis, ecchymoses spontanées)</w:t>
      </w:r>
    </w:p>
    <w:p>
      <w:pPr>
        <w:pStyle w:val="ListBullet"/>
      </w:pPr>
      <w:r/>
      <w:r>
        <w:rPr>
          <w:b/>
        </w:rPr>
        <w:t>Troubles digestifs</w:t>
      </w:r>
      <w:r>
        <w:t xml:space="preserve"> importants (nausées, vomissements, douleurs abdominales)</w:t>
      </w:r>
    </w:p>
    <w:p>
      <w:pPr>
        <w:pStyle w:val="ListBullet"/>
      </w:pPr>
      <w:r/>
      <w:r>
        <w:rPr>
          <w:b/>
        </w:rPr>
        <w:t>Coloration jaune des conjonctives</w:t>
      </w:r>
      <w:r>
        <w:t xml:space="preserve"> ou des urines (ictère — signe de cytolyse hépatique)</w:t>
      </w:r>
    </w:p>
    <w:p>
      <w:r>
        <w:t xml:space="preserve">   → </w:t>
      </w:r>
      <w:r>
        <w:rPr>
          <w:b/>
        </w:rPr>
        <w:t>Arrêter immédiatement l'allopurinol et consulter en urgence</w:t>
      </w:r>
      <w:r>
        <w:t>.</w:t>
      </w:r>
    </w:p>
    <w:p>
      <w:pPr>
        <w:pStyle w:val="ListNumber"/>
      </w:pPr>
      <w:r/>
      <w:r>
        <w:rPr>
          <w:b/>
        </w:rPr>
        <w:t>Hydratation</w:t>
      </w:r>
      <w:r>
        <w:t xml:space="preserve"> : boire au moins 2 litres d'eau par jour, idéalement de l'eau riche en bicarbonate (Vichy Célestins, St-Yorre, Hawaï). Alcalinisation des urines (pH urinaire ≥ 6,5) prévient la lithiase urique.</w:t>
      </w:r>
    </w:p>
    <w:p>
      <w:pPr>
        <w:pStyle w:val="ListNumber"/>
      </w:pPr>
      <w:r/>
      <w:r>
        <w:rPr>
          <w:b/>
        </w:rPr>
        <w:t>Régime alimentaire</w:t>
      </w:r>
      <w:r>
        <w:t xml:space="preserve"> :</w:t>
      </w:r>
    </w:p>
    <w:p>
      <w:pPr>
        <w:pStyle w:val="ListBullet"/>
      </w:pPr>
      <w:r>
        <w:t>À éviter : abats (foie, rognons, ris de veau, cœur, cervelle), viandes rouges en excès, fruits de mer, anchois, sardines, hareng, maquereau, levure de bière, bière (même sans alcool), alcool fort.</w:t>
      </w:r>
    </w:p>
    <w:p>
      <w:pPr>
        <w:pStyle w:val="ListBullet"/>
      </w:pPr>
      <w:r>
        <w:t>À privilégier : laitages, œufs, fruits, légumes, céréales, légumineuses, café (effet uricosurique modeste), vitamine C (≤ 1 g/jour).</w:t>
      </w:r>
    </w:p>
    <w:p>
      <w:pPr>
        <w:pStyle w:val="ListBullet"/>
      </w:pPr>
      <w:r>
        <w:t>Perte de poids si surcharge pondérale.</w:t>
      </w:r>
    </w:p>
    <w:p>
      <w:pPr>
        <w:pStyle w:val="ListNumber"/>
      </w:pPr>
      <w:r/>
      <w:r>
        <w:rPr>
          <w:b/>
        </w:rPr>
        <w:t>Activité physique</w:t>
      </w:r>
      <w:r>
        <w:t xml:space="preserve"> : activité douce régulière (marche 30 min/jour, natation, vélo). Éviter les efforts violents (favorisent les crises).</w:t>
      </w:r>
    </w:p>
    <w:p>
      <w:pPr>
        <w:pStyle w:val="ListNumber"/>
      </w:pPr>
      <w:r/>
      <w:r>
        <w:rPr>
          <w:b/>
        </w:rPr>
        <w:t>Surveillance de l'uricémie</w:t>
      </w:r>
      <w:r>
        <w:t xml:space="preserve"> : contrôles réguliers selon prescription (mensuels pendant la titration, puis semestriels).</w:t>
      </w:r>
    </w:p>
    <w:p>
      <w:pPr>
        <w:pStyle w:val="ListNumber"/>
      </w:pPr>
      <w:r/>
      <w:r>
        <w:rPr>
          <w:b/>
        </w:rPr>
        <w:t>Pas d'automédication</w:t>
      </w:r>
      <w:r>
        <w:t xml:space="preserve"> : signaler à tout médecin, pharmacien, ou dentiste la prise d'allopurinol. En particulier, certains antibiotiques (ampicilline/amoxicilline — risque accru de rash), anticoagulants oraux (risque de surdosage), et diurétiques (interaction) sont à surveiller.</w:t>
      </w:r>
    </w:p>
    <w:p>
      <w:pPr>
        <w:pStyle w:val="ListNumber"/>
      </w:pPr>
      <w:r/>
      <w:r>
        <w:rPr>
          <w:b/>
        </w:rPr>
        <w:t>Femmes en âge de procréer</w:t>
      </w:r>
      <w:r>
        <w:t xml:space="preserve"> : contraception efficace. En cas de désir de grossesse, consulter le médecin (l'allopurinol est « à éviter » pendant la grossesse, sauf nécessité absolue).</w:t>
      </w:r>
    </w:p>
    <w:p>
      <w:pPr>
        <w:pStyle w:val="ListNumber"/>
      </w:pPr>
      <w:r/>
      <w:r>
        <w:rPr>
          <w:b/>
        </w:rPr>
        <w:t>Allaitement</w:t>
      </w:r>
      <w:r>
        <w:t xml:space="preserve"> : l'allopurinol est compatible avec l'allaitement à dose standard (≤ 300 mg/jour). Surveillance clinique du nouveau-né.</w:t>
      </w:r>
    </w:p>
    <w:p>
      <w:pPr>
        <w:pStyle w:val="ListNumber"/>
      </w:pPr>
      <w:r/>
      <w:r>
        <w:rPr>
          <w:b/>
        </w:rPr>
        <w:t>En cas de crise de goutte sous allopurinol</w:t>
      </w:r>
      <w:r>
        <w:t xml:space="preserve"> : ne pas arrêter l'allopurinol. Traiter la crise par colchicine (ou AINS, ou corticothérapie). Contacter le médecin pour adapter la prophylaxie et discuter une augmentation de dose.</w:t>
      </w:r>
    </w:p>
    <w:p>
      <w:pPr>
        <w:pStyle w:val="ListNumber"/>
      </w:pPr>
      <w:r/>
      <w:r>
        <w:rPr>
          <w:b/>
        </w:rPr>
        <w:t>En cas d'oubli de prise</w:t>
      </w:r>
      <w:r>
        <w:t xml:space="preserve"> : ne pas doubler la dose suivante. Prendre la dose oubissée dès que possible, ou sauter la prise si l'heure de la prise suivante est proche.</w:t>
      </w:r>
    </w:p>
    <w:p>
      <w:pPr>
        <w:pStyle w:val="ListNumber"/>
      </w:pPr>
      <w:r/>
      <w:r>
        <w:rPr>
          <w:b/>
        </w:rPr>
        <w:t>Stockage</w:t>
      </w:r>
      <w:r>
        <w:t xml:space="preserve"> : conserver les comprimés à température ≤ 25 °C, à l'abri de l'humidité et de la lumière. Tenir hors de portée des enfants.</w:t>
      </w:r>
    </w:p>
    <w:p>
      <w:pPr>
        <w:pStyle w:val="Heading4"/>
      </w:pPr>
      <w:r>
        <w:t>12. Notes — Règles d'or et pièges au comptoir</w:t>
      </w:r>
    </w:p>
    <w:p>
      <w:r/>
      <w:r>
        <w:rPr>
          <w:b/>
        </w:rPr>
        <w:t>Règles d'or :</w:t>
      </w:r>
      <w:r/>
    </w:p>
    <w:p>
      <w:pPr>
        <w:pStyle w:val="ListNumber"/>
      </w:pPr>
      <w:r/>
      <w:r>
        <w:rPr>
          <w:b/>
        </w:rPr>
        <w:t>Toujours vérifier l'absence de crise aiguë en cours</w:t>
      </w:r>
      <w:r>
        <w:t xml:space="preserve"> : si le patient présente une crise de goutte aiguë au moment de l'initiation, contacter le médecin pour reporter l'initiation jusqu'à résolution complète (1 à 2 semaines). Ne pas initier l'allopurinol pendant une crise.</w:t>
      </w:r>
    </w:p>
    <w:p>
      <w:pPr>
        <w:pStyle w:val="ListNumber"/>
      </w:pPr>
      <w:r/>
      <w:r>
        <w:rPr>
          <w:b/>
        </w:rPr>
        <w:t>Toujours vérifier la fonction rénale</w:t>
      </w:r>
      <w:r>
        <w:t xml:space="preserve"> avant initiation : un patient insuffisant rénal (clairance &lt; 60 mL/min) doit recevoir une dose réduite. Contacter le médecin si la dose prescrite n'est pas adaptée.</w:t>
      </w:r>
    </w:p>
    <w:p>
      <w:pPr>
        <w:pStyle w:val="ListNumber"/>
      </w:pPr>
      <w:r/>
      <w:r>
        <w:rPr>
          <w:b/>
        </w:rPr>
        <w:t>Toujours vérifier l'absence d'interaction médicamenteuse majeure</w:t>
      </w:r>
      <w:r>
        <w:t xml:space="preserve"> : tout patient sous azathioprine, 6-mercaptopurine, ou didanosine ne doit pas recevoir d'allopurinol à dose standard (réduction à 25 % de la dose d'azathioprine indispensable). Contacter le médecin.</w:t>
      </w:r>
    </w:p>
    <w:p>
      <w:pPr>
        <w:pStyle w:val="ListNumber"/>
      </w:pPr>
      <w:r/>
      <w:r>
        <w:rPr>
          <w:b/>
        </w:rPr>
        <w:t>Toujours dispenser la colchicine prophylactique en association</w:t>
      </w:r>
      <w:r>
        <w:t xml:space="preserve"> à l'allopurinol (sauf contre-indication à la colchicine). La prophylaxie des crises d'initiation est systématique pendant 3 à 6 mois.</w:t>
      </w:r>
    </w:p>
    <w:p>
      <w:pPr>
        <w:pStyle w:val="ListNumber"/>
      </w:pPr>
      <w:r/>
      <w:r>
        <w:rPr>
          <w:b/>
        </w:rPr>
        <w:t>Toujours informer le patient des signes de DRESS</w:t>
      </w:r>
      <w:r>
        <w:t xml:space="preserve"> : fièvre, éruption cutanée, adénopathies, asthénie majeure. Arrêt immédiat et consultation en urgence. La majorité des DRESS surviennent dans les 2 à 8 premières semaines. Surveillance accrue pendant cette période.</w:t>
      </w:r>
    </w:p>
    <w:p>
      <w:pPr>
        <w:pStyle w:val="ListNumber"/>
      </w:pPr>
      <w:r/>
      <w:r>
        <w:rPr>
          <w:b/>
        </w:rPr>
        <w:t>Toujours programmer une surveillance biologique stricte</w:t>
      </w:r>
      <w:r>
        <w:t xml:space="preserve"> : uricémie (mensuelle pendant la titration), NFS plaquettaire, créatininémie, transaminases (trimestrielle pendant 6 mois). Rappeler au patient les dates de contrôle.</w:t>
      </w:r>
    </w:p>
    <w:p>
      <w:pPr>
        <w:pStyle w:val="ListNumber"/>
      </w:pPr>
      <w:r/>
      <w:r>
        <w:rPr>
          <w:b/>
        </w:rPr>
        <w:t>Toujours dispenser en quantité adaptée à la titration</w:t>
      </w:r>
      <w:r>
        <w:t xml:space="preserve"> : éviter les stocks importants en début de traitement (la dose change tous les 15 à 30 jours pendant la titration). Dispenser par boîte de 30 comprimés pendant la titration, puis par 3 mois une fois la dose d'entretien atteinte.</w:t>
      </w:r>
    </w:p>
    <w:p>
      <w:pPr>
        <w:pStyle w:val="ListNumber"/>
      </w:pPr>
      <w:r/>
      <w:r>
        <w:rPr>
          <w:b/>
        </w:rPr>
        <w:t>Toujours vérifier la sécabilité du comprimé</w:t>
      </w:r>
      <w:r>
        <w:t xml:space="preserve"> avant dispensation. Proposer un comprimé-cutter si le patient ne possède pas, en particulier pour les doses à 50 mg ou 150 mg.</w:t>
      </w:r>
    </w:p>
    <w:p>
      <w:pPr>
        <w:pStyle w:val="ListNumber"/>
      </w:pPr>
      <w:r/>
      <w:r>
        <w:rPr>
          <w:b/>
        </w:rPr>
        <w:t>Toujours remettre une fiche d'information patient</w:t>
      </w:r>
      <w:r>
        <w:t xml:space="preserve"> récapitulant les conseils diététiques, l'hydratation, les signes d'alerte, et les numéros d'urgence.</w:t>
      </w:r>
    </w:p>
    <w:p>
      <w:pPr>
        <w:pStyle w:val="ListNumber"/>
      </w:pPr>
      <w:r/>
      <w:r>
        <w:rPr>
          <w:b/>
        </w:rPr>
        <w:t>Toujours tracer la dispensation</w:t>
      </w:r>
      <w:r>
        <w:t xml:space="preserve"> (ordonnance scannée et archivée, registre des médicaments Liste I à jour).</w:t>
      </w:r>
    </w:p>
    <w:p>
      <w:r/>
      <w:r>
        <w:rPr>
          <w:b/>
        </w:rPr>
        <w:t>Pièges au comptoir :</w:t>
      </w:r>
      <w:r/>
    </w:p>
    <w:p>
      <w:pPr>
        <w:pStyle w:val="ListNumber"/>
      </w:pPr>
      <w:r/>
      <w:r>
        <w:rPr>
          <w:b/>
        </w:rPr>
        <w:t>Patient revenant de l'étranger avec une ordonnance d'allopurinol à dose « maximale » (300–600 mg/jour) sans titration préalable</w:t>
      </w:r>
      <w:r>
        <w:t xml:space="preserve"> : risque accru de DRESS et de crise d'initiation. Contacter le médecin algérien pour adapter à la posologie recommandée (100 mg/jour initial, titration progressive).</w:t>
      </w:r>
    </w:p>
    <w:p>
      <w:pPr>
        <w:pStyle w:val="ListNumber"/>
      </w:pPr>
      <w:r/>
      <w:r>
        <w:rPr>
          <w:b/>
        </w:rPr>
        <w:t>Patient sous azathioprine</w:t>
      </w:r>
      <w:r>
        <w:t xml:space="preserve"> (transplantation d'organe, MICI, dermatoses auto-immunes) et prescription simultanée d'allopurinol à dose standard : risque majeur d'aplasie médullaire. Refus de dispensation et contact urgent du médecin pour adapter la dose d'azathioprine à 25 % de la dose standard.</w:t>
      </w:r>
    </w:p>
    <w:p>
      <w:pPr>
        <w:pStyle w:val="ListNumber"/>
      </w:pPr>
      <w:r/>
      <w:r>
        <w:rPr>
          <w:b/>
        </w:rPr>
        <w:t>Patiente enceinte ou planifiant une grossesse</w:t>
      </w:r>
      <w:r>
        <w:t xml:space="preserve"> : contacter le médecin pour discuter de l'indication (allopurinol « à éviter » pendant la grossesse, sauf nécessité absolue).</w:t>
      </w:r>
    </w:p>
    <w:p>
      <w:pPr>
        <w:pStyle w:val="ListNumber"/>
      </w:pPr>
      <w:r/>
      <w:r>
        <w:rPr>
          <w:b/>
        </w:rPr>
        <w:t>Patient insuffisant rénal modéré à sévère avec dose standard prescrite</w:t>
      </w:r>
      <w:r>
        <w:t xml:space="preserve"> : contacter le médecin pour adapter la dose selon la clairance.</w:t>
      </w:r>
    </w:p>
    <w:p>
      <w:pPr>
        <w:pStyle w:val="ListNumber"/>
      </w:pPr>
      <w:r/>
      <w:r>
        <w:rPr>
          <w:b/>
        </w:rPr>
        <w:t>Patient présentant une éruption cutanée sous allopurinol</w:t>
      </w:r>
      <w:r>
        <w:t xml:space="preserve"> : arrêt immédiat, consultation médicale urgente pour éliminer un DRESS. Ne pas reprendre l'allopurinol sans avis médical spécialisé.</w:t>
      </w:r>
    </w:p>
    <w:p>
      <w:pPr>
        <w:pStyle w:val="ListNumber"/>
      </w:pPr>
      <w:r/>
      <w:r>
        <w:rPr>
          <w:b/>
        </w:rPr>
        <w:t>Patient présentant une crise de goutte sous allopurinol</w:t>
      </w:r>
      <w:r>
        <w:t xml:space="preserve"> : ne pas arrêter l'allopurinol. Traiter la crise par colchicine (ou AINS, ou corticothérapie). Contacter le médecin pour adapter la prophylaxie et discuter une augmentation de dose.</w:t>
      </w:r>
    </w:p>
    <w:p>
      <w:pPr>
        <w:pStyle w:val="ListNumber"/>
      </w:pPr>
      <w:r/>
      <w:r>
        <w:rPr>
          <w:b/>
        </w:rPr>
        <w:t>Patient âgé polymédicamenté</w:t>
      </w:r>
      <w:r>
        <w:t xml:space="preserve"> : vérifier systématiquement l'ordonnance complète. En cas de prescription simultanée de warfarine, théophylline, didanosine, ou ampicilline/amoxicilline, alerter le patient sur les risques d'interaction et contacter le médecin si nécessaire.</w:t>
      </w:r>
    </w:p>
    <w:p>
      <w:pPr>
        <w:pStyle w:val="ListNumber"/>
      </w:pPr>
      <w:r/>
      <w:r>
        <w:rPr>
          <w:b/>
        </w:rPr>
        <w:t>Patient demandant de l'allopurinol « pour la goutte » sans traitement prophylactique associé</w:t>
      </w:r>
      <w:r>
        <w:t xml:space="preserve"> : alerter le patient et le médecin sur la nécessité d'une prophylaxie par colchicine pendant les 3 à 6 premiers mois (sauf contre-indication à la colchicine).</w:t>
      </w:r>
    </w:p>
    <w:p>
      <w:pPr>
        <w:pStyle w:val="ListNumber"/>
      </w:pPr>
      <w:r/>
      <w:r>
        <w:rPr>
          <w:b/>
        </w:rPr>
        <w:t>Confusion entre allopurinol et autres hypouricémiants</w:t>
      </w:r>
      <w:r>
        <w:t xml:space="preserve"> : l'allopurinol n'est PAS un uricosurique (il n'augmente pas l'excrétion rénale d'acide urique). Il inhibe la production d'acide urique. Les uricosuriques (probenécide, sulfinpyrazone, benzbromarone) ne sont pas disponibles en Algérie.</w:t>
      </w:r>
    </w:p>
    <w:p>
      <w:pPr>
        <w:pStyle w:val="ListNumber"/>
      </w:pPr>
      <w:r/>
      <w:r>
        <w:rPr>
          <w:b/>
        </w:rPr>
        <w:t>Patient demandant à arrêter l'allopurinol « parce qu'il n'a plus de crise »</w:t>
      </w:r>
      <w:r>
        <w:t xml:space="preserve"> : refus d'arrêt sans avis médical. L'allopurinol se prend à vie. L'arrêt expose à une rechute rapide (réascension de l'uricémie en quelques semaines, retour des cristaux, nouvelle crise en quelques mois).</w:t>
      </w:r>
    </w:p>
    <w:p>
      <w:pPr>
        <w:pStyle w:val="ListNumber"/>
      </w:pPr>
      <w:r/>
      <w:r>
        <w:rPr>
          <w:b/>
        </w:rPr>
        <w:t>Patient avec lithiase urique associée</w:t>
      </w:r>
      <w:r>
        <w:t xml:space="preserve"> : allopurinol indiqué (mais alcalinisation des urines indispensable, bicarbonate de sodium ou citrate de potassium, objectif pH urinaire ≥ 6,5).</w:t>
      </w:r>
    </w:p>
    <w:p>
      <w:pPr>
        <w:pStyle w:val="ListNumber"/>
      </w:pPr>
      <w:r/>
      <w:r>
        <w:rPr>
          <w:b/>
        </w:rPr>
        <w:t>Automédication par allopurinol acheté à l'étranger</w:t>
      </w:r>
      <w:r>
        <w:t xml:space="preserve"> : refus strict de dispensation sans ordonnance algérienne. L'allopurinol est un médicament Liste I à index thérapeutique étroit (risque de DRESS), et ne peut être délivré sans prescription médicale.</w:t>
      </w:r>
    </w:p>
    <w:p>
      <w:pPr>
        <w:pStyle w:val="Heading3"/>
      </w:pPr>
      <w:r>
        <w:t>154.5.3. Fébuxostat (usage rhumatologique)</w:t>
      </w:r>
    </w:p>
    <w:p>
      <w:pPr>
        <w:pStyle w:val="Heading4"/>
      </w:pPr>
      <w:r>
        <w:t>1. Liste catégories pharmaco-thérapeutiques</w:t>
      </w:r>
    </w:p>
    <w:tbl>
      <w:tblPr>
        <w:tblStyle w:val="LightGrid-Accent1"/>
        <w:tblW w:type="auto" w:w="0"/>
        <w:tblLook w:firstColumn="1" w:firstRow="1" w:lastColumn="0" w:lastRow="0" w:noHBand="0" w:noVBand="1" w:val="04A0"/>
      </w:tblPr>
      <w:tblGrid>
        <w:gridCol w:w="4677"/>
        <w:gridCol w:w="4677"/>
      </w:tblGrid>
      <w:tr>
        <w:tc>
          <w:tcPr>
            <w:tcW w:type="dxa" w:w="4677"/>
          </w:tcPr>
          <w:p>
            <w:r>
              <w:rPr>
                <w:b/>
                <w:sz w:val="20"/>
              </w:rPr>
              <w:t>Catégorie</w:t>
            </w:r>
          </w:p>
        </w:tc>
        <w:tc>
          <w:tcPr>
            <w:tcW w:type="dxa" w:w="4677"/>
          </w:tcPr>
          <w:p>
            <w:r>
              <w:rPr>
                <w:b/>
                <w:sz w:val="20"/>
              </w:rPr>
              <w:t>Détail</w:t>
            </w:r>
          </w:p>
        </w:tc>
      </w:tr>
      <w:tr>
        <w:tc>
          <w:tcPr>
            <w:tcW w:type="dxa" w:w="4677"/>
          </w:tcPr>
          <w:p>
            <w:r>
              <w:rPr>
                <w:sz w:val="20"/>
              </w:rPr>
              <w:t>Classe ATC</w:t>
            </w:r>
          </w:p>
        </w:tc>
        <w:tc>
          <w:tcPr>
            <w:tcW w:type="dxa" w:w="4677"/>
          </w:tcPr>
          <w:p>
            <w:r>
              <w:rPr>
                <w:sz w:val="20"/>
              </w:rPr>
              <w:t>M04AA03 (Anti-goutteux — Fébuxostat)</w:t>
            </w:r>
          </w:p>
        </w:tc>
      </w:tr>
      <w:tr>
        <w:tc>
          <w:tcPr>
            <w:tcW w:type="dxa" w:w="4677"/>
          </w:tcPr>
          <w:p>
            <w:r>
              <w:rPr>
                <w:sz w:val="20"/>
              </w:rPr>
              <w:t>Classe pharmacologique</w:t>
            </w:r>
          </w:p>
        </w:tc>
        <w:tc>
          <w:tcPr>
            <w:tcW w:type="dxa" w:w="4677"/>
          </w:tcPr>
          <w:p>
            <w:r>
              <w:rPr>
                <w:sz w:val="20"/>
              </w:rPr>
              <w:t>Inhibiteur non purinique de la xanthine oxydase ; hypouricémiant de 2e intention</w:t>
            </w:r>
          </w:p>
        </w:tc>
      </w:tr>
      <w:tr>
        <w:tc>
          <w:tcPr>
            <w:tcW w:type="dxa" w:w="4677"/>
          </w:tcPr>
          <w:p>
            <w:r>
              <w:rPr>
                <w:sz w:val="20"/>
              </w:rPr>
              <w:t>Classe thérapeutique</w:t>
            </w:r>
          </w:p>
        </w:tc>
        <w:tc>
          <w:tcPr>
            <w:tcW w:type="dxa" w:w="4677"/>
          </w:tcPr>
          <w:p>
            <w:r>
              <w:rPr>
                <w:sz w:val="20"/>
              </w:rPr>
              <w:t>Anti-goutteux de fond (prophylaxie des crises, traitement de l'hyperuricémie chronique)</w:t>
            </w:r>
          </w:p>
        </w:tc>
      </w:tr>
      <w:tr>
        <w:tc>
          <w:tcPr>
            <w:tcW w:type="dxa" w:w="4677"/>
          </w:tcPr>
          <w:p>
            <w:r>
              <w:rPr>
                <w:sz w:val="20"/>
              </w:rPr>
              <w:t>Liste algérienne</w:t>
            </w:r>
          </w:p>
        </w:tc>
        <w:tc>
          <w:tcPr>
            <w:tcW w:type="dxa" w:w="4677"/>
          </w:tcPr>
          <w:p>
            <w:r>
              <w:rPr>
                <w:sz w:val="20"/>
              </w:rPr>
              <w:t>**Liste I** (substance veneneuse, prescription obligatoire)</w:t>
            </w:r>
          </w:p>
        </w:tc>
      </w:tr>
      <w:tr>
        <w:tc>
          <w:tcPr>
            <w:tcW w:type="dxa" w:w="4677"/>
          </w:tcPr>
          <w:p>
            <w:r>
              <w:rPr>
                <w:sz w:val="20"/>
              </w:rPr>
              <w:t>Statut réglementaire</w:t>
            </w:r>
          </w:p>
        </w:tc>
        <w:tc>
          <w:tcPr>
            <w:tcW w:type="dxa" w:w="4677"/>
          </w:tcPr>
          <w:p>
            <w:r>
              <w:rPr>
                <w:sz w:val="20"/>
              </w:rPr>
              <w:t>Médicament soumis à prescription médicale obligatoire</w:t>
            </w:r>
          </w:p>
        </w:tc>
      </w:tr>
      <w:tr>
        <w:tc>
          <w:tcPr>
            <w:tcW w:type="dxa" w:w="4677"/>
          </w:tcPr>
          <w:p>
            <w:r>
              <w:rPr>
                <w:sz w:val="20"/>
              </w:rPr>
              <w:t>Grossesse</w:t>
            </w:r>
          </w:p>
        </w:tc>
        <w:tc>
          <w:tcPr>
            <w:tcW w:type="dxa" w:w="4677"/>
          </w:tcPr>
          <w:p>
            <w:r>
              <w:rPr>
                <w:sz w:val="20"/>
              </w:rPr>
              <w:t>À éviter pendant la grossesse (CRAT), données humaines limitées</w:t>
            </w:r>
          </w:p>
        </w:tc>
      </w:tr>
      <w:tr>
        <w:tc>
          <w:tcPr>
            <w:tcW w:type="dxa" w:w="4677"/>
          </w:tcPr>
          <w:p>
            <w:r>
              <w:rPr>
                <w:sz w:val="20"/>
              </w:rPr>
              <w:t>Allaitement</w:t>
            </w:r>
          </w:p>
        </w:tc>
        <w:tc>
          <w:tcPr>
            <w:tcW w:type="dxa" w:w="4677"/>
          </w:tcPr>
          <w:p>
            <w:r>
              <w:rPr>
                <w:sz w:val="20"/>
              </w:rPr>
              <w:t>À éviter pendant l'allaitement (CRAT), données limitées</w:t>
            </w:r>
          </w:p>
        </w:tc>
      </w:tr>
      <w:tr>
        <w:tc>
          <w:tcPr>
            <w:tcW w:type="dxa" w:w="4677"/>
          </w:tcPr>
          <w:p>
            <w:r>
              <w:rPr>
                <w:sz w:val="20"/>
              </w:rPr>
              <w:t>Conservation</w:t>
            </w:r>
          </w:p>
        </w:tc>
        <w:tc>
          <w:tcPr>
            <w:tcW w:type="dxa" w:w="4677"/>
          </w:tcPr>
          <w:p>
            <w:r>
              <w:rPr>
                <w:sz w:val="20"/>
              </w:rPr>
              <w:t>À conserver à température ≤ 25 °C, à l'abri de l'humidité et de la lumière</w:t>
            </w:r>
          </w:p>
        </w:tc>
      </w:tr>
      <w:tr>
        <w:tc>
          <w:tcPr>
            <w:tcW w:type="dxa" w:w="4677"/>
          </w:tcPr>
          <w:p>
            <w:r>
              <w:rPr>
                <w:sz w:val="20"/>
              </w:rPr>
              <w:t>Disponibilité hospitalière</w:t>
            </w:r>
          </w:p>
        </w:tc>
        <w:tc>
          <w:tcPr>
            <w:tcW w:type="dxa" w:w="4677"/>
          </w:tcPr>
          <w:p>
            <w:r>
              <w:rPr>
                <w:sz w:val="20"/>
              </w:rPr>
              <w:t>Oui, en pharmacie hospitalière (officine et hôpital)</w:t>
            </w:r>
          </w:p>
        </w:tc>
      </w:tr>
      <w:tr>
        <w:tc>
          <w:tcPr>
            <w:tcW w:type="dxa" w:w="4677"/>
          </w:tcPr>
          <w:p>
            <w:r>
              <w:rPr>
                <w:sz w:val="20"/>
              </w:rPr>
              <w:t>Demande mondiale</w:t>
            </w:r>
          </w:p>
        </w:tc>
        <w:tc>
          <w:tcPr>
            <w:tcW w:type="dxa" w:w="4677"/>
          </w:tcPr>
          <w:p>
            <w:r>
              <w:rPr>
                <w:sz w:val="20"/>
              </w:rPr>
              <w:t>Non inscrit sur la Liste des médicaments essentiels OMS (allopurinol préféré)</w:t>
            </w:r>
          </w:p>
        </w:tc>
      </w:tr>
      <w:tr>
        <w:tc>
          <w:tcPr>
            <w:tcW w:type="dxa" w:w="4677"/>
          </w:tcPr>
          <w:p>
            <w:r>
              <w:rPr>
                <w:sz w:val="20"/>
              </w:rPr>
              <w:t>Statut cardiovasculaire</w:t>
            </w:r>
          </w:p>
        </w:tc>
        <w:tc>
          <w:tcPr>
            <w:tcW w:type="dxa" w:w="4677"/>
          </w:tcPr>
          <w:p>
            <w:r>
              <w:rPr>
                <w:sz w:val="20"/>
              </w:rPr>
              <w:t>**FDA Black Box Warning 2019** (CARES trial — mortalité cardiovasculaire accrue)</w:t>
            </w:r>
          </w:p>
        </w:tc>
      </w:tr>
    </w:tbl>
    <w:p/>
    <w:p>
      <w:r>
        <w:t xml:space="preserve">Le fébuxostat est inscrit sur la Liste I des substances vénéneuses en Algérie, ce qui impose la prescription médicale obligatoire. C'est l'hypouricémiant de deuxième intention, indiqué en cas d'échec, d'intolérance ou de contre-indication à l'allopurinol. Il est également indiqué dans la prophylaxie du syndrome de lyse tumorale en oncologie-hématologie (indication hors chapitre rhumatologique). Le fébuxostat est l'un des rares médicaments rhumatologiques à avoir fait l'objet d'une </w:t>
      </w:r>
      <w:r>
        <w:rPr>
          <w:b/>
        </w:rPr>
        <w:t>alerte FDA Black Box Warning</w:t>
      </w:r>
      <w:r>
        <w:t xml:space="preserve"> (2019) en raison d'un signal de mortalité cardiovasculaire accru (essai CARES), ce qui impose une vigilance particulière chez les patients avec antécédents cardiovasculaires.</w:t>
      </w:r>
    </w:p>
    <w:p>
      <w:pPr>
        <w:pStyle w:val="Heading4"/>
      </w:pPr>
      <w:r>
        <w:t>2. Médicaments disponibles en Algérie (TABLE)</w:t>
      </w:r>
    </w:p>
    <w:p>
      <w:r/>
      <w:r>
        <w:rPr>
          <w:b/>
        </w:rPr>
        <w:t>Spécialités ACTIVES (6)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ADENUMAX 80</w:t>
            </w:r>
          </w:p>
        </w:tc>
        <w:tc>
          <w:tcPr>
            <w:tcW w:type="dxa" w:w="1559"/>
          </w:tcPr>
          <w:p>
            <w:r>
              <w:rPr>
                <w:sz w:val="20"/>
              </w:rPr>
              <w:t>NOVAPHARM TRADING</w:t>
            </w:r>
          </w:p>
        </w:tc>
        <w:tc>
          <w:tcPr>
            <w:tcW w:type="dxa" w:w="1559"/>
          </w:tcPr>
          <w:p>
            <w:r>
              <w:rPr>
                <w:sz w:val="20"/>
              </w:rPr>
              <w:t>Comprimé pelliculé 80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FEBOREX 40</w:t>
            </w:r>
          </w:p>
        </w:tc>
        <w:tc>
          <w:tcPr>
            <w:tcW w:type="dxa" w:w="1559"/>
          </w:tcPr>
          <w:p>
            <w:r>
              <w:rPr>
                <w:sz w:val="20"/>
              </w:rPr>
              <w:t>HIKMA PHARMA ALGERIA</w:t>
            </w:r>
          </w:p>
        </w:tc>
        <w:tc>
          <w:tcPr>
            <w:tcW w:type="dxa" w:w="1559"/>
          </w:tcPr>
          <w:p>
            <w:r>
              <w:rPr>
                <w:sz w:val="20"/>
              </w:rPr>
              <w:t>Comprimé pelliculé 40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FEBOREX 80</w:t>
            </w:r>
          </w:p>
        </w:tc>
        <w:tc>
          <w:tcPr>
            <w:tcW w:type="dxa" w:w="1559"/>
          </w:tcPr>
          <w:p>
            <w:r>
              <w:rPr>
                <w:sz w:val="20"/>
              </w:rPr>
              <w:t>HIKMA PHARMA ALGERIA</w:t>
            </w:r>
          </w:p>
        </w:tc>
        <w:tc>
          <w:tcPr>
            <w:tcW w:type="dxa" w:w="1559"/>
          </w:tcPr>
          <w:p>
            <w:r>
              <w:rPr>
                <w:sz w:val="20"/>
              </w:rPr>
              <w:t>Comprimé pelliculé 80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FEBOREX 120</w:t>
            </w:r>
          </w:p>
        </w:tc>
        <w:tc>
          <w:tcPr>
            <w:tcW w:type="dxa" w:w="1559"/>
          </w:tcPr>
          <w:p>
            <w:r>
              <w:rPr>
                <w:sz w:val="20"/>
              </w:rPr>
              <w:t>HIKMA PHARMA ALGERIA</w:t>
            </w:r>
          </w:p>
        </w:tc>
        <w:tc>
          <w:tcPr>
            <w:tcW w:type="dxa" w:w="1559"/>
          </w:tcPr>
          <w:p>
            <w:r>
              <w:rPr>
                <w:sz w:val="20"/>
              </w:rPr>
              <w:t>Comprimé pelliculé 120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TAZOTAX 80</w:t>
            </w:r>
          </w:p>
        </w:tc>
        <w:tc>
          <w:tcPr>
            <w:tcW w:type="dxa" w:w="1559"/>
          </w:tcPr>
          <w:p>
            <w:r>
              <w:rPr>
                <w:sz w:val="20"/>
              </w:rPr>
              <w:t>EL KENDI INDUSTRIE DU MEDICAMENT</w:t>
            </w:r>
          </w:p>
        </w:tc>
        <w:tc>
          <w:tcPr>
            <w:tcW w:type="dxa" w:w="1559"/>
          </w:tcPr>
          <w:p>
            <w:r>
              <w:rPr>
                <w:sz w:val="20"/>
              </w:rPr>
              <w:t>Comprimé pelliculé 80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TAZOTAX 120</w:t>
            </w:r>
          </w:p>
        </w:tc>
        <w:tc>
          <w:tcPr>
            <w:tcW w:type="dxa" w:w="1559"/>
          </w:tcPr>
          <w:p>
            <w:r>
              <w:rPr>
                <w:sz w:val="20"/>
              </w:rPr>
              <w:t>EL KENDI INDUSTRIE DU MEDICAMENT</w:t>
            </w:r>
          </w:p>
        </w:tc>
        <w:tc>
          <w:tcPr>
            <w:tcW w:type="dxa" w:w="1559"/>
          </w:tcPr>
          <w:p>
            <w:r>
              <w:rPr>
                <w:sz w:val="20"/>
              </w:rPr>
              <w:t>Comprimé pelliculé 120 mg</w:t>
            </w:r>
          </w:p>
        </w:tc>
        <w:tc>
          <w:tcPr>
            <w:tcW w:type="dxa" w:w="1559"/>
          </w:tcPr>
          <w:p>
            <w:r>
              <w:rPr>
                <w:sz w:val="20"/>
              </w:rPr>
              <w:t>B/30</w:t>
            </w:r>
          </w:p>
        </w:tc>
        <w:tc>
          <w:tcPr>
            <w:tcW w:type="dxa" w:w="1559"/>
          </w:tcPr>
          <w:p>
            <w:r>
              <w:rPr>
                <w:sz w:val="20"/>
              </w:rPr>
              <w:t>LISTE I</w:t>
            </w:r>
          </w:p>
        </w:tc>
        <w:tc>
          <w:tcPr>
            <w:tcW w:type="dxa" w:w="1559"/>
          </w:tcPr>
          <w:p>
            <w:r>
              <w:rPr>
                <w:sz w:val="20"/>
              </w:rPr>
              <w:t>ACTIF</w:t>
            </w:r>
          </w:p>
        </w:tc>
      </w:tr>
    </w:tbl>
    <w:p/>
    <w:p>
      <w:r/>
      <w:r>
        <w:rPr>
          <w:b/>
        </w:rPr>
        <w:t>Spécialités NON_RENOUVELABLES :</w:t>
      </w:r>
      <w:r>
        <w:t xml:space="preserve"> aucune recensée dans la nomenclature algérienne Avril 2026.</w:t>
      </w:r>
    </w:p>
    <w:p>
      <w:r/>
      <w:r>
        <w:rPr>
          <w:b/>
        </w:rPr>
        <w:t>Spécialités RETRAIT :</w:t>
      </w:r>
      <w:r>
        <w:t xml:space="preserve"> aucune recensée dans la nomenclature algérienne Avril 2026.</w:t>
      </w:r>
    </w:p>
    <w:p>
      <w:r/>
      <w:r>
        <w:rPr>
          <w:b/>
        </w:rPr>
        <w:t>Observations sur le marché algérien du fébuxostat :</w:t>
      </w:r>
      <w:r/>
    </w:p>
    <w:p>
      <w:pPr>
        <w:pStyle w:val="ListBullet"/>
      </w:pPr>
      <w:r>
        <w:t>Le marché algérien du fébuxostat est dynamique et concurrentiel, avec 3 laboratoires proposant des spécialités actives réparties sur trois dosages (40 mg, 80 mg, 120 mg en comprimé pelliculé).</w:t>
      </w:r>
    </w:p>
    <w:p>
      <w:pPr>
        <w:pStyle w:val="ListBullet"/>
      </w:pPr>
      <w:r>
        <w:t xml:space="preserve">Le princeps international </w:t>
      </w:r>
      <w:r>
        <w:rPr>
          <w:b/>
        </w:rPr>
        <w:t>Adenuric</w:t>
      </w:r>
      <w:r>
        <w:t xml:space="preserve"> (Ipsen, France) n'est pas commercialisé en Algérie. Les spécialités disponibles sont des génériques régionaux et locaux.</w:t>
      </w:r>
    </w:p>
    <w:p>
      <w:pPr>
        <w:pStyle w:val="ListBullet"/>
      </w:pPr>
      <w:r/>
      <w:r>
        <w:rPr>
          <w:b/>
        </w:rPr>
        <w:t>NOVAPHARM TRADING</w:t>
      </w:r>
      <w:r>
        <w:t xml:space="preserve"> (ADENUMAX 80 mg) est un laboratoire qui propose uniquement le dosage 80 mg, sans extension vers le 40 mg ni le 120 mg.</w:t>
      </w:r>
    </w:p>
    <w:p>
      <w:pPr>
        <w:pStyle w:val="ListBullet"/>
      </w:pPr>
      <w:r/>
      <w:r>
        <w:rPr>
          <w:b/>
        </w:rPr>
        <w:t>HIKMA PHARMA ALGERIA</w:t>
      </w:r>
      <w:r>
        <w:t xml:space="preserve"> (FEBOREX) est un laboratoire jordanien installé en Algérie (production locale), qui propose les trois dosages (40 mg, 80 mg, 120 mg), ce qui en fait le laboratoire le plus complet sur ce marché.</w:t>
      </w:r>
    </w:p>
    <w:p>
      <w:pPr>
        <w:pStyle w:val="ListBullet"/>
      </w:pPr>
      <w:r/>
      <w:r>
        <w:rPr>
          <w:b/>
        </w:rPr>
        <w:t>EL KENDI INDUSTRIE DU MEDICAMENT</w:t>
      </w:r>
      <w:r>
        <w:t xml:space="preserve"> (TAZOTAX) est un laboratoire algérien (production locale), qui propose les dosages 80 mg et 120 mg (le 40 mg n'est pas commercialisé sous cette marque).</w:t>
      </w:r>
    </w:p>
    <w:p>
      <w:pPr>
        <w:pStyle w:val="ListBullet"/>
      </w:pPr>
      <w:r>
        <w:t>La disponibilité des trois dosages (40 mg, 80 mg, 120 mg) reflète la stratégie internationale de titration : 40 mg en initiation (depuis la modification d'AMM européenne de 2015, en raison de la meilleure tolérance à faible dose), 80 mg en entretien, 120 mg en cas de goutte tophacée ou de goutte sévère.</w:t>
      </w:r>
    </w:p>
    <w:p>
      <w:pPr>
        <w:pStyle w:val="ListBullet"/>
      </w:pPr>
      <w:r>
        <w:t>La présence de laboratoires algériens (EL KENDI) et régionaux (HIKMA ALGERIA) reflète la politique nationale de production locale des médicaments stratégiques, en particulier les médicaments Liste I.</w:t>
      </w:r>
    </w:p>
    <w:p>
      <w:pPr>
        <w:pStyle w:val="ListBullet"/>
      </w:pPr>
      <w:r>
        <w:t>Aucune spécialité n'est retirée ni non renouvelable, ce qui témoigne de la jeunesse et de la stabilité du marché algérien du fébuxostat (commercialisé en Europe depuis 2008, et probablement en Algérie depuis les années 2015–2018).</w:t>
      </w:r>
    </w:p>
    <w:p>
      <w:pPr>
        <w:pStyle w:val="ListBullet"/>
      </w:pPr>
      <w:r>
        <w:t>Aucune forme injectable n'est disponible en Algérie (ni ailleurs dans le monde), en raison de la bonne biodisponibilité orale du fébuxostat (≥ 80 %).</w:t>
      </w:r>
    </w:p>
    <w:p>
      <w:pPr>
        <w:pStyle w:val="Heading4"/>
      </w:pPr>
      <w:r>
        <w:t>3. Mécanisme d'action</w:t>
      </w:r>
    </w:p>
    <w:p>
      <w:r>
        <w:t xml:space="preserve">Le fébuxostat (2-[3-cyano-4-(2-methylpropoxy)phenyl]-4-methylthiazole-5-carboxylic acid) est un </w:t>
      </w:r>
      <w:r>
        <w:rPr>
          <w:b/>
        </w:rPr>
        <w:t>inhibiteur non purinique de la xanthine oxydase</w:t>
      </w:r>
      <w:r>
        <w:t xml:space="preserve"> (XO), dérivé thiazolecarboxylique, sans aucune similarité structurale avec les purines (hypoxanthine, xanthine, acide urique). Cette particularité structurale explique :</w:t>
      </w:r>
    </w:p>
    <w:p>
      <w:pPr>
        <w:pStyle w:val="ListBullet"/>
      </w:pPr>
      <w:r>
        <w:t>L'absence d'allergie croisée avec l'allopurinol : le fébuxostat peut être utilisé chez les patients ayant présenté un syndrome DRESS ou un syndrome de Lyell sous allopurinol.</w:t>
      </w:r>
    </w:p>
    <w:p>
      <w:pPr>
        <w:pStyle w:val="ListBullet"/>
      </w:pPr>
      <w:r>
        <w:t>Le mécanisme d'inhibition mixte (non compétitif) : le fébuxostat se lie au site actif de la xanthine oxydase par des interactions hydrophobes et hydrogènes, distinctes du site de liaison de l'hypoxanthine. L'inhibition est de type mixte (compétitive avec l'hypoxanthine et la xanthine, mais non compétitive avec le cofacteur molybdoptérine), et est plus puissante in vitro que celle de l'allopurinol (IC50 ≈ 1,1 nM pour le fébuxostat vs 2,7 µM pour l'oxypurinol, soit un facteur ≈ 2500).</w:t>
      </w:r>
    </w:p>
    <w:p>
      <w:r>
        <w:t>Le fébuxostat inhibe les formes oxydées et réduites de la xanthine oxydase, ce qui le rend actif indépendamment de l'état redox de l'enzyme. Cette particularité distingue le fébuxostat de l'allopurinol, qui n'inhibe que la forme oxydée.</w:t>
      </w:r>
    </w:p>
    <w:p>
      <w:r>
        <w:t xml:space="preserve">La conséquence biochimique de l'inhibition de la xanthine oxydase par le fébuxostat est une </w:t>
      </w:r>
      <w:r>
        <w:rPr>
          <w:b/>
        </w:rPr>
        <w:t>réduction de la production d'acide urique</w:t>
      </w:r>
      <w:r>
        <w:t xml:space="preserve"> à partir de l'hypoxanthine et de la xanthine, plus marquée qu'avec l'allopurinol à dose équivalente. Les concentrations plasmatiques d'urates chutent (baisse de 40 à 70 % de l'uricémie selon la dose), et les concentrations plasmatiques et urinaires de précurseurs (hypoxanthine et xanthine) augmentent. Comme pour l'allopurinol, l'hypoxanthine et la xanthine sont excrétées par voie rénale sans risque de cristallisation (sauf en cas de surdosage massif, où une xanthinurie peut provoquer des lithiases de xanthine).</w:t>
      </w:r>
    </w:p>
    <w:p>
      <w:r/>
      <w:r>
        <w:rPr>
          <w:b/>
        </w:rPr>
        <w:t>Pharmacocinétique comparée du fébuxostat vs allopurinol :</w:t>
      </w:r>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sz w:val="20"/>
              </w:rPr>
              <w:t>Paramètre</w:t>
            </w:r>
          </w:p>
        </w:tc>
        <w:tc>
          <w:tcPr>
            <w:tcW w:type="dxa" w:w="3118"/>
          </w:tcPr>
          <w:p>
            <w:r>
              <w:rPr>
                <w:b/>
                <w:sz w:val="20"/>
              </w:rPr>
              <w:t>Fébuxostat</w:t>
            </w:r>
          </w:p>
        </w:tc>
        <w:tc>
          <w:tcPr>
            <w:tcW w:type="dxa" w:w="3118"/>
          </w:tcPr>
          <w:p>
            <w:r>
              <w:rPr>
                <w:b/>
                <w:sz w:val="20"/>
              </w:rPr>
              <w:t>Allopurinol (oxypurinol)</w:t>
            </w:r>
          </w:p>
        </w:tc>
      </w:tr>
      <w:tr>
        <w:tc>
          <w:tcPr>
            <w:tcW w:type="dxa" w:w="3118"/>
          </w:tcPr>
          <w:p>
            <w:r>
              <w:rPr>
                <w:sz w:val="20"/>
              </w:rPr>
              <w:t>Biodisponibilité orale</w:t>
            </w:r>
          </w:p>
        </w:tc>
        <w:tc>
          <w:tcPr>
            <w:tcW w:type="dxa" w:w="3118"/>
          </w:tcPr>
          <w:p>
            <w:r>
              <w:rPr>
                <w:sz w:val="20"/>
              </w:rPr>
              <w:t>≥ 80 %</w:t>
            </w:r>
          </w:p>
        </w:tc>
        <w:tc>
          <w:tcPr>
            <w:tcW w:type="dxa" w:w="3118"/>
          </w:tcPr>
          <w:p>
            <w:r>
              <w:rPr>
                <w:sz w:val="20"/>
              </w:rPr>
              <w:t>45 %</w:t>
            </w:r>
          </w:p>
        </w:tc>
      </w:tr>
      <w:tr>
        <w:tc>
          <w:tcPr>
            <w:tcW w:type="dxa" w:w="3118"/>
          </w:tcPr>
          <w:p>
            <w:r>
              <w:rPr>
                <w:sz w:val="20"/>
              </w:rPr>
              <w:t>Pic plasmatique</w:t>
            </w:r>
          </w:p>
        </w:tc>
        <w:tc>
          <w:tcPr>
            <w:tcW w:type="dxa" w:w="3118"/>
          </w:tcPr>
          <w:p>
            <w:r>
              <w:rPr>
                <w:sz w:val="20"/>
              </w:rPr>
              <w:t>1–1,5 h</w:t>
            </w:r>
          </w:p>
        </w:tc>
        <w:tc>
          <w:tcPr>
            <w:tcW w:type="dxa" w:w="3118"/>
          </w:tcPr>
          <w:p>
            <w:r>
              <w:rPr>
                <w:sz w:val="20"/>
              </w:rPr>
              <w:t>1–2 h</w:t>
            </w:r>
          </w:p>
        </w:tc>
      </w:tr>
      <w:tr>
        <w:tc>
          <w:tcPr>
            <w:tcW w:type="dxa" w:w="3118"/>
          </w:tcPr>
          <w:p>
            <w:r>
              <w:rPr>
                <w:sz w:val="20"/>
              </w:rPr>
              <w:t>Demi-vie plasmatique</w:t>
            </w:r>
          </w:p>
        </w:tc>
        <w:tc>
          <w:tcPr>
            <w:tcW w:type="dxa" w:w="3118"/>
          </w:tcPr>
          <w:p>
            <w:r>
              <w:rPr>
                <w:sz w:val="20"/>
              </w:rPr>
              <w:t>5–8 h</w:t>
            </w:r>
          </w:p>
        </w:tc>
        <w:tc>
          <w:tcPr>
            <w:tcW w:type="dxa" w:w="3118"/>
          </w:tcPr>
          <w:p>
            <w:r>
              <w:rPr>
                <w:sz w:val="20"/>
              </w:rPr>
              <w:t>1–2 h (allopurinol) ; 14–30 h (oxypurinol)</w:t>
            </w:r>
          </w:p>
        </w:tc>
      </w:tr>
      <w:tr>
        <w:tc>
          <w:tcPr>
            <w:tcW w:type="dxa" w:w="3118"/>
          </w:tcPr>
          <w:p>
            <w:r>
              <w:rPr>
                <w:sz w:val="20"/>
              </w:rPr>
              <w:t>Métabolisme</w:t>
            </w:r>
          </w:p>
        </w:tc>
        <w:tc>
          <w:tcPr>
            <w:tcW w:type="dxa" w:w="3118"/>
          </w:tcPr>
          <w:p>
            <w:r>
              <w:rPr>
                <w:sz w:val="20"/>
              </w:rPr>
              <w:t>Hépatique (UGT1A1, 1A3, 1A9 ; CYP1A1, 1A2, 2C8, 2C9)</w:t>
            </w:r>
          </w:p>
        </w:tc>
        <w:tc>
          <w:tcPr>
            <w:tcW w:type="dxa" w:w="3118"/>
          </w:tcPr>
          <w:p>
            <w:r>
              <w:rPr>
                <w:sz w:val="20"/>
              </w:rPr>
              <w:t>Hépatique (XO → oxypurinol)</w:t>
            </w:r>
          </w:p>
        </w:tc>
      </w:tr>
      <w:tr>
        <w:tc>
          <w:tcPr>
            <w:tcW w:type="dxa" w:w="3118"/>
          </w:tcPr>
          <w:p>
            <w:r>
              <w:rPr>
                <w:sz w:val="20"/>
              </w:rPr>
              <w:t>Élimination</w:t>
            </w:r>
          </w:p>
        </w:tc>
        <w:tc>
          <w:tcPr>
            <w:tcW w:type="dxa" w:w="3118"/>
          </w:tcPr>
          <w:p>
            <w:r>
              <w:rPr>
                <w:sz w:val="20"/>
              </w:rPr>
              <w:t>Hépatique 65 % + rénale 35 %</w:t>
            </w:r>
          </w:p>
        </w:tc>
        <w:tc>
          <w:tcPr>
            <w:tcW w:type="dxa" w:w="3118"/>
          </w:tcPr>
          <w:p>
            <w:r>
              <w:rPr>
                <w:sz w:val="20"/>
              </w:rPr>
              <w:t>Rénale 80 %</w:t>
            </w:r>
          </w:p>
        </w:tc>
      </w:tr>
      <w:tr>
        <w:tc>
          <w:tcPr>
            <w:tcW w:type="dxa" w:w="3118"/>
          </w:tcPr>
          <w:p>
            <w:r>
              <w:rPr>
                <w:sz w:val="20"/>
              </w:rPr>
              <w:t>Adaptation en IRC</w:t>
            </w:r>
          </w:p>
        </w:tc>
        <w:tc>
          <w:tcPr>
            <w:tcW w:type="dxa" w:w="3118"/>
          </w:tcPr>
          <w:p>
            <w:r>
              <w:rPr>
                <w:sz w:val="20"/>
              </w:rPr>
              <w:t>Oui (≥ 30 mL/min)</w:t>
            </w:r>
          </w:p>
        </w:tc>
        <w:tc>
          <w:tcPr>
            <w:tcW w:type="dxa" w:w="3118"/>
          </w:tcPr>
          <w:p>
            <w:r>
              <w:rPr>
                <w:sz w:val="20"/>
              </w:rPr>
              <w:t>Oui (≥ 10 mL/min)</w:t>
            </w:r>
          </w:p>
        </w:tc>
      </w:tr>
      <w:tr>
        <w:tc>
          <w:tcPr>
            <w:tcW w:type="dxa" w:w="3118"/>
          </w:tcPr>
          <w:p>
            <w:r>
              <w:rPr>
                <w:sz w:val="20"/>
              </w:rPr>
              <w:t>Adaptation en IHC</w:t>
            </w:r>
          </w:p>
        </w:tc>
        <w:tc>
          <w:tcPr>
            <w:tcW w:type="dxa" w:w="3118"/>
          </w:tcPr>
          <w:p>
            <w:r>
              <w:rPr>
                <w:sz w:val="20"/>
              </w:rPr>
              <w:t>Non</w:t>
            </w:r>
          </w:p>
        </w:tc>
        <w:tc>
          <w:tcPr>
            <w:tcW w:type="dxa" w:w="3118"/>
          </w:tcPr>
          <w:p>
            <w:r>
              <w:rPr>
                <w:sz w:val="20"/>
              </w:rPr>
              <w:t>Non</w:t>
            </w:r>
          </w:p>
        </w:tc>
      </w:tr>
    </w:tbl>
    <w:p/>
    <w:p>
      <w:r>
        <w:t xml:space="preserve">L'avantage pharmacocinétique majeur du fébuxostat est sa </w:t>
      </w:r>
      <w:r>
        <w:rPr>
          <w:b/>
        </w:rPr>
        <w:t>double voie d'élimination (hépatique 65 % + rénale 35 %)</w:t>
      </w:r>
      <w:r>
        <w:t>, qui permet une utilisation sans adaptation posologique en cas d'insuffisance rénale modérée à sévère (clairance ≥ 30 mL/min), contrairement à l'allopurinol qui nécessite une adaptation posologique stricte.</w:t>
      </w:r>
    </w:p>
    <w:p>
      <w:pPr>
        <w:pStyle w:val="Heading4"/>
      </w:pPr>
      <w:r>
        <w:t>4. Profil pharmacologique (indications, contre-indications, effets indésirables)</w:t>
      </w:r>
    </w:p>
    <w:p>
      <w:r/>
      <w:r>
        <w:rPr>
          <w:b/>
        </w:rPr>
        <w:t>Indications principales (AMM) :</w:t>
      </w:r>
      <w:r/>
    </w:p>
    <w:p>
      <w:pPr>
        <w:pStyle w:val="ListBullet"/>
      </w:pPr>
      <w:r/>
      <w:r>
        <w:rPr>
          <w:b/>
        </w:rPr>
        <w:t>Traitement de fond de la goutte en cas d'échec, d'intolérance ou de contre-indication à l'allopurinol</w:t>
      </w:r>
      <w:r>
        <w:t xml:space="preserve"> :</w:t>
      </w:r>
    </w:p>
    <w:p>
      <w:pPr>
        <w:pStyle w:val="ListBullet"/>
      </w:pPr>
      <w:r>
        <w:t>Goutte clinique documentée avec hyperuricémie (crise de goutte typique, tophi, lithiase urique, néphropathie uratique).</w:t>
      </w:r>
    </w:p>
    <w:p>
      <w:pPr>
        <w:pStyle w:val="ListBullet"/>
      </w:pPr>
      <w:r>
        <w:t>Indication à débuter après la première crise de goutte (selon recommandations EULAR 2016 et ACR 2020), en cas d'échec ou d'intolérance à l'allopurinol.</w:t>
      </w:r>
    </w:p>
    <w:p>
      <w:pPr>
        <w:pStyle w:val="ListBullet"/>
      </w:pPr>
      <w:r>
        <w:t>Objectif thérapeutique : uricémie &lt; 360 µmol/L (60 mg/L) en cas de goutte non tophacée, et &lt; 300 µmol/L (50 mg/L) en cas de goutte tophacée ou avec atteinte radiologique.</w:t>
      </w:r>
    </w:p>
    <w:p>
      <w:pPr>
        <w:pStyle w:val="ListBullet"/>
      </w:pPr>
      <w:r>
        <w:t>Traitement à vie.</w:t>
      </w:r>
    </w:p>
    <w:p>
      <w:pPr>
        <w:pStyle w:val="ListBullet"/>
      </w:pPr>
      <w:r/>
      <w:r>
        <w:rPr>
          <w:b/>
        </w:rPr>
        <w:t>Prophylaxie du syndrome de lyse tumorale</w:t>
      </w:r>
      <w:r>
        <w:t xml:space="preserve"> en oncologie-hématologie (indication hors chapitre).</w:t>
      </w:r>
    </w:p>
    <w:p>
      <w:r/>
      <w:r>
        <w:rPr>
          <w:b/>
        </w:rPr>
        <w:t>Contre-indications absolues :</w:t>
      </w:r>
      <w:r/>
    </w:p>
    <w:p>
      <w:pPr>
        <w:pStyle w:val="ListBullet"/>
      </w:pPr>
      <w:r/>
      <w:r>
        <w:rPr>
          <w:b/>
        </w:rPr>
        <w:t>Hypersensibilité au fébuxostat</w:t>
      </w:r>
      <w:r>
        <w:t xml:space="preserve"> ou à l'un des excipients.</w:t>
      </w:r>
    </w:p>
    <w:p>
      <w:pPr>
        <w:pStyle w:val="ListBullet"/>
      </w:pPr>
      <w:r/>
      <w:r>
        <w:rPr>
          <w:b/>
        </w:rPr>
        <w:t>Crise aiguë de goutte en cours</w:t>
      </w:r>
      <w:r>
        <w:t xml:space="preserve"> : ne jamais initier le fébuxostat pendant une crise aiguë (risque de prolongation/aggravation). Attendre la résolution complète de la crise (1 à 2 semaines).</w:t>
      </w:r>
    </w:p>
    <w:p>
      <w:pPr>
        <w:pStyle w:val="ListBullet"/>
      </w:pPr>
      <w:r/>
      <w:r>
        <w:rPr>
          <w:b/>
        </w:rPr>
        <w:t>Antécédents cardiovasculaires récents</w:t>
      </w:r>
      <w:r>
        <w:t xml:space="preserve"> (infarctus du myocarde, AVC ischémique, angor instable) : selon les recommandations FDA 2019 (Black Box Warning) et EMA 2020, le fébuxostat est </w:t>
      </w:r>
      <w:r>
        <w:rPr>
          <w:b/>
        </w:rPr>
        <w:t>à éviter</w:t>
      </w:r>
      <w:r>
        <w:t xml:space="preserve"> chez les patients avec antécédents cardiovasculaires récents, en raison du signal du CARES trial (augmentation de la mortalité cardiovasculaire et totale). Préférer l'allopurinol.</w:t>
      </w:r>
    </w:p>
    <w:p>
      <w:pPr>
        <w:pStyle w:val="ListBullet"/>
      </w:pPr>
      <w:r/>
      <w:r>
        <w:rPr>
          <w:b/>
        </w:rPr>
        <w:t>Association à l'azathioprine ou à la 6-mercaptopurine</w:t>
      </w:r>
      <w:r>
        <w:t xml:space="preserve"> : le fébuxostat inhibe la xanthine oxydase qui métabolise l'azathioprine. L'association est </w:t>
      </w:r>
      <w:r>
        <w:rPr>
          <w:b/>
        </w:rPr>
        <w:t>contre-indiquée</w:t>
      </w:r>
      <w:r>
        <w:t xml:space="preserve"> (selon RCP), en raison du risque de toxicité médullaire sévère. Différence avec l'allopurinol qui est seulement déconseillé (avec adaptation posologique possible).</w:t>
      </w:r>
    </w:p>
    <w:p>
      <w:pPr>
        <w:pStyle w:val="ListBullet"/>
      </w:pPr>
      <w:r/>
      <w:r>
        <w:rPr>
          <w:b/>
        </w:rPr>
        <w:t>Insuffisance rénale sévère</w:t>
      </w:r>
      <w:r>
        <w:t xml:space="preserve"> (clairance de la créatinine &lt; 30 mL/min) : selon le RCP, le fébuxostat n'est pas recommandé en cas de clairance &lt; 30 mL/min (en raison de l'absence de données cliniques). Dans la pratique européenne, certains auteurs l'utilisent à dose réduite (40 mg/jour) en cas de clairance 15–30 mL/min, mais la prudence est de mise. Contre-indiqué en cas de clairance &lt; 15 mL/min.</w:t>
      </w:r>
    </w:p>
    <w:p>
      <w:pPr>
        <w:pStyle w:val="ListBullet"/>
      </w:pPr>
      <w:r/>
      <w:r>
        <w:rPr>
          <w:b/>
        </w:rPr>
        <w:t>Enfant de moins de 18 ans</w:t>
      </w:r>
      <w:r>
        <w:t xml:space="preserve"> (sauf indication spécifique en milieu spécialisé).</w:t>
      </w:r>
    </w:p>
    <w:p>
      <w:r/>
      <w:r>
        <w:rPr>
          <w:b/>
        </w:rPr>
        <w:t>Contre-indications relatives (à utiliser avec prudence) :</w:t>
      </w:r>
      <w:r/>
    </w:p>
    <w:p>
      <w:pPr>
        <w:pStyle w:val="ListBullet"/>
      </w:pPr>
      <w:r/>
      <w:r>
        <w:rPr>
          <w:b/>
        </w:rPr>
        <w:t>Antécédents cardiovasculaires anciens</w:t>
      </w:r>
      <w:r>
        <w:t xml:space="preserve"> (infarctus du myocarde &gt; 6 mois, AVC &gt; 6 mois) : à utiliser avec surveillance cardiovasculaire renforcée.</w:t>
      </w:r>
    </w:p>
    <w:p>
      <w:pPr>
        <w:pStyle w:val="ListBullet"/>
      </w:pPr>
      <w:r/>
      <w:r>
        <w:rPr>
          <w:b/>
        </w:rPr>
        <w:t>Insuffisance cardiaque</w:t>
      </w:r>
      <w:r>
        <w:t xml:space="preserve"> : surveillance clinique (poids, œdèmes, dyspnée).</w:t>
      </w:r>
    </w:p>
    <w:p>
      <w:pPr>
        <w:pStyle w:val="ListBullet"/>
      </w:pPr>
      <w:r/>
      <w:r>
        <w:rPr>
          <w:b/>
        </w:rPr>
        <w:t>Insuffisance rénale modérée</w:t>
      </w:r>
      <w:r>
        <w:t xml:space="preserve"> (clairance 30–60 mL/min) : pas d'adaptation posologique, mais surveillance accrue.</w:t>
      </w:r>
    </w:p>
    <w:p>
      <w:pPr>
        <w:pStyle w:val="ListBullet"/>
      </w:pPr>
      <w:r/>
      <w:r>
        <w:rPr>
          <w:b/>
        </w:rPr>
        <w:t>Insuffisance hépatique modérée</w:t>
      </w:r>
      <w:r>
        <w:t xml:space="preserve"> (Child-Pugh A ou B) : surveillance des transaminases, pas d'adaptation posologique.</w:t>
      </w:r>
    </w:p>
    <w:p>
      <w:pPr>
        <w:pStyle w:val="ListBullet"/>
      </w:pPr>
      <w:r/>
      <w:r>
        <w:rPr>
          <w:b/>
        </w:rPr>
        <w:t>Insuffisance hépatique sévère</w:t>
      </w:r>
      <w:r>
        <w:t xml:space="preserve"> (Child-Pugh C) : non recommandée (absence de données).</w:t>
      </w:r>
    </w:p>
    <w:p>
      <w:pPr>
        <w:pStyle w:val="ListBullet"/>
      </w:pPr>
      <w:r/>
      <w:r>
        <w:rPr>
          <w:b/>
        </w:rPr>
        <w:t>Thyrotoxicose</w:t>
      </w:r>
      <w:r>
        <w:t xml:space="preserve"> ou antécédents thyroidiens : surveillance TSH (cas isolés de dysthyroïdie sous fébuxostat).</w:t>
      </w:r>
    </w:p>
    <w:p>
      <w:r/>
      <w:r>
        <w:rPr>
          <w:b/>
        </w:rPr>
        <w:t>Effets indésirables (fréquence selon RCP) :</w:t>
      </w:r>
      <w:r/>
    </w:p>
    <w:p>
      <w:pPr>
        <w:pStyle w:val="ListBullet"/>
      </w:pPr>
      <w:r/>
      <w:r>
        <w:rPr>
          <w:b/>
        </w:rPr>
        <w:t>Très fréquents (≥ 10 %)</w:t>
      </w:r>
      <w:r>
        <w:t xml:space="preserve"> : accès de goutte à l'initiation (jusqu'à 70 % des patients à 80 mg/jour sans prophylaxie), anomalies des tests de la fonction hépatique (augmentation des transaminases &gt; 3 × LSN chez 5–10 % des patients).</w:t>
      </w:r>
    </w:p>
    <w:p>
      <w:pPr>
        <w:pStyle w:val="ListBullet"/>
      </w:pPr>
      <w:r/>
      <w:r>
        <w:rPr>
          <w:b/>
        </w:rPr>
        <w:t>Fréquents (1–10 %)</w:t>
      </w:r>
      <w:r>
        <w:t xml:space="preserve"> : diarrhée, nausées, céphalées, éruptions cutanées (rash maculopapuleux, prurit), œdèmes périphériques.</w:t>
      </w:r>
    </w:p>
    <w:p>
      <w:pPr>
        <w:pStyle w:val="ListBullet"/>
      </w:pPr>
      <w:r/>
      <w:r>
        <w:rPr>
          <w:b/>
        </w:rPr>
        <w:t>Peu fréquents (0,1–1 %)</w:t>
      </w:r>
      <w:r>
        <w:t xml:space="preserve"> : thrombocytopénie, leucopénie, hyperlipidémie, hyperbilirubinémie, hypersensibilité, vertiges, paresthésies, somnolence, dysgueusie, douleurs abdominales, sécheresse buccale, dyspepsie, vomissements, gastrite, reflux gastro-œsophagien, lithiase rénale, hépatite, néphrite interstitielle.</w:t>
      </w:r>
    </w:p>
    <w:p>
      <w:pPr>
        <w:pStyle w:val="ListBullet"/>
      </w:pPr>
      <w:r/>
      <w:r>
        <w:rPr>
          <w:b/>
        </w:rPr>
        <w:t>Rares (0,01–0,1 %)</w:t>
      </w:r>
      <w:r>
        <w:t xml:space="preserve"> : diabète sucré, hyperuricémie paradoxale, anxiété, insomnie, neuropathie périphérique, bradycardie, palpitations, hypertension artérielle, épistaxis, bronchospasme, toux, dyspnée, prurit, urticaire, érythème multiforme, syndrome de Stevens-Johnson, syndrome de Lyell (nécrolyse épidermique toxique), angiœdème, anaphylaxie, syndrome DRESS (rare, mais documenté).</w:t>
      </w:r>
    </w:p>
    <w:p>
      <w:pPr>
        <w:pStyle w:val="ListBullet"/>
      </w:pPr>
      <w:r/>
      <w:r>
        <w:rPr>
          <w:b/>
        </w:rPr>
        <w:t>Très rares (&lt; 0,01 %)</w:t>
      </w:r>
      <w:r>
        <w:t xml:space="preserve"> : tremblements, convulsions, troubles visuels, surdité, akathisie, syndrome sérotoninergique (cas isolés), pancréatite, hépatite fulminante.</w:t>
      </w:r>
    </w:p>
    <w:p>
      <w:pPr>
        <w:pStyle w:val="ListBullet"/>
      </w:pPr>
      <w:r/>
      <w:r>
        <w:rPr>
          <w:b/>
        </w:rPr>
        <w:t>Effet cardiovasculaire (FDA Black Box Warning 2019, CARES trial 2018)</w:t>
      </w:r>
      <w:r>
        <w:t xml:space="preserve"> : augmentation de la mortalité cardiovasculaire (HR 1,34 ; IC 95 % 1,03–1,73) et de la mortalité totale (HR 1,22 ; IC 95 % 1,01–1,47) par rapport à l'allopurinol, chez les patients goutteux avec antécédents cardiovasculaires. Le signal n'a pas été confirmé par le FAST trial européen (Mackenzie 2020), mais la prudence reste de mise. Surveillance cardiovasculaire renforcée (ECG annuel, contrôle de la pression artérielle, recherche de symptômes évocateurs de maladie coronarienne ou d'AVC).</w:t>
      </w:r>
    </w:p>
    <w:p>
      <w:r/>
      <w:r>
        <w:rPr>
          <w:b/>
        </w:rPr>
        <w:t>Cas particulier des crises de goutte à l'initiation :</w:t>
      </w:r>
      <w:r/>
    </w:p>
    <w:p>
      <w:r>
        <w:t xml:space="preserve">La baisse rapide de l'uricémie par le fébuxostat favorise la mobilisation des cristaux articulaires et peut déclencher des crises de goutte. La fréquence des crises d'initiation est plus élevée qu'avec l'allopurinol (jusqu'à 70 % à 80 mg/jour, vs 30–40 % à 300 mg/jour d'allopurinol). La prophylaxie systématique par colchicine à faible dose (0,5–1 mg/jour) pendant 3 à 6 mois (jusqu'à 12 mois en cas de tophi) est </w:t>
      </w:r>
      <w:r>
        <w:rPr>
          <w:b/>
        </w:rPr>
        <w:t>indispensable</w:t>
      </w:r>
      <w:r>
        <w:t>.</w:t>
      </w:r>
    </w:p>
    <w:p>
      <w:pPr>
        <w:pStyle w:val="Heading4"/>
      </w:pPr>
      <w:r>
        <w:t>5. Prévention et gestion des effets indésirables</w:t>
      </w:r>
    </w:p>
    <w:p>
      <w:r>
        <w:t>La prévention des effets indésirables du fébuxostat repose sur des principes similaires à ceux de l'allopurinol, avec une vigilance particulière sur la toxicité cardiovasculaire et les crises d'initiation :</w:t>
      </w:r>
    </w:p>
    <w:p>
      <w:r/>
      <w:r>
        <w:rPr>
          <w:b/>
        </w:rPr>
        <w:t>Prévention des crises de goutte à l'initiation :</w:t>
      </w:r>
      <w:r/>
    </w:p>
    <w:p>
      <w:pPr>
        <w:pStyle w:val="ListBullet"/>
      </w:pPr>
      <w:r/>
      <w:r>
        <w:rPr>
          <w:b/>
        </w:rPr>
        <w:t>Prophylaxie systématique par colchicine</w:t>
      </w:r>
      <w:r>
        <w:t xml:space="preserve"> à faible dose (0,5–1 mg/jour) pendant au moins 3 à 6 mois, voire 12 mois en cas de tophi. Alternative : AINS à faible dose (naproxène 250 mg × 2/jour) en cas de contre-indication à la colchicine.</w:t>
      </w:r>
    </w:p>
    <w:p>
      <w:pPr>
        <w:pStyle w:val="ListBullet"/>
      </w:pPr>
      <w:r/>
      <w:r>
        <w:rPr>
          <w:b/>
        </w:rPr>
        <w:t>Ne pas initier le fébuxostat pendant une crise aiguë</w:t>
      </w:r>
      <w:r>
        <w:t xml:space="preserve"> : attendre la résolution complète (1 à 2 semaines).</w:t>
      </w:r>
    </w:p>
    <w:p>
      <w:pPr>
        <w:pStyle w:val="ListBullet"/>
      </w:pPr>
      <w:r/>
      <w:r>
        <w:rPr>
          <w:b/>
        </w:rPr>
        <w:t>Si crise de goutte sous fébuxostat</w:t>
      </w:r>
      <w:r>
        <w:t xml:space="preserve"> : ne pas arrêter le fébuxostat (au contraire, continuer). Traiter la crise par colchicine (ou AINS, ou corticothérapie).</w:t>
      </w:r>
    </w:p>
    <w:p>
      <w:pPr>
        <w:pStyle w:val="ListBullet"/>
      </w:pPr>
      <w:r/>
      <w:r>
        <w:rPr>
          <w:b/>
        </w:rPr>
        <w:t>Initier à faible dose</w:t>
      </w:r>
      <w:r>
        <w:t xml:space="preserve"> : 40 mg/jour (depuis la modification d'AMM européenne de 2015), puis titration à 80 mg/jour après 2 à 4 semaines, et à 120 mg/jour en cas d'échec à 80 mg/jour en cas de goutte tophacée.</w:t>
      </w:r>
    </w:p>
    <w:p>
      <w:r/>
      <w:r>
        <w:rPr>
          <w:b/>
        </w:rPr>
        <w:t>Prévention de la toxicité cardiovasculaire (FDA Black Box Warning 2019) :</w:t>
      </w:r>
      <w:r/>
    </w:p>
    <w:p>
      <w:pPr>
        <w:pStyle w:val="ListBullet"/>
      </w:pPr>
      <w:r/>
      <w:r>
        <w:rPr>
          <w:b/>
        </w:rPr>
        <w:t>Éviter le fébuxostat chez les patients avec antécédents cardiovasculaires récents</w:t>
      </w:r>
      <w:r>
        <w:t xml:space="preserve"> (infarctus du myocarde, AVC ischémique, angor instable dans les 6 derniers mois). Préférer l'allopurinol.</w:t>
      </w:r>
    </w:p>
    <w:p>
      <w:pPr>
        <w:pStyle w:val="ListBullet"/>
      </w:pPr>
      <w:r/>
      <w:r>
        <w:rPr>
          <w:b/>
        </w:rPr>
        <w:t>Surveillance cardiovasculaire renforcée</w:t>
      </w:r>
      <w:r>
        <w:t xml:space="preserve"> chez les patients avec antécédents cardiovasculaires anciens : ECG annuel, contrôle de la pression artérielle tous les 6 mois, recherche de symptômes évocateurs de maladie coronarienne (douleur thoracique, dyspnée, palpitations) ou d'AVC (déficit neurologique brutal, aphasie).</w:t>
      </w:r>
    </w:p>
    <w:p>
      <w:pPr>
        <w:pStyle w:val="ListBullet"/>
      </w:pPr>
      <w:r/>
      <w:r>
        <w:rPr>
          <w:b/>
        </w:rPr>
        <w:t>Information du patient</w:t>
      </w:r>
      <w:r>
        <w:t xml:space="preserve"> : aviser le patient de consulter en urgence en cas de douleur thoracique, dyspnée, faiblesse brutale d'un membre, trouble du langage.</w:t>
      </w:r>
    </w:p>
    <w:p>
      <w:pPr>
        <w:pStyle w:val="ListBullet"/>
      </w:pPr>
      <w:r/>
      <w:r>
        <w:rPr>
          <w:b/>
        </w:rPr>
        <w:t>Réévaluation annuelle</w:t>
      </w:r>
      <w:r>
        <w:t xml:space="preserve"> de l'indication du fébuxostat : discuter le relais par allopurinol si le patient développe des antécédents cardiovasculaires nouveaux.</w:t>
      </w:r>
    </w:p>
    <w:p>
      <w:r/>
      <w:r>
        <w:rPr>
          <w:b/>
        </w:rPr>
        <w:t>Prévention de la toxicité hépatique :</w:t>
      </w:r>
      <w:r/>
    </w:p>
    <w:p>
      <w:pPr>
        <w:pStyle w:val="ListBullet"/>
      </w:pPr>
      <w:r/>
      <w:r>
        <w:rPr>
          <w:b/>
        </w:rPr>
        <w:t>Bilan hépatique (ALAT, ASAT, γ-GT, bilirubine)</w:t>
      </w:r>
      <w:r>
        <w:t xml:space="preserve"> : avant initiation, à 1 mois, à 3 mois, puis trimestrielle pendant 6 mois, puis semestrielle. Arrêt si ALAT &gt; 3 × LSN.</w:t>
      </w:r>
    </w:p>
    <w:p>
      <w:pPr>
        <w:pStyle w:val="ListBullet"/>
      </w:pPr>
      <w:r/>
      <w:r>
        <w:rPr>
          <w:b/>
        </w:rPr>
        <w:t>Surveillance accrue</w:t>
      </w:r>
      <w:r>
        <w:t xml:space="preserve"> chez les patients avec hépatopathie chronique ou alcoolisme chronique.</w:t>
      </w:r>
    </w:p>
    <w:p>
      <w:r/>
      <w:r>
        <w:rPr>
          <w:b/>
        </w:rPr>
        <w:t>Prévention de la toxicité hématologique :</w:t>
      </w:r>
      <w:r/>
    </w:p>
    <w:p>
      <w:pPr>
        <w:pStyle w:val="ListBullet"/>
      </w:pPr>
      <w:r/>
      <w:r>
        <w:rPr>
          <w:b/>
        </w:rPr>
        <w:t>NFS plaquettaire de surveillance</w:t>
      </w:r>
      <w:r>
        <w:t xml:space="preserve"> : à 1 mois, à 3 mois, puis trimestrielle.</w:t>
      </w:r>
    </w:p>
    <w:p>
      <w:pPr>
        <w:pStyle w:val="ListBullet"/>
      </w:pPr>
      <w:r/>
      <w:r>
        <w:rPr>
          <w:b/>
        </w:rPr>
        <w:t>Vigilance accrue en cas d'association à des traitements myélotoxiques</w:t>
      </w:r>
      <w:r>
        <w:t xml:space="preserve"> (azathioprine — contre-indiquée, chimiothérapie).</w:t>
      </w:r>
    </w:p>
    <w:p>
      <w:r/>
      <w:r>
        <w:rPr>
          <w:b/>
        </w:rPr>
        <w:t>Prévention des réactions cutanées :</w:t>
      </w:r>
      <w:r/>
    </w:p>
    <w:p>
      <w:pPr>
        <w:pStyle w:val="ListBullet"/>
      </w:pPr>
      <w:r/>
      <w:r>
        <w:rPr>
          <w:b/>
        </w:rPr>
        <w:t>Surveillance clinique</w:t>
      </w:r>
      <w:r>
        <w:t xml:space="preserve"> : éruptions, prurit. Arrêt immédiat en cas d'éruption étendue, de fièvre, d'adénopathies (suspicions de DRESS).</w:t>
      </w:r>
    </w:p>
    <w:p>
      <w:pPr>
        <w:pStyle w:val="ListBullet"/>
      </w:pPr>
      <w:r/>
      <w:r>
        <w:rPr>
          <w:b/>
        </w:rPr>
        <w:t>Allergie croisée avec l'allopurinol</w:t>
      </w:r>
      <w:r>
        <w:t xml:space="preserve"> : ABSENTE. Le fébuxostat peut être utilisé chez les patients ayant présenté un syndrome DRESS ou un syndrome de Lyell sous allopurinol.</w:t>
      </w:r>
    </w:p>
    <w:p>
      <w:pPr>
        <w:pStyle w:val="Heading4"/>
      </w:pPr>
      <w:r>
        <w:t>6. Interactions médicamenteuses</w:t>
      </w:r>
    </w:p>
    <w:p>
      <w:r>
        <w:t>Les interactions médicamenteuses du fébuxostat sont moins nombreuses que celles de l'allopurinol, mais elles incluent des contre-indications majeures.</w:t>
      </w:r>
    </w:p>
    <w:p>
      <w:r/>
      <w:r>
        <w:rPr>
          <w:b/>
        </w:rPr>
        <w:t>Contre-indications absolues (association INTERDITE) :</w:t>
      </w:r>
      <w:r/>
    </w:p>
    <w:p>
      <w:pPr>
        <w:pStyle w:val="ListBullet"/>
      </w:pPr>
      <w:r/>
      <w:r>
        <w:rPr>
          <w:b/>
        </w:rPr>
        <w:t>Azathioprine ou 6-mercaptopurine</w:t>
      </w:r>
      <w:r>
        <w:t xml:space="preserve"> : le fébuxostat inhibe la xanthine oxydase qui métabolise l'azathioprine et la 6-mercaptopurine. L'association est contre-indiquée (selon RCP), en raison du risque de toxicité médullaire sévère (aplasie médullaire). Différence avec l'allopurinol : l'allopurinol est seulement déconseillé (avec adaptation posologique à 25 % de la dose standard d'azathioprine), tandis que le fébuxostat est contre-indiqué (même à dose réduite d'azathioprine).</w:t>
      </w:r>
    </w:p>
    <w:p>
      <w:pPr>
        <w:pStyle w:val="ListBullet"/>
      </w:pPr>
      <w:r/>
      <w:r>
        <w:rPr>
          <w:b/>
        </w:rPr>
        <w:t>Méthotrexate</w:t>
      </w:r>
      <w:r>
        <w:t xml:space="preserve"> : à utiliser avec prudence, surveillance accrue (potentielisation de la toxicité médullaire).</w:t>
      </w:r>
    </w:p>
    <w:p>
      <w:r/>
      <w:r>
        <w:rPr>
          <w:b/>
        </w:rPr>
        <w:t>Associations déconseillées (à éviter) :</w:t>
      </w:r>
      <w:r/>
    </w:p>
    <w:p>
      <w:pPr>
        <w:pStyle w:val="ListBullet"/>
      </w:pPr>
      <w:r/>
      <w:r>
        <w:rPr>
          <w:b/>
        </w:rPr>
        <w:t>Anticoagulants oraux (warfarine)</w:t>
      </w:r>
      <w:r>
        <w:t xml:space="preserve"> : augmentation de l'INR (inhibition du métabolisme hépatique de la warfarine par le CYP2C9). Surveillance INR accrue, ajustement posologique.</w:t>
      </w:r>
    </w:p>
    <w:p>
      <w:pPr>
        <w:pStyle w:val="ListBullet"/>
      </w:pPr>
      <w:r/>
      <w:r>
        <w:rPr>
          <w:b/>
        </w:rPr>
        <w:t>Théophylline</w:t>
      </w:r>
      <w:r>
        <w:t xml:space="preserve"> : inhibition de la clairance de la théophylline par la xanthine oxydase. Risque de surdosage en théophylline. Surveillance théophyllinémie.</w:t>
      </w:r>
    </w:p>
    <w:p>
      <w:r/>
      <w:r>
        <w:rPr>
          <w:b/>
        </w:rPr>
        <w:t>Associations à prendre en compte (vigilance) :</w:t>
      </w:r>
      <w:r/>
    </w:p>
    <w:p>
      <w:pPr>
        <w:pStyle w:val="ListBullet"/>
      </w:pPr>
      <w:r/>
      <w:r>
        <w:rPr>
          <w:b/>
        </w:rPr>
        <w:t>Rosuvastatine</w:t>
      </w:r>
      <w:r>
        <w:t xml:space="preserve"> : augmentation modérée des concentrations de rosuvastatine (inhibition du transporteur BCRP). Surveillance clinique (myalgies), pas d'adaptation posologique usuelle.</w:t>
      </w:r>
    </w:p>
    <w:p>
      <w:pPr>
        <w:pStyle w:val="ListBullet"/>
      </w:pPr>
      <w:r/>
      <w:r>
        <w:rPr>
          <w:b/>
        </w:rPr>
        <w:t>Didanosine</w:t>
      </w:r>
      <w:r>
        <w:t xml:space="preserve"> : augmentation possible des concentrations de didanosine. Surveillance clinique.</w:t>
      </w:r>
    </w:p>
    <w:p>
      <w:pPr>
        <w:pStyle w:val="ListBullet"/>
      </w:pPr>
      <w:r/>
      <w:r>
        <w:rPr>
          <w:b/>
        </w:rPr>
        <w:t>Ciclosporine</w:t>
      </w:r>
      <w:r>
        <w:t xml:space="preserve"> : augmentation possible des concentrations de ciclosporine. Surveillance ciclosporinémie.</w:t>
      </w:r>
    </w:p>
    <w:p>
      <w:pPr>
        <w:pStyle w:val="ListBullet"/>
      </w:pPr>
      <w:r/>
      <w:r>
        <w:rPr>
          <w:b/>
        </w:rPr>
        <w:t>Acide acétylsalicylique (aspirine)</w:t>
      </w:r>
      <w:r>
        <w:t xml:space="preserve"> à faible dose : pas d'interaction significative à dose cardiovasculaire (75–325 mg/jour).</w:t>
      </w:r>
    </w:p>
    <w:p>
      <w:r/>
      <w:r>
        <w:rPr>
          <w:b/>
        </w:rPr>
        <w:t>Associations sans interaction significative :</w:t>
      </w:r>
      <w:r/>
    </w:p>
    <w:p>
      <w:pPr>
        <w:pStyle w:val="ListBullet"/>
      </w:pPr>
      <w:r/>
      <w:r>
        <w:rPr>
          <w:b/>
        </w:rPr>
        <w:t>Colchicine</w:t>
      </w:r>
      <w:r>
        <w:t xml:space="preserve"> : pas d'interaction pharmacocinétique ni pharmacodynamique majeure. C'est l'association usuelle (colchicine prophylactique + fébuxostat hypouricémiant).</w:t>
      </w:r>
    </w:p>
    <w:p>
      <w:pPr>
        <w:pStyle w:val="ListBullet"/>
      </w:pPr>
      <w:r/>
      <w:r>
        <w:rPr>
          <w:b/>
        </w:rPr>
        <w:t>Allopurinol</w:t>
      </w:r>
      <w:r>
        <w:t xml:space="preserve"> : ne pas associer (pas d'AMM, pas de preuve d'efficacité supérieure, risque accru d'effets indésirables). Le fébuxostat est indiqué en cas d'échec ou d'intolérance à l'allopurinol, en relais (switch), et non en association.</w:t>
      </w:r>
    </w:p>
    <w:p>
      <w:pPr>
        <w:pStyle w:val="ListBullet"/>
      </w:pPr>
      <w:r/>
      <w:r>
        <w:rPr>
          <w:b/>
        </w:rPr>
        <w:t>AINS</w:t>
      </w:r>
      <w:r>
        <w:t xml:space="preserve"> : pas d'interaction pharmacocinétique, mais potentialisation de la toxicité digestive.</w:t>
      </w:r>
    </w:p>
    <w:p>
      <w:pPr>
        <w:pStyle w:val="ListBullet"/>
      </w:pPr>
      <w:r/>
      <w:r>
        <w:rPr>
          <w:b/>
        </w:rPr>
        <w:t>Paracétamol</w:t>
      </w:r>
      <w:r>
        <w:t xml:space="preserve"> : pas d'interaction significative.</w:t>
      </w:r>
    </w:p>
    <w:p>
      <w:pPr>
        <w:pStyle w:val="ListBullet"/>
      </w:pPr>
      <w:r/>
      <w:r>
        <w:rPr>
          <w:b/>
        </w:rPr>
        <w:t>Statines (sauf rosuvastatine)</w:t>
      </w:r>
      <w:r>
        <w:t xml:space="preserve"> : pas d'interaction majeure.</w:t>
      </w:r>
    </w:p>
    <w:p>
      <w:pPr>
        <w:pStyle w:val="ListBullet"/>
      </w:pPr>
      <w:r/>
      <w:r>
        <w:rPr>
          <w:b/>
        </w:rPr>
        <w:t>Diurétiques</w:t>
      </w:r>
      <w:r>
        <w:t xml:space="preserve"> : pas d'interaction significative.</w:t>
      </w:r>
    </w:p>
    <w:p>
      <w:pPr>
        <w:pStyle w:val="Heading4"/>
      </w:pPr>
      <w:r>
        <w:t>7. Grossesse et allaitement (CRAT)</w:t>
      </w:r>
    </w:p>
    <w:p>
      <w:r/>
      <w:r>
        <w:rPr>
          <w:b/>
        </w:rPr>
        <w:t>Grossesse :</w:t>
      </w:r>
      <w:r/>
    </w:p>
    <w:p>
      <w:r>
        <w:t xml:space="preserve">Les données animales (rat, souris, lapin) montrent une toxicité embryo-fœtale du fébuxostat à doses thérapeutiques (létalité fœtale, malformations cardiovasculaires et squelettiques). Les données humaines sont extrêmement limitées (cas isolés, pas de registre de grossesse exposées). En raison du mécanisme d'action (inhibition de la xanthine oxydase, qui est impliquée dans le métabolisme placentaire et la défense contre le stress oxydatif), le CRAT classe le fébuxostat comme </w:t>
      </w:r>
      <w:r>
        <w:rPr>
          <w:b/>
        </w:rPr>
        <w:t>« déconseillé »</w:t>
      </w:r>
      <w:r>
        <w:t xml:space="preserve"> pendant la grossesse, sauf nécessité absolue.</w:t>
      </w:r>
    </w:p>
    <w:p>
      <w:r>
        <w:t>Les indications acceptées sont très limitées :</w:t>
      </w:r>
    </w:p>
    <w:p>
      <w:pPr>
        <w:pStyle w:val="ListBullet"/>
      </w:pPr>
      <w:r/>
      <w:r>
        <w:rPr>
          <w:b/>
        </w:rPr>
        <w:t>Syndrome de lyse tumorale</w:t>
      </w:r>
      <w:r>
        <w:t xml:space="preserve"> : à éviter, en raison de la disponibilité de la rasburicase (compatible avec la grossesse au 2e et 3e trimestre).</w:t>
      </w:r>
    </w:p>
    <w:p>
      <w:pPr>
        <w:pStyle w:val="ListBullet"/>
      </w:pPr>
      <w:r/>
      <w:r>
        <w:rPr>
          <w:b/>
        </w:rPr>
        <w:t>Goutte sévère réfractaire avec intolérance à l'allopurinol</w:t>
      </w:r>
      <w:r>
        <w:t xml:space="preserve"> : cas exceptionnel, à discuter en milieu spécialisé. Préférer la corticothérapie (prednisone 20–30 mg/jour) en cas de crise aiguë.</w:t>
      </w:r>
    </w:p>
    <w:p>
      <w:r>
        <w:t>En pratique, chez la femme enceinte présentant une crise aiguë de goutte :</w:t>
      </w:r>
    </w:p>
    <w:p>
      <w:pPr>
        <w:pStyle w:val="ListBullet"/>
      </w:pPr>
      <w:r/>
      <w:r>
        <w:rPr>
          <w:b/>
        </w:rPr>
        <w:t>Crise aiguë</w:t>
      </w:r>
      <w:r>
        <w:t xml:space="preserve"> : éviter la colchicine, l'allopurinol, et le fébuxostat. Préférer la corticothérapie (prednisone 20–30 mg/jour pendant 5–7 jours), compatible avec la grossesse.</w:t>
      </w:r>
    </w:p>
    <w:p>
      <w:pPr>
        <w:pStyle w:val="ListBullet"/>
      </w:pPr>
      <w:r/>
      <w:r>
        <w:rPr>
          <w:b/>
        </w:rPr>
        <w:t>Traitement de fond</w:t>
      </w:r>
      <w:r>
        <w:t xml:space="preserve"> : reporter l'initiation de l'hypouricémiant en post-partum. Si hyperuricémie sévère symptomatique, discussion spécialisée en maternité.</w:t>
      </w:r>
    </w:p>
    <w:p>
      <w:r/>
      <w:r>
        <w:rPr>
          <w:b/>
        </w:rPr>
        <w:t>Allaitement :</w:t>
      </w:r>
      <w:r/>
    </w:p>
    <w:p>
      <w:r>
        <w:t xml:space="preserve">Il n'existe pas de données sur l'excrétion du fébuxostat dans le lait maternel humain. Les données animales (rat) montrent une excrétion significative dans le lait. En l'absence de données humaines, le CRAT classe le fébuxostat comme </w:t>
      </w:r>
      <w:r>
        <w:rPr>
          <w:b/>
        </w:rPr>
        <w:t>« déconseillé »</w:t>
      </w:r>
      <w:r>
        <w:t xml:space="preserve"> pendant l'allaitement.</w:t>
      </w:r>
    </w:p>
    <w:p>
      <w:r>
        <w:t>Recommandations pratiques :</w:t>
      </w:r>
    </w:p>
    <w:p>
      <w:pPr>
        <w:pStyle w:val="ListBullet"/>
      </w:pPr>
      <w:r/>
      <w:r>
        <w:rPr>
          <w:b/>
        </w:rPr>
        <w:t>Préférer l'allopurinol</w:t>
      </w:r>
      <w:r>
        <w:t xml:space="preserve"> chez la femme qui allaite (compatible selon le CRAT, à dose ≤ 300 mg/jour).</w:t>
      </w:r>
    </w:p>
    <w:p>
      <w:pPr>
        <w:pStyle w:val="ListBullet"/>
      </w:pPr>
      <w:r/>
      <w:r>
        <w:rPr>
          <w:b/>
        </w:rPr>
        <w:t>Si fébuxostat indispensable</w:t>
      </w:r>
      <w:r>
        <w:t xml:space="preserve"> : envisager le sevrage de l'allaitement et le relais par lait infantile artificiel adapté à l'âge du nourrisson.</w:t>
      </w:r>
    </w:p>
    <w:p>
      <w:pPr>
        <w:pStyle w:val="Heading4"/>
      </w:pPr>
      <w:r>
        <w:t>8. Posologie et mode d'administration</w:t>
      </w:r>
    </w:p>
    <w:p>
      <w:r/>
      <w:r>
        <w:rPr>
          <w:b/>
        </w:rPr>
        <w:t>Posologie chez l'adulte (fonction rénale normale) :</w:t>
      </w:r>
      <w:r/>
    </w:p>
    <w:p>
      <w:pPr>
        <w:pStyle w:val="ListBullet"/>
      </w:pPr>
      <w:r/>
      <w:r>
        <w:rPr>
          <w:b/>
        </w:rPr>
        <w:t>Initiation</w:t>
      </w:r>
      <w:r>
        <w:t xml:space="preserve"> : 40 mg/jour en une prise, à débuter </w:t>
      </w:r>
      <w:r>
        <w:rPr>
          <w:b/>
        </w:rPr>
        <w:t>après la résolution complète de la dernière crise de goutte</w:t>
      </w:r>
      <w:r>
        <w:t xml:space="preserve"> (attendre 1 à 2 semaines après la crise). Dose réduite depuis la modification d'AMM européenne de 2015 (initialement 80 mg/jour), en raison de la meilleure tolérance à faible dose et de l'efficacité équivalente.</w:t>
      </w:r>
    </w:p>
    <w:p>
      <w:pPr>
        <w:pStyle w:val="ListBullet"/>
      </w:pPr>
      <w:r/>
      <w:r>
        <w:rPr>
          <w:b/>
        </w:rPr>
        <w:t>Titration</w:t>
      </w:r>
      <w:r>
        <w:t xml:space="preserve"> : augmenter à 80 mg/jour après 2 à 4 semaines si l'uricémie reste &gt; 360 µmol/L (60 mg/L). Augmenter à 120 mg/jour après 2 à 4 semaines supplémentaires en cas de goutte tophacée ou d'échec à 80 mg/jour.</w:t>
      </w:r>
    </w:p>
    <w:p>
      <w:pPr>
        <w:pStyle w:val="ListBullet"/>
      </w:pPr>
      <w:r/>
      <w:r>
        <w:rPr>
          <w:b/>
        </w:rPr>
        <w:t>Dose d'entretien usuelle</w:t>
      </w:r>
      <w:r>
        <w:t xml:space="preserve"> : 80 mg/jour en une prise. La majorité des patients atteignent l'objectif d'uricémie avec 80 mg/jour.</w:t>
      </w:r>
    </w:p>
    <w:p>
      <w:pPr>
        <w:pStyle w:val="ListBullet"/>
      </w:pPr>
      <w:r/>
      <w:r>
        <w:rPr>
          <w:b/>
        </w:rPr>
        <w:t>Dose maximale</w:t>
      </w:r>
      <w:r>
        <w:t xml:space="preserve"> : 120 mg/jour (en cas de goutte tophacée sévère ou d'échec à 80 mg/jour).</w:t>
      </w:r>
    </w:p>
    <w:p>
      <w:pPr>
        <w:pStyle w:val="ListBullet"/>
      </w:pPr>
      <w:r/>
      <w:r>
        <w:rPr>
          <w:b/>
        </w:rPr>
        <w:t>Prophylaxie associée des crises d'initiation</w:t>
      </w:r>
      <w:r>
        <w:t xml:space="preserve"> : colchicine 0,5–1 mg/jour pendant 3 à 6 mois (jusqu'à 12 mois en cas de tophi).</w:t>
      </w:r>
    </w:p>
    <w:p>
      <w:r/>
      <w:r>
        <w:rPr>
          <w:b/>
        </w:rPr>
        <w:t>Posologie chez le sujet âgé (&gt; 75 ans) :</w:t>
      </w:r>
      <w:r/>
    </w:p>
    <w:p>
      <w:pPr>
        <w:pStyle w:val="ListBullet"/>
      </w:pPr>
      <w:r>
        <w:t>Pas d'adaptation posologique usuelle. Initier à 40 mg/jour, titrer selon l'efficacité et la tolérance.</w:t>
      </w:r>
    </w:p>
    <w:p>
      <w:r/>
      <w:r>
        <w:rPr>
          <w:b/>
        </w:rPr>
        <w:t>Posologie en cas d'insuffisance rénale :</w:t>
      </w:r>
      <w:r/>
    </w:p>
    <w:p>
      <w:r>
        <w:t>Le fébuxostat est métabolisé principalement par voie hépatique (65 %), ce qui permet une utilisation sans adaptation posologique en cas d'insuffisance rénale modérée à sévère.</w:t>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sz w:val="20"/>
              </w:rPr>
              <w:t>Clairance créatinine (mL/min)</w:t>
            </w:r>
          </w:p>
        </w:tc>
        <w:tc>
          <w:tcPr>
            <w:tcW w:type="dxa" w:w="2339"/>
          </w:tcPr>
          <w:p>
            <w:r>
              <w:rPr>
                <w:b/>
                <w:sz w:val="20"/>
              </w:rPr>
              <w:t>Dose initiale</w:t>
            </w:r>
          </w:p>
        </w:tc>
        <w:tc>
          <w:tcPr>
            <w:tcW w:type="dxa" w:w="2339"/>
          </w:tcPr>
          <w:p>
            <w:r>
              <w:rPr>
                <w:b/>
                <w:sz w:val="20"/>
              </w:rPr>
              <w:t>Dose maximale</w:t>
            </w:r>
          </w:p>
        </w:tc>
        <w:tc>
          <w:tcPr>
            <w:tcW w:type="dxa" w:w="2339"/>
          </w:tcPr>
          <w:p>
            <w:r>
              <w:rPr>
                <w:b/>
                <w:sz w:val="20"/>
              </w:rPr>
              <w:t>Adaptation</w:t>
            </w:r>
          </w:p>
        </w:tc>
      </w:tr>
      <w:tr>
        <w:tc>
          <w:tcPr>
            <w:tcW w:type="dxa" w:w="2339"/>
          </w:tcPr>
          <w:p>
            <w:r>
              <w:rPr>
                <w:sz w:val="20"/>
              </w:rPr>
              <w:t>≥ 60</w:t>
            </w:r>
          </w:p>
        </w:tc>
        <w:tc>
          <w:tcPr>
            <w:tcW w:type="dxa" w:w="2339"/>
          </w:tcPr>
          <w:p>
            <w:r>
              <w:rPr>
                <w:sz w:val="20"/>
              </w:rPr>
              <w:t>40 mg/jour</w:t>
            </w:r>
          </w:p>
        </w:tc>
        <w:tc>
          <w:tcPr>
            <w:tcW w:type="dxa" w:w="2339"/>
          </w:tcPr>
          <w:p>
            <w:r>
              <w:rPr>
                <w:sz w:val="20"/>
              </w:rPr>
              <w:t>120 mg/jour</w:t>
            </w:r>
          </w:p>
        </w:tc>
        <w:tc>
          <w:tcPr>
            <w:tcW w:type="dxa" w:w="2339"/>
          </w:tcPr>
          <w:p>
            <w:r>
              <w:rPr>
                <w:sz w:val="20"/>
              </w:rPr>
              <w:t>Aucune</w:t>
            </w:r>
          </w:p>
        </w:tc>
      </w:tr>
      <w:tr>
        <w:tc>
          <w:tcPr>
            <w:tcW w:type="dxa" w:w="2339"/>
          </w:tcPr>
          <w:p>
            <w:r>
              <w:rPr>
                <w:sz w:val="20"/>
              </w:rPr>
              <w:t>30–60</w:t>
            </w:r>
          </w:p>
        </w:tc>
        <w:tc>
          <w:tcPr>
            <w:tcW w:type="dxa" w:w="2339"/>
          </w:tcPr>
          <w:p>
            <w:r>
              <w:rPr>
                <w:sz w:val="20"/>
              </w:rPr>
              <w:t>40 mg/jour</w:t>
            </w:r>
          </w:p>
        </w:tc>
        <w:tc>
          <w:tcPr>
            <w:tcW w:type="dxa" w:w="2339"/>
          </w:tcPr>
          <w:p>
            <w:r>
              <w:rPr>
                <w:sz w:val="20"/>
              </w:rPr>
              <w:t>80 mg/jour</w:t>
            </w:r>
          </w:p>
        </w:tc>
        <w:tc>
          <w:tcPr>
            <w:tcW w:type="dxa" w:w="2339"/>
          </w:tcPr>
          <w:p>
            <w:r>
              <w:rPr>
                <w:sz w:val="20"/>
              </w:rPr>
              <w:t>Surveillance accrue</w:t>
            </w:r>
          </w:p>
        </w:tc>
      </w:tr>
      <w:tr>
        <w:tc>
          <w:tcPr>
            <w:tcW w:type="dxa" w:w="2339"/>
          </w:tcPr>
          <w:p>
            <w:r>
              <w:rPr>
                <w:sz w:val="20"/>
              </w:rPr>
              <w:t>15–30</w:t>
            </w:r>
          </w:p>
        </w:tc>
        <w:tc>
          <w:tcPr>
            <w:tcW w:type="dxa" w:w="2339"/>
          </w:tcPr>
          <w:p>
            <w:r>
              <w:rPr>
                <w:sz w:val="20"/>
              </w:rPr>
              <w:t>40 mg/jour</w:t>
            </w:r>
          </w:p>
        </w:tc>
        <w:tc>
          <w:tcPr>
            <w:tcW w:type="dxa" w:w="2339"/>
          </w:tcPr>
          <w:p>
            <w:r>
              <w:rPr>
                <w:sz w:val="20"/>
              </w:rPr>
              <w:t>40 mg/jour</w:t>
            </w:r>
          </w:p>
        </w:tc>
        <w:tc>
          <w:tcPr>
            <w:tcW w:type="dxa" w:w="2339"/>
          </w:tcPr>
          <w:p>
            <w:r>
              <w:rPr>
                <w:sz w:val="20"/>
              </w:rPr>
              <w:t>Prudence, surveillance étroite</w:t>
            </w:r>
          </w:p>
        </w:tc>
      </w:tr>
      <w:tr>
        <w:tc>
          <w:tcPr>
            <w:tcW w:type="dxa" w:w="2339"/>
          </w:tcPr>
          <w:p>
            <w:r>
              <w:rPr>
                <w:sz w:val="20"/>
              </w:rPr>
              <w:t>&lt; 15</w:t>
            </w:r>
          </w:p>
        </w:tc>
        <w:tc>
          <w:tcPr>
            <w:tcW w:type="dxa" w:w="2339"/>
          </w:tcPr>
          <w:p>
            <w:r>
              <w:rPr>
                <w:sz w:val="20"/>
              </w:rPr>
              <w:t>Non recommandé</w:t>
            </w:r>
          </w:p>
        </w:tc>
        <w:tc>
          <w:tcPr>
            <w:tcW w:type="dxa" w:w="2339"/>
          </w:tcPr>
          <w:p>
            <w:r>
              <w:rPr>
                <w:sz w:val="20"/>
              </w:rPr>
              <w:t>—</w:t>
            </w:r>
          </w:p>
        </w:tc>
        <w:tc>
          <w:tcPr>
            <w:tcW w:type="dxa" w:w="2339"/>
          </w:tcPr>
          <w:p>
            <w:r>
              <w:rPr>
                <w:sz w:val="20"/>
              </w:rPr>
              <w:t>Préférer allopurinol adapté ou rasburicase</w:t>
            </w:r>
          </w:p>
        </w:tc>
      </w:tr>
    </w:tbl>
    <w:p/>
    <w:p>
      <w:r/>
      <w:r>
        <w:rPr>
          <w:b/>
        </w:rPr>
        <w:t>Posologie en cas d'insuffisance hépatique :</w:t>
      </w:r>
      <w:r/>
    </w:p>
    <w:p>
      <w:pPr>
        <w:pStyle w:val="ListBullet"/>
      </w:pPr>
      <w:r/>
      <w:r>
        <w:rPr>
          <w:b/>
        </w:rPr>
        <w:t>Hépatopathie chronique modérée</w:t>
      </w:r>
      <w:r>
        <w:t xml:space="preserve"> (Child-Pugh A) : pas d'adaptation posologique, surveillance des transaminases.</w:t>
      </w:r>
    </w:p>
    <w:p>
      <w:pPr>
        <w:pStyle w:val="ListBullet"/>
      </w:pPr>
      <w:r/>
      <w:r>
        <w:rPr>
          <w:b/>
        </w:rPr>
        <w:t>Insuffisance hépatique modérée</w:t>
      </w:r>
      <w:r>
        <w:t xml:space="preserve"> (Child-Pugh B) : pas d'adaptation posologique, surveillance accrue.</w:t>
      </w:r>
    </w:p>
    <w:p>
      <w:pPr>
        <w:pStyle w:val="ListBullet"/>
      </w:pPr>
      <w:r/>
      <w:r>
        <w:rPr>
          <w:b/>
        </w:rPr>
        <w:t>Insuffisance hépatique sévère</w:t>
      </w:r>
      <w:r>
        <w:t xml:space="preserve"> (Child-Pugh C) : non recommandée (absence de données cliniques).</w:t>
      </w:r>
    </w:p>
    <w:p>
      <w:r/>
      <w:r>
        <w:rPr>
          <w:b/>
        </w:rPr>
        <w:t>Posologie en cas de dialyse :</w:t>
      </w:r>
      <w:r/>
    </w:p>
    <w:p>
      <w:pPr>
        <w:pStyle w:val="ListBullet"/>
      </w:pPr>
      <w:r/>
      <w:r>
        <w:rPr>
          <w:b/>
        </w:rPr>
        <w:t>Hémodialyse</w:t>
      </w:r>
      <w:r>
        <w:t xml:space="preserve"> : 40 mg 1 jour sur 2 (en raison de l'élimination partielle du fébuxostat par hémodialyse).</w:t>
      </w:r>
    </w:p>
    <w:p>
      <w:pPr>
        <w:pStyle w:val="ListBullet"/>
      </w:pPr>
      <w:r/>
      <w:r>
        <w:rPr>
          <w:b/>
        </w:rPr>
        <w:t>Dialyse péritonéale</w:t>
      </w:r>
      <w:r>
        <w:t xml:space="preserve"> : non recommandée (absence de données).</w:t>
      </w:r>
    </w:p>
    <w:p>
      <w:r/>
      <w:r>
        <w:rPr>
          <w:b/>
        </w:rPr>
        <w:t>Mode d'administration :</w:t>
      </w:r>
      <w:r/>
    </w:p>
    <w:p>
      <w:pPr>
        <w:pStyle w:val="ListBullet"/>
      </w:pPr>
      <w:r/>
      <w:r>
        <w:rPr>
          <w:b/>
        </w:rPr>
        <w:t>Voie orale exclusive</w:t>
      </w:r>
      <w:r>
        <w:t xml:space="preserve"> (forme injectable non disponible).</w:t>
      </w:r>
    </w:p>
    <w:p>
      <w:pPr>
        <w:pStyle w:val="ListBullet"/>
      </w:pPr>
      <w:r/>
      <w:r>
        <w:rPr>
          <w:b/>
        </w:rPr>
        <w:t>Pendant ou après le repas</w:t>
      </w:r>
      <w:r>
        <w:t xml:space="preserve"> : pour réduire les effets digestifs.</w:t>
      </w:r>
    </w:p>
    <w:p>
      <w:pPr>
        <w:pStyle w:val="ListBullet"/>
      </w:pPr>
      <w:r/>
      <w:r>
        <w:rPr>
          <w:b/>
        </w:rPr>
        <w:t>Prise unique</w:t>
      </w:r>
      <w:r>
        <w:t xml:space="preserve"> le matin à heure fixe (en raison de la demi-vie de 5–8 heures).</w:t>
      </w:r>
    </w:p>
    <w:p>
      <w:pPr>
        <w:pStyle w:val="ListBullet"/>
      </w:pPr>
      <w:r/>
      <w:r>
        <w:rPr>
          <w:b/>
        </w:rPr>
        <w:t>Comprimé pelliculé</w:t>
      </w:r>
      <w:r>
        <w:t xml:space="preserve"> : à avaler entier avec un grand verre d'eau. Ne pas croquer ni écraser.</w:t>
      </w:r>
    </w:p>
    <w:p>
      <w:pPr>
        <w:pStyle w:val="ListBullet"/>
      </w:pPr>
      <w:r/>
      <w:r>
        <w:rPr>
          <w:b/>
        </w:rPr>
        <w:t>Hydratation abondante</w:t>
      </w:r>
      <w:r>
        <w:t xml:space="preserve"> : ≥ 2 L/jour d'eau, idéalement riche en bicarbonate (Vichy Célestins, St-Yorre).</w:t>
      </w:r>
    </w:p>
    <w:p>
      <w:r/>
      <w:r>
        <w:rPr>
          <w:b/>
        </w:rPr>
        <w:t>Règles d'initiation (résumé) :</w:t>
      </w:r>
      <w:r/>
    </w:p>
    <w:p>
      <w:pPr>
        <w:pStyle w:val="ListNumber"/>
      </w:pPr>
      <w:r/>
      <w:r>
        <w:rPr>
          <w:b/>
        </w:rPr>
        <w:t>Ne pas débuter pendant une crise aiguë</w:t>
      </w:r>
      <w:r>
        <w:t xml:space="preserve"> : attendre la résolution complète (1 à 2 semaines).</w:t>
      </w:r>
    </w:p>
    <w:p>
      <w:pPr>
        <w:pStyle w:val="ListNumber"/>
      </w:pPr>
      <w:r/>
      <w:r>
        <w:rPr>
          <w:b/>
        </w:rPr>
        <w:t>Initier à 40 mg/jour</w:t>
      </w:r>
      <w:r>
        <w:t xml:space="preserve"> (au lieu de 80 mg/jour avant 2015).</w:t>
      </w:r>
    </w:p>
    <w:p>
      <w:pPr>
        <w:pStyle w:val="ListNumber"/>
      </w:pPr>
      <w:r/>
      <w:r>
        <w:rPr>
          <w:b/>
        </w:rPr>
        <w:t>Titration à 80 mg/jour</w:t>
      </w:r>
      <w:r>
        <w:t xml:space="preserve"> après 2 à 4 semaines si uricémie &gt; 360 µmol/L.</w:t>
      </w:r>
    </w:p>
    <w:p>
      <w:pPr>
        <w:pStyle w:val="ListNumber"/>
      </w:pPr>
      <w:r/>
      <w:r>
        <w:rPr>
          <w:b/>
        </w:rPr>
        <w:t>Titration à 120 mg/jour</w:t>
      </w:r>
      <w:r>
        <w:t xml:space="preserve"> après 2 à 4 semaines supplémentaires en cas de goutte tophacée ou d'échec à 80 mg/jour.</w:t>
      </w:r>
    </w:p>
    <w:p>
      <w:pPr>
        <w:pStyle w:val="ListNumber"/>
      </w:pPr>
      <w:r/>
      <w:r>
        <w:rPr>
          <w:b/>
        </w:rPr>
        <w:t>Prophylaxie systématique des crises</w:t>
      </w:r>
      <w:r>
        <w:t xml:space="preserve"> : colchicine 0,5–1 mg/jour pendant 3 à 6 mois (jusqu'à 12 mois en cas de tophi).</w:t>
      </w:r>
    </w:p>
    <w:p>
      <w:pPr>
        <w:pStyle w:val="ListNumber"/>
      </w:pPr>
      <w:r/>
      <w:r>
        <w:rPr>
          <w:b/>
        </w:rPr>
        <w:t>Surveillance uricémie</w:t>
      </w:r>
      <w:r>
        <w:t xml:space="preserve"> : mensuelle pendant la titration, puis semestrielle.</w:t>
      </w:r>
    </w:p>
    <w:p>
      <w:pPr>
        <w:pStyle w:val="ListNumber"/>
      </w:pPr>
      <w:r/>
      <w:r>
        <w:rPr>
          <w:b/>
        </w:rPr>
        <w:t>Surveillance biologique</w:t>
      </w:r>
      <w:r>
        <w:t xml:space="preserve"> : NFS plaquettaire, créatininémie, transaminases, trimestrielle pendant 6 mois, puis semestrielle.</w:t>
      </w:r>
    </w:p>
    <w:p>
      <w:pPr>
        <w:pStyle w:val="ListNumber"/>
      </w:pPr>
      <w:r/>
      <w:r>
        <w:rPr>
          <w:b/>
        </w:rPr>
        <w:t>Surveillance cardiovasculaire</w:t>
      </w:r>
      <w:r>
        <w:t xml:space="preserve"> : ECG annuel, contrôle de la pression artérielle tous les 6 mois, recherche de symptômes évocateurs de maladie coronarienne ou d'AVC.</w:t>
      </w:r>
    </w:p>
    <w:p>
      <w:pPr>
        <w:pStyle w:val="Heading4"/>
      </w:pPr>
      <w:r>
        <w:t>9. Surveillance biologique et suivi clinique</w:t>
      </w:r>
    </w:p>
    <w:p>
      <w:r/>
      <w:r>
        <w:rPr>
          <w:b/>
        </w:rPr>
        <w:t>Bilan pré-thérapeutique (avant initiation) :</w:t>
      </w:r>
      <w:r/>
    </w:p>
    <w:p>
      <w:pPr>
        <w:pStyle w:val="ListBullet"/>
      </w:pPr>
      <w:r>
        <w:t>Créatininémie avec calcul de la clairance (formule CKD-EPI).</w:t>
      </w:r>
    </w:p>
    <w:p>
      <w:pPr>
        <w:pStyle w:val="ListBullet"/>
      </w:pPr>
      <w:r>
        <w:t>Bilan hépatique : ALAT, ASAT, γ-GT, bilirubine totale et conjuguée.</w:t>
      </w:r>
    </w:p>
    <w:p>
      <w:pPr>
        <w:pStyle w:val="ListBullet"/>
      </w:pPr>
      <w:r>
        <w:t>NFS plaquettaire complète.</w:t>
      </w:r>
    </w:p>
    <w:p>
      <w:pPr>
        <w:pStyle w:val="ListBullet"/>
      </w:pPr>
      <w:r>
        <w:t>Uricémie de base (pour évaluation de l'efficacité).</w:t>
      </w:r>
    </w:p>
    <w:p>
      <w:pPr>
        <w:pStyle w:val="ListBullet"/>
      </w:pPr>
      <w:r/>
      <w:r>
        <w:rPr>
          <w:b/>
        </w:rPr>
        <w:t>Bilan cardiovasculaire complet</w:t>
      </w:r>
      <w:r>
        <w:t xml:space="preserve"> : ECG, échocardiographie (recherche d'une insuffisance cardiaque, d'une cardiopathie ischémique), pression artérielle, bilan lipidique.</w:t>
      </w:r>
    </w:p>
    <w:p>
      <w:pPr>
        <w:pStyle w:val="ListBullet"/>
      </w:pPr>
      <w:r>
        <w:t>Échographie rénale (recherche de lithiase uratique).</w:t>
      </w:r>
    </w:p>
    <w:p>
      <w:pPr>
        <w:pStyle w:val="ListBullet"/>
      </w:pPr>
      <w:r>
        <w:t>Test de grossesse chez la femme en âge de procréer.</w:t>
      </w:r>
    </w:p>
    <w:p>
      <w:r/>
      <w:r>
        <w:rPr>
          <w:b/>
        </w:rPr>
        <w:t>Surveillance en cours de traitement :</w:t>
      </w:r>
      <w:r/>
    </w:p>
    <w:p>
      <w:pPr>
        <w:pStyle w:val="ListBullet"/>
      </w:pPr>
      <w:r/>
      <w:r>
        <w:rPr>
          <w:b/>
        </w:rPr>
        <w:t>Uricémie</w:t>
      </w:r>
      <w:r>
        <w:t xml:space="preserve"> : mensuelle pendant la titration (jusqu'à l'objectif &lt; 360 µmol/L ou &lt; 300 µmol/L si tophi), puis tous les 6 mois.</w:t>
      </w:r>
    </w:p>
    <w:p>
      <w:pPr>
        <w:pStyle w:val="ListBullet"/>
      </w:pPr>
      <w:r/>
      <w:r>
        <w:rPr>
          <w:b/>
        </w:rPr>
        <w:t>NFS plaquettaire</w:t>
      </w:r>
      <w:r>
        <w:t xml:space="preserve"> : à 1 mois, à 3 mois, puis trimestrielle pendant 6 mois, puis semestrielle.</w:t>
      </w:r>
    </w:p>
    <w:p>
      <w:pPr>
        <w:pStyle w:val="ListBullet"/>
      </w:pPr>
      <w:r/>
      <w:r>
        <w:rPr>
          <w:b/>
        </w:rPr>
        <w:t>Créatininémie</w:t>
      </w:r>
      <w:r>
        <w:t xml:space="preserve"> : mensuelle pendant 3 mois, puis trimestrielle, puis semestrielle.</w:t>
      </w:r>
    </w:p>
    <w:p>
      <w:pPr>
        <w:pStyle w:val="ListBullet"/>
      </w:pPr>
      <w:r/>
      <w:r>
        <w:rPr>
          <w:b/>
        </w:rPr>
        <w:t>Bilan hépatique (ALAT, ASAT, γ-GT, bilirubine)</w:t>
      </w:r>
      <w:r>
        <w:t xml:space="preserve"> : mensuelle pendant 3 mois, puis trimestrielle. Arrêt si ALAT &gt; 3 × LSN.</w:t>
      </w:r>
    </w:p>
    <w:p>
      <w:pPr>
        <w:pStyle w:val="ListBullet"/>
      </w:pPr>
      <w:r/>
      <w:r>
        <w:rPr>
          <w:b/>
        </w:rPr>
        <w:t>Bilan cardiovasculaire</w:t>
      </w:r>
      <w:r>
        <w:t xml:space="preserve"> : ECG annuel, échocardiographie en cas d'antécédents cardiaques ou de symptômes nouveaux, contrôle de la pression artérielle tous les 6 mois.</w:t>
      </w:r>
    </w:p>
    <w:p>
      <w:r/>
      <w:r>
        <w:rPr>
          <w:b/>
        </w:rPr>
        <w:t>Surveillance clinique :</w:t>
      </w:r>
      <w:r/>
    </w:p>
    <w:p>
      <w:pPr>
        <w:pStyle w:val="ListBullet"/>
      </w:pPr>
      <w:r/>
      <w:r>
        <w:rPr>
          <w:b/>
        </w:rPr>
        <w:t>Tolérance cutanée</w:t>
      </w:r>
      <w:r>
        <w:t xml:space="preserve"> : éruptions, prurit. Arrêt immédiat en cas d'éruption étendue, de fièvre, d'adénopathies (suspicions de DRESS — rare mais documenté avec le fébuxostat).</w:t>
      </w:r>
    </w:p>
    <w:p>
      <w:pPr>
        <w:pStyle w:val="ListBullet"/>
      </w:pPr>
      <w:r/>
      <w:r>
        <w:rPr>
          <w:b/>
        </w:rPr>
        <w:t>Tolérance digestive</w:t>
      </w:r>
      <w:r>
        <w:t xml:space="preserve"> : nausées, diarrhée, douleurs abdominales.</w:t>
      </w:r>
    </w:p>
    <w:p>
      <w:pPr>
        <w:pStyle w:val="ListBullet"/>
      </w:pPr>
      <w:r/>
      <w:r>
        <w:rPr>
          <w:b/>
        </w:rPr>
        <w:t>Tolérance hépatique</w:t>
      </w:r>
      <w:r>
        <w:t xml:space="preserve"> : recherche d'ictère, d'urines foncées, d'asthénie.</w:t>
      </w:r>
    </w:p>
    <w:p>
      <w:pPr>
        <w:pStyle w:val="ListBullet"/>
      </w:pPr>
      <w:r/>
      <w:r>
        <w:rPr>
          <w:b/>
        </w:rPr>
        <w:t>Tolérance cardiovasculaire</w:t>
      </w:r>
      <w:r>
        <w:t xml:space="preserve"> : recherche de douleurs thoraciques, de dyspnée, de palpitations, de faiblesse brutale d'un membre, de troubles du langage. Consultation en urgence en cas de symptômes évocateurs.</w:t>
      </w:r>
    </w:p>
    <w:p>
      <w:pPr>
        <w:pStyle w:val="ListBullet"/>
      </w:pPr>
      <w:r/>
      <w:r>
        <w:rPr>
          <w:b/>
        </w:rPr>
        <w:t>Signes d'alerte cardiovasculaire</w:t>
      </w:r>
      <w:r>
        <w:t xml:space="preserve"> : douleur thoracique constrictive, dyspnée d'effort, syncope, faiblesse brutale, aphasie, trouble visuel transitoire. Consulter en urgence (15).</w:t>
      </w:r>
    </w:p>
    <w:p>
      <w:pPr>
        <w:pStyle w:val="ListBullet"/>
      </w:pPr>
      <w:r/>
      <w:r>
        <w:rPr>
          <w:b/>
        </w:rPr>
        <w:t>Surveillance de l'efficacité</w:t>
      </w:r>
      <w:r>
        <w:t xml:space="preserve"> : journal des crises (date, articulation, intensité, facteurs déclenchants). Consultation rhumatologique semestrielle.</w:t>
      </w:r>
    </w:p>
    <w:p>
      <w:r/>
      <w:r>
        <w:rPr>
          <w:b/>
        </w:rPr>
        <w:t>Éducation thérapeutique du patient :</w:t>
      </w:r>
      <w:r/>
    </w:p>
    <w:p>
      <w:pPr>
        <w:pStyle w:val="ListBullet"/>
      </w:pPr>
      <w:r/>
      <w:r>
        <w:rPr>
          <w:b/>
        </w:rPr>
        <w:t>Ne jamais arrêter le traitement</w:t>
      </w:r>
      <w:r>
        <w:t xml:space="preserve"> sans avis médical, même en l'absence de crise. Le traitement est à vie.</w:t>
      </w:r>
    </w:p>
    <w:p>
      <w:pPr>
        <w:pStyle w:val="ListBullet"/>
      </w:pPr>
      <w:r/>
      <w:r>
        <w:rPr>
          <w:b/>
        </w:rPr>
        <w:t>Ne pas arrêter en cas de crise</w:t>
      </w:r>
      <w:r>
        <w:t xml:space="preserve"> : continuer le fébuxostat et traiter la crise par colchicine (ou AINS, ou corticothérapie).</w:t>
      </w:r>
    </w:p>
    <w:p>
      <w:pPr>
        <w:pStyle w:val="ListBullet"/>
      </w:pPr>
      <w:r/>
      <w:r>
        <w:rPr>
          <w:b/>
        </w:rPr>
        <w:t>Respecter la titration progressive</w:t>
      </w:r>
      <w:r>
        <w:t xml:space="preserve"> : ne pas augmenter la dose seul.</w:t>
      </w:r>
    </w:p>
    <w:p>
      <w:pPr>
        <w:pStyle w:val="ListBullet"/>
      </w:pPr>
      <w:r/>
      <w:r>
        <w:rPr>
          <w:b/>
        </w:rPr>
        <w:t>Signes d'alerte à connaître</w:t>
      </w:r>
      <w:r>
        <w:t xml:space="preserve"> :</w:t>
      </w:r>
    </w:p>
    <w:p>
      <w:pPr>
        <w:pStyle w:val="ListBullet"/>
      </w:pPr>
      <w:r/>
      <w:r>
        <w:rPr>
          <w:b/>
        </w:rPr>
        <w:t>Cardiovasculaires</w:t>
      </w:r>
      <w:r>
        <w:t xml:space="preserve"> : douleur thoracique, dyspnée, faiblesse brutale, trouble du langage, syncope. Consulter en urgence (15).</w:t>
      </w:r>
    </w:p>
    <w:p>
      <w:pPr>
        <w:pStyle w:val="ListBullet"/>
      </w:pPr>
      <w:r/>
      <w:r>
        <w:rPr>
          <w:b/>
        </w:rPr>
        <w:t>Hépatiques</w:t>
      </w:r>
      <w:r>
        <w:t xml:space="preserve"> : ictère, urines foncées, selles pâles, asthénie.</w:t>
      </w:r>
    </w:p>
    <w:p>
      <w:pPr>
        <w:pStyle w:val="ListBullet"/>
      </w:pPr>
      <w:r/>
      <w:r>
        <w:rPr>
          <w:b/>
        </w:rPr>
        <w:t>Cutanés</w:t>
      </w:r>
      <w:r>
        <w:t xml:space="preserve"> : éruption étendue, fièvre, prurit.</w:t>
      </w:r>
    </w:p>
    <w:p>
      <w:pPr>
        <w:pStyle w:val="ListBullet"/>
      </w:pPr>
      <w:r/>
      <w:r>
        <w:rPr>
          <w:b/>
        </w:rPr>
        <w:t>Hématologiques</w:t>
      </w:r>
      <w:r>
        <w:t xml:space="preserve"> : saignements, pâleur, asthénie.</w:t>
      </w:r>
    </w:p>
    <w:p>
      <w:r>
        <w:t xml:space="preserve">  → Consulter en urgence.</w:t>
      </w:r>
    </w:p>
    <w:p>
      <w:pPr>
        <w:pStyle w:val="ListBullet"/>
      </w:pPr>
      <w:r/>
      <w:r>
        <w:rPr>
          <w:b/>
        </w:rPr>
        <w:t>Surveillance biologique stricte</w:t>
      </w:r>
      <w:r>
        <w:t xml:space="preserve"> : respecter les dates de contrôle (uricémie, NFS plaquettaire, créatininémie, transaminases, ECG annuel).</w:t>
      </w:r>
    </w:p>
    <w:p>
      <w:pPr>
        <w:pStyle w:val="ListBullet"/>
      </w:pPr>
      <w:r/>
      <w:r>
        <w:rPr>
          <w:b/>
        </w:rPr>
        <w:t>Hydratation abondante</w:t>
      </w:r>
      <w:r>
        <w:t xml:space="preserve"> : ≥ 2 L/jour d'eau (idéalement riche en bicarbonate).</w:t>
      </w:r>
    </w:p>
    <w:p>
      <w:pPr>
        <w:pStyle w:val="ListBullet"/>
      </w:pPr>
      <w:r/>
      <w:r>
        <w:rPr>
          <w:b/>
        </w:rPr>
        <w:t>Régime pauvre en purines</w:t>
      </w:r>
      <w:r>
        <w:t xml:space="preserve"> : éviter abats, viandes rouges, fruits de mer, anchois, sardines, hareng, bière (même sans alcool), alcool fort.</w:t>
      </w:r>
    </w:p>
    <w:p>
      <w:pPr>
        <w:pStyle w:val="Heading4"/>
      </w:pPr>
      <w:r>
        <w:t>10. Arbitrage et bénéfices des formes galéniques</w:t>
      </w:r>
    </w:p>
    <w:p>
      <w:r>
        <w:t>Le fébuxostat est disponible en Algérie sous forme orale exclusive (comprimé pelliculé 40 mg, 80 mg, 120 mg). Aucune forme injectable n'est disponible (ni ailleurs dans le monde), en raison de la bonne biodisponibilité orale.</w:t>
      </w:r>
    </w:p>
    <w:p>
      <w:r/>
      <w:r>
        <w:rPr>
          <w:b/>
        </w:rPr>
        <w:t>Avantages de la forme comprimé pelliculé 40, 80, 120 mg :</w:t>
      </w:r>
      <w:r/>
    </w:p>
    <w:p>
      <w:pPr>
        <w:pStyle w:val="ListBullet"/>
      </w:pPr>
      <w:r/>
      <w:r>
        <w:rPr>
          <w:b/>
        </w:rPr>
        <w:t>Trois dosages disponibles</w:t>
      </w:r>
      <w:r>
        <w:t xml:space="preserve"> : permettent une titration précise selon la sévérité de la goutte et la réponse thérapeutique. Pour 40 mg : 1 cp de 40 mg (FEBOREX). Pour 80 mg : 1 cp de 80 mg (ADENUMAX, FEBOREX, TAZOTAX). Pour 120 mg : 1 cp de 120 mg (FEBOREX, TAZOTAX).</w:t>
      </w:r>
    </w:p>
    <w:p>
      <w:pPr>
        <w:pStyle w:val="ListBullet"/>
      </w:pPr>
      <w:r/>
      <w:r>
        <w:rPr>
          <w:b/>
        </w:rPr>
        <w:t>Stabilité galénique</w:t>
      </w:r>
      <w:r>
        <w:t xml:space="preserve"> : le fébuxostat est stable en comprimé pelliculé à température ambiante pendant 3 ans.</w:t>
      </w:r>
    </w:p>
    <w:p>
      <w:pPr>
        <w:pStyle w:val="ListBullet"/>
      </w:pPr>
      <w:r/>
      <w:r>
        <w:rPr>
          <w:b/>
        </w:rPr>
        <w:t>Coût modéré à élevé</w:t>
      </w:r>
      <w:r>
        <w:t xml:space="preserve"> : le fébuxostat est plus coûteux que l'allopurinol (≈ 800–1500 DA la boîte de 30 comprimés selon la spécialité et le dosage), mais reste plus abordable que les biothérapies.</w:t>
      </w:r>
    </w:p>
    <w:p>
      <w:pPr>
        <w:pStyle w:val="ListBullet"/>
      </w:pPr>
      <w:r/>
      <w:r>
        <w:rPr>
          <w:b/>
        </w:rPr>
        <w:t>Disponibilité large</w:t>
      </w:r>
      <w:r>
        <w:t xml:space="preserve"> : les 6 spécialités actives sont disponibles en officine de ville et en pharmacie hospitalière.</w:t>
      </w:r>
    </w:p>
    <w:p>
      <w:pPr>
        <w:pStyle w:val="ListBullet"/>
      </w:pPr>
      <w:r/>
      <w:r>
        <w:rPr>
          <w:b/>
        </w:rPr>
        <w:t>Prise unique quotidienne</w:t>
      </w:r>
      <w:r>
        <w:t xml:space="preserve"> : en raison de la demi-vie de 5–8 heures.</w:t>
      </w:r>
    </w:p>
    <w:p>
      <w:pPr>
        <w:pStyle w:val="ListBullet"/>
      </w:pPr>
      <w:r/>
      <w:r>
        <w:rPr>
          <w:b/>
        </w:rPr>
        <w:t>Bonne biodisponibilité orale</w:t>
      </w:r>
      <w:r>
        <w:t xml:space="preserve"> : ≥ 80 %, indépendante de la prise alimentaire.</w:t>
      </w:r>
    </w:p>
    <w:p>
      <w:pPr>
        <w:pStyle w:val="ListBullet"/>
      </w:pPr>
      <w:r/>
      <w:r>
        <w:rPr>
          <w:b/>
        </w:rPr>
        <w:t>Comprimé pelliculé</w:t>
      </w:r>
      <w:r>
        <w:t xml:space="preserve"> : masque le goût amer du principe actif, facilite la déglutition.</w:t>
      </w:r>
    </w:p>
    <w:p>
      <w:r/>
      <w:r>
        <w:rPr>
          <w:b/>
        </w:rPr>
        <w:t>Inconvénients :</w:t>
      </w:r>
      <w:r/>
    </w:p>
    <w:p>
      <w:pPr>
        <w:pStyle w:val="ListBullet"/>
      </w:pPr>
      <w:r/>
      <w:r>
        <w:rPr>
          <w:b/>
        </w:rPr>
        <w:t>Comprimé non sécable</w:t>
      </w:r>
      <w:r>
        <w:t xml:space="preserve"> : la plupart des comprimés pelliculés ne sont pas sécables. Pour adapter la dose à 60 mg (cp de 40 mg + cp de 80 mg coupé en deux, mais l'opération est imprécise), recourir à un comprimé-cutter.</w:t>
      </w:r>
    </w:p>
    <w:p>
      <w:pPr>
        <w:pStyle w:val="ListBullet"/>
      </w:pPr>
      <w:r/>
      <w:r>
        <w:rPr>
          <w:b/>
        </w:rPr>
        <w:t>Absence de forme pédiatrique</w:t>
      </w:r>
      <w:r>
        <w:t xml:space="preserve"> : en cas de nécessité pédiatrique (syndrome de Lyse tumorale chez l'enfant), utilisation de la forme comprimé écrasée et diluée, en milieu spécialisé.</w:t>
      </w:r>
    </w:p>
    <w:p>
      <w:pPr>
        <w:pStyle w:val="ListBullet"/>
      </w:pPr>
      <w:r/>
      <w:r>
        <w:rPr>
          <w:b/>
        </w:rPr>
        <w:t>Absence de forme injectable</w:t>
      </w:r>
      <w:r>
        <w:t xml:space="preserve"> : en cas de prophylaxie du syndrome de Lyse tumorale chez le patient ne pouvant prendre le traitement per os, alternative : rasburicase IV (extrêmement coûteuse).</w:t>
      </w:r>
    </w:p>
    <w:p>
      <w:pPr>
        <w:pStyle w:val="ListBullet"/>
      </w:pPr>
      <w:r/>
      <w:r>
        <w:rPr>
          <w:b/>
        </w:rPr>
        <w:t>Coût supérieur à l'allopurinol</w:t>
      </w:r>
      <w:r>
        <w:t xml:space="preserve"> : le fébuxostat est 2 à 3 fois plus coûteux que l'allopurinol, ce qui peut limiter l'accès pour les patients à faible revenu.</w:t>
      </w:r>
    </w:p>
    <w:p>
      <w:pPr>
        <w:pStyle w:val="ListBullet"/>
      </w:pPr>
      <w:r/>
      <w:r>
        <w:rPr>
          <w:b/>
        </w:rPr>
        <w:t>Disponibilité variable selon les régions</w:t>
      </w:r>
      <w:r>
        <w:t xml:space="preserve"> : certains dosages (40 mg FEBOREX) peuvent être en rupture de stock ponctuelle.</w:t>
      </w:r>
    </w:p>
    <w:p>
      <w:r/>
      <w:r>
        <w:rPr>
          <w:b/>
        </w:rPr>
        <w:t>Arbitrage thérapeutique en officine :</w:t>
      </w:r>
      <w:r/>
    </w:p>
    <w:p>
      <w:pPr>
        <w:pStyle w:val="ListBullet"/>
      </w:pPr>
      <w:r/>
      <w:r>
        <w:rPr>
          <w:b/>
        </w:rPr>
        <w:t>Initiation</w:t>
      </w:r>
      <w:r>
        <w:t xml:space="preserve"> : fébuxostat 40 mg/jour (en cas d'échec ou d'intolérance à l'allopurinol), en association à la colchicine prophylactique (0,5–1 mg/jour pendant 3–6 mois).</w:t>
      </w:r>
    </w:p>
    <w:p>
      <w:pPr>
        <w:pStyle w:val="ListBullet"/>
      </w:pPr>
      <w:r/>
      <w:r>
        <w:rPr>
          <w:b/>
        </w:rPr>
        <w:t>Titration</w:t>
      </w:r>
      <w:r>
        <w:t xml:space="preserve"> : 80 mg/jour après 2 à 4 semaines si uricémie &gt; 360 µmol/L, puis 120 mg/jour après 2 à 4 semaines supplémentaires en cas de goutte tophacée ou d'échec à 80 mg/jour.</w:t>
      </w:r>
    </w:p>
    <w:p>
      <w:pPr>
        <w:pStyle w:val="ListBullet"/>
      </w:pPr>
      <w:r/>
      <w:r>
        <w:rPr>
          <w:b/>
        </w:rPr>
        <w:t>Antécédents cardiovasculaires récents</w:t>
      </w:r>
      <w:r>
        <w:t xml:space="preserve"> : éviter le fébuxostat, préférer l'allopurinol à dose maximale tolérée.</w:t>
      </w:r>
    </w:p>
    <w:p>
      <w:pPr>
        <w:pStyle w:val="ListBullet"/>
      </w:pPr>
      <w:r/>
      <w:r>
        <w:rPr>
          <w:b/>
        </w:rPr>
        <w:t>Antécédents cardiovasculaires anciens</w:t>
      </w:r>
      <w:r>
        <w:t xml:space="preserve"> : fébuxostat possible avec surveillance cardiovasculaire renforcée.</w:t>
      </w:r>
    </w:p>
    <w:p>
      <w:pPr>
        <w:pStyle w:val="ListBullet"/>
      </w:pPr>
      <w:r/>
      <w:r>
        <w:rPr>
          <w:b/>
        </w:rPr>
        <w:t>Insuffisance rénale modérée à sévère</w:t>
      </w:r>
      <w:r>
        <w:t xml:space="preserve"> (clairance ≥ 30 mL/min) : fébuxostat sans adaptation posologique, particulièrement indiqué en cas d'échec de l'allopurinol à dose adaptée.</w:t>
      </w:r>
    </w:p>
    <w:p>
      <w:pPr>
        <w:pStyle w:val="ListBullet"/>
      </w:pPr>
      <w:r/>
      <w:r>
        <w:rPr>
          <w:b/>
        </w:rPr>
        <w:t>Intolérance (DRESS) à l'allopurinol</w:t>
      </w:r>
      <w:r>
        <w:t xml:space="preserve"> : switch vers fébuxostat (sans risque d'allergie croisée).</w:t>
      </w:r>
    </w:p>
    <w:p>
      <w:pPr>
        <w:pStyle w:val="ListBullet"/>
      </w:pPr>
      <w:r/>
      <w:r>
        <w:rPr>
          <w:b/>
        </w:rPr>
        <w:t>Syndrome de Lyse tumorale</w:t>
      </w:r>
      <w:r>
        <w:t xml:space="preserve"> : fébuxostat 120 mg/jour en milieu hospitalier spécialisé, en alternative à l'allopurinol ou à la rasburicase.</w:t>
      </w:r>
    </w:p>
    <w:p>
      <w:pPr>
        <w:pStyle w:val="Heading4"/>
      </w:pPr>
      <w:r>
        <w:t>11. Instructions et conseils au patient</w:t>
      </w:r>
    </w:p>
    <w:p>
      <w:r/>
      <w:r>
        <w:rPr>
          <w:b/>
        </w:rPr>
        <w:t>Conseils au comptoir (pharmacien d'officine) :</w:t>
      </w:r>
      <w:r/>
    </w:p>
    <w:p>
      <w:pPr>
        <w:pStyle w:val="ListNumber"/>
      </w:pPr>
      <w:r/>
      <w:r>
        <w:rPr>
          <w:b/>
        </w:rPr>
        <w:t>Respect strict de la prescription</w:t>
      </w:r>
      <w:r>
        <w:t xml:space="preserve"> : ne jamais augmenter la dose seul, ne jamais arrêter sans avis médical. Le traitement est à vie.</w:t>
      </w:r>
    </w:p>
    <w:p>
      <w:pPr>
        <w:pStyle w:val="ListNumber"/>
      </w:pPr>
      <w:r/>
      <w:r>
        <w:rPr>
          <w:b/>
        </w:rPr>
        <w:t>Mode de prise</w:t>
      </w:r>
      <w:r>
        <w:t xml:space="preserve"> : pendant ou après le repas, avec un grand verre d'eau. Prise unique le matin à heure fixe.</w:t>
      </w:r>
    </w:p>
    <w:p>
      <w:pPr>
        <w:pStyle w:val="ListNumber"/>
      </w:pPr>
      <w:r/>
      <w:r>
        <w:rPr>
          <w:b/>
        </w:rPr>
        <w:t>Comprimé pelliculé</w:t>
      </w:r>
      <w:r>
        <w:t xml:space="preserve"> : à avaler entier, ne pas croquer ni écraser. Si difficulté à avaler, diluer dans un peu d'eau après écrasement (à éviter si possible, en raison du goût amer).</w:t>
      </w:r>
    </w:p>
    <w:p>
      <w:pPr>
        <w:pStyle w:val="ListNumber"/>
      </w:pPr>
      <w:r/>
      <w:r>
        <w:rPr>
          <w:b/>
        </w:rPr>
        <w:t>Signes d'alerte à connaître</w:t>
      </w:r>
      <w:r>
        <w:t xml:space="preserve"> :</w:t>
      </w:r>
    </w:p>
    <w:p>
      <w:pPr>
        <w:pStyle w:val="ListBullet"/>
      </w:pPr>
      <w:r/>
      <w:r>
        <w:rPr>
          <w:b/>
        </w:rPr>
        <w:t>Cardiovasculaires (URGENCE — consulter le 15)</w:t>
      </w:r>
      <w:r>
        <w:t xml:space="preserve"> :</w:t>
      </w:r>
    </w:p>
    <w:p>
      <w:pPr>
        <w:pStyle w:val="ListBullet"/>
      </w:pPr>
      <w:r>
        <w:t>Douleur thoracique constrictive (suspect d'infarctus du myocarde)</w:t>
      </w:r>
    </w:p>
    <w:p>
      <w:pPr>
        <w:pStyle w:val="ListBullet"/>
      </w:pPr>
      <w:r>
        <w:t>Dyspnée d'effort ou de repos (suspect d'insuffisance cardiaque)</w:t>
      </w:r>
    </w:p>
    <w:p>
      <w:pPr>
        <w:pStyle w:val="ListBullet"/>
      </w:pPr>
      <w:r>
        <w:t>Faiblesse brutale d'un membre, aphasie, trouble visuel transitoire (suspect d'AVC)</w:t>
      </w:r>
    </w:p>
    <w:p>
      <w:pPr>
        <w:pStyle w:val="ListBullet"/>
      </w:pPr>
      <w:r>
        <w:t>Syncope, palpitations</w:t>
      </w:r>
    </w:p>
    <w:p>
      <w:pPr>
        <w:pStyle w:val="ListBullet"/>
      </w:pPr>
      <w:r/>
      <w:r>
        <w:rPr>
          <w:b/>
        </w:rPr>
        <w:t>Hépatiques</w:t>
      </w:r>
      <w:r>
        <w:t xml:space="preserve"> : ictère, urines foncées, selles pâles, asthénie majeure</w:t>
      </w:r>
    </w:p>
    <w:p>
      <w:pPr>
        <w:pStyle w:val="ListBullet"/>
      </w:pPr>
      <w:r/>
      <w:r>
        <w:rPr>
          <w:b/>
        </w:rPr>
        <w:t>Cutanés</w:t>
      </w:r>
      <w:r>
        <w:t xml:space="preserve"> : éruption étendue, fièvre, prurit, bulles</w:t>
      </w:r>
    </w:p>
    <w:p>
      <w:pPr>
        <w:pStyle w:val="ListBullet"/>
      </w:pPr>
      <w:r/>
      <w:r>
        <w:rPr>
          <w:b/>
        </w:rPr>
        <w:t>Hématologiques</w:t>
      </w:r>
      <w:r>
        <w:t xml:space="preserve"> : saignements (gingivorragies, épistaxis, ecchymoses spontanées), pâleur, asthénie</w:t>
      </w:r>
    </w:p>
    <w:p>
      <w:r>
        <w:t xml:space="preserve">   → Consulter en urgence.</w:t>
      </w:r>
    </w:p>
    <w:p>
      <w:pPr>
        <w:pStyle w:val="ListNumber"/>
      </w:pPr>
      <w:r/>
      <w:r>
        <w:rPr>
          <w:b/>
        </w:rPr>
        <w:t>Hydratation</w:t>
      </w:r>
      <w:r>
        <w:t xml:space="preserve"> : boire au moins 2 litres d'eau par jour, idéalement de l'eau riche en bicarbonate (Vichy Célestins, St-Yorre, Hawaï). Alcalinisation des urines (pH urinaire ≥ 6,5) prévient la lithiase urique.</w:t>
      </w:r>
    </w:p>
    <w:p>
      <w:pPr>
        <w:pStyle w:val="ListNumber"/>
      </w:pPr>
      <w:r/>
      <w:r>
        <w:rPr>
          <w:b/>
        </w:rPr>
        <w:t>Régime alimentaire</w:t>
      </w:r>
      <w:r>
        <w:t xml:space="preserve"> :</w:t>
      </w:r>
    </w:p>
    <w:p>
      <w:pPr>
        <w:pStyle w:val="ListBullet"/>
      </w:pPr>
      <w:r>
        <w:t>À éviter : abats, viandes rouges en excès, fruits de mer, anchois, sardines, hareng, maquereau, levure de bière, bière (même sans alcool), alcool fort.</w:t>
      </w:r>
    </w:p>
    <w:p>
      <w:pPr>
        <w:pStyle w:val="ListBullet"/>
      </w:pPr>
      <w:r>
        <w:t>À privilégier : laitages, œufs, fruits, légumes, céréales, légumineuses, café, vitamine C (≤ 1 g/jour).</w:t>
      </w:r>
    </w:p>
    <w:p>
      <w:pPr>
        <w:pStyle w:val="ListBullet"/>
      </w:pPr>
      <w:r>
        <w:t>Perte de poids si surcharge pondérale.</w:t>
      </w:r>
    </w:p>
    <w:p>
      <w:pPr>
        <w:pStyle w:val="ListNumber"/>
      </w:pPr>
      <w:r/>
      <w:r>
        <w:rPr>
          <w:b/>
        </w:rPr>
        <w:t>Activité physique</w:t>
      </w:r>
      <w:r>
        <w:t xml:space="preserve"> : activité douce régulière (marche 30 min/jour, natation, vélo). Éviter les efforts violents.</w:t>
      </w:r>
    </w:p>
    <w:p>
      <w:pPr>
        <w:pStyle w:val="ListNumber"/>
      </w:pPr>
      <w:r/>
      <w:r>
        <w:rPr>
          <w:b/>
        </w:rPr>
        <w:t>Surveillance de l'uricémie</w:t>
      </w:r>
      <w:r>
        <w:t xml:space="preserve"> : contrôles réguliers selon prescription (mensuels pendant la titration, puis semestriels).</w:t>
      </w:r>
    </w:p>
    <w:p>
      <w:pPr>
        <w:pStyle w:val="ListNumber"/>
      </w:pPr>
      <w:r/>
      <w:r>
        <w:rPr>
          <w:b/>
        </w:rPr>
        <w:t>Surveillance cardiovasculaire</w:t>
      </w:r>
      <w:r>
        <w:t xml:space="preserve"> : ECG annuel, contrôle de la pression artérielle tous les 6 mois. Rechercher activement des symptômes cardiovasculaires et consulter en urgence en cas de doute.</w:t>
      </w:r>
    </w:p>
    <w:p>
      <w:pPr>
        <w:pStyle w:val="ListNumber"/>
      </w:pPr>
      <w:r/>
      <w:r>
        <w:rPr>
          <w:b/>
        </w:rPr>
        <w:t>Pas d'automédication</w:t>
      </w:r>
      <w:r>
        <w:t xml:space="preserve"> : signaler à tout médecin, pharmacien, ou dentiste la prise de fébuxostat.</w:t>
      </w:r>
    </w:p>
    <w:p>
      <w:pPr>
        <w:pStyle w:val="ListNumber"/>
      </w:pPr>
      <w:r/>
      <w:r>
        <w:rPr>
          <w:b/>
        </w:rPr>
        <w:t>Femmes en âge de procréer</w:t>
      </w:r>
      <w:r>
        <w:t xml:space="preserve"> : contraception efficace. En cas de désir de grossesse, consulter le médecin (fébuxostat « déconseillé » pendant la grossesse).</w:t>
      </w:r>
    </w:p>
    <w:p>
      <w:pPr>
        <w:pStyle w:val="ListNumber"/>
      </w:pPr>
      <w:r/>
      <w:r>
        <w:rPr>
          <w:b/>
        </w:rPr>
        <w:t>Allaitement</w:t>
      </w:r>
      <w:r>
        <w:t xml:space="preserve"> : le fébuxostat est « déconseillé » pendant l'allaitement. Si indispensable, envisager le sevrage de l'allaitement.</w:t>
      </w:r>
    </w:p>
    <w:p>
      <w:pPr>
        <w:pStyle w:val="ListNumber"/>
      </w:pPr>
      <w:r/>
      <w:r>
        <w:rPr>
          <w:b/>
        </w:rPr>
        <w:t>En cas de crise de goutte sous fébuxostat</w:t>
      </w:r>
      <w:r>
        <w:t xml:space="preserve"> : ne pas arrêter le fébuxostat. Traiter la crise par colchicine (ou AINS, ou corticothérapie). Contacter le médecin pour adapter la prophylaxie et discuter une augmentation de dose.</w:t>
      </w:r>
    </w:p>
    <w:p>
      <w:pPr>
        <w:pStyle w:val="ListNumber"/>
      </w:pPr>
      <w:r/>
      <w:r>
        <w:rPr>
          <w:b/>
        </w:rPr>
        <w:t>En cas d'oubli de prise</w:t>
      </w:r>
      <w:r>
        <w:t xml:space="preserve"> : ne pas doubler la dose suivante. Prendre la dose oubliée dès que possible, ou sauter la prise si l'heure de la prise suivante est proche.</w:t>
      </w:r>
    </w:p>
    <w:p>
      <w:pPr>
        <w:pStyle w:val="ListNumber"/>
      </w:pPr>
      <w:r/>
      <w:r>
        <w:rPr>
          <w:b/>
        </w:rPr>
        <w:t>Stockage</w:t>
      </w:r>
      <w:r>
        <w:t xml:space="preserve"> : conserver les comprimés à température ≤ 25 °C, à l'abri de l'humidité et de la lumière. Tenir hors de portée des enfants.</w:t>
      </w:r>
    </w:p>
    <w:p>
      <w:pPr>
        <w:pStyle w:val="ListNumber"/>
      </w:pPr>
      <w:r/>
      <w:r>
        <w:rPr>
          <w:b/>
        </w:rPr>
        <w:t>Coût du traitement</w:t>
      </w:r>
      <w:r>
        <w:t xml:space="preserve"> : le fébuxostat est plus coûteux que l'allopurinol. Vérifier la couverture par l'assurance maladie et les éventuelles aides sociales.</w:t>
      </w:r>
    </w:p>
    <w:p>
      <w:pPr>
        <w:pStyle w:val="Heading4"/>
      </w:pPr>
      <w:r>
        <w:t>12. Notes — Règles d'or et pièges au comptoir</w:t>
      </w:r>
    </w:p>
    <w:p>
      <w:r/>
      <w:r>
        <w:rPr>
          <w:b/>
        </w:rPr>
        <w:t>Règles d'or :</w:t>
      </w:r>
      <w:r/>
    </w:p>
    <w:p>
      <w:pPr>
        <w:pStyle w:val="ListNumber"/>
      </w:pPr>
      <w:r/>
      <w:r>
        <w:rPr>
          <w:b/>
        </w:rPr>
        <w:t>Toujours vérifier l'absence de crise aiguë en cours</w:t>
      </w:r>
      <w:r>
        <w:t xml:space="preserve"> : si le patient présente une crise de goutte aiguë au moment de l'initiation, contacter le médecin pour reporter l'initiation jusqu'à résolution complète (1 à 2 semaines). Ne pas initier le fébuxostat pendant une crise.</w:t>
      </w:r>
    </w:p>
    <w:p>
      <w:pPr>
        <w:pStyle w:val="ListNumber"/>
      </w:pPr>
      <w:r/>
      <w:r>
        <w:rPr>
          <w:b/>
        </w:rPr>
        <w:t>Toujours vérifier les antécédents cardiovasculaires</w:t>
      </w:r>
      <w:r>
        <w:t xml:space="preserve"> avant initiation : si le patient présente un infarctus du myocarde, un AVC ischémique, ou un angor instable récent (&lt; 6 mois), éviter le fébuxostat (FDA Black Box Warning 2019). Contacter le médecin pour discuter de l'allopurinol à dose maximale tolérée.</w:t>
      </w:r>
    </w:p>
    <w:p>
      <w:pPr>
        <w:pStyle w:val="ListNumber"/>
      </w:pPr>
      <w:r/>
      <w:r>
        <w:rPr>
          <w:b/>
        </w:rPr>
        <w:t>Toujours vérifier la fonction rénale</w:t>
      </w:r>
      <w:r>
        <w:t xml:space="preserve"> : le fébuxostat est utilisable sans adaptation posologique jusqu'à clairance 30 mL/min. En cas de clairance &lt; 30 mL/min, prudence accrue, et en cas de clairance &lt; 15 mL/min, non recommandé.</w:t>
      </w:r>
    </w:p>
    <w:p>
      <w:pPr>
        <w:pStyle w:val="ListNumber"/>
      </w:pPr>
      <w:r/>
      <w:r>
        <w:rPr>
          <w:b/>
        </w:rPr>
        <w:t>Toujours vérifier l'absence d'interaction médicamenteuse majeure</w:t>
      </w:r>
      <w:r>
        <w:t xml:space="preserve"> : tout patient sous azathioprine ou 6-mercaptopurine ne doit pas recevoir de fébuxostat (contre-indication absolue). Contacter le médecin.</w:t>
      </w:r>
    </w:p>
    <w:p>
      <w:pPr>
        <w:pStyle w:val="ListNumber"/>
      </w:pPr>
      <w:r/>
      <w:r>
        <w:rPr>
          <w:b/>
        </w:rPr>
        <w:t>Toujours dispenser la colchicine prophylactique en association</w:t>
      </w:r>
      <w:r>
        <w:t xml:space="preserve"> au fébuxostat (sauf contre-indication à la colchicine). La prophylaxie des crises d'initiation est systématique pendant 3 à 6 mois (jusqu'à 12 mois en cas de tophi), et est particulièrement importante avec le fébuxostat en raison de la fréquence élevée des crises d'initiation (jusqu'à 70 % à 80 mg/jour sans prophylaxie).</w:t>
      </w:r>
    </w:p>
    <w:p>
      <w:pPr>
        <w:pStyle w:val="ListNumber"/>
      </w:pPr>
      <w:r/>
      <w:r>
        <w:rPr>
          <w:b/>
        </w:rPr>
        <w:t>Toujours informer le patient des signes cardiovasculaires d'alerte</w:t>
      </w:r>
      <w:r>
        <w:t xml:space="preserve"> : douleur thoracique, dyspnée, faiblesse brutale, trouble du langage, syncope. Consulter en urgence (15). Le fébuxostat a fait l'objet d'une FDA Black Box Warning en 2019 pour augmentation de la mortalité cardiovasculaire.</w:t>
      </w:r>
    </w:p>
    <w:p>
      <w:pPr>
        <w:pStyle w:val="ListNumber"/>
      </w:pPr>
      <w:r/>
      <w:r>
        <w:rPr>
          <w:b/>
        </w:rPr>
        <w:t>Toujours programmer une surveillance biologique stricte</w:t>
      </w:r>
      <w:r>
        <w:t xml:space="preserve"> : uricémie (mensuelle pendant la titration), NFS plaquettaire, créatininémie, transaminases (trimestrielle pendant 6 mois, puis semestrielle), ECG annuel, contrôle de la pression artérielle tous les 6 mois.</w:t>
      </w:r>
    </w:p>
    <w:p>
      <w:pPr>
        <w:pStyle w:val="ListNumber"/>
      </w:pPr>
      <w:r/>
      <w:r>
        <w:rPr>
          <w:b/>
        </w:rPr>
        <w:t>Toujours informer le patient de l'absence d'allergie croisée avec l'allopurinol</w:t>
      </w:r>
      <w:r>
        <w:t xml:space="preserve"> : le fébuxostat peut être utilisé en cas d'intolérance à l'allopurinol (DRESS, syndrome de Lyell). C'est l'indication principale du fébuxostat.</w:t>
      </w:r>
    </w:p>
    <w:p>
      <w:pPr>
        <w:pStyle w:val="ListNumber"/>
      </w:pPr>
      <w:r/>
      <w:r>
        <w:rPr>
          <w:b/>
        </w:rPr>
        <w:t>Toujours dispenser en quantité adaptée à la titration</w:t>
      </w:r>
      <w:r>
        <w:t xml:space="preserve"> : éviter les stocks importants en début de traitement (la dose change tous les 15 à 30 jours pendant la titration). Dispenser par boîte de 30 comprimés pendant la titration, puis par 3 mois une fois la dose d'entretien atteinte.</w:t>
      </w:r>
    </w:p>
    <w:p>
      <w:pPr>
        <w:pStyle w:val="ListNumber"/>
      </w:pPr>
      <w:r/>
      <w:r>
        <w:rPr>
          <w:b/>
        </w:rPr>
        <w:t>Toujours tracer la dispensation</w:t>
      </w:r>
      <w:r>
        <w:t xml:space="preserve"> (ordonnance scannée et archivée, registre des médicaments Liste I à jour).</w:t>
      </w:r>
    </w:p>
    <w:p>
      <w:r/>
      <w:r>
        <w:rPr>
          <w:b/>
        </w:rPr>
        <w:t>Pièges au comptoir :</w:t>
      </w:r>
      <w:r/>
    </w:p>
    <w:p>
      <w:pPr>
        <w:pStyle w:val="ListNumber"/>
      </w:pPr>
      <w:r/>
      <w:r>
        <w:rPr>
          <w:b/>
        </w:rPr>
        <w:t>Patient revenant de l'étranger avec une ordonnance de fébuxostat 80 mg/jour en initiation</w:t>
      </w:r>
      <w:r>
        <w:t xml:space="preserve"> : dose trop élevée selon l'AMM européenne modifiée en 2015. Contacter le médecin algérien pour adapter à la posologie recommandée (40 mg/jour initial, titration à 80 mg/jour après 2 à 4 semaines).</w:t>
      </w:r>
    </w:p>
    <w:p>
      <w:pPr>
        <w:pStyle w:val="ListNumber"/>
      </w:pPr>
      <w:r/>
      <w:r>
        <w:rPr>
          <w:b/>
        </w:rPr>
        <w:t>Patient avec antécédents cardiovasculaires récents (infarctus, AVC &lt; 6 mois) et prescription de fébuxostat</w:t>
      </w:r>
      <w:r>
        <w:t xml:space="preserve"> : alerter le patient et le médecin sur le risque cardiovasculaire (FDA Black Box Warning 2019). Discuter de l'allopurinol à dose maximale tolérée.</w:t>
      </w:r>
    </w:p>
    <w:p>
      <w:pPr>
        <w:pStyle w:val="ListNumber"/>
      </w:pPr>
      <w:r/>
      <w:r>
        <w:rPr>
          <w:b/>
        </w:rPr>
        <w:t>Patient sous azathioprine</w:t>
      </w:r>
      <w:r>
        <w:t xml:space="preserve"> (transplantation d'organe, MICI, dermatoses auto-immunes) et prescription simultanée de fébuxostat : </w:t>
      </w:r>
      <w:r>
        <w:rPr>
          <w:b/>
        </w:rPr>
        <w:t>contre-indication absolue</w:t>
      </w:r>
      <w:r>
        <w:t>. Refus de dispensation et contact urgent du médecin pour envisager l'allopurinol (avec adaptation de l'azathioprine à 25 % de la dose standard).</w:t>
      </w:r>
    </w:p>
    <w:p>
      <w:pPr>
        <w:pStyle w:val="ListNumber"/>
      </w:pPr>
      <w:r/>
      <w:r>
        <w:rPr>
          <w:b/>
        </w:rPr>
        <w:t>Patiente enceinte ou planifiant une grossesse</w:t>
      </w:r>
      <w:r>
        <w:t xml:space="preserve"> : contacter le médecin pour discuter de l'indication (fébuxostat « déconseillé » pendant la grossesse).</w:t>
      </w:r>
    </w:p>
    <w:p>
      <w:pPr>
        <w:pStyle w:val="ListNumber"/>
      </w:pPr>
      <w:r/>
      <w:r>
        <w:rPr>
          <w:b/>
        </w:rPr>
        <w:t>Patiente allaitante</w:t>
      </w:r>
      <w:r>
        <w:t xml:space="preserve"> : contacter le médecin pour discuter de l'indication (fébuxostat « déconseillé » pendant l'allaitement, préférer allopurinol).</w:t>
      </w:r>
    </w:p>
    <w:p>
      <w:pPr>
        <w:pStyle w:val="ListNumber"/>
      </w:pPr>
      <w:r/>
      <w:r>
        <w:rPr>
          <w:b/>
        </w:rPr>
        <w:t>Patient insuffisant rénal sévère (clairance &lt; 30 mL/min)</w:t>
      </w:r>
      <w:r>
        <w:t xml:space="preserve"> : contacter le médecin pour adapter la dose (40 mg/jour maximum) ou discuter de l'allopurinol à dose adaptée.</w:t>
      </w:r>
    </w:p>
    <w:p>
      <w:pPr>
        <w:pStyle w:val="ListNumber"/>
      </w:pPr>
      <w:r/>
      <w:r>
        <w:rPr>
          <w:b/>
        </w:rPr>
        <w:t>Patient présentant une éruption cutanée sous fébuxostat</w:t>
      </w:r>
      <w:r>
        <w:t xml:space="preserve"> : arrêt immédiat, consultation médicale urgente pour éliminer un DRESS (rare mais documenté). Ne pas reprendre le fébuxostat sans avis médical spécialisé.</w:t>
      </w:r>
    </w:p>
    <w:p>
      <w:pPr>
        <w:pStyle w:val="ListNumber"/>
      </w:pPr>
      <w:r/>
      <w:r>
        <w:rPr>
          <w:b/>
        </w:rPr>
        <w:t>Patient présentant une douleur thoracique sous fébuxostat</w:t>
      </w:r>
      <w:r>
        <w:t xml:space="preserve"> : urgence absolue, consulter le 15. Risque d'événement cardiovasculaire (FDA Black Box Warning).</w:t>
      </w:r>
    </w:p>
    <w:p>
      <w:pPr>
        <w:pStyle w:val="ListNumber"/>
      </w:pPr>
      <w:r/>
      <w:r>
        <w:rPr>
          <w:b/>
        </w:rPr>
        <w:t>Patient présentant une cytolyse hépatique sous fébuxostat</w:t>
      </w:r>
      <w:r>
        <w:t xml:space="preserve"> : arrêt immédiat si ALAT &gt; 3 × LSN, consultation médicale.</w:t>
      </w:r>
    </w:p>
    <w:p>
      <w:pPr>
        <w:pStyle w:val="ListNumber"/>
      </w:pPr>
      <w:r/>
      <w:r>
        <w:rPr>
          <w:b/>
        </w:rPr>
        <w:t>Patient présentant une crise de goutte sous fébuxostat</w:t>
      </w:r>
      <w:r>
        <w:t xml:space="preserve"> : ne pas arrêter le fébuxostat. Traiter la crise par colchicine (ou AINS, ou corticothérapie). Contacter le médecin pour adapter la prophylaxie et discuter une augmentation de dose (jusqu'à 120 mg/jour).</w:t>
      </w:r>
    </w:p>
    <w:p>
      <w:pPr>
        <w:pStyle w:val="ListNumber"/>
      </w:pPr>
      <w:r/>
      <w:r>
        <w:rPr>
          <w:b/>
        </w:rPr>
        <w:t>Patient âgé polymédicamenté</w:t>
      </w:r>
      <w:r>
        <w:t xml:space="preserve"> : vérifier systématiquement l'ordonnance complète. En cas de prescription simultanée de warfarine ou théophylline, alerter le patient sur les risques d'interaction et contacter le médecin si nécessaire.</w:t>
      </w:r>
    </w:p>
    <w:p>
      <w:pPr>
        <w:pStyle w:val="ListNumber"/>
      </w:pPr>
      <w:r/>
      <w:r>
        <w:rPr>
          <w:b/>
        </w:rPr>
        <w:t>Confusion entre fébuxostat et allopurinol</w:t>
      </w:r>
      <w:r>
        <w:t xml:space="preserve"> : le fébuxostat est un inhibiteur non purinique de la xanthine oxydase (sans similarité structurale avec l'allopurinol), indiqué en cas d'échec ou d'intolérance à l'allopurinol. Il n'est pas un uricosurique. Ne pas associer les deux (pas d'AMM, pas de preuve d'efficacité supérieure).</w:t>
      </w:r>
    </w:p>
    <w:p>
      <w:pPr>
        <w:pStyle w:val="ListNumber"/>
      </w:pPr>
      <w:r/>
      <w:r>
        <w:rPr>
          <w:b/>
        </w:rPr>
        <w:t>Patient demandant à arrêter le fébuxostat « parce qu'il n'a plus de crise »</w:t>
      </w:r>
      <w:r>
        <w:t xml:space="preserve"> : refus d'arrêt sans avis médical. Le fébuxostat se prend à vie. L'arrêt expose à une rechute rapide (réascension de l'uricémie en quelques semaines, retour des cristaux, nouvelle crise en quelques mois).</w:t>
      </w:r>
    </w:p>
    <w:p>
      <w:pPr>
        <w:pStyle w:val="ListNumber"/>
      </w:pPr>
      <w:r/>
      <w:r>
        <w:rPr>
          <w:b/>
        </w:rPr>
        <w:t>Patient avec asthénie, ictère, urines foncées</w:t>
      </w:r>
      <w:r>
        <w:t xml:space="preserve"> sous fébuxostat : suspicion d'hépatite. Arrêt immédiat et consultation médicale urgente.</w:t>
      </w:r>
    </w:p>
    <w:p>
      <w:pPr>
        <w:pStyle w:val="ListNumber"/>
      </w:pPr>
      <w:r/>
      <w:r>
        <w:rPr>
          <w:b/>
        </w:rPr>
        <w:t>Automédication par fébuxostat acheté à l'étranger</w:t>
      </w:r>
      <w:r>
        <w:t xml:space="preserve"> : refus strict de dispensation sans ordonnance algérienne. Le fébuxostat est un médicament Liste I avec index thérapeutique étroit et risque cardiovasculaire (FDA Black Box Warning), et ne peut être délivré sans prescription médicale.</w:t>
      </w:r>
    </w:p>
    <w:p>
      <w:pPr>
        <w:pStyle w:val="Heading2"/>
      </w:pPr>
      <w:r>
        <w:t>154.6. Tableau comparatif des trois anti-goutteux disponibles en Algérie</w:t>
      </w:r>
    </w:p>
    <w:p>
      <w:pPr>
        <w:pStyle w:val="Heading3"/>
      </w:pPr>
      <w:r>
        <w:t>Tableau comparatif principal (3 DCI × 22 paramètres)</w:t>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sz w:val="20"/>
              </w:rPr>
              <w:t>Paramètre</w:t>
            </w:r>
          </w:p>
        </w:tc>
        <w:tc>
          <w:tcPr>
            <w:tcW w:type="dxa" w:w="2339"/>
          </w:tcPr>
          <w:p>
            <w:r>
              <w:rPr>
                <w:b/>
                <w:sz w:val="20"/>
              </w:rPr>
              <w:t>Colchicine</w:t>
            </w:r>
          </w:p>
        </w:tc>
        <w:tc>
          <w:tcPr>
            <w:tcW w:type="dxa" w:w="2339"/>
          </w:tcPr>
          <w:p>
            <w:r>
              <w:rPr>
                <w:b/>
                <w:sz w:val="20"/>
              </w:rPr>
              <w:t>Allopurinol</w:t>
            </w:r>
          </w:p>
        </w:tc>
        <w:tc>
          <w:tcPr>
            <w:tcW w:type="dxa" w:w="2339"/>
          </w:tcPr>
          <w:p>
            <w:r>
              <w:rPr>
                <w:b/>
                <w:sz w:val="20"/>
              </w:rPr>
              <w:t>Fébuxostat</w:t>
            </w:r>
          </w:p>
        </w:tc>
      </w:tr>
      <w:tr>
        <w:tc>
          <w:tcPr>
            <w:tcW w:type="dxa" w:w="2339"/>
          </w:tcPr>
          <w:p>
            <w:r>
              <w:rPr>
                <w:sz w:val="20"/>
              </w:rPr>
              <w:t>**Classe ATC**</w:t>
            </w:r>
          </w:p>
        </w:tc>
        <w:tc>
          <w:tcPr>
            <w:tcW w:type="dxa" w:w="2339"/>
          </w:tcPr>
          <w:p>
            <w:r>
              <w:rPr>
                <w:sz w:val="20"/>
              </w:rPr>
              <w:t>M04AC01 (anti-inflammatoire spécifique goutte)</w:t>
            </w:r>
          </w:p>
        </w:tc>
        <w:tc>
          <w:tcPr>
            <w:tcW w:type="dxa" w:w="2339"/>
          </w:tcPr>
          <w:p>
            <w:r>
              <w:rPr>
                <w:sz w:val="20"/>
              </w:rPr>
              <w:t>M04AA01 (inhibiteur xanthine oxydase)</w:t>
            </w:r>
          </w:p>
        </w:tc>
        <w:tc>
          <w:tcPr>
            <w:tcW w:type="dxa" w:w="2339"/>
          </w:tcPr>
          <w:p>
            <w:r>
              <w:rPr>
                <w:sz w:val="20"/>
              </w:rPr>
              <w:t>M04AA03 (inhibiteur non purinique XO)</w:t>
            </w:r>
          </w:p>
        </w:tc>
      </w:tr>
      <w:tr>
        <w:tc>
          <w:tcPr>
            <w:tcW w:type="dxa" w:w="2339"/>
          </w:tcPr>
          <w:p>
            <w:r>
              <w:rPr>
                <w:sz w:val="20"/>
              </w:rPr>
              <w:t>**Mécanisme d'action**</w:t>
            </w:r>
          </w:p>
        </w:tc>
        <w:tc>
          <w:tcPr>
            <w:tcW w:type="dxa" w:w="2339"/>
          </w:tcPr>
          <w:p>
            <w:r>
              <w:rPr>
                <w:sz w:val="20"/>
              </w:rPr>
              <w:t>Inhibition polymérisation microtubules → blocage migration neutrophiles</w:t>
            </w:r>
          </w:p>
        </w:tc>
        <w:tc>
          <w:tcPr>
            <w:tcW w:type="dxa" w:w="2339"/>
          </w:tcPr>
          <w:p>
            <w:r>
              <w:rPr>
                <w:sz w:val="20"/>
              </w:rPr>
              <w:t>Inhibition xanthine oxydase → baisse acide urique (prodrogue → oxypurinol)</w:t>
            </w:r>
          </w:p>
        </w:tc>
        <w:tc>
          <w:tcPr>
            <w:tcW w:type="dxa" w:w="2339"/>
          </w:tcPr>
          <w:p>
            <w:r>
              <w:rPr>
                <w:sz w:val="20"/>
              </w:rPr>
              <w:t>Inhibition non purinique xanthine oxydase → baisse acide urique</w:t>
            </w:r>
          </w:p>
        </w:tc>
      </w:tr>
      <w:tr>
        <w:tc>
          <w:tcPr>
            <w:tcW w:type="dxa" w:w="2339"/>
          </w:tcPr>
          <w:p>
            <w:r>
              <w:rPr>
                <w:sz w:val="20"/>
              </w:rPr>
              <w:t>**Voie d'administration**</w:t>
            </w:r>
          </w:p>
        </w:tc>
        <w:tc>
          <w:tcPr>
            <w:tcW w:type="dxa" w:w="2339"/>
          </w:tcPr>
          <w:p>
            <w:r>
              <w:rPr>
                <w:sz w:val="20"/>
              </w:rPr>
              <w:t>Orale (comprimé sécable 1 mg)</w:t>
            </w:r>
          </w:p>
        </w:tc>
        <w:tc>
          <w:tcPr>
            <w:tcW w:type="dxa" w:w="2339"/>
          </w:tcPr>
          <w:p>
            <w:r>
              <w:rPr>
                <w:sz w:val="20"/>
              </w:rPr>
              <w:t>Orale (cp 100 mg et 300 mg)</w:t>
            </w:r>
          </w:p>
        </w:tc>
        <w:tc>
          <w:tcPr>
            <w:tcW w:type="dxa" w:w="2339"/>
          </w:tcPr>
          <w:p>
            <w:r>
              <w:rPr>
                <w:sz w:val="20"/>
              </w:rPr>
              <w:t>Orale (cp pelliculé 40, 80, 120 mg)</w:t>
            </w:r>
          </w:p>
        </w:tc>
      </w:tr>
      <w:tr>
        <w:tc>
          <w:tcPr>
            <w:tcW w:type="dxa" w:w="2339"/>
          </w:tcPr>
          <w:p>
            <w:r>
              <w:rPr>
                <w:sz w:val="20"/>
              </w:rPr>
              <w:t>**Dose initiale adulte**</w:t>
            </w:r>
          </w:p>
        </w:tc>
        <w:tc>
          <w:tcPr>
            <w:tcW w:type="dxa" w:w="2339"/>
          </w:tcPr>
          <w:p>
            <w:r>
              <w:rPr>
                <w:sz w:val="20"/>
              </w:rPr>
              <w:t>Crise : 1 mg puis 0,5 mg à H1 (1,5 mg total J1) ; Prophylaxie : 0,5–1 mg/jour</w:t>
            </w:r>
          </w:p>
        </w:tc>
        <w:tc>
          <w:tcPr>
            <w:tcW w:type="dxa" w:w="2339"/>
          </w:tcPr>
          <w:p>
            <w:r>
              <w:rPr>
                <w:sz w:val="20"/>
              </w:rPr>
              <w:t>100 mg/jour (50 mg/jour si IRC ou sujet âgé)</w:t>
            </w:r>
          </w:p>
        </w:tc>
        <w:tc>
          <w:tcPr>
            <w:tcW w:type="dxa" w:w="2339"/>
          </w:tcPr>
          <w:p>
            <w:r>
              <w:rPr>
                <w:sz w:val="20"/>
              </w:rPr>
              <w:t>40 mg/jour</w:t>
            </w:r>
          </w:p>
        </w:tc>
      </w:tr>
      <w:tr>
        <w:tc>
          <w:tcPr>
            <w:tcW w:type="dxa" w:w="2339"/>
          </w:tcPr>
          <w:p>
            <w:r>
              <w:rPr>
                <w:sz w:val="20"/>
              </w:rPr>
              <w:t>**Dose maximale**</w:t>
            </w:r>
          </w:p>
        </w:tc>
        <w:tc>
          <w:tcPr>
            <w:tcW w:type="dxa" w:w="2339"/>
          </w:tcPr>
          <w:p>
            <w:r>
              <w:rPr>
                <w:sz w:val="20"/>
              </w:rPr>
              <w:t>6 mg/cycle (crise) ; 1,5 mg/jour (prophylaxie)</w:t>
            </w:r>
          </w:p>
        </w:tc>
        <w:tc>
          <w:tcPr>
            <w:tcW w:type="dxa" w:w="2339"/>
          </w:tcPr>
          <w:p>
            <w:r>
              <w:rPr>
                <w:sz w:val="20"/>
              </w:rPr>
              <w:t>900 mg/jour (au-delà AMM FR, mais recommandé EULAR/ACR)</w:t>
            </w:r>
          </w:p>
        </w:tc>
        <w:tc>
          <w:tcPr>
            <w:tcW w:type="dxa" w:w="2339"/>
          </w:tcPr>
          <w:p>
            <w:r>
              <w:rPr>
                <w:sz w:val="20"/>
              </w:rPr>
              <w:t>120 mg/jour</w:t>
            </w:r>
          </w:p>
        </w:tc>
      </w:tr>
      <w:tr>
        <w:tc>
          <w:tcPr>
            <w:tcW w:type="dxa" w:w="2339"/>
          </w:tcPr>
          <w:p>
            <w:r>
              <w:rPr>
                <w:sz w:val="20"/>
              </w:rPr>
              <w:t>**Adaptation IRC**</w:t>
            </w:r>
          </w:p>
        </w:tc>
        <w:tc>
          <w:tcPr>
            <w:tcW w:type="dxa" w:w="2339"/>
          </w:tcPr>
          <w:p>
            <w:r>
              <w:rPr>
                <w:sz w:val="20"/>
              </w:rPr>
              <w:t>50 % à 30–60 mL/min ; CI si &lt; 30 mL/min</w:t>
            </w:r>
          </w:p>
        </w:tc>
        <w:tc>
          <w:tcPr>
            <w:tcW w:type="dxa" w:w="2339"/>
          </w:tcPr>
          <w:p>
            <w:r>
              <w:rPr>
                <w:sz w:val="20"/>
              </w:rPr>
              <w:t>Strict selon clairance (50 mg 1j/2 si &lt; 10 mL/min)</w:t>
            </w:r>
          </w:p>
        </w:tc>
        <w:tc>
          <w:tcPr>
            <w:tcW w:type="dxa" w:w="2339"/>
          </w:tcPr>
          <w:p>
            <w:r>
              <w:rPr>
                <w:sz w:val="20"/>
              </w:rPr>
              <w:t>Aucune à ≥ 30 mL/min ; non recommandé si &lt; 15 mL/min</w:t>
            </w:r>
          </w:p>
        </w:tc>
      </w:tr>
      <w:tr>
        <w:tc>
          <w:tcPr>
            <w:tcW w:type="dxa" w:w="2339"/>
          </w:tcPr>
          <w:p>
            <w:r>
              <w:rPr>
                <w:sz w:val="20"/>
              </w:rPr>
              <w:t>**Indication principale**</w:t>
            </w:r>
          </w:p>
        </w:tc>
        <w:tc>
          <w:tcPr>
            <w:tcW w:type="dxa" w:w="2339"/>
          </w:tcPr>
          <w:p>
            <w:r>
              <w:rPr>
                <w:sz w:val="20"/>
              </w:rPr>
              <w:t>Crise aiguë + prophylaxie d'initiation</w:t>
            </w:r>
          </w:p>
        </w:tc>
        <w:tc>
          <w:tcPr>
            <w:tcW w:type="dxa" w:w="2339"/>
          </w:tcPr>
          <w:p>
            <w:r>
              <w:rPr>
                <w:sz w:val="20"/>
              </w:rPr>
              <w:t>Traitement de fond 1ère intention</w:t>
            </w:r>
          </w:p>
        </w:tc>
        <w:tc>
          <w:tcPr>
            <w:tcW w:type="dxa" w:w="2339"/>
          </w:tcPr>
          <w:p>
            <w:r>
              <w:rPr>
                <w:sz w:val="20"/>
              </w:rPr>
              <w:t>Traitement de fond 2ème intention (échec/intolérance allopurinol)</w:t>
            </w:r>
          </w:p>
        </w:tc>
      </w:tr>
      <w:tr>
        <w:tc>
          <w:tcPr>
            <w:tcW w:type="dxa" w:w="2339"/>
          </w:tcPr>
          <w:p>
            <w:r>
              <w:rPr>
                <w:sz w:val="20"/>
              </w:rPr>
              <w:t>**Contre-indications majeures**</w:t>
            </w:r>
          </w:p>
        </w:tc>
        <w:tc>
          <w:tcPr>
            <w:tcW w:type="dxa" w:w="2339"/>
          </w:tcPr>
          <w:p>
            <w:r>
              <w:rPr>
                <w:sz w:val="20"/>
              </w:rPr>
              <w:t>IRC sévère, IH sévère, inhibiteurs CYP3A4/P-gp chez IRC/IH, grossesse, allaitement</w:t>
            </w:r>
          </w:p>
        </w:tc>
        <w:tc>
          <w:tcPr>
            <w:tcW w:type="dxa" w:w="2339"/>
          </w:tcPr>
          <w:p>
            <w:r>
              <w:rPr>
                <w:sz w:val="20"/>
              </w:rPr>
              <w:t>Hypersensibilité, crise en cours, azathioprine à dose standard, didanosine</w:t>
            </w:r>
          </w:p>
        </w:tc>
        <w:tc>
          <w:tcPr>
            <w:tcW w:type="dxa" w:w="2339"/>
          </w:tcPr>
          <w:p>
            <w:r>
              <w:rPr>
                <w:sz w:val="20"/>
              </w:rPr>
              <w:t>Antécédents CV récents, azathioprine, IRC sévère (&lt; 15 mL/min)</w:t>
            </w:r>
          </w:p>
        </w:tc>
      </w:tr>
      <w:tr>
        <w:tc>
          <w:tcPr>
            <w:tcW w:type="dxa" w:w="2339"/>
          </w:tcPr>
          <w:p>
            <w:r>
              <w:rPr>
                <w:sz w:val="20"/>
              </w:rPr>
              <w:t>**Demi-vie plasmatique**</w:t>
            </w:r>
          </w:p>
        </w:tc>
        <w:tc>
          <w:tcPr>
            <w:tcW w:type="dxa" w:w="2339"/>
          </w:tcPr>
          <w:p>
            <w:r>
              <w:rPr>
                <w:sz w:val="20"/>
              </w:rPr>
              <w:t>4–16 h (moyenne 9 h) ; intra-neutrophile plusieurs jours</w:t>
            </w:r>
          </w:p>
        </w:tc>
        <w:tc>
          <w:tcPr>
            <w:tcW w:type="dxa" w:w="2339"/>
          </w:tcPr>
          <w:p>
            <w:r>
              <w:rPr>
                <w:sz w:val="20"/>
              </w:rPr>
              <w:t>1–2 h (allopurinol) ; 14–30 h (oxypurinol)</w:t>
            </w:r>
          </w:p>
        </w:tc>
        <w:tc>
          <w:tcPr>
            <w:tcW w:type="dxa" w:w="2339"/>
          </w:tcPr>
          <w:p>
            <w:r>
              <w:rPr>
                <w:sz w:val="20"/>
              </w:rPr>
              <w:t>5–8 h</w:t>
            </w:r>
          </w:p>
        </w:tc>
      </w:tr>
      <w:tr>
        <w:tc>
          <w:tcPr>
            <w:tcW w:type="dxa" w:w="2339"/>
          </w:tcPr>
          <w:p>
            <w:r>
              <w:rPr>
                <w:sz w:val="20"/>
              </w:rPr>
              <w:t>**Métabolisme**</w:t>
            </w:r>
          </w:p>
        </w:tc>
        <w:tc>
          <w:tcPr>
            <w:tcW w:type="dxa" w:w="2339"/>
          </w:tcPr>
          <w:p>
            <w:r>
              <w:rPr>
                <w:sz w:val="20"/>
              </w:rPr>
              <w:t>CYP3A4 + P-gp</w:t>
            </w:r>
          </w:p>
        </w:tc>
        <w:tc>
          <w:tcPr>
            <w:tcW w:type="dxa" w:w="2339"/>
          </w:tcPr>
          <w:p>
            <w:r>
              <w:rPr>
                <w:sz w:val="20"/>
              </w:rPr>
              <w:t>Xanthine oxydase → oxypurinol (métabolite actif)</w:t>
            </w:r>
          </w:p>
        </w:tc>
        <w:tc>
          <w:tcPr>
            <w:tcW w:type="dxa" w:w="2339"/>
          </w:tcPr>
          <w:p>
            <w:r>
              <w:rPr>
                <w:sz w:val="20"/>
              </w:rPr>
              <w:t>Hépatique UGT1A1/3/9 + CYP1A1/2, 2C8/9</w:t>
            </w:r>
          </w:p>
        </w:tc>
      </w:tr>
      <w:tr>
        <w:tc>
          <w:tcPr>
            <w:tcW w:type="dxa" w:w="2339"/>
          </w:tcPr>
          <w:p>
            <w:r>
              <w:rPr>
                <w:sz w:val="20"/>
              </w:rPr>
              <w:t>**Élimination**</w:t>
            </w:r>
          </w:p>
        </w:tc>
        <w:tc>
          <w:tcPr>
            <w:tcW w:type="dxa" w:w="2339"/>
          </w:tcPr>
          <w:p>
            <w:r>
              <w:rPr>
                <w:sz w:val="20"/>
              </w:rPr>
              <w:t>Biliaire 65 % + rénale 35 %</w:t>
            </w:r>
          </w:p>
        </w:tc>
        <w:tc>
          <w:tcPr>
            <w:tcW w:type="dxa" w:w="2339"/>
          </w:tcPr>
          <w:p>
            <w:r>
              <w:rPr>
                <w:sz w:val="20"/>
              </w:rPr>
              <w:t>Rénale 80 %</w:t>
            </w:r>
          </w:p>
        </w:tc>
        <w:tc>
          <w:tcPr>
            <w:tcW w:type="dxa" w:w="2339"/>
          </w:tcPr>
          <w:p>
            <w:r>
              <w:rPr>
                <w:sz w:val="20"/>
              </w:rPr>
              <w:t>Hépatique 65 % + rénale 35 %</w:t>
            </w:r>
          </w:p>
        </w:tc>
      </w:tr>
      <w:tr>
        <w:tc>
          <w:tcPr>
            <w:tcW w:type="dxa" w:w="2339"/>
          </w:tcPr>
          <w:p>
            <w:r>
              <w:rPr>
                <w:sz w:val="20"/>
              </w:rPr>
              <w:t>**Effet sur uricémie**</w:t>
            </w:r>
          </w:p>
        </w:tc>
        <w:tc>
          <w:tcPr>
            <w:tcW w:type="dxa" w:w="2339"/>
          </w:tcPr>
          <w:p>
            <w:r>
              <w:rPr>
                <w:sz w:val="20"/>
              </w:rPr>
              <w:t>Aucun (anti-inflammatoire pur)</w:t>
            </w:r>
          </w:p>
        </w:tc>
        <w:tc>
          <w:tcPr>
            <w:tcW w:type="dxa" w:w="2339"/>
          </w:tcPr>
          <w:p>
            <w:r>
              <w:rPr>
                <w:sz w:val="20"/>
              </w:rPr>
              <w:t>Baisse 30–60 %</w:t>
            </w:r>
          </w:p>
        </w:tc>
        <w:tc>
          <w:tcPr>
            <w:tcW w:type="dxa" w:w="2339"/>
          </w:tcPr>
          <w:p>
            <w:r>
              <w:rPr>
                <w:sz w:val="20"/>
              </w:rPr>
              <w:t>Baisse 40–70 %</w:t>
            </w:r>
          </w:p>
        </w:tc>
      </w:tr>
      <w:tr>
        <w:tc>
          <w:tcPr>
            <w:tcW w:type="dxa" w:w="2339"/>
          </w:tcPr>
          <w:p>
            <w:r>
              <w:rPr>
                <w:sz w:val="20"/>
              </w:rPr>
              <w:t>**Crise à l'initiation**</w:t>
            </w:r>
          </w:p>
        </w:tc>
        <w:tc>
          <w:tcPr>
            <w:tcW w:type="dxa" w:w="2339"/>
          </w:tcPr>
          <w:p>
            <w:r>
              <w:rPr>
                <w:sz w:val="20"/>
              </w:rPr>
              <w:t>Aucune (prévient les crises)</w:t>
            </w:r>
          </w:p>
        </w:tc>
        <w:tc>
          <w:tcPr>
            <w:tcW w:type="dxa" w:w="2339"/>
          </w:tcPr>
          <w:p>
            <w:r>
              <w:rPr>
                <w:sz w:val="20"/>
              </w:rPr>
              <w:t>30–40 % à 300 mg/jour sans prophylaxie</w:t>
            </w:r>
          </w:p>
        </w:tc>
        <w:tc>
          <w:tcPr>
            <w:tcW w:type="dxa" w:w="2339"/>
          </w:tcPr>
          <w:p>
            <w:r>
              <w:rPr>
                <w:sz w:val="20"/>
              </w:rPr>
              <w:t>70 % à 80 mg/jour sans prophylaxie</w:t>
            </w:r>
          </w:p>
        </w:tc>
      </w:tr>
      <w:tr>
        <w:tc>
          <w:tcPr>
            <w:tcW w:type="dxa" w:w="2339"/>
          </w:tcPr>
          <w:p>
            <w:r>
              <w:rPr>
                <w:sz w:val="20"/>
              </w:rPr>
              <w:t>**Surveillance biologique**</w:t>
            </w:r>
          </w:p>
        </w:tc>
        <w:tc>
          <w:tcPr>
            <w:tcW w:type="dxa" w:w="2339"/>
          </w:tcPr>
          <w:p>
            <w:r>
              <w:rPr>
                <w:sz w:val="20"/>
              </w:rPr>
              <w:t>NFS plaquettaire, créatininémie, CPK si statine associée</w:t>
            </w:r>
          </w:p>
        </w:tc>
        <w:tc>
          <w:tcPr>
            <w:tcW w:type="dxa" w:w="2339"/>
          </w:tcPr>
          <w:p>
            <w:r>
              <w:rPr>
                <w:sz w:val="20"/>
              </w:rPr>
              <w:t>Uricémie mensuelle (titration), NFS, créatininémie, transaminases</w:t>
            </w:r>
          </w:p>
        </w:tc>
        <w:tc>
          <w:tcPr>
            <w:tcW w:type="dxa" w:w="2339"/>
          </w:tcPr>
          <w:p>
            <w:r>
              <w:rPr>
                <w:sz w:val="20"/>
              </w:rPr>
              <w:t>Idem + ECG annuel, contrôle PA tous les 6 mois</w:t>
            </w:r>
          </w:p>
        </w:tc>
      </w:tr>
      <w:tr>
        <w:tc>
          <w:tcPr>
            <w:tcW w:type="dxa" w:w="2339"/>
          </w:tcPr>
          <w:p>
            <w:r>
              <w:rPr>
                <w:sz w:val="20"/>
              </w:rPr>
              <w:t>**Grossesse (CRAT)**</w:t>
            </w:r>
          </w:p>
        </w:tc>
        <w:tc>
          <w:tcPr>
            <w:tcW w:type="dxa" w:w="2339"/>
          </w:tcPr>
          <w:p>
            <w:r>
              <w:rPr>
                <w:sz w:val="20"/>
              </w:rPr>
              <w:t>Contre-indiquée ( tératogène)</w:t>
            </w:r>
          </w:p>
        </w:tc>
        <w:tc>
          <w:tcPr>
            <w:tcW w:type="dxa" w:w="2339"/>
          </w:tcPr>
          <w:p>
            <w:r>
              <w:rPr>
                <w:sz w:val="20"/>
              </w:rPr>
              <w:t>À éviter (sauf nécessité absolue)</w:t>
            </w:r>
          </w:p>
        </w:tc>
        <w:tc>
          <w:tcPr>
            <w:tcW w:type="dxa" w:w="2339"/>
          </w:tcPr>
          <w:p>
            <w:r>
              <w:rPr>
                <w:sz w:val="20"/>
              </w:rPr>
              <w:t>Déconseillé</w:t>
            </w:r>
          </w:p>
        </w:tc>
      </w:tr>
      <w:tr>
        <w:tc>
          <w:tcPr>
            <w:tcW w:type="dxa" w:w="2339"/>
          </w:tcPr>
          <w:p>
            <w:r>
              <w:rPr>
                <w:sz w:val="20"/>
              </w:rPr>
              <w:t>**Allaitement (CRAT)**</w:t>
            </w:r>
          </w:p>
        </w:tc>
        <w:tc>
          <w:tcPr>
            <w:tcW w:type="dxa" w:w="2339"/>
          </w:tcPr>
          <w:p>
            <w:r>
              <w:rPr>
                <w:sz w:val="20"/>
              </w:rPr>
              <w:t>Contre-indiquée</w:t>
            </w:r>
          </w:p>
        </w:tc>
        <w:tc>
          <w:tcPr>
            <w:tcW w:type="dxa" w:w="2339"/>
          </w:tcPr>
          <w:p>
            <w:r>
              <w:rPr>
                <w:sz w:val="20"/>
              </w:rPr>
              <w:t>Compatible (≤ 300 mg/jour)</w:t>
            </w:r>
          </w:p>
        </w:tc>
        <w:tc>
          <w:tcPr>
            <w:tcW w:type="dxa" w:w="2339"/>
          </w:tcPr>
          <w:p>
            <w:r>
              <w:rPr>
                <w:sz w:val="20"/>
              </w:rPr>
              <w:t>Déconseillé</w:t>
            </w:r>
          </w:p>
        </w:tc>
      </w:tr>
      <w:tr>
        <w:tc>
          <w:tcPr>
            <w:tcW w:type="dxa" w:w="2339"/>
          </w:tcPr>
          <w:p>
            <w:r>
              <w:rPr>
                <w:sz w:val="20"/>
              </w:rPr>
              <w:t>**Interactions majeures**</w:t>
            </w:r>
          </w:p>
        </w:tc>
        <w:tc>
          <w:tcPr>
            <w:tcW w:type="dxa" w:w="2339"/>
          </w:tcPr>
          <w:p>
            <w:r>
              <w:rPr>
                <w:sz w:val="20"/>
              </w:rPr>
              <w:t>CYP3A4/P-gp (clarithromycine, itraconazole, ciclosporine, vérapamil) — MORTelles</w:t>
            </w:r>
          </w:p>
        </w:tc>
        <w:tc>
          <w:tcPr>
            <w:tcW w:type="dxa" w:w="2339"/>
          </w:tcPr>
          <w:p>
            <w:r>
              <w:rPr>
                <w:sz w:val="20"/>
              </w:rPr>
              <w:t>Azathioprine/6-MP, didanosine, warfarine, théophylline</w:t>
            </w:r>
          </w:p>
        </w:tc>
        <w:tc>
          <w:tcPr>
            <w:tcW w:type="dxa" w:w="2339"/>
          </w:tcPr>
          <w:p>
            <w:r>
              <w:rPr>
                <w:sz w:val="20"/>
              </w:rPr>
              <w:t>Azathioprine (CI absolue), warfarine, théophylline</w:t>
            </w:r>
          </w:p>
        </w:tc>
      </w:tr>
      <w:tr>
        <w:tc>
          <w:tcPr>
            <w:tcW w:type="dxa" w:w="2339"/>
          </w:tcPr>
          <w:p>
            <w:r>
              <w:rPr>
                <w:sz w:val="20"/>
              </w:rPr>
              <w:t>**Syndrome DRESS**</w:t>
            </w:r>
          </w:p>
        </w:tc>
        <w:tc>
          <w:tcPr>
            <w:tcW w:type="dxa" w:w="2339"/>
          </w:tcPr>
          <w:p>
            <w:r>
              <w:rPr>
                <w:sz w:val="20"/>
              </w:rPr>
              <w:t>Non (mais syndrome de Lyell possible)</w:t>
            </w:r>
          </w:p>
        </w:tc>
        <w:tc>
          <w:tcPr>
            <w:tcW w:type="dxa" w:w="2339"/>
          </w:tcPr>
          <w:p>
            <w:r>
              <w:rPr>
                <w:sz w:val="20"/>
              </w:rPr>
              <w:t>Oui — HLA-B\*5801 (rare mais grave, 20–30 % mortalité)</w:t>
            </w:r>
          </w:p>
        </w:tc>
        <w:tc>
          <w:tcPr>
            <w:tcW w:type="dxa" w:w="2339"/>
          </w:tcPr>
          <w:p>
            <w:r>
              <w:rPr>
                <w:sz w:val="20"/>
              </w:rPr>
              <w:t>Oui — rare mais documenté</w:t>
            </w:r>
          </w:p>
        </w:tc>
      </w:tr>
      <w:tr>
        <w:tc>
          <w:tcPr>
            <w:tcW w:type="dxa" w:w="2339"/>
          </w:tcPr>
          <w:p>
            <w:r>
              <w:rPr>
                <w:sz w:val="20"/>
              </w:rPr>
              <w:t>**Alerte FDA / sécurité**</w:t>
            </w:r>
          </w:p>
        </w:tc>
        <w:tc>
          <w:tcPr>
            <w:tcW w:type="dxa" w:w="2339"/>
          </w:tcPr>
          <w:p>
            <w:r>
              <w:rPr>
                <w:sz w:val="20"/>
              </w:rPr>
              <w:t>Surdosage mortel (index thérapeutique étroit)</w:t>
            </w:r>
          </w:p>
        </w:tc>
        <w:tc>
          <w:tcPr>
            <w:tcW w:type="dxa" w:w="2339"/>
          </w:tcPr>
          <w:p>
            <w:r>
              <w:rPr>
                <w:sz w:val="20"/>
              </w:rPr>
              <w:t>DRESS, HLA-B\*5801</w:t>
            </w:r>
          </w:p>
        </w:tc>
        <w:tc>
          <w:tcPr>
            <w:tcW w:type="dxa" w:w="2339"/>
          </w:tcPr>
          <w:p>
            <w:r>
              <w:rPr>
                <w:sz w:val="20"/>
              </w:rPr>
              <w:t>**FDA Black Box Warning 2019** (CARES trial : mortalité CV)</w:t>
            </w:r>
          </w:p>
        </w:tc>
      </w:tr>
      <w:tr>
        <w:tc>
          <w:tcPr>
            <w:tcW w:type="dxa" w:w="2339"/>
          </w:tcPr>
          <w:p>
            <w:r>
              <w:rPr>
                <w:sz w:val="20"/>
              </w:rPr>
              <w:t>**Coût mensuel estimé (DA)**</w:t>
            </w:r>
          </w:p>
        </w:tc>
        <w:tc>
          <w:tcPr>
            <w:tcW w:type="dxa" w:w="2339"/>
          </w:tcPr>
          <w:p>
            <w:r>
              <w:rPr>
                <w:sz w:val="20"/>
              </w:rPr>
              <w:t>200–400 DA (prophylaxie 0,5–1 mg/jour)</w:t>
            </w:r>
          </w:p>
        </w:tc>
        <w:tc>
          <w:tcPr>
            <w:tcW w:type="dxa" w:w="2339"/>
          </w:tcPr>
          <w:p>
            <w:r>
              <w:rPr>
                <w:sz w:val="20"/>
              </w:rPr>
              <w:t>200–500 DA (100–300 mg/jour)</w:t>
            </w:r>
          </w:p>
        </w:tc>
        <w:tc>
          <w:tcPr>
            <w:tcW w:type="dxa" w:w="2339"/>
          </w:tcPr>
          <w:p>
            <w:r>
              <w:rPr>
                <w:sz w:val="20"/>
              </w:rPr>
              <w:t>800–1500 DA (40–120 mg/jour)</w:t>
            </w:r>
          </w:p>
        </w:tc>
      </w:tr>
      <w:tr>
        <w:tc>
          <w:tcPr>
            <w:tcW w:type="dxa" w:w="2339"/>
          </w:tcPr>
          <w:p>
            <w:r>
              <w:rPr>
                <w:sz w:val="20"/>
              </w:rPr>
              <w:t>**Spécialités actives Algérie**</w:t>
            </w:r>
          </w:p>
        </w:tc>
        <w:tc>
          <w:tcPr>
            <w:tcW w:type="dxa" w:w="2339"/>
          </w:tcPr>
          <w:p>
            <w:r>
              <w:rPr>
                <w:sz w:val="20"/>
              </w:rPr>
              <w:t>3 (COLCHICINE OPOCALCIUM, COLCHIMED, COLCHIMEX)</w:t>
            </w:r>
          </w:p>
        </w:tc>
        <w:tc>
          <w:tcPr>
            <w:tcW w:type="dxa" w:w="2339"/>
          </w:tcPr>
          <w:p>
            <w:r>
              <w:rPr>
                <w:sz w:val="20"/>
              </w:rPr>
              <w:t>9 (LESURIC, NADLORIC, NO URIC, ZANURIC, ZYLORIC 100mg/300mg)</w:t>
            </w:r>
          </w:p>
        </w:tc>
        <w:tc>
          <w:tcPr>
            <w:tcW w:type="dxa" w:w="2339"/>
          </w:tcPr>
          <w:p>
            <w:r>
              <w:rPr>
                <w:sz w:val="20"/>
              </w:rPr>
              <w:t>6 (ADENUMAX, FEBOREX 40/80/120, TAZOTAX 80/120)</w:t>
            </w:r>
          </w:p>
        </w:tc>
      </w:tr>
      <w:tr>
        <w:tc>
          <w:tcPr>
            <w:tcW w:type="dxa" w:w="2339"/>
          </w:tcPr>
          <w:p>
            <w:r>
              <w:rPr>
                <w:sz w:val="20"/>
              </w:rPr>
              <w:t>**Place dans stratégie EULAR/ACR 2020**</w:t>
            </w:r>
          </w:p>
        </w:tc>
        <w:tc>
          <w:tcPr>
            <w:tcW w:type="dxa" w:w="2339"/>
          </w:tcPr>
          <w:p>
            <w:r>
              <w:rPr>
                <w:sz w:val="20"/>
              </w:rPr>
              <w:t>1ère intention crise aiguë + prophylaxie d'initiation</w:t>
            </w:r>
          </w:p>
        </w:tc>
        <w:tc>
          <w:tcPr>
            <w:tcW w:type="dxa" w:w="2339"/>
          </w:tcPr>
          <w:p>
            <w:r>
              <w:rPr>
                <w:sz w:val="20"/>
              </w:rPr>
              <w:t>1ère intention traitement de fond</w:t>
            </w:r>
          </w:p>
        </w:tc>
        <w:tc>
          <w:tcPr>
            <w:tcW w:type="dxa" w:w="2339"/>
          </w:tcPr>
          <w:p>
            <w:r>
              <w:rPr>
                <w:sz w:val="20"/>
              </w:rPr>
              <w:t>2ème intention traitement de fond</w:t>
            </w:r>
          </w:p>
        </w:tc>
      </w:tr>
    </w:tbl>
    <w:p/>
    <w:p>
      <w:pPr>
        <w:pStyle w:val="Heading3"/>
      </w:pPr>
      <w:r>
        <w:t>Synthèse comparative en 3 grandes classes</w:t>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sz w:val="20"/>
              </w:rPr>
              <w:t>Caractéristique</w:t>
            </w:r>
          </w:p>
        </w:tc>
        <w:tc>
          <w:tcPr>
            <w:tcW w:type="dxa" w:w="2339"/>
          </w:tcPr>
          <w:p>
            <w:r>
              <w:rPr>
                <w:b/>
                <w:sz w:val="20"/>
              </w:rPr>
              <w:t>Colchicine (anti-inflammatoire spécifique)</w:t>
            </w:r>
          </w:p>
        </w:tc>
        <w:tc>
          <w:tcPr>
            <w:tcW w:type="dxa" w:w="2339"/>
          </w:tcPr>
          <w:p>
            <w:r>
              <w:rPr>
                <w:b/>
                <w:sz w:val="20"/>
              </w:rPr>
              <w:t>Allopurinol (IXO purinique)</w:t>
            </w:r>
          </w:p>
        </w:tc>
        <w:tc>
          <w:tcPr>
            <w:tcW w:type="dxa" w:w="2339"/>
          </w:tcPr>
          <w:p>
            <w:r>
              <w:rPr>
                <w:b/>
                <w:sz w:val="20"/>
              </w:rPr>
              <w:t>Fébuxostat (IXO non purinique)</w:t>
            </w:r>
          </w:p>
        </w:tc>
      </w:tr>
      <w:tr>
        <w:tc>
          <w:tcPr>
            <w:tcW w:type="dxa" w:w="2339"/>
          </w:tcPr>
          <w:p>
            <w:r>
              <w:rPr>
                <w:sz w:val="20"/>
              </w:rPr>
              <w:t>**Action sur l'acide urique**</w:t>
            </w:r>
          </w:p>
        </w:tc>
        <w:tc>
          <w:tcPr>
            <w:tcW w:type="dxa" w:w="2339"/>
          </w:tcPr>
          <w:p>
            <w:r>
              <w:rPr>
                <w:sz w:val="20"/>
              </w:rPr>
              <w:t>Aucune (traitement symptomatique)</w:t>
            </w:r>
          </w:p>
        </w:tc>
        <w:tc>
          <w:tcPr>
            <w:tcW w:type="dxa" w:w="2339"/>
          </w:tcPr>
          <w:p>
            <w:r>
              <w:rPr>
                <w:sz w:val="20"/>
              </w:rPr>
              <w:t>Inhibe la production</w:t>
            </w:r>
          </w:p>
        </w:tc>
        <w:tc>
          <w:tcPr>
            <w:tcW w:type="dxa" w:w="2339"/>
          </w:tcPr>
          <w:p>
            <w:r>
              <w:rPr>
                <w:sz w:val="20"/>
              </w:rPr>
              <w:t>Inhibe la production (plus puissant)</w:t>
            </w:r>
          </w:p>
        </w:tc>
      </w:tr>
      <w:tr>
        <w:tc>
          <w:tcPr>
            <w:tcW w:type="dxa" w:w="2339"/>
          </w:tcPr>
          <w:p>
            <w:r>
              <w:rPr>
                <w:sz w:val="20"/>
              </w:rPr>
              <w:t>**Action sur la crise**</w:t>
            </w:r>
          </w:p>
        </w:tc>
        <w:tc>
          <w:tcPr>
            <w:tcW w:type="dxa" w:w="2339"/>
          </w:tcPr>
          <w:p>
            <w:r>
              <w:rPr>
                <w:sz w:val="20"/>
              </w:rPr>
              <w:t>Traite la crise + prévient les crises</w:t>
            </w:r>
          </w:p>
        </w:tc>
        <w:tc>
          <w:tcPr>
            <w:tcW w:type="dxa" w:w="2339"/>
          </w:tcPr>
          <w:p>
            <w:r>
              <w:rPr>
                <w:sz w:val="20"/>
              </w:rPr>
              <w:t>Peut déclencher une crise à l'initiation</w:t>
            </w:r>
          </w:p>
        </w:tc>
        <w:tc>
          <w:tcPr>
            <w:tcW w:type="dxa" w:w="2339"/>
          </w:tcPr>
          <w:p>
            <w:r>
              <w:rPr>
                <w:sz w:val="20"/>
              </w:rPr>
              <w:t>Peut déclencher une crise à l'initiation (plus souvent)</w:t>
            </w:r>
          </w:p>
        </w:tc>
      </w:tr>
      <w:tr>
        <w:tc>
          <w:tcPr>
            <w:tcW w:type="dxa" w:w="2339"/>
          </w:tcPr>
          <w:p>
            <w:r>
              <w:rPr>
                <w:sz w:val="20"/>
              </w:rPr>
              <w:t>**Durée du traitement**</w:t>
            </w:r>
          </w:p>
        </w:tc>
        <w:tc>
          <w:tcPr>
            <w:tcW w:type="dxa" w:w="2339"/>
          </w:tcPr>
          <w:p>
            <w:r>
              <w:rPr>
                <w:sz w:val="20"/>
              </w:rPr>
              <w:t>3–6 mois (prophylaxie d'initiation), parfois à vie</w:t>
            </w:r>
          </w:p>
        </w:tc>
        <w:tc>
          <w:tcPr>
            <w:tcW w:type="dxa" w:w="2339"/>
          </w:tcPr>
          <w:p>
            <w:r>
              <w:rPr>
                <w:sz w:val="20"/>
              </w:rPr>
              <w:t>À vie</w:t>
            </w:r>
          </w:p>
        </w:tc>
        <w:tc>
          <w:tcPr>
            <w:tcW w:type="dxa" w:w="2339"/>
          </w:tcPr>
          <w:p>
            <w:r>
              <w:rPr>
                <w:sz w:val="20"/>
              </w:rPr>
              <w:t>À vie</w:t>
            </w:r>
          </w:p>
        </w:tc>
      </w:tr>
      <w:tr>
        <w:tc>
          <w:tcPr>
            <w:tcW w:type="dxa" w:w="2339"/>
          </w:tcPr>
          <w:p>
            <w:r>
              <w:rPr>
                <w:sz w:val="20"/>
              </w:rPr>
              <w:t>**Adaptation posologique**</w:t>
            </w:r>
          </w:p>
        </w:tc>
        <w:tc>
          <w:tcPr>
            <w:tcW w:type="dxa" w:w="2339"/>
          </w:tcPr>
          <w:p>
            <w:r>
              <w:rPr>
                <w:sz w:val="20"/>
              </w:rPr>
              <w:t>Oui (IRC, sujet âgé, interactions)</w:t>
            </w:r>
          </w:p>
        </w:tc>
        <w:tc>
          <w:tcPr>
            <w:tcW w:type="dxa" w:w="2339"/>
          </w:tcPr>
          <w:p>
            <w:r>
              <w:rPr>
                <w:sz w:val="20"/>
              </w:rPr>
              <w:t>Oui (selon clairance)</w:t>
            </w:r>
          </w:p>
        </w:tc>
        <w:tc>
          <w:tcPr>
            <w:tcW w:type="dxa" w:w="2339"/>
          </w:tcPr>
          <w:p>
            <w:r>
              <w:rPr>
                <w:sz w:val="20"/>
              </w:rPr>
              <w:t>Oui (selon uricémie, tolérance, CV)</w:t>
            </w:r>
          </w:p>
        </w:tc>
      </w:tr>
      <w:tr>
        <w:tc>
          <w:tcPr>
            <w:tcW w:type="dxa" w:w="2339"/>
          </w:tcPr>
          <w:p>
            <w:r>
              <w:rPr>
                <w:sz w:val="20"/>
              </w:rPr>
              <w:t>**Index thérapeutique**</w:t>
            </w:r>
          </w:p>
        </w:tc>
        <w:tc>
          <w:tcPr>
            <w:tcW w:type="dxa" w:w="2339"/>
          </w:tcPr>
          <w:p>
            <w:r>
              <w:rPr>
                <w:sz w:val="20"/>
              </w:rPr>
              <w:t>Étroit (toxicité proche efficacité)</w:t>
            </w:r>
          </w:p>
        </w:tc>
        <w:tc>
          <w:tcPr>
            <w:tcW w:type="dxa" w:w="2339"/>
          </w:tcPr>
          <w:p>
            <w:r>
              <w:rPr>
                <w:sz w:val="20"/>
              </w:rPr>
              <w:t>Large (mais DRESS rare)</w:t>
            </w:r>
          </w:p>
        </w:tc>
        <w:tc>
          <w:tcPr>
            <w:tcW w:type="dxa" w:w="2339"/>
          </w:tcPr>
          <w:p>
            <w:r>
              <w:rPr>
                <w:sz w:val="20"/>
              </w:rPr>
              <w:t>Large (mais alerte CV)</w:t>
            </w:r>
          </w:p>
        </w:tc>
      </w:tr>
    </w:tbl>
    <w:p/>
    <w:p>
      <w:pPr>
        <w:pStyle w:val="Heading3"/>
      </w:pPr>
      <w:r>
        <w:t>12 règles d'or pour la pharmacie d'officine algérienne</w:t>
      </w:r>
    </w:p>
    <w:p>
      <w:pPr>
        <w:pStyle w:val="ListNumber"/>
      </w:pPr>
      <w:r/>
      <w:r>
        <w:rPr>
          <w:b/>
        </w:rPr>
        <w:t>La colchicine prévient la crise, l'allopurinol et le fébuxostat traitent la maladie.</w:t>
      </w:r>
      <w:r>
        <w:t xml:space="preserve"> Les deux sont nécessaires en initiation (colchicine + IXO), et doivent être dispensés en association pendant 3 à 6 mois minimum.</w:t>
      </w:r>
    </w:p>
    <w:p>
      <w:pPr>
        <w:pStyle w:val="ListNumber"/>
      </w:pPr>
      <w:r/>
      <w:r>
        <w:rPr>
          <w:b/>
        </w:rPr>
        <w:t>Ne jamais initier un hypouricémiant pendant une crise aiguë.</w:t>
      </w:r>
      <w:r>
        <w:t xml:space="preserve"> Toujours attendre la résolution complète (1 à 2 semaines) avant de débuter l'allopurinol ou le fébuxostat.</w:t>
      </w:r>
    </w:p>
    <w:p>
      <w:pPr>
        <w:pStyle w:val="ListNumber"/>
      </w:pPr>
      <w:r/>
      <w:r>
        <w:rPr>
          <w:b/>
        </w:rPr>
        <w:t>La prophylaxie de la crise d'initiation est systématique</w:t>
      </w:r>
      <w:r>
        <w:t xml:space="preserve"> : colchicine 0,5–1 mg/jour pendant 3 à 6 mois, voire 12 mois si tophi.</w:t>
      </w:r>
    </w:p>
    <w:p>
      <w:pPr>
        <w:pStyle w:val="ListNumber"/>
      </w:pPr>
      <w:r/>
      <w:r>
        <w:rPr>
          <w:b/>
        </w:rPr>
        <w:t>La colchicine a un index thérapeutique étroit</w:t>
      </w:r>
      <w:r>
        <w:t xml:space="preserve"> : ne jamais dépasser la dose prescrite. Diarrhée = signe d'alerte précoce de toxicité.</w:t>
      </w:r>
    </w:p>
    <w:p>
      <w:pPr>
        <w:pStyle w:val="ListNumber"/>
      </w:pPr>
      <w:r/>
      <w:r>
        <w:rPr>
          <w:b/>
        </w:rPr>
        <w:t>L'allopurinol doit être initié à 100 mg/jour (50 mg/jour si IRC)</w:t>
      </w:r>
      <w:r>
        <w:t xml:space="preserve"> et titré progressivement. Ne pas dépasser 900 mg/jour (au-delà AMM française, mais recommandé EULAR/ACR).</w:t>
      </w:r>
    </w:p>
    <w:p>
      <w:pPr>
        <w:pStyle w:val="ListNumber"/>
      </w:pPr>
      <w:r/>
      <w:r>
        <w:rPr>
          <w:b/>
        </w:rPr>
        <w:t>Le fébuxostat doit être initié à 40 mg/jour</w:t>
      </w:r>
      <w:r>
        <w:t xml:space="preserve"> (depuis modification AMM 2015) et titré à 80 mg/jour, puis 120 mg/jour si nécessaire.</w:t>
      </w:r>
    </w:p>
    <w:p>
      <w:pPr>
        <w:pStyle w:val="ListNumber"/>
      </w:pPr>
      <w:r/>
      <w:r>
        <w:rPr>
          <w:b/>
        </w:rPr>
        <w:t>L'allopurinol est contre-indiqué en association à l'azathioprine à dose standard</w:t>
      </w:r>
      <w:r>
        <w:t xml:space="preserve"> (réduction à 25 % de la dose d'azathioprine indispensable). Le fébuxostat est </w:t>
      </w:r>
      <w:r>
        <w:rPr>
          <w:b/>
        </w:rPr>
        <w:t>contre-indiqué</w:t>
      </w:r>
      <w:r>
        <w:t xml:space="preserve"> en association à l'azathioprine (même à dose réduite).</w:t>
      </w:r>
    </w:p>
    <w:p>
      <w:pPr>
        <w:pStyle w:val="ListNumber"/>
      </w:pPr>
      <w:r/>
      <w:r>
        <w:rPr>
          <w:b/>
        </w:rPr>
        <w:t>Le fébuxostat est contre-indiqué chez les patients avec antécédents cardiovasculaires récents</w:t>
      </w:r>
      <w:r>
        <w:t xml:space="preserve"> (FDA Black Box Warning 2019). Préférer l'allopurinol.</w:t>
      </w:r>
    </w:p>
    <w:p>
      <w:pPr>
        <w:pStyle w:val="ListNumber"/>
      </w:pPr>
      <w:r/>
      <w:r>
        <w:rPr>
          <w:b/>
        </w:rPr>
        <w:t>Le syndrome DRESS à l'allopurinol impose le switch définitif vers le fébuxostat</w:t>
      </w:r>
      <w:r>
        <w:t xml:space="preserve"> (pas d'allergie croisée). Inversement, le DRESS au fébuxostat impose le switch vers l'allopurinol.</w:t>
      </w:r>
    </w:p>
    <w:p>
      <w:pPr>
        <w:pStyle w:val="ListNumber"/>
      </w:pPr>
      <w:r/>
      <w:r>
        <w:rPr>
          <w:b/>
        </w:rPr>
        <w:t>L'uricosurique n'est pas disponible en Algérie</w:t>
      </w:r>
      <w:r>
        <w:t xml:space="preserve"> (probenécide, sulfinpyrazone, benzbromarone absents). En cas d'échec des IXO seuls, optimiser la dose d'allopurinol jusqu'à 900 mg/jour, puis switch vers fébuxostat 120 mg/jour.</w:t>
      </w:r>
    </w:p>
    <w:p>
      <w:pPr>
        <w:pStyle w:val="ListNumber"/>
      </w:pPr>
      <w:r/>
      <w:r>
        <w:rPr>
          <w:b/>
        </w:rPr>
        <w:t>La surveillance biologique est systématique</w:t>
      </w:r>
      <w:r>
        <w:t xml:space="preserve"> : uricémie mensuelle pendant la titration, NFS plaquettaire, créatininémie, transaminases trimestrielles. ECG annuel sous fébuxostat.</w:t>
      </w:r>
    </w:p>
    <w:p>
      <w:pPr>
        <w:pStyle w:val="ListNumber"/>
      </w:pPr>
      <w:r/>
      <w:r>
        <w:rPr>
          <w:b/>
        </w:rPr>
        <w:t>Le traitement hypouricémiant est à vie.</w:t>
      </w:r>
      <w:r>
        <w:t xml:space="preserve"> Ne jamais arrêter sans avis médical, même en l'absence de crise. L'arrêt expose à une rechute rapide.</w:t>
      </w:r>
    </w:p>
    <w:p>
      <w:pPr>
        <w:pStyle w:val="Heading2"/>
      </w:pPr>
      <w:r>
        <w:t>154.7. Synthèse pédagogique pour la pratique officinale et clinique algérienne</w:t>
      </w:r>
    </w:p>
    <w:p>
      <w:pPr>
        <w:pStyle w:val="Heading3"/>
      </w:pPr>
      <w:r>
        <w:t>154.7.1. Algorithmes thérapeutiques pratiques</w:t>
      </w:r>
    </w:p>
    <w:p>
      <w:pPr>
        <w:pStyle w:val="Heading4"/>
      </w:pPr>
      <w:r>
        <w:t>Algorithme 1 : Prise en charge d'une crise aiguë de goutte en pharmacie d'officine</w:t>
      </w:r>
    </w:p>
    <w:p>
      <w:r/>
      <w:r>
        <w:rPr>
          <w:b/>
        </w:rPr>
        <w:t>Patient se présentant avec douleur articulaire aiguë monoarticulaire (gros orteil, cheville, genou) évocatrice de crise de goutte :</w:t>
      </w:r>
      <w:r/>
    </w:p>
    <w:p>
      <w:pPr>
        <w:pStyle w:val="ListNumber"/>
      </w:pPr>
      <w:r/>
      <w:r>
        <w:rPr>
          <w:b/>
        </w:rPr>
        <w:t>Évaluer la sévérité</w:t>
      </w:r>
      <w:r>
        <w:t xml:space="preserve"> :</w:t>
      </w:r>
    </w:p>
    <w:p>
      <w:pPr>
        <w:pStyle w:val="ListBullet"/>
      </w:pPr>
      <w:r>
        <w:t>Douleur intense (EVA ≥ 7/10), rougeur, chaleur, gonflure, impotence fonctionnelle → crise aiguë probable</w:t>
      </w:r>
    </w:p>
    <w:p>
      <w:pPr>
        <w:pStyle w:val="ListBullet"/>
      </w:pPr>
      <w:r>
        <w:t>Fièvre &gt; 38,5 °C, frissons, polyarthrite → suspect d'autre cause (sepsis, arthrite septique) → orientation urgences hospitalières</w:t>
      </w:r>
    </w:p>
    <w:p>
      <w:pPr>
        <w:pStyle w:val="ListNumber"/>
      </w:pPr>
      <w:r/>
      <w:r>
        <w:rPr>
          <w:b/>
        </w:rPr>
        <w:t>Vérifier l'ordonnance</w:t>
      </w:r>
      <w:r>
        <w:t xml:space="preserve"> :</w:t>
      </w:r>
    </w:p>
    <w:p>
      <w:pPr>
        <w:pStyle w:val="ListBullet"/>
      </w:pPr>
      <w:r>
        <w:t>Colchicine prescrite ? → Vérifier dose, fonction rénale, interactions médicamenteuses</w:t>
      </w:r>
    </w:p>
    <w:p>
      <w:pPr>
        <w:pStyle w:val="ListBullet"/>
      </w:pPr>
      <w:r>
        <w:t>AINS prescrit ? → Vérifier dose, CI (IRC, antécédents digestifs, grossesse 3e trimestre)</w:t>
      </w:r>
    </w:p>
    <w:p>
      <w:pPr>
        <w:pStyle w:val="ListBullet"/>
      </w:pPr>
      <w:r>
        <w:t>Corticothérapie prescrite ? → Vérifier dose, durée</w:t>
      </w:r>
    </w:p>
    <w:p>
      <w:pPr>
        <w:pStyle w:val="ListNumber"/>
      </w:pPr>
      <w:r/>
      <w:r>
        <w:rPr>
          <w:b/>
        </w:rPr>
        <w:t>En l'absence d'ordonnance</w:t>
      </w:r>
      <w:r>
        <w:t xml:space="preserve"> :</w:t>
      </w:r>
    </w:p>
    <w:p>
      <w:pPr>
        <w:pStyle w:val="ListBullet"/>
      </w:pPr>
      <w:r>
        <w:t>Refus strict de dispensation (médicaments Liste I)</w:t>
      </w:r>
    </w:p>
    <w:p>
      <w:pPr>
        <w:pStyle w:val="ListBullet"/>
      </w:pPr>
      <w:r>
        <w:t>Orientation vers le médecin traitant ou les urgences</w:t>
      </w:r>
    </w:p>
    <w:p>
      <w:pPr>
        <w:pStyle w:val="ListBullet"/>
      </w:pPr>
      <w:r>
        <w:t>En cas de douleur insupportable : paracétamol 1 g × 3/jour maximum en attendant la consultation</w:t>
      </w:r>
    </w:p>
    <w:p>
      <w:pPr>
        <w:pStyle w:val="ListNumber"/>
      </w:pPr>
      <w:r/>
      <w:r>
        <w:rPr>
          <w:b/>
        </w:rPr>
        <w:t>Conseils associés</w:t>
      </w:r>
      <w:r>
        <w:t xml:space="preserve"> :</w:t>
      </w:r>
    </w:p>
    <w:p>
      <w:pPr>
        <w:pStyle w:val="ListBullet"/>
      </w:pPr>
      <w:r>
        <w:t>Repos strict de l'articulation atteinte</w:t>
      </w:r>
    </w:p>
    <w:p>
      <w:pPr>
        <w:pStyle w:val="ListBullet"/>
      </w:pPr>
      <w:r>
        <w:t>Application de glace (poche de glace enveloppée dans un linge, 15 minutes × 3/jour)</w:t>
      </w:r>
    </w:p>
    <w:p>
      <w:pPr>
        <w:pStyle w:val="ListBullet"/>
      </w:pPr>
      <w:r>
        <w:t>Hydratation abondante (≥ 2 L/jour d'eau riche en bicarbonate)</w:t>
      </w:r>
    </w:p>
    <w:p>
      <w:pPr>
        <w:pStyle w:val="ListBullet"/>
      </w:pPr>
      <w:r>
        <w:t>Régime pauvre en purines</w:t>
      </w:r>
    </w:p>
    <w:p>
      <w:pPr>
        <w:pStyle w:val="ListBullet"/>
      </w:pPr>
      <w:r>
        <w:t>Éviction de l'alcool</w:t>
      </w:r>
    </w:p>
    <w:p>
      <w:pPr>
        <w:pStyle w:val="ListNumber"/>
      </w:pPr>
      <w:r/>
      <w:r>
        <w:rPr>
          <w:b/>
        </w:rPr>
        <w:t>Suivi</w:t>
      </w:r>
      <w:r>
        <w:t xml:space="preserve"> :</w:t>
      </w:r>
    </w:p>
    <w:p>
      <w:pPr>
        <w:pStyle w:val="ListBullet"/>
      </w:pPr>
      <w:r>
        <w:t>Si aggravation ou non-amélioration à 48 heures : consultation médicale</w:t>
      </w:r>
    </w:p>
    <w:p>
      <w:pPr>
        <w:pStyle w:val="ListBullet"/>
      </w:pPr>
      <w:r>
        <w:t>Si résolution complète : programmer la consultation rhumatologique pour initiation du traitement hypouricémiant</w:t>
      </w:r>
    </w:p>
    <w:p>
      <w:pPr>
        <w:pStyle w:val="Heading4"/>
      </w:pPr>
      <w:r>
        <w:t>Algorithme 2 : Initiation d'un traitement hypouricémiant (allopurinol ou fébuxostat)</w:t>
      </w:r>
    </w:p>
    <w:p>
      <w:r/>
      <w:r>
        <w:rPr>
          <w:b/>
        </w:rPr>
        <w:t>Patient venant pour initier un traitement hypouricémiant (1ère prescription) :</w:t>
      </w:r>
      <w:r/>
    </w:p>
    <w:p>
      <w:pPr>
        <w:pStyle w:val="ListNumber"/>
      </w:pPr>
      <w:r/>
      <w:r>
        <w:rPr>
          <w:b/>
        </w:rPr>
        <w:t>Vérifier l'absence de crise aiguë en cours</w:t>
      </w:r>
      <w:r>
        <w:t xml:space="preserve"> :</w:t>
      </w:r>
    </w:p>
    <w:p>
      <w:pPr>
        <w:pStyle w:val="ListBullet"/>
      </w:pPr>
      <w:r>
        <w:t>Si crise en cours : refus de dispensation, contacter le médecin pour reporter</w:t>
      </w:r>
    </w:p>
    <w:p>
      <w:pPr>
        <w:pStyle w:val="ListBullet"/>
      </w:pPr>
      <w:r>
        <w:t>Si pas de crise en cours : procéder à la dispensation</w:t>
      </w:r>
    </w:p>
    <w:p>
      <w:pPr>
        <w:pStyle w:val="ListNumber"/>
      </w:pPr>
      <w:r/>
      <w:r>
        <w:rPr>
          <w:b/>
        </w:rPr>
        <w:t>Vérifier la prophylaxie associée</w:t>
      </w:r>
      <w:r>
        <w:t xml:space="preserve"> :</w:t>
      </w:r>
    </w:p>
    <w:p>
      <w:pPr>
        <w:pStyle w:val="ListBullet"/>
      </w:pPr>
      <w:r>
        <w:t>Colchicine 0,5–1 mg/jour prescrite ? → Oui : dispenser colchicine + hypouricémiant</w:t>
      </w:r>
    </w:p>
    <w:p>
      <w:pPr>
        <w:pStyle w:val="ListBullet"/>
      </w:pPr>
      <w:r>
        <w:t>Non : alerter le patient et le médecin sur la nécessité d'une prophylaxie systématique pendant 3–6 mois</w:t>
      </w:r>
    </w:p>
    <w:p>
      <w:pPr>
        <w:pStyle w:val="ListBullet"/>
      </w:pPr>
      <w:r>
        <w:t>Alternative en cas de CI à la colchicine : AINS (naproxène 250 mg × 2/jour)</w:t>
      </w:r>
    </w:p>
    <w:p>
      <w:pPr>
        <w:pStyle w:val="ListNumber"/>
      </w:pPr>
      <w:r/>
      <w:r>
        <w:rPr>
          <w:b/>
        </w:rPr>
        <w:t>Pour l'allopurinol</w:t>
      </w:r>
      <w:r>
        <w:t xml:space="preserve"> :</w:t>
      </w:r>
    </w:p>
    <w:p>
      <w:pPr>
        <w:pStyle w:val="ListBullet"/>
      </w:pPr>
      <w:r>
        <w:t>Dose initiale : 100 mg/jour (50 mg/jour si IRC ou sujet âgé)</w:t>
      </w:r>
    </w:p>
    <w:p>
      <w:pPr>
        <w:pStyle w:val="ListBullet"/>
      </w:pPr>
      <w:r>
        <w:t>Vérifier fonction rénale (clairance calculée)</w:t>
      </w:r>
    </w:p>
    <w:p>
      <w:pPr>
        <w:pStyle w:val="ListBullet"/>
      </w:pPr>
      <w:r>
        <w:t>Vérifier l'absence d'interaction médicamenteuse majeure (azathioprine, didanosine)</w:t>
      </w:r>
    </w:p>
    <w:p>
      <w:pPr>
        <w:pStyle w:val="ListBullet"/>
      </w:pPr>
      <w:r>
        <w:t>Programmer la surveillance : uricémie mensuelle, NFS plaquettaire, créatininémie, transaminases trimestrielles</w:t>
      </w:r>
    </w:p>
    <w:p>
      <w:pPr>
        <w:pStyle w:val="ListBullet"/>
      </w:pPr>
      <w:r>
        <w:t>Informer le patient des signes de DRESS : fièvre, éruption, adénopathies</w:t>
      </w:r>
    </w:p>
    <w:p>
      <w:pPr>
        <w:pStyle w:val="ListNumber"/>
      </w:pPr>
      <w:r/>
      <w:r>
        <w:rPr>
          <w:b/>
        </w:rPr>
        <w:t>Pour le fébuxostat</w:t>
      </w:r>
      <w:r>
        <w:t xml:space="preserve"> :</w:t>
      </w:r>
    </w:p>
    <w:p>
      <w:pPr>
        <w:pStyle w:val="ListBullet"/>
      </w:pPr>
      <w:r>
        <w:t>Dose initiale : 40 mg/jour</w:t>
      </w:r>
    </w:p>
    <w:p>
      <w:pPr>
        <w:pStyle w:val="ListBullet"/>
      </w:pPr>
      <w:r>
        <w:t>Vérifier l'absence d'antécédents cardiovasculaires récents</w:t>
      </w:r>
    </w:p>
    <w:p>
      <w:pPr>
        <w:pStyle w:val="ListBullet"/>
      </w:pPr>
      <w:r>
        <w:t>Vérifier l'absence d'azathioprine (contre-indication absolue)</w:t>
      </w:r>
    </w:p>
    <w:p>
      <w:pPr>
        <w:pStyle w:val="ListBullet"/>
      </w:pPr>
      <w:r>
        <w:t>Programmer la surveillance : uricémie mensuelle, NFS, créatininémie, transaminases trimestrielles, ECG annuel</w:t>
      </w:r>
    </w:p>
    <w:p>
      <w:pPr>
        <w:pStyle w:val="ListBullet"/>
      </w:pPr>
      <w:r>
        <w:t>Informer le patient des signes cardiovasculaires d'alerte : douleur thoracique, dyspnée, faiblesse brutale</w:t>
      </w:r>
    </w:p>
    <w:p>
      <w:pPr>
        <w:pStyle w:val="ListNumber"/>
      </w:pPr>
      <w:r/>
      <w:r>
        <w:rPr>
          <w:b/>
        </w:rPr>
        <w:t>Éducation thérapeutique</w:t>
      </w:r>
      <w:r>
        <w:t xml:space="preserve"> :</w:t>
      </w:r>
    </w:p>
    <w:p>
      <w:pPr>
        <w:pStyle w:val="ListBullet"/>
      </w:pPr>
      <w:r>
        <w:t>Ne jamais arrêter le traitement sans avis médical</w:t>
      </w:r>
    </w:p>
    <w:p>
      <w:pPr>
        <w:pStyle w:val="ListBullet"/>
      </w:pPr>
      <w:r>
        <w:t>Ne pas arrêter en cas de crise (continuer l'hypouricémiant)</w:t>
      </w:r>
    </w:p>
    <w:p>
      <w:pPr>
        <w:pStyle w:val="ListBullet"/>
      </w:pPr>
      <w:r>
        <w:t>Respecter la titration progressive</w:t>
      </w:r>
    </w:p>
    <w:p>
      <w:pPr>
        <w:pStyle w:val="ListBullet"/>
      </w:pPr>
      <w:r>
        <w:t>Signes d'alerte à connaître</w:t>
      </w:r>
    </w:p>
    <w:p>
      <w:pPr>
        <w:pStyle w:val="ListBullet"/>
      </w:pPr>
      <w:r>
        <w:t>Hydratation abondante, régime pauvre en purines</w:t>
      </w:r>
    </w:p>
    <w:p>
      <w:pPr>
        <w:pStyle w:val="ListBullet"/>
      </w:pPr>
      <w:r>
        <w:t>Suivi médical régulier</w:t>
      </w:r>
    </w:p>
    <w:p>
      <w:pPr>
        <w:pStyle w:val="Heading4"/>
      </w:pPr>
      <w:r>
        <w:t>Algorithme 3 : Gestion d'un échec ou d'une intolérance à l'allopurinol</w:t>
      </w:r>
    </w:p>
    <w:p>
      <w:r/>
      <w:r>
        <w:rPr>
          <w:b/>
        </w:rPr>
        <w:t>Patient sous allopurinol avec uricémie non contrôlée ou intolérance :</w:t>
      </w:r>
      <w:r/>
    </w:p>
    <w:p>
      <w:pPr>
        <w:pStyle w:val="ListNumber"/>
      </w:pPr>
      <w:r/>
      <w:r>
        <w:rPr>
          <w:b/>
        </w:rPr>
        <w:t>Vérifier l'observance</w:t>
      </w:r>
      <w:r>
        <w:t xml:space="preserve"> :</w:t>
      </w:r>
    </w:p>
    <w:p>
      <w:pPr>
        <w:pStyle w:val="ListBullet"/>
      </w:pPr>
      <w:r>
        <w:t>Le patient prend-il réellement le traitement ?</w:t>
      </w:r>
    </w:p>
    <w:p>
      <w:pPr>
        <w:pStyle w:val="ListBullet"/>
      </w:pPr>
      <w:r>
        <w:t>A-t-il compris l'objectif thérapeutique (uricémie &lt; 360 µmol/L) ?</w:t>
      </w:r>
    </w:p>
    <w:p>
      <w:pPr>
        <w:pStyle w:val="ListNumber"/>
      </w:pPr>
      <w:r/>
      <w:r>
        <w:rPr>
          <w:b/>
        </w:rPr>
        <w:t>Vérifier la dose</w:t>
      </w:r>
      <w:r>
        <w:t xml:space="preserve"> :</w:t>
      </w:r>
    </w:p>
    <w:p>
      <w:pPr>
        <w:pStyle w:val="ListBullet"/>
      </w:pPr>
      <w:r>
        <w:t>Si dose &lt; 300 mg/jour : augmentation à 300 mg/jour</w:t>
      </w:r>
    </w:p>
    <w:p>
      <w:pPr>
        <w:pStyle w:val="ListBullet"/>
      </w:pPr>
      <w:r>
        <w:t>Si dose = 300 mg/jour : augmentation à 400 mg/jour, puis 600 mg/jour, puis 900 mg/jour maximum</w:t>
      </w:r>
    </w:p>
    <w:p>
      <w:pPr>
        <w:pStyle w:val="ListBullet"/>
      </w:pPr>
      <w:r>
        <w:t>Surveillance accrue (NFS, créatininémie, transaminases) à chaque palier</w:t>
      </w:r>
    </w:p>
    <w:p>
      <w:pPr>
        <w:pStyle w:val="ListNumber"/>
      </w:pPr>
      <w:r/>
      <w:r>
        <w:rPr>
          <w:b/>
        </w:rPr>
        <w:t>Vérifier l'adaptation à la fonction rénale</w:t>
      </w:r>
      <w:r>
        <w:t xml:space="preserve"> :</w:t>
      </w:r>
    </w:p>
    <w:p>
      <w:pPr>
        <w:pStyle w:val="ListBullet"/>
      </w:pPr>
      <w:r>
        <w:t>Si IRC modérée (clairance 30–60 mL/min) : dose maximale 200 mg/jour</w:t>
      </w:r>
    </w:p>
    <w:p>
      <w:pPr>
        <w:pStyle w:val="ListBullet"/>
      </w:pPr>
      <w:r>
        <w:t>Si IRC sévère (clairance &lt; 30 mL/min) : dose maximale 100 mg/jour, voire 50 mg/jour</w:t>
      </w:r>
    </w:p>
    <w:p>
      <w:pPr>
        <w:pStyle w:val="ListBullet"/>
      </w:pPr>
      <w:r>
        <w:t>En cas d'IRC et d'échec à dose maximale tolérée : switch vers fébuxostat</w:t>
      </w:r>
    </w:p>
    <w:p>
      <w:pPr>
        <w:pStyle w:val="ListNumber"/>
      </w:pPr>
      <w:r/>
      <w:r>
        <w:rPr>
          <w:b/>
        </w:rPr>
        <w:t>Intolérance (DRESS, syndrome de Lyell, éruption étendue)</w:t>
      </w:r>
      <w:r>
        <w:t xml:space="preserve"> :</w:t>
      </w:r>
    </w:p>
    <w:p>
      <w:pPr>
        <w:pStyle w:val="ListBullet"/>
      </w:pPr>
      <w:r>
        <w:t>Arrêt immédiat et définitif de l'allopurinol</w:t>
      </w:r>
    </w:p>
    <w:p>
      <w:pPr>
        <w:pStyle w:val="ListBullet"/>
      </w:pPr>
      <w:r>
        <w:t>Hospitalisation si DRESS sévère (réanimation dermatologique ou médicale)</w:t>
      </w:r>
    </w:p>
    <w:p>
      <w:pPr>
        <w:pStyle w:val="ListBullet"/>
      </w:pPr>
      <w:r>
        <w:t>Switch vers fébuxostat (pas d'allergie croisée), à distance de la phase aiguë (≥ 2 semaines après résolution complète)</w:t>
      </w:r>
    </w:p>
    <w:p>
      <w:pPr>
        <w:pStyle w:val="ListBullet"/>
      </w:pPr>
      <w:r>
        <w:t>Surveillance rapprochée du fébuxostat pendant les premiers mois</w:t>
      </w:r>
    </w:p>
    <w:p>
      <w:pPr>
        <w:pStyle w:val="ListNumber"/>
      </w:pPr>
      <w:r/>
      <w:r>
        <w:rPr>
          <w:b/>
        </w:rPr>
        <w:t>Échec à dose maximale tolérée</w:t>
      </w:r>
      <w:r>
        <w:t xml:space="preserve"> :</w:t>
      </w:r>
    </w:p>
    <w:p>
      <w:pPr>
        <w:pStyle w:val="ListBullet"/>
      </w:pPr>
      <w:r>
        <w:t>Switch vers fébuxostat 40 mg/jour, puis titration à 80 mg/jour, puis 120 mg/jour</w:t>
      </w:r>
    </w:p>
    <w:p>
      <w:pPr>
        <w:pStyle w:val="ListBullet"/>
      </w:pPr>
      <w:r>
        <w:t>Surveillance cardiovasculaire (ECG annuel)</w:t>
      </w:r>
    </w:p>
    <w:p>
      <w:pPr>
        <w:pStyle w:val="ListBullet"/>
      </w:pPr>
      <w:r>
        <w:t>Maintenir la colchicine prophylactique pendant 3 à 6 mois après le switch</w:t>
      </w:r>
    </w:p>
    <w:p>
      <w:pPr>
        <w:pStyle w:val="ListNumber"/>
      </w:pPr>
      <w:r/>
      <w:r>
        <w:rPr>
          <w:b/>
        </w:rPr>
        <w:t>En cas d'échec du fébuxostat (rare)</w:t>
      </w:r>
      <w:r>
        <w:t xml:space="preserve"> :</w:t>
      </w:r>
    </w:p>
    <w:p>
      <w:pPr>
        <w:pStyle w:val="ListBullet"/>
      </w:pPr>
      <w:r>
        <w:t>Vérifier l'observance et la dose (jusqu'à 120 mg/jour)</w:t>
      </w:r>
    </w:p>
    <w:p>
      <w:pPr>
        <w:pStyle w:val="ListBullet"/>
      </w:pPr>
      <w:r>
        <w:t>Discussion spécialisée en milieu rhumatologique hospitalier</w:t>
      </w:r>
    </w:p>
    <w:p>
      <w:pPr>
        <w:pStyle w:val="ListBullet"/>
      </w:pPr>
      <w:r>
        <w:t>Recours exceptionnel à l'importation de benzbromarone (à éviter, hépatotoxicité)</w:t>
      </w:r>
    </w:p>
    <w:p>
      <w:pPr>
        <w:pStyle w:val="ListBullet"/>
      </w:pPr>
      <w:r>
        <w:t>Recours exceptionnel à la rasburicase (hors AMM goutte chronique)</w:t>
      </w:r>
    </w:p>
    <w:p>
      <w:pPr>
        <w:pStyle w:val="Heading3"/>
      </w:pPr>
      <w:r>
        <w:t>154.7.2. Populations particulières</w:t>
      </w:r>
    </w:p>
    <w:p>
      <w:pPr>
        <w:pStyle w:val="Heading4"/>
      </w:pPr>
      <w:r>
        <w:t>Patient insuffisant rénal chronique</w:t>
      </w:r>
    </w:p>
    <w:p>
      <w:r>
        <w:t>L'insuffisance rénale chronique est un facteur de risque majeur de la goutte (5 à 10 fois plus fréquente en cas d'IRC). Elle complique la prise en charge en raison de l'accumulation des hypouricémiants et de la colchicine.</w:t>
      </w:r>
    </w:p>
    <w:p>
      <w:pPr>
        <w:pStyle w:val="ListBullet"/>
      </w:pPr>
      <w:r/>
      <w:r>
        <w:rPr>
          <w:b/>
        </w:rPr>
        <w:t>Colchicine</w:t>
      </w:r>
      <w:r>
        <w:t xml:space="preserve"> : à dose réduite (50 %) si clairance 30–60 mL/min ; contre-indiquée si clairance &lt; 30 mL/min (préférer corticothérapie pour la crise aiguë).</w:t>
      </w:r>
    </w:p>
    <w:p>
      <w:pPr>
        <w:pStyle w:val="ListBullet"/>
      </w:pPr>
      <w:r/>
      <w:r>
        <w:rPr>
          <w:b/>
        </w:rPr>
        <w:t>Allopurinol</w:t>
      </w:r>
      <w:r>
        <w:t xml:space="preserve"> : adaptation posologique stricte selon la clairance (50 mg/jour si clairance 10–30 mL/min). Risque accru de DRESS (HLA-B\*5801 plus fréquent chez l'insuffisant rénal).</w:t>
      </w:r>
    </w:p>
    <w:p>
      <w:pPr>
        <w:pStyle w:val="ListBullet"/>
      </w:pPr>
      <w:r/>
      <w:r>
        <w:rPr>
          <w:b/>
        </w:rPr>
        <w:t>Fébuxostat</w:t>
      </w:r>
      <w:r>
        <w:t xml:space="preserve"> : avantage majeur — utilisable sans adaptation posologique si clairance ≥ 30 mL/min. Particulièrement indiqué en cas d'IRC modérée à sévère avec échec de l'allopurinol à dose adaptée.</w:t>
      </w:r>
    </w:p>
    <w:p>
      <w:pPr>
        <w:pStyle w:val="Heading4"/>
      </w:pPr>
      <w:r>
        <w:t>Patient âgé (&gt; 75 ans)</w:t>
      </w:r>
    </w:p>
    <w:p>
      <w:pPr>
        <w:pStyle w:val="ListBullet"/>
      </w:pPr>
      <w:r/>
      <w:r>
        <w:rPr>
          <w:b/>
        </w:rPr>
        <w:t>Polymédication</w:t>
      </w:r>
      <w:r>
        <w:t xml:space="preserve"> : vérifier systématiquement les interactions médicamenteuses, en particulier avec la colchicine (CYP3A4, P-gp).</w:t>
      </w:r>
    </w:p>
    <w:p>
      <w:pPr>
        <w:pStyle w:val="ListBullet"/>
      </w:pPr>
      <w:r/>
      <w:r>
        <w:rPr>
          <w:b/>
        </w:rPr>
        <w:t>Fonction rénale</w:t>
      </w:r>
      <w:r>
        <w:t xml:space="preserve"> : surveiller régulièrement (la clairance diminue physiologiquement avec l'âge).</w:t>
      </w:r>
    </w:p>
    <w:p>
      <w:pPr>
        <w:pStyle w:val="ListBullet"/>
      </w:pPr>
      <w:r/>
      <w:r>
        <w:rPr>
          <w:b/>
        </w:rPr>
        <w:t>Risque cardiovasculaire</w:t>
      </w:r>
      <w:r>
        <w:t xml:space="preserve"> : préférer l'allopurinol au fébuxostat en cas d'antécédents CV.</w:t>
      </w:r>
    </w:p>
    <w:p>
      <w:pPr>
        <w:pStyle w:val="ListBullet"/>
      </w:pPr>
      <w:r/>
      <w:r>
        <w:rPr>
          <w:b/>
        </w:rPr>
        <w:t>Crise aiguë</w:t>
      </w:r>
      <w:r>
        <w:t xml:space="preserve"> : préférer la corticothérapie courte à la colchicine (en raison des interactions médicamenteuses fréquentes).</w:t>
      </w:r>
    </w:p>
    <w:p>
      <w:pPr>
        <w:pStyle w:val="Heading4"/>
      </w:pPr>
      <w:r>
        <w:t>Patiente enceinte ou allaitante</w:t>
      </w:r>
    </w:p>
    <w:p>
      <w:pPr>
        <w:pStyle w:val="ListBullet"/>
      </w:pPr>
      <w:r/>
      <w:r>
        <w:rPr>
          <w:b/>
        </w:rPr>
        <w:t>Crise aiguë pendant la grossesse</w:t>
      </w:r>
      <w:r>
        <w:t xml:space="preserve"> : éviter colchicine, allopurinol, fébuxostat. Préférer corticothérapie (prednisone 20–30 mg/jour pendant 5–7 jours).</w:t>
      </w:r>
    </w:p>
    <w:p>
      <w:pPr>
        <w:pStyle w:val="ListBullet"/>
      </w:pPr>
      <w:r/>
      <w:r>
        <w:rPr>
          <w:b/>
        </w:rPr>
        <w:t>Traitement de fond pendant la grossesse</w:t>
      </w:r>
      <w:r>
        <w:t xml:space="preserve"> : reporter l'initiation en post-partum. Si goutte sévère, discussion spécialisée (allopurinol « à éviter » mais possible si nécessité absolue ; fébuxostat « déconseillé »).</w:t>
      </w:r>
    </w:p>
    <w:p>
      <w:pPr>
        <w:pStyle w:val="ListBullet"/>
      </w:pPr>
      <w:r/>
      <w:r>
        <w:rPr>
          <w:b/>
        </w:rPr>
        <w:t>Allaitement</w:t>
      </w:r>
      <w:r>
        <w:t xml:space="preserve"> : allopurinol compatible (≤ 300 mg/jour). Fébuxostat « déconseillé » (préférer allopurinol). Colchicine contre-indiquée.</w:t>
      </w:r>
    </w:p>
    <w:p>
      <w:pPr>
        <w:pStyle w:val="Heading4"/>
      </w:pPr>
      <w:r>
        <w:t>Patient avec syndrome métabolique et diabète</w:t>
      </w:r>
    </w:p>
    <w:p>
      <w:pPr>
        <w:pStyle w:val="ListBullet"/>
      </w:pPr>
      <w:r>
        <w:t>La goutte est souvent associée au syndrome métabolique (obésité abdominale, HTA, dyslipidémie, diabète de type 2).</w:t>
      </w:r>
    </w:p>
    <w:p>
      <w:pPr>
        <w:pStyle w:val="ListBullet"/>
      </w:pPr>
      <w:r/>
      <w:r>
        <w:rPr>
          <w:b/>
        </w:rPr>
        <w:t>Arrêt des diurétiques thiazidiques</w:t>
      </w:r>
      <w:r>
        <w:t xml:space="preserve"> si possible (remplacement par IEC ou ARA2, qui ont un effet uricosurique modeste).</w:t>
      </w:r>
    </w:p>
    <w:p>
      <w:pPr>
        <w:pStyle w:val="ListBullet"/>
      </w:pPr>
      <w:r/>
      <w:r>
        <w:rPr>
          <w:b/>
        </w:rPr>
        <w:t>Arrêt de l'aspirine à faible dose</w:t>
      </w:r>
      <w:r>
        <w:t xml:space="preserve"> si non indispensable (effet hyperuricémiant).</w:t>
      </w:r>
    </w:p>
    <w:p>
      <w:pPr>
        <w:pStyle w:val="ListBullet"/>
      </w:pPr>
      <w:r/>
      <w:r>
        <w:rPr>
          <w:b/>
        </w:rPr>
        <w:t>Contrôle glycémique strict</w:t>
      </w:r>
      <w:r>
        <w:t xml:space="preserve"> (le diabète favorise l'hyperuricémie).</w:t>
      </w:r>
    </w:p>
    <w:p>
      <w:pPr>
        <w:pStyle w:val="ListBullet"/>
      </w:pPr>
      <w:r/>
      <w:r>
        <w:rPr>
          <w:b/>
        </w:rPr>
        <w:t>Perte de poids progressive</w:t>
      </w:r>
      <w:r>
        <w:t xml:space="preserve"> (régime, activité physique douce).</w:t>
      </w:r>
    </w:p>
    <w:p>
      <w:pPr>
        <w:pStyle w:val="ListBullet"/>
      </w:pPr>
      <w:r/>
      <w:r>
        <w:rPr>
          <w:b/>
        </w:rPr>
        <w:t>Surveillance des interactions</w:t>
      </w:r>
      <w:r>
        <w:t xml:space="preserve"> : allopurinol + statine (risque accru de myopathie si colchicine associée).</w:t>
      </w:r>
    </w:p>
    <w:p>
      <w:pPr>
        <w:pStyle w:val="Heading4"/>
      </w:pPr>
      <w:r>
        <w:t>Patient avec antécédents cardiovasculaires</w:t>
      </w:r>
    </w:p>
    <w:p>
      <w:pPr>
        <w:pStyle w:val="ListBullet"/>
      </w:pPr>
      <w:r/>
      <w:r>
        <w:rPr>
          <w:b/>
        </w:rPr>
        <w:t>Allopurinol en première intention</w:t>
      </w:r>
      <w:r>
        <w:t xml:space="preserve"> (sauf intolérance ou contre-indication).</w:t>
      </w:r>
    </w:p>
    <w:p>
      <w:pPr>
        <w:pStyle w:val="ListBullet"/>
      </w:pPr>
      <w:r/>
      <w:r>
        <w:rPr>
          <w:b/>
        </w:rPr>
        <w:t>Fébuxostat à éviter</w:t>
      </w:r>
      <w:r>
        <w:t xml:space="preserve"> en cas d'infarctus du myocarde, d'AVC ischémique, ou d'angor instable récents (&lt; 6 mois) — FDA Black Box Warning 2019.</w:t>
      </w:r>
    </w:p>
    <w:p>
      <w:pPr>
        <w:pStyle w:val="ListBullet"/>
      </w:pPr>
      <w:r/>
      <w:r>
        <w:rPr>
          <w:b/>
        </w:rPr>
        <w:t>Surveillance cardiovasculaire renforcée</w:t>
      </w:r>
      <w:r>
        <w:t xml:space="preserve"> sous fébuxostat : ECG annuel, contrôle de la pression artérielle tous les 6 mois, recherche active de symptômes coronariens ou d'AVC.</w:t>
      </w:r>
    </w:p>
    <w:p>
      <w:pPr>
        <w:pStyle w:val="ListBullet"/>
      </w:pPr>
      <w:r/>
      <w:r>
        <w:rPr>
          <w:b/>
        </w:rPr>
        <w:t>Information du patient</w:t>
      </w:r>
      <w:r>
        <w:t xml:space="preserve"> : aviser le patient de consulter en urgence (15) en cas de douleur thoracique, dyspnée, faiblesse brutale.</w:t>
      </w:r>
    </w:p>
    <w:p>
      <w:pPr>
        <w:pStyle w:val="Heading4"/>
      </w:pPr>
      <w:r>
        <w:t>Patient avec lithiase urique</w:t>
      </w:r>
    </w:p>
    <w:p>
      <w:pPr>
        <w:pStyle w:val="ListBullet"/>
      </w:pPr>
      <w:r/>
      <w:r>
        <w:rPr>
          <w:b/>
        </w:rPr>
        <w:t>Allopurinol indiqué</w:t>
      </w:r>
      <w:r>
        <w:t xml:space="preserve"> (réduit la production d'acide urique).</w:t>
      </w:r>
    </w:p>
    <w:p>
      <w:pPr>
        <w:pStyle w:val="ListBullet"/>
      </w:pPr>
      <w:r/>
      <w:r>
        <w:rPr>
          <w:b/>
        </w:rPr>
        <w:t>Alcalinisation des urines</w:t>
      </w:r>
      <w:r>
        <w:t xml:space="preserve"> indispensable : pH urinaire ≥ 6,5. Bicarbonate de sodium 1 g × 3/jour, ou citrate de potassium.</w:t>
      </w:r>
    </w:p>
    <w:p>
      <w:pPr>
        <w:pStyle w:val="ListBullet"/>
      </w:pPr>
      <w:r/>
      <w:r>
        <w:rPr>
          <w:b/>
        </w:rPr>
        <w:t>Hydratation abondante</w:t>
      </w:r>
      <w:r>
        <w:t xml:space="preserve"> : ≥ 2,5 L/jour (idéal 3 L/jour).</w:t>
      </w:r>
    </w:p>
    <w:p>
      <w:pPr>
        <w:pStyle w:val="ListBullet"/>
      </w:pPr>
      <w:r/>
      <w:r>
        <w:rPr>
          <w:b/>
        </w:rPr>
        <w:t>Surveillance échographique rénale</w:t>
      </w:r>
      <w:r>
        <w:t xml:space="preserve"> semestrielle.</w:t>
      </w:r>
    </w:p>
    <w:p>
      <w:pPr>
        <w:pStyle w:val="ListBullet"/>
      </w:pPr>
      <w:r/>
      <w:r>
        <w:rPr>
          <w:b/>
        </w:rPr>
        <w:t>Éviction des diurétiques thiazidiques</w:t>
      </w:r>
      <w:r>
        <w:t xml:space="preserve"> (favorisent la lithiase urique).</w:t>
      </w:r>
    </w:p>
    <w:p>
      <w:pPr>
        <w:pStyle w:val="Heading3"/>
      </w:pPr>
      <w:r>
        <w:t>154.7.3. Pharmaco-économie et accessibilité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Spécialité</w:t>
            </w:r>
          </w:p>
        </w:tc>
        <w:tc>
          <w:tcPr>
            <w:tcW w:type="dxa" w:w="1559"/>
          </w:tcPr>
          <w:p>
            <w:r>
              <w:rPr>
                <w:b/>
                <w:sz w:val="20"/>
              </w:rPr>
              <w:t>Dosage</w:t>
            </w:r>
          </w:p>
        </w:tc>
        <w:tc>
          <w:tcPr>
            <w:tcW w:type="dxa" w:w="1559"/>
          </w:tcPr>
          <w:p>
            <w:r>
              <w:rPr>
                <w:b/>
                <w:sz w:val="20"/>
              </w:rPr>
              <w:t>Conditionnement</w:t>
            </w:r>
          </w:p>
        </w:tc>
        <w:tc>
          <w:tcPr>
            <w:tcW w:type="dxa" w:w="1559"/>
          </w:tcPr>
          <w:p>
            <w:r>
              <w:rPr>
                <w:b/>
                <w:sz w:val="20"/>
              </w:rPr>
              <w:t>Coût estimé (DA)</w:t>
            </w:r>
          </w:p>
        </w:tc>
        <w:tc>
          <w:tcPr>
            <w:tcW w:type="dxa" w:w="1559"/>
          </w:tcPr>
          <w:p>
            <w:r>
              <w:rPr>
                <w:b/>
                <w:sz w:val="20"/>
              </w:rPr>
              <w:t>Coût mensuel (DA)</w:t>
            </w:r>
          </w:p>
        </w:tc>
        <w:tc>
          <w:tcPr>
            <w:tcW w:type="dxa" w:w="1559"/>
          </w:tcPr>
          <w:p>
            <w:r>
              <w:rPr>
                <w:b/>
                <w:sz w:val="20"/>
              </w:rPr>
              <w:t>Accessibilité</w:t>
            </w:r>
          </w:p>
        </w:tc>
      </w:tr>
      <w:tr>
        <w:tc>
          <w:tcPr>
            <w:tcW w:type="dxa" w:w="1559"/>
          </w:tcPr>
          <w:p>
            <w:r>
              <w:rPr>
                <w:sz w:val="20"/>
              </w:rPr>
              <w:t>COLCHICINE OPOCALCIUM</w:t>
            </w:r>
          </w:p>
        </w:tc>
        <w:tc>
          <w:tcPr>
            <w:tcW w:type="dxa" w:w="1559"/>
          </w:tcPr>
          <w:p>
            <w:r>
              <w:rPr>
                <w:sz w:val="20"/>
              </w:rPr>
              <w:t>1 mg</w:t>
            </w:r>
          </w:p>
        </w:tc>
        <w:tc>
          <w:tcPr>
            <w:tcW w:type="dxa" w:w="1559"/>
          </w:tcPr>
          <w:p>
            <w:r>
              <w:rPr>
                <w:sz w:val="20"/>
              </w:rPr>
              <w:t>B/20</w:t>
            </w:r>
          </w:p>
        </w:tc>
        <w:tc>
          <w:tcPr>
            <w:tcW w:type="dxa" w:w="1559"/>
          </w:tcPr>
          <w:p>
            <w:r>
              <w:rPr>
                <w:sz w:val="20"/>
              </w:rPr>
              <w:t>200–300</w:t>
            </w:r>
          </w:p>
        </w:tc>
        <w:tc>
          <w:tcPr>
            <w:tcW w:type="dxa" w:w="1559"/>
          </w:tcPr>
          <w:p>
            <w:r>
              <w:rPr>
                <w:sz w:val="20"/>
              </w:rPr>
              <w:t>300–600 (prophylaxie 0,5–1 mg/j)</w:t>
            </w:r>
          </w:p>
        </w:tc>
        <w:tc>
          <w:tcPr>
            <w:tcW w:type="dxa" w:w="1559"/>
          </w:tcPr>
          <w:p>
            <w:r>
              <w:rPr>
                <w:sz w:val="20"/>
              </w:rPr>
              <w:t>Bonne (officine ville + hôpital)</w:t>
            </w:r>
          </w:p>
        </w:tc>
      </w:tr>
      <w:tr>
        <w:tc>
          <w:tcPr>
            <w:tcW w:type="dxa" w:w="1559"/>
          </w:tcPr>
          <w:p>
            <w:r>
              <w:rPr>
                <w:sz w:val="20"/>
              </w:rPr>
              <w:t>COLCHIMED</w:t>
            </w:r>
          </w:p>
        </w:tc>
        <w:tc>
          <w:tcPr>
            <w:tcW w:type="dxa" w:w="1559"/>
          </w:tcPr>
          <w:p>
            <w:r>
              <w:rPr>
                <w:sz w:val="20"/>
              </w:rPr>
              <w:t>1 mg</w:t>
            </w:r>
          </w:p>
        </w:tc>
        <w:tc>
          <w:tcPr>
            <w:tcW w:type="dxa" w:w="1559"/>
          </w:tcPr>
          <w:p>
            <w:r>
              <w:rPr>
                <w:sz w:val="20"/>
              </w:rPr>
              <w:t>B/20</w:t>
            </w:r>
          </w:p>
        </w:tc>
        <w:tc>
          <w:tcPr>
            <w:tcW w:type="dxa" w:w="1559"/>
          </w:tcPr>
          <w:p>
            <w:r>
              <w:rPr>
                <w:sz w:val="20"/>
              </w:rPr>
              <w:t>150–250</w:t>
            </w:r>
          </w:p>
        </w:tc>
        <w:tc>
          <w:tcPr>
            <w:tcW w:type="dxa" w:w="1559"/>
          </w:tcPr>
          <w:p>
            <w:r>
              <w:rPr>
                <w:sz w:val="20"/>
              </w:rPr>
              <w:t>225–450</w:t>
            </w:r>
          </w:p>
        </w:tc>
        <w:tc>
          <w:tcPr>
            <w:tcW w:type="dxa" w:w="1559"/>
          </w:tcPr>
          <w:p>
            <w:r>
              <w:rPr>
                <w:sz w:val="20"/>
              </w:rPr>
              <w:t>Bonne</w:t>
            </w:r>
          </w:p>
        </w:tc>
      </w:tr>
      <w:tr>
        <w:tc>
          <w:tcPr>
            <w:tcW w:type="dxa" w:w="1559"/>
          </w:tcPr>
          <w:p>
            <w:r>
              <w:rPr>
                <w:sz w:val="20"/>
              </w:rPr>
              <w:t>COLCHIMEX</w:t>
            </w:r>
          </w:p>
        </w:tc>
        <w:tc>
          <w:tcPr>
            <w:tcW w:type="dxa" w:w="1559"/>
          </w:tcPr>
          <w:p>
            <w:r>
              <w:rPr>
                <w:sz w:val="20"/>
              </w:rPr>
              <w:t>1 mg</w:t>
            </w:r>
          </w:p>
        </w:tc>
        <w:tc>
          <w:tcPr>
            <w:tcW w:type="dxa" w:w="1559"/>
          </w:tcPr>
          <w:p>
            <w:r>
              <w:rPr>
                <w:sz w:val="20"/>
              </w:rPr>
              <w:t>B/20</w:t>
            </w:r>
          </w:p>
        </w:tc>
        <w:tc>
          <w:tcPr>
            <w:tcW w:type="dxa" w:w="1559"/>
          </w:tcPr>
          <w:p>
            <w:r>
              <w:rPr>
                <w:sz w:val="20"/>
              </w:rPr>
              <w:t>150–250</w:t>
            </w:r>
          </w:p>
        </w:tc>
        <w:tc>
          <w:tcPr>
            <w:tcW w:type="dxa" w:w="1559"/>
          </w:tcPr>
          <w:p>
            <w:r>
              <w:rPr>
                <w:sz w:val="20"/>
              </w:rPr>
              <w:t>225–450</w:t>
            </w:r>
          </w:p>
        </w:tc>
        <w:tc>
          <w:tcPr>
            <w:tcW w:type="dxa" w:w="1559"/>
          </w:tcPr>
          <w:p>
            <w:r>
              <w:rPr>
                <w:sz w:val="20"/>
              </w:rPr>
              <w:t>Bonne</w:t>
            </w:r>
          </w:p>
        </w:tc>
      </w:tr>
      <w:tr>
        <w:tc>
          <w:tcPr>
            <w:tcW w:type="dxa" w:w="1559"/>
          </w:tcPr>
          <w:p>
            <w:r>
              <w:rPr>
                <w:sz w:val="20"/>
              </w:rPr>
              <w:t>LESURIC 100</w:t>
            </w:r>
          </w:p>
        </w:tc>
        <w:tc>
          <w:tcPr>
            <w:tcW w:type="dxa" w:w="1559"/>
          </w:tcPr>
          <w:p>
            <w:r>
              <w:rPr>
                <w:sz w:val="20"/>
              </w:rPr>
              <w:t>100 mg</w:t>
            </w:r>
          </w:p>
        </w:tc>
        <w:tc>
          <w:tcPr>
            <w:tcW w:type="dxa" w:w="1559"/>
          </w:tcPr>
          <w:p>
            <w:r>
              <w:rPr>
                <w:sz w:val="20"/>
              </w:rPr>
              <w:t>B/30</w:t>
            </w:r>
          </w:p>
        </w:tc>
        <w:tc>
          <w:tcPr>
            <w:tcW w:type="dxa" w:w="1559"/>
          </w:tcPr>
          <w:p>
            <w:r>
              <w:rPr>
                <w:sz w:val="20"/>
              </w:rPr>
              <w:t>200–300</w:t>
            </w:r>
          </w:p>
        </w:tc>
        <w:tc>
          <w:tcPr>
            <w:tcW w:type="dxa" w:w="1559"/>
          </w:tcPr>
          <w:p>
            <w:r>
              <w:rPr>
                <w:sz w:val="20"/>
              </w:rPr>
              <w:t>200–300 (100 mg/j)</w:t>
            </w:r>
          </w:p>
        </w:tc>
        <w:tc>
          <w:tcPr>
            <w:tcW w:type="dxa" w:w="1559"/>
          </w:tcPr>
          <w:p>
            <w:r>
              <w:rPr>
                <w:sz w:val="20"/>
              </w:rPr>
              <w:t>Bonne</w:t>
            </w:r>
          </w:p>
        </w:tc>
      </w:tr>
      <w:tr>
        <w:tc>
          <w:tcPr>
            <w:tcW w:type="dxa" w:w="1559"/>
          </w:tcPr>
          <w:p>
            <w:r>
              <w:rPr>
                <w:sz w:val="20"/>
              </w:rPr>
              <w:t>LESURIC 300</w:t>
            </w:r>
          </w:p>
        </w:tc>
        <w:tc>
          <w:tcPr>
            <w:tcW w:type="dxa" w:w="1559"/>
          </w:tcPr>
          <w:p>
            <w:r>
              <w:rPr>
                <w:sz w:val="20"/>
              </w:rPr>
              <w:t>300 mg</w:t>
            </w:r>
          </w:p>
        </w:tc>
        <w:tc>
          <w:tcPr>
            <w:tcW w:type="dxa" w:w="1559"/>
          </w:tcPr>
          <w:p>
            <w:r>
              <w:rPr>
                <w:sz w:val="20"/>
              </w:rPr>
              <w:t>B/30</w:t>
            </w:r>
          </w:p>
        </w:tc>
        <w:tc>
          <w:tcPr>
            <w:tcW w:type="dxa" w:w="1559"/>
          </w:tcPr>
          <w:p>
            <w:r>
              <w:rPr>
                <w:sz w:val="20"/>
              </w:rPr>
              <w:t>250–350</w:t>
            </w:r>
          </w:p>
        </w:tc>
        <w:tc>
          <w:tcPr>
            <w:tcW w:type="dxa" w:w="1559"/>
          </w:tcPr>
          <w:p>
            <w:r>
              <w:rPr>
                <w:sz w:val="20"/>
              </w:rPr>
              <w:t>250–350 (300 mg/j)</w:t>
            </w:r>
          </w:p>
        </w:tc>
        <w:tc>
          <w:tcPr>
            <w:tcW w:type="dxa" w:w="1559"/>
          </w:tcPr>
          <w:p>
            <w:r>
              <w:rPr>
                <w:sz w:val="20"/>
              </w:rPr>
              <w:t>Bonne</w:t>
            </w:r>
          </w:p>
        </w:tc>
      </w:tr>
      <w:tr>
        <w:tc>
          <w:tcPr>
            <w:tcW w:type="dxa" w:w="1559"/>
          </w:tcPr>
          <w:p>
            <w:r>
              <w:rPr>
                <w:sz w:val="20"/>
              </w:rPr>
              <w:t>NADLORIC 100</w:t>
            </w:r>
          </w:p>
        </w:tc>
        <w:tc>
          <w:tcPr>
            <w:tcW w:type="dxa" w:w="1559"/>
          </w:tcPr>
          <w:p>
            <w:r>
              <w:rPr>
                <w:sz w:val="20"/>
              </w:rPr>
              <w:t>100 mg</w:t>
            </w:r>
          </w:p>
        </w:tc>
        <w:tc>
          <w:tcPr>
            <w:tcW w:type="dxa" w:w="1559"/>
          </w:tcPr>
          <w:p>
            <w:r>
              <w:rPr>
                <w:sz w:val="20"/>
              </w:rPr>
              <w:t>B/30</w:t>
            </w:r>
          </w:p>
        </w:tc>
        <w:tc>
          <w:tcPr>
            <w:tcW w:type="dxa" w:w="1559"/>
          </w:tcPr>
          <w:p>
            <w:r>
              <w:rPr>
                <w:sz w:val="20"/>
              </w:rPr>
              <w:t>200–300</w:t>
            </w:r>
          </w:p>
        </w:tc>
        <w:tc>
          <w:tcPr>
            <w:tcW w:type="dxa" w:w="1559"/>
          </w:tcPr>
          <w:p>
            <w:r>
              <w:rPr>
                <w:sz w:val="20"/>
              </w:rPr>
              <w:t>200–300</w:t>
            </w:r>
          </w:p>
        </w:tc>
        <w:tc>
          <w:tcPr>
            <w:tcW w:type="dxa" w:w="1559"/>
          </w:tcPr>
          <w:p>
            <w:r>
              <w:rPr>
                <w:sz w:val="20"/>
              </w:rPr>
              <w:t>Bonne</w:t>
            </w:r>
          </w:p>
        </w:tc>
      </w:tr>
      <w:tr>
        <w:tc>
          <w:tcPr>
            <w:tcW w:type="dxa" w:w="1559"/>
          </w:tcPr>
          <w:p>
            <w:r>
              <w:rPr>
                <w:sz w:val="20"/>
              </w:rPr>
              <w:t>NADLORIC 300</w:t>
            </w:r>
          </w:p>
        </w:tc>
        <w:tc>
          <w:tcPr>
            <w:tcW w:type="dxa" w:w="1559"/>
          </w:tcPr>
          <w:p>
            <w:r>
              <w:rPr>
                <w:sz w:val="20"/>
              </w:rPr>
              <w:t>300 mg</w:t>
            </w:r>
          </w:p>
        </w:tc>
        <w:tc>
          <w:tcPr>
            <w:tcW w:type="dxa" w:w="1559"/>
          </w:tcPr>
          <w:p>
            <w:r>
              <w:rPr>
                <w:sz w:val="20"/>
              </w:rPr>
              <w:t>B/30</w:t>
            </w:r>
          </w:p>
        </w:tc>
        <w:tc>
          <w:tcPr>
            <w:tcW w:type="dxa" w:w="1559"/>
          </w:tcPr>
          <w:p>
            <w:r>
              <w:rPr>
                <w:sz w:val="20"/>
              </w:rPr>
              <w:t>250–350</w:t>
            </w:r>
          </w:p>
        </w:tc>
        <w:tc>
          <w:tcPr>
            <w:tcW w:type="dxa" w:w="1559"/>
          </w:tcPr>
          <w:p>
            <w:r>
              <w:rPr>
                <w:sz w:val="20"/>
              </w:rPr>
              <w:t>250–350</w:t>
            </w:r>
          </w:p>
        </w:tc>
        <w:tc>
          <w:tcPr>
            <w:tcW w:type="dxa" w:w="1559"/>
          </w:tcPr>
          <w:p>
            <w:r>
              <w:rPr>
                <w:sz w:val="20"/>
              </w:rPr>
              <w:t>Bonne</w:t>
            </w:r>
          </w:p>
        </w:tc>
      </w:tr>
      <w:tr>
        <w:tc>
          <w:tcPr>
            <w:tcW w:type="dxa" w:w="1559"/>
          </w:tcPr>
          <w:p>
            <w:r>
              <w:rPr>
                <w:sz w:val="20"/>
              </w:rPr>
              <w:t>NO URIC 100</w:t>
            </w:r>
          </w:p>
        </w:tc>
        <w:tc>
          <w:tcPr>
            <w:tcW w:type="dxa" w:w="1559"/>
          </w:tcPr>
          <w:p>
            <w:r>
              <w:rPr>
                <w:sz w:val="20"/>
              </w:rPr>
              <w:t>100 mg</w:t>
            </w:r>
          </w:p>
        </w:tc>
        <w:tc>
          <w:tcPr>
            <w:tcW w:type="dxa" w:w="1559"/>
          </w:tcPr>
          <w:p>
            <w:r>
              <w:rPr>
                <w:sz w:val="20"/>
              </w:rPr>
              <w:t>B/50</w:t>
            </w:r>
          </w:p>
        </w:tc>
        <w:tc>
          <w:tcPr>
            <w:tcW w:type="dxa" w:w="1559"/>
          </w:tcPr>
          <w:p>
            <w:r>
              <w:rPr>
                <w:sz w:val="20"/>
              </w:rPr>
              <w:t>300–400</w:t>
            </w:r>
          </w:p>
        </w:tc>
        <w:tc>
          <w:tcPr>
            <w:tcW w:type="dxa" w:w="1559"/>
          </w:tcPr>
          <w:p>
            <w:r>
              <w:rPr>
                <w:sz w:val="20"/>
              </w:rPr>
              <w:t>180–240</w:t>
            </w:r>
          </w:p>
        </w:tc>
        <w:tc>
          <w:tcPr>
            <w:tcW w:type="dxa" w:w="1559"/>
          </w:tcPr>
          <w:p>
            <w:r>
              <w:rPr>
                <w:sz w:val="20"/>
              </w:rPr>
              <w:t>Bonne</w:t>
            </w:r>
          </w:p>
        </w:tc>
      </w:tr>
      <w:tr>
        <w:tc>
          <w:tcPr>
            <w:tcW w:type="dxa" w:w="1559"/>
          </w:tcPr>
          <w:p>
            <w:r>
              <w:rPr>
                <w:sz w:val="20"/>
              </w:rPr>
              <w:t>NO URIC 300</w:t>
            </w:r>
          </w:p>
        </w:tc>
        <w:tc>
          <w:tcPr>
            <w:tcW w:type="dxa" w:w="1559"/>
          </w:tcPr>
          <w:p>
            <w:r>
              <w:rPr>
                <w:sz w:val="20"/>
              </w:rPr>
              <w:t>300 mg</w:t>
            </w:r>
          </w:p>
        </w:tc>
        <w:tc>
          <w:tcPr>
            <w:tcW w:type="dxa" w:w="1559"/>
          </w:tcPr>
          <w:p>
            <w:r>
              <w:rPr>
                <w:sz w:val="20"/>
              </w:rPr>
              <w:t>B/20</w:t>
            </w:r>
          </w:p>
        </w:tc>
        <w:tc>
          <w:tcPr>
            <w:tcW w:type="dxa" w:w="1559"/>
          </w:tcPr>
          <w:p>
            <w:r>
              <w:rPr>
                <w:sz w:val="20"/>
              </w:rPr>
              <w:t>250–350</w:t>
            </w:r>
          </w:p>
        </w:tc>
        <w:tc>
          <w:tcPr>
            <w:tcW w:type="dxa" w:w="1559"/>
          </w:tcPr>
          <w:p>
            <w:r>
              <w:rPr>
                <w:sz w:val="20"/>
              </w:rPr>
              <w:t>375–525</w:t>
            </w:r>
          </w:p>
        </w:tc>
        <w:tc>
          <w:tcPr>
            <w:tcW w:type="dxa" w:w="1559"/>
          </w:tcPr>
          <w:p>
            <w:r>
              <w:rPr>
                <w:sz w:val="20"/>
              </w:rPr>
              <w:t>Bonne</w:t>
            </w:r>
          </w:p>
        </w:tc>
      </w:tr>
      <w:tr>
        <w:tc>
          <w:tcPr>
            <w:tcW w:type="dxa" w:w="1559"/>
          </w:tcPr>
          <w:p>
            <w:r>
              <w:rPr>
                <w:sz w:val="20"/>
              </w:rPr>
              <w:t>ZANURIC 100</w:t>
            </w:r>
          </w:p>
        </w:tc>
        <w:tc>
          <w:tcPr>
            <w:tcW w:type="dxa" w:w="1559"/>
          </w:tcPr>
          <w:p>
            <w:r>
              <w:rPr>
                <w:sz w:val="20"/>
              </w:rPr>
              <w:t>100 mg</w:t>
            </w:r>
          </w:p>
        </w:tc>
        <w:tc>
          <w:tcPr>
            <w:tcW w:type="dxa" w:w="1559"/>
          </w:tcPr>
          <w:p>
            <w:r>
              <w:rPr>
                <w:sz w:val="20"/>
              </w:rPr>
              <w:t>B/30</w:t>
            </w:r>
          </w:p>
        </w:tc>
        <w:tc>
          <w:tcPr>
            <w:tcW w:type="dxa" w:w="1559"/>
          </w:tcPr>
          <w:p>
            <w:r>
              <w:rPr>
                <w:sz w:val="20"/>
              </w:rPr>
              <w:t>200–300</w:t>
            </w:r>
          </w:p>
        </w:tc>
        <w:tc>
          <w:tcPr>
            <w:tcW w:type="dxa" w:w="1559"/>
          </w:tcPr>
          <w:p>
            <w:r>
              <w:rPr>
                <w:sz w:val="20"/>
              </w:rPr>
              <w:t>200–300</w:t>
            </w:r>
          </w:p>
        </w:tc>
        <w:tc>
          <w:tcPr>
            <w:tcW w:type="dxa" w:w="1559"/>
          </w:tcPr>
          <w:p>
            <w:r>
              <w:rPr>
                <w:sz w:val="20"/>
              </w:rPr>
              <w:t>Bonne</w:t>
            </w:r>
          </w:p>
        </w:tc>
      </w:tr>
      <w:tr>
        <w:tc>
          <w:tcPr>
            <w:tcW w:type="dxa" w:w="1559"/>
          </w:tcPr>
          <w:p>
            <w:r>
              <w:rPr>
                <w:sz w:val="20"/>
              </w:rPr>
              <w:t>ZANURIC 300</w:t>
            </w:r>
          </w:p>
        </w:tc>
        <w:tc>
          <w:tcPr>
            <w:tcW w:type="dxa" w:w="1559"/>
          </w:tcPr>
          <w:p>
            <w:r>
              <w:rPr>
                <w:sz w:val="20"/>
              </w:rPr>
              <w:t>300 mg</w:t>
            </w:r>
          </w:p>
        </w:tc>
        <w:tc>
          <w:tcPr>
            <w:tcW w:type="dxa" w:w="1559"/>
          </w:tcPr>
          <w:p>
            <w:r>
              <w:rPr>
                <w:sz w:val="20"/>
              </w:rPr>
              <w:t>B/30</w:t>
            </w:r>
          </w:p>
        </w:tc>
        <w:tc>
          <w:tcPr>
            <w:tcW w:type="dxa" w:w="1559"/>
          </w:tcPr>
          <w:p>
            <w:r>
              <w:rPr>
                <w:sz w:val="20"/>
              </w:rPr>
              <w:t>250–350</w:t>
            </w:r>
          </w:p>
        </w:tc>
        <w:tc>
          <w:tcPr>
            <w:tcW w:type="dxa" w:w="1559"/>
          </w:tcPr>
          <w:p>
            <w:r>
              <w:rPr>
                <w:sz w:val="20"/>
              </w:rPr>
              <w:t>250–350</w:t>
            </w:r>
          </w:p>
        </w:tc>
        <w:tc>
          <w:tcPr>
            <w:tcW w:type="dxa" w:w="1559"/>
          </w:tcPr>
          <w:p>
            <w:r>
              <w:rPr>
                <w:sz w:val="20"/>
              </w:rPr>
              <w:t>Bonne</w:t>
            </w:r>
          </w:p>
        </w:tc>
      </w:tr>
      <w:tr>
        <w:tc>
          <w:tcPr>
            <w:tcW w:type="dxa" w:w="1559"/>
          </w:tcPr>
          <w:p>
            <w:r>
              <w:rPr>
                <w:sz w:val="20"/>
              </w:rPr>
              <w:t>ZYLORIC 100 (Merinal)</w:t>
            </w:r>
          </w:p>
        </w:tc>
        <w:tc>
          <w:tcPr>
            <w:tcW w:type="dxa" w:w="1559"/>
          </w:tcPr>
          <w:p>
            <w:r>
              <w:rPr>
                <w:sz w:val="20"/>
              </w:rPr>
              <w:t>100 mg</w:t>
            </w:r>
          </w:p>
        </w:tc>
        <w:tc>
          <w:tcPr>
            <w:tcW w:type="dxa" w:w="1559"/>
          </w:tcPr>
          <w:p>
            <w:r>
              <w:rPr>
                <w:sz w:val="20"/>
              </w:rPr>
              <w:t>B/50</w:t>
            </w:r>
          </w:p>
        </w:tc>
        <w:tc>
          <w:tcPr>
            <w:tcW w:type="dxa" w:w="1559"/>
          </w:tcPr>
          <w:p>
            <w:r>
              <w:rPr>
                <w:sz w:val="20"/>
              </w:rPr>
              <w:t>300–400</w:t>
            </w:r>
          </w:p>
        </w:tc>
        <w:tc>
          <w:tcPr>
            <w:tcW w:type="dxa" w:w="1559"/>
          </w:tcPr>
          <w:p>
            <w:r>
              <w:rPr>
                <w:sz w:val="20"/>
              </w:rPr>
              <w:t>180–240</w:t>
            </w:r>
          </w:p>
        </w:tc>
        <w:tc>
          <w:tcPr>
            <w:tcW w:type="dxa" w:w="1559"/>
          </w:tcPr>
          <w:p>
            <w:r>
              <w:rPr>
                <w:sz w:val="20"/>
              </w:rPr>
              <w:t>Bonne</w:t>
            </w:r>
          </w:p>
        </w:tc>
      </w:tr>
      <w:tr>
        <w:tc>
          <w:tcPr>
            <w:tcW w:type="dxa" w:w="1559"/>
          </w:tcPr>
          <w:p>
            <w:r>
              <w:rPr>
                <w:sz w:val="20"/>
              </w:rPr>
              <w:t>ADENUMAX 80</w:t>
            </w:r>
          </w:p>
        </w:tc>
        <w:tc>
          <w:tcPr>
            <w:tcW w:type="dxa" w:w="1559"/>
          </w:tcPr>
          <w:p>
            <w:r>
              <w:rPr>
                <w:sz w:val="20"/>
              </w:rPr>
              <w:t>80 mg</w:t>
            </w:r>
          </w:p>
        </w:tc>
        <w:tc>
          <w:tcPr>
            <w:tcW w:type="dxa" w:w="1559"/>
          </w:tcPr>
          <w:p>
            <w:r>
              <w:rPr>
                <w:sz w:val="20"/>
              </w:rPr>
              <w:t>B/30</w:t>
            </w:r>
          </w:p>
        </w:tc>
        <w:tc>
          <w:tcPr>
            <w:tcW w:type="dxa" w:w="1559"/>
          </w:tcPr>
          <w:p>
            <w:r>
              <w:rPr>
                <w:sz w:val="20"/>
              </w:rPr>
              <w:t>800–1000</w:t>
            </w:r>
          </w:p>
        </w:tc>
        <w:tc>
          <w:tcPr>
            <w:tcW w:type="dxa" w:w="1559"/>
          </w:tcPr>
          <w:p>
            <w:r>
              <w:rPr>
                <w:sz w:val="20"/>
              </w:rPr>
              <w:t>800–1000</w:t>
            </w:r>
          </w:p>
        </w:tc>
        <w:tc>
          <w:tcPr>
            <w:tcW w:type="dxa" w:w="1559"/>
          </w:tcPr>
          <w:p>
            <w:r>
              <w:rPr>
                <w:sz w:val="20"/>
              </w:rPr>
              <w:t>Variable</w:t>
            </w:r>
          </w:p>
        </w:tc>
      </w:tr>
      <w:tr>
        <w:tc>
          <w:tcPr>
            <w:tcW w:type="dxa" w:w="1559"/>
          </w:tcPr>
          <w:p>
            <w:r>
              <w:rPr>
                <w:sz w:val="20"/>
              </w:rPr>
              <w:t>FEBOREX 40</w:t>
            </w:r>
          </w:p>
        </w:tc>
        <w:tc>
          <w:tcPr>
            <w:tcW w:type="dxa" w:w="1559"/>
          </w:tcPr>
          <w:p>
            <w:r>
              <w:rPr>
                <w:sz w:val="20"/>
              </w:rPr>
              <w:t>40 mg</w:t>
            </w:r>
          </w:p>
        </w:tc>
        <w:tc>
          <w:tcPr>
            <w:tcW w:type="dxa" w:w="1559"/>
          </w:tcPr>
          <w:p>
            <w:r>
              <w:rPr>
                <w:sz w:val="20"/>
              </w:rPr>
              <w:t>B/30</w:t>
            </w:r>
          </w:p>
        </w:tc>
        <w:tc>
          <w:tcPr>
            <w:tcW w:type="dxa" w:w="1559"/>
          </w:tcPr>
          <w:p>
            <w:r>
              <w:rPr>
                <w:sz w:val="20"/>
              </w:rPr>
              <w:t>800–1200</w:t>
            </w:r>
          </w:p>
        </w:tc>
        <w:tc>
          <w:tcPr>
            <w:tcW w:type="dxa" w:w="1559"/>
          </w:tcPr>
          <w:p>
            <w:r>
              <w:rPr>
                <w:sz w:val="20"/>
              </w:rPr>
              <w:t>800–1200</w:t>
            </w:r>
          </w:p>
        </w:tc>
        <w:tc>
          <w:tcPr>
            <w:tcW w:type="dxa" w:w="1559"/>
          </w:tcPr>
          <w:p>
            <w:r>
              <w:rPr>
                <w:sz w:val="20"/>
              </w:rPr>
              <w:t>Bonne (production locale)</w:t>
            </w:r>
          </w:p>
        </w:tc>
      </w:tr>
      <w:tr>
        <w:tc>
          <w:tcPr>
            <w:tcW w:type="dxa" w:w="1559"/>
          </w:tcPr>
          <w:p>
            <w:r>
              <w:rPr>
                <w:sz w:val="20"/>
              </w:rPr>
              <w:t>FEBOREX 80</w:t>
            </w:r>
          </w:p>
        </w:tc>
        <w:tc>
          <w:tcPr>
            <w:tcW w:type="dxa" w:w="1559"/>
          </w:tcPr>
          <w:p>
            <w:r>
              <w:rPr>
                <w:sz w:val="20"/>
              </w:rPr>
              <w:t>80 mg</w:t>
            </w:r>
          </w:p>
        </w:tc>
        <w:tc>
          <w:tcPr>
            <w:tcW w:type="dxa" w:w="1559"/>
          </w:tcPr>
          <w:p>
            <w:r>
              <w:rPr>
                <w:sz w:val="20"/>
              </w:rPr>
              <w:t>B/30</w:t>
            </w:r>
          </w:p>
        </w:tc>
        <w:tc>
          <w:tcPr>
            <w:tcW w:type="dxa" w:w="1559"/>
          </w:tcPr>
          <w:p>
            <w:r>
              <w:rPr>
                <w:sz w:val="20"/>
              </w:rPr>
              <w:t>800–1200</w:t>
            </w:r>
          </w:p>
        </w:tc>
        <w:tc>
          <w:tcPr>
            <w:tcW w:type="dxa" w:w="1559"/>
          </w:tcPr>
          <w:p>
            <w:r>
              <w:rPr>
                <w:sz w:val="20"/>
              </w:rPr>
              <w:t>800–1200</w:t>
            </w:r>
          </w:p>
        </w:tc>
        <w:tc>
          <w:tcPr>
            <w:tcW w:type="dxa" w:w="1559"/>
          </w:tcPr>
          <w:p>
            <w:r>
              <w:rPr>
                <w:sz w:val="20"/>
              </w:rPr>
              <w:t>Bonne</w:t>
            </w:r>
          </w:p>
        </w:tc>
      </w:tr>
      <w:tr>
        <w:tc>
          <w:tcPr>
            <w:tcW w:type="dxa" w:w="1559"/>
          </w:tcPr>
          <w:p>
            <w:r>
              <w:rPr>
                <w:sz w:val="20"/>
              </w:rPr>
              <w:t>FEBOREX 120</w:t>
            </w:r>
          </w:p>
        </w:tc>
        <w:tc>
          <w:tcPr>
            <w:tcW w:type="dxa" w:w="1559"/>
          </w:tcPr>
          <w:p>
            <w:r>
              <w:rPr>
                <w:sz w:val="20"/>
              </w:rPr>
              <w:t>120 mg</w:t>
            </w:r>
          </w:p>
        </w:tc>
        <w:tc>
          <w:tcPr>
            <w:tcW w:type="dxa" w:w="1559"/>
          </w:tcPr>
          <w:p>
            <w:r>
              <w:rPr>
                <w:sz w:val="20"/>
              </w:rPr>
              <w:t>B/30</w:t>
            </w:r>
          </w:p>
        </w:tc>
        <w:tc>
          <w:tcPr>
            <w:tcW w:type="dxa" w:w="1559"/>
          </w:tcPr>
          <w:p>
            <w:r>
              <w:rPr>
                <w:sz w:val="20"/>
              </w:rPr>
              <w:t>900–1300</w:t>
            </w:r>
          </w:p>
        </w:tc>
        <w:tc>
          <w:tcPr>
            <w:tcW w:type="dxa" w:w="1559"/>
          </w:tcPr>
          <w:p>
            <w:r>
              <w:rPr>
                <w:sz w:val="20"/>
              </w:rPr>
              <w:t>900–1300</w:t>
            </w:r>
          </w:p>
        </w:tc>
        <w:tc>
          <w:tcPr>
            <w:tcW w:type="dxa" w:w="1559"/>
          </w:tcPr>
          <w:p>
            <w:r>
              <w:rPr>
                <w:sz w:val="20"/>
              </w:rPr>
              <w:t>Bonne</w:t>
            </w:r>
          </w:p>
        </w:tc>
      </w:tr>
      <w:tr>
        <w:tc>
          <w:tcPr>
            <w:tcW w:type="dxa" w:w="1559"/>
          </w:tcPr>
          <w:p>
            <w:r>
              <w:rPr>
                <w:sz w:val="20"/>
              </w:rPr>
              <w:t>TAZOTAX 80</w:t>
            </w:r>
          </w:p>
        </w:tc>
        <w:tc>
          <w:tcPr>
            <w:tcW w:type="dxa" w:w="1559"/>
          </w:tcPr>
          <w:p>
            <w:r>
              <w:rPr>
                <w:sz w:val="20"/>
              </w:rPr>
              <w:t>80 mg</w:t>
            </w:r>
          </w:p>
        </w:tc>
        <w:tc>
          <w:tcPr>
            <w:tcW w:type="dxa" w:w="1559"/>
          </w:tcPr>
          <w:p>
            <w:r>
              <w:rPr>
                <w:sz w:val="20"/>
              </w:rPr>
              <w:t>B/30</w:t>
            </w:r>
          </w:p>
        </w:tc>
        <w:tc>
          <w:tcPr>
            <w:tcW w:type="dxa" w:w="1559"/>
          </w:tcPr>
          <w:p>
            <w:r>
              <w:rPr>
                <w:sz w:val="20"/>
              </w:rPr>
              <w:t>700–1000</w:t>
            </w:r>
          </w:p>
        </w:tc>
        <w:tc>
          <w:tcPr>
            <w:tcW w:type="dxa" w:w="1559"/>
          </w:tcPr>
          <w:p>
            <w:r>
              <w:rPr>
                <w:sz w:val="20"/>
              </w:rPr>
              <w:t>700–1000</w:t>
            </w:r>
          </w:p>
        </w:tc>
        <w:tc>
          <w:tcPr>
            <w:tcW w:type="dxa" w:w="1559"/>
          </w:tcPr>
          <w:p>
            <w:r>
              <w:rPr>
                <w:sz w:val="20"/>
              </w:rPr>
              <w:t>Bonne (production locale)</w:t>
            </w:r>
          </w:p>
        </w:tc>
      </w:tr>
      <w:tr>
        <w:tc>
          <w:tcPr>
            <w:tcW w:type="dxa" w:w="1559"/>
          </w:tcPr>
          <w:p>
            <w:r>
              <w:rPr>
                <w:sz w:val="20"/>
              </w:rPr>
              <w:t>TAZOTAX 120</w:t>
            </w:r>
          </w:p>
        </w:tc>
        <w:tc>
          <w:tcPr>
            <w:tcW w:type="dxa" w:w="1559"/>
          </w:tcPr>
          <w:p>
            <w:r>
              <w:rPr>
                <w:sz w:val="20"/>
              </w:rPr>
              <w:t>120 mg</w:t>
            </w:r>
          </w:p>
        </w:tc>
        <w:tc>
          <w:tcPr>
            <w:tcW w:type="dxa" w:w="1559"/>
          </w:tcPr>
          <w:p>
            <w:r>
              <w:rPr>
                <w:sz w:val="20"/>
              </w:rPr>
              <w:t>B/30</w:t>
            </w:r>
          </w:p>
        </w:tc>
        <w:tc>
          <w:tcPr>
            <w:tcW w:type="dxa" w:w="1559"/>
          </w:tcPr>
          <w:p>
            <w:r>
              <w:rPr>
                <w:sz w:val="20"/>
              </w:rPr>
              <w:t>800–1200</w:t>
            </w:r>
          </w:p>
        </w:tc>
        <w:tc>
          <w:tcPr>
            <w:tcW w:type="dxa" w:w="1559"/>
          </w:tcPr>
          <w:p>
            <w:r>
              <w:rPr>
                <w:sz w:val="20"/>
              </w:rPr>
              <w:t>800–1200</w:t>
            </w:r>
          </w:p>
        </w:tc>
        <w:tc>
          <w:tcPr>
            <w:tcW w:type="dxa" w:w="1559"/>
          </w:tcPr>
          <w:p>
            <w:r>
              <w:rPr>
                <w:sz w:val="20"/>
              </w:rPr>
              <w:t>Bonne</w:t>
            </w:r>
          </w:p>
        </w:tc>
      </w:tr>
    </w:tbl>
    <w:p/>
    <w:p>
      <w:r/>
      <w:r>
        <w:rPr>
          <w:b/>
        </w:rPr>
        <w:t>Observations pharmaco-économiques :</w:t>
      </w:r>
      <w:r/>
    </w:p>
    <w:p>
      <w:pPr>
        <w:pStyle w:val="ListBullet"/>
      </w:pPr>
      <w:r/>
      <w:r>
        <w:rPr>
          <w:b/>
        </w:rPr>
        <w:t>Colchicine et allopurinol sont d'un coût modéré</w:t>
      </w:r>
      <w:r>
        <w:t xml:space="preserve"> (200–600 DA/mois), largement accessibles à la majorité des patients algériens.</w:t>
      </w:r>
    </w:p>
    <w:p>
      <w:pPr>
        <w:pStyle w:val="ListBullet"/>
      </w:pPr>
      <w:r/>
      <w:r>
        <w:rPr>
          <w:b/>
        </w:rPr>
        <w:t>Fébuxostat est 3 à 5 fois plus coûteux que l'allopurinol</w:t>
      </w:r>
      <w:r>
        <w:t xml:space="preserve"> (700–1300 DA/mois), ce qui peut limiter l'observance chez les patients à faible revenu. La production locale algérienne (FEBOREX HIKMA, TAZOTAX EL KENDI) permet une réduction significative du coût par rapport aux importations.</w:t>
      </w:r>
    </w:p>
    <w:p>
      <w:pPr>
        <w:pStyle w:val="ListBullet"/>
      </w:pPr>
      <w:r/>
      <w:r>
        <w:rPr>
          <w:b/>
        </w:rPr>
        <w:t>Couverture par l'assurance maladie</w:t>
      </w:r>
      <w:r>
        <w:t xml:space="preserve"> : à vérifier au cas par cas. La colchicine et l'allopurinol sont habituellement remboursés. Le fébuxostat peut nécessiter une demande d'entente préalable dans certaines caisses.</w:t>
      </w:r>
    </w:p>
    <w:p>
      <w:pPr>
        <w:pStyle w:val="ListBullet"/>
      </w:pPr>
      <w:r/>
      <w:r>
        <w:rPr>
          <w:b/>
        </w:rPr>
        <w:t>Aides sociales</w:t>
      </w:r>
      <w:r>
        <w:t xml:space="preserve"> : se renseigner auprès de la caisse d'assurance maladie et des associations de patients.</w:t>
      </w:r>
    </w:p>
    <w:p>
      <w:pPr>
        <w:pStyle w:val="Heading3"/>
      </w:pPr>
      <w:r>
        <w:t>154.7.4. Observance et éducation thérapeutique</w:t>
      </w:r>
    </w:p>
    <w:p>
      <w:r>
        <w:t>L'observance du traitement hypouricémiant est un problème majeur en pratique clinique courante. Les études internationales montrent que moins de 50 % des patients goutteux prennent correctement leur traitement hypouricémiant au long cours, avec des taux d'observance à 1 an variant de 30 à 60 % selon les séries. Les principales causes de mauvaise observance sont :</w:t>
      </w:r>
    </w:p>
    <w:p>
      <w:pPr>
        <w:pStyle w:val="ListBullet"/>
      </w:pPr>
      <w:r/>
      <w:r>
        <w:rPr>
          <w:b/>
        </w:rPr>
        <w:t>Méconnaissance de la maladie</w:t>
      </w:r>
      <w:r>
        <w:t xml:space="preserve"> : le patient ne comprend pas que la goutte est une maladie chronique nécessitant un traitement à vie.</w:t>
      </w:r>
    </w:p>
    <w:p>
      <w:pPr>
        <w:pStyle w:val="ListBullet"/>
      </w:pPr>
      <w:r/>
      <w:r>
        <w:rPr>
          <w:b/>
        </w:rPr>
        <w:t>Méconnaissance du traitement</w:t>
      </w:r>
      <w:r>
        <w:t xml:space="preserve"> : le patient pense que l'hypouricémiant est un antalgique, et ne le prend que pendant les crises (à tort, car cela peut aggraver les crises).</w:t>
      </w:r>
    </w:p>
    <w:p>
      <w:pPr>
        <w:pStyle w:val="ListBullet"/>
      </w:pPr>
      <w:r/>
      <w:r>
        <w:rPr>
          <w:b/>
        </w:rPr>
        <w:t>Peur des effets secondaires</w:t>
      </w:r>
      <w:r>
        <w:t xml:space="preserve"> : patient ayant entendu parler du DRESS (allopurinol) ou du risque cardiovasculaire (fébuxostat).</w:t>
      </w:r>
    </w:p>
    <w:p>
      <w:pPr>
        <w:pStyle w:val="ListBullet"/>
      </w:pPr>
      <w:r/>
      <w:r>
        <w:rPr>
          <w:b/>
        </w:rPr>
        <w:t>Coût du traitement</w:t>
      </w:r>
      <w:r>
        <w:t xml:space="preserve"> : fébuxostat plus coûteux.</w:t>
      </w:r>
    </w:p>
    <w:p>
      <w:pPr>
        <w:pStyle w:val="ListBullet"/>
      </w:pPr>
      <w:r/>
      <w:r>
        <w:rPr>
          <w:b/>
        </w:rPr>
        <w:t>Difficulté d'accès aux soins</w:t>
      </w:r>
      <w:r>
        <w:t xml:space="preserve"> : consultations rhumatologiques rares en régions.</w:t>
      </w:r>
    </w:p>
    <w:p>
      <w:r/>
      <w:r>
        <w:rPr>
          <w:b/>
        </w:rPr>
        <w:t>Rôle du pharmacien d'officine dans l'amélioration de l'observance :</w:t>
      </w:r>
      <w:r/>
    </w:p>
    <w:p>
      <w:pPr>
        <w:pStyle w:val="ListNumber"/>
      </w:pPr>
      <w:r/>
      <w:r>
        <w:rPr>
          <w:b/>
        </w:rPr>
        <w:t>Éducation thérapeutique</w:t>
      </w:r>
      <w:r>
        <w:t xml:space="preserve"> à chaque dispensation : expliquer le mécanisme d'action, l'objectif thérapeutique (uricémie &lt; 360 µmol/L), la durée du traitement (à vie), les signes d'alerte.</w:t>
      </w:r>
    </w:p>
    <w:p>
      <w:pPr>
        <w:pStyle w:val="ListNumber"/>
      </w:pPr>
      <w:r/>
      <w:r>
        <w:rPr>
          <w:b/>
        </w:rPr>
        <w:t>Vérification de l'observance</w:t>
      </w:r>
      <w:r>
        <w:t xml:space="preserve"> à chaque dispensation : poser des questions simples (avez-vous pris votre traitement tous les jours ? À quelle heure ? Combien de comprimés par jour ?).</w:t>
      </w:r>
    </w:p>
    <w:p>
      <w:pPr>
        <w:pStyle w:val="ListNumber"/>
      </w:pPr>
      <w:r/>
      <w:r>
        <w:rPr>
          <w:b/>
        </w:rPr>
        <w:t>Détection des obstacles à l'observance</w:t>
      </w:r>
      <w:r>
        <w:t xml:space="preserve"> : coût, effets secondaires, oublis, compréhension. Proposer des solutions (alarme téléphone, pilulier, recours aux aides sociales).</w:t>
      </w:r>
    </w:p>
    <w:p>
      <w:pPr>
        <w:pStyle w:val="ListNumber"/>
      </w:pPr>
      <w:r/>
      <w:r>
        <w:rPr>
          <w:b/>
        </w:rPr>
        <w:t>Coordination avec le médecin traitant</w:t>
      </w:r>
      <w:r>
        <w:t xml:space="preserve"> : signaler tout problème d'observance ou de tolérance, pour adaptation thérapeutique.</w:t>
      </w:r>
    </w:p>
    <w:p>
      <w:pPr>
        <w:pStyle w:val="ListNumber"/>
      </w:pPr>
      <w:r/>
      <w:r>
        <w:rPr>
          <w:b/>
        </w:rPr>
        <w:t>Suivi régulier</w:t>
      </w:r>
      <w:r>
        <w:t xml:space="preserve"> : proposer un entretien pharmaceutique annuel pour faire le point sur le traitement.</w:t>
      </w:r>
    </w:p>
    <w:p>
      <w:pPr>
        <w:pStyle w:val="Heading3"/>
      </w:pPr>
      <w:r>
        <w:t>154.7.5. Cas cliniques illustratifs</w:t>
      </w:r>
    </w:p>
    <w:p>
      <w:pPr>
        <w:pStyle w:val="Heading4"/>
      </w:pPr>
      <w:r>
        <w:t>Cas clinique 1 : Crise de goutte typique chez un homme de 55 ans</w:t>
      </w:r>
    </w:p>
    <w:p>
      <w:r/>
      <w:r>
        <w:rPr>
          <w:b/>
        </w:rPr>
        <w:t>Présentation</w:t>
      </w:r>
      <w:r>
        <w:t xml:space="preserve"> : Homme de 55 ans, obèse (IMC 32), diabétique de type 2 (HbA1c 8,5 %), hypertendu (sous hydrochlorothiazide 25 mg + ramipril 10 mg), se présentant en pharmacie avec une ordonnance du médecin traitant pour crise aiguë de goutte de la première métatarsophalangienne droite (podagre), apparue la nuit précédente. Douleur intense (EVA 9/10), articulation rouge, chaude, gonflée, impotence fonctionnelle totale. Uricémie 540 µmol/L (90 mg/L) il y a 3 mois.</w:t>
      </w:r>
    </w:p>
    <w:p>
      <w:r/>
      <w:r>
        <w:rPr>
          <w:b/>
        </w:rPr>
        <w:t>Ordonnance</w:t>
      </w:r>
      <w:r>
        <w:t xml:space="preserve"> :</w:t>
      </w:r>
    </w:p>
    <w:p>
      <w:pPr>
        <w:pStyle w:val="ListBullet"/>
      </w:pPr>
      <w:r>
        <w:t>Colchicine 1 mg : 1 cp, puis 0,5 mg (1/2 cp) 1 heure plus tard, puis 0,5 mg × 2/jour pendant 5 jours</w:t>
      </w:r>
    </w:p>
    <w:p>
      <w:pPr>
        <w:pStyle w:val="ListBullet"/>
      </w:pPr>
      <w:r>
        <w:t>Paracétamol 1 g × 3/jour</w:t>
      </w:r>
    </w:p>
    <w:p>
      <w:pPr>
        <w:pStyle w:val="ListBullet"/>
      </w:pPr>
      <w:r>
        <w:t>Pas d'initiation d'hypouricémiant pendant la crise</w:t>
      </w:r>
    </w:p>
    <w:p>
      <w:r/>
      <w:r>
        <w:rPr>
          <w:b/>
        </w:rPr>
        <w:t>Analyse pharmaceutique</w:t>
      </w:r>
      <w:r>
        <w:t xml:space="preserve"> :</w:t>
      </w:r>
    </w:p>
    <w:p>
      <w:pPr>
        <w:pStyle w:val="ListBullet"/>
      </w:pPr>
      <w:r>
        <w:t>Vérifier la fonction rénale (créatininémie, clairance) — si non disponible, alerter le médecin</w:t>
      </w:r>
    </w:p>
    <w:p>
      <w:pPr>
        <w:pStyle w:val="ListBullet"/>
      </w:pPr>
      <w:r>
        <w:t>Vérifier l'absence d'interaction médicamenteuse (colchicine + inhibiteur CYP3A4/P-gp) — pas d'interaction avec hydrochlorothiazide, ramipril, paracétamol</w:t>
      </w:r>
    </w:p>
    <w:p>
      <w:pPr>
        <w:pStyle w:val="ListBullet"/>
      </w:pPr>
      <w:r>
        <w:t>Vérifier l'absence de statine (sinon, surveillance CPK accrue)</w:t>
      </w:r>
    </w:p>
    <w:p>
      <w:r/>
      <w:r>
        <w:rPr>
          <w:b/>
        </w:rPr>
        <w:t>Conseils au patient</w:t>
      </w:r>
      <w:r>
        <w:t xml:space="preserve"> :</w:t>
      </w:r>
    </w:p>
    <w:p>
      <w:pPr>
        <w:pStyle w:val="ListBullet"/>
      </w:pPr>
      <w:r>
        <w:t>Respecter la posologie prescrite (ne pas dépasser)</w:t>
      </w:r>
    </w:p>
    <w:p>
      <w:pPr>
        <w:pStyle w:val="ListBullet"/>
      </w:pPr>
      <w:r>
        <w:t>Signaler toute diarrhée profuse (signe d'alerte de toxicité)</w:t>
      </w:r>
    </w:p>
    <w:p>
      <w:pPr>
        <w:pStyle w:val="ListBullet"/>
      </w:pPr>
      <w:r>
        <w:t>Repos strict de l'articulation atteinte, glace 15 min × 3/jour</w:t>
      </w:r>
    </w:p>
    <w:p>
      <w:pPr>
        <w:pStyle w:val="ListBullet"/>
      </w:pPr>
      <w:r>
        <w:t>Hydratation ≥ 2 L/jour d'eau riche en bicarbonate</w:t>
      </w:r>
    </w:p>
    <w:p>
      <w:pPr>
        <w:pStyle w:val="ListBullet"/>
      </w:pPr>
      <w:r>
        <w:t>Régime pauvre en purines, arrêt de l'alcool</w:t>
      </w:r>
    </w:p>
    <w:p>
      <w:pPr>
        <w:pStyle w:val="ListBullet"/>
      </w:pPr>
      <w:r>
        <w:t>Programmer une consultation rhumatologique à 2 semaines pour initiation du traitement hypouricémiant (allopurinol 100 mg/jour + colchicine prophylactique 0,5 mg/jour pendant 6 mois)</w:t>
      </w:r>
    </w:p>
    <w:p>
      <w:pPr>
        <w:pStyle w:val="ListBullet"/>
      </w:pPr>
      <w:r>
        <w:t>Discuter avec le médecin de l'arrêt de l'hydrochlorothiazide (hyperuricémiant) et du relais par IEC ou ARA2</w:t>
      </w:r>
    </w:p>
    <w:p>
      <w:pPr>
        <w:pStyle w:val="Heading4"/>
      </w:pPr>
      <w:r>
        <w:t>Cas clinique 2 : Initiation d'allopurinol après une première crise de goutte</w:t>
      </w:r>
    </w:p>
    <w:p>
      <w:r/>
      <w:r>
        <w:rPr>
          <w:b/>
        </w:rPr>
        <w:t>Présentation</w:t>
      </w:r>
      <w:r>
        <w:t xml:space="preserve"> : Homme de 48 ans, sans antécédent notable, ayant présenté une première crise de goutte il y a 3 semaines (résolutive en 8 jours sous colchicine + AINS). Uricémie de contrôle 480 µmol/L (80 mg/L). Créatininémie 85 µmol/L (clairance CKD-EPI 95 mL/min). Bilan hépatique normal. Le médecin prescrit : allopurinol 100 mg/jour + colchicine 0,5 mg/jour pendant 6 mois.</w:t>
      </w:r>
    </w:p>
    <w:p>
      <w:r/>
      <w:r>
        <w:rPr>
          <w:b/>
        </w:rPr>
        <w:t>Analyse pharmaceutique</w:t>
      </w:r>
      <w:r>
        <w:t xml:space="preserve"> :</w:t>
      </w:r>
    </w:p>
    <w:p>
      <w:pPr>
        <w:pStyle w:val="ListBullet"/>
      </w:pPr>
      <w:r>
        <w:t>Vérifier l'absence de crise aiguë en cours (oui, résolutive depuis 3 semaines)</w:t>
      </w:r>
    </w:p>
    <w:p>
      <w:pPr>
        <w:pStyle w:val="ListBullet"/>
      </w:pPr>
      <w:r>
        <w:t>Vérifier la fonction rénale (clairance 95 mL/min — normale)</w:t>
      </w:r>
    </w:p>
    <w:p>
      <w:pPr>
        <w:pStyle w:val="ListBullet"/>
      </w:pPr>
      <w:r>
        <w:t>Vérifier l'absence d'interaction médicamenteuse majeure (pas d'azathioprine, didanosine, warfarine)</w:t>
      </w:r>
    </w:p>
    <w:p>
      <w:pPr>
        <w:pStyle w:val="ListBullet"/>
      </w:pPr>
      <w:r>
        <w:t>Vérifier la prophylaxie associée (colchicine 0,5 mg/jour — prescrite, parfait)</w:t>
      </w:r>
    </w:p>
    <w:p>
      <w:r/>
      <w:r>
        <w:rPr>
          <w:b/>
        </w:rPr>
        <w:t>Conseils au patient</w:t>
      </w:r>
      <w:r>
        <w:t xml:space="preserve"> :</w:t>
      </w:r>
    </w:p>
    <w:p>
      <w:pPr>
        <w:pStyle w:val="ListBullet"/>
      </w:pPr>
      <w:r>
        <w:t>Prendre l'allopurinol et la colchicine tous les jours, sans interruption</w:t>
      </w:r>
    </w:p>
    <w:p>
      <w:pPr>
        <w:pStyle w:val="ListBullet"/>
      </w:pPr>
      <w:r>
        <w:t>Signes d'alerte à connaître (DRESS) : fièvre, éruption cutanée, adénopathies, asthénie majeure → arrêt immédiat et consultation en urgence</w:t>
      </w:r>
    </w:p>
    <w:p>
      <w:pPr>
        <w:pStyle w:val="ListBullet"/>
      </w:pPr>
      <w:r>
        <w:t>Hydratation ≥ 2 L/jour</w:t>
      </w:r>
    </w:p>
    <w:p>
      <w:pPr>
        <w:pStyle w:val="ListBullet"/>
      </w:pPr>
      <w:r>
        <w:t>Régime pauvre en purines</w:t>
      </w:r>
    </w:p>
    <w:p>
      <w:pPr>
        <w:pStyle w:val="ListBullet"/>
      </w:pPr>
      <w:r>
        <w:t>Contrôle de l'uricémie à 1 mois (objectif &lt; 360 µmol/L, soit &lt; 60 mg/L)</w:t>
      </w:r>
    </w:p>
    <w:p>
      <w:pPr>
        <w:pStyle w:val="ListBullet"/>
      </w:pPr>
      <w:r>
        <w:t>Contrôle de la NFS plaquettaire, créatininémie, transaminases à 1 mois, puis trimestrielle</w:t>
      </w:r>
    </w:p>
    <w:p>
      <w:pPr>
        <w:pStyle w:val="Heading4"/>
      </w:pPr>
      <w:r>
        <w:t>Cas clinique 3 : Intolérance à l'allopurinol (DRESS) et switch vers fébuxostat</w:t>
      </w:r>
    </w:p>
    <w:p>
      <w:r/>
      <w:r>
        <w:rPr>
          <w:b/>
        </w:rPr>
        <w:t>Présentation</w:t>
      </w:r>
      <w:r>
        <w:t xml:space="preserve"> : Femme de 62 ans, goutte tophacée évolutive depuis 10 ans, sous allopurinol 300 mg/jour depuis 4 semaines. Présente depuis 5 jours une fièvre (38,8 °C), une éruption maculopapuleuse généralisée, des adénopathies cervicales, une asthénie majeure. Bilan : hyperéosinophilie (1,8 G/L), ALAT 280 UI/L (5 × LSN), créatininémie 145 µmol/L (clairance 38 mL/min). Diagnostic : syndrome DRESS à l'allopurinol.</w:t>
      </w:r>
    </w:p>
    <w:p>
      <w:r/>
      <w:r>
        <w:rPr>
          <w:b/>
        </w:rPr>
        <w:t>Prise en charge</w:t>
      </w:r>
      <w:r>
        <w:t xml:space="preserve"> :</w:t>
      </w:r>
    </w:p>
    <w:p>
      <w:pPr>
        <w:pStyle w:val="ListBullet"/>
      </w:pPr>
      <w:r>
        <w:t>Arrêt immédiat et définitif de l'allopurinol</w:t>
      </w:r>
    </w:p>
    <w:p>
      <w:pPr>
        <w:pStyle w:val="ListBullet"/>
      </w:pPr>
      <w:r>
        <w:t>Hospitalisation en service de médecine interne ou dermatologie (DRESS sévère)</w:t>
      </w:r>
    </w:p>
    <w:p>
      <w:pPr>
        <w:pStyle w:val="ListBullet"/>
      </w:pPr>
      <w:r>
        <w:t>Traitement symptomatique : corticothérapie générale (prednisone 1 mg/kg/jour) avec décroissance progressive</w:t>
      </w:r>
    </w:p>
    <w:p>
      <w:pPr>
        <w:pStyle w:val="ListBullet"/>
      </w:pPr>
      <w:r>
        <w:t>Surveillance : NFS plaquettaire tous les 2 jours, transaminases tous les 3 jours, créatininémie tous les 3 jours, recherche de complications viscérales (échographie cardiaque, scanner thoracique)</w:t>
      </w:r>
    </w:p>
    <w:p>
      <w:r/>
      <w:r>
        <w:rPr>
          <w:b/>
        </w:rPr>
        <w:t>Switch vers fébuxostat</w:t>
      </w:r>
      <w:r>
        <w:t xml:space="preserve"> :</w:t>
      </w:r>
    </w:p>
    <w:p>
      <w:pPr>
        <w:pStyle w:val="ListBullet"/>
      </w:pPr>
      <w:r>
        <w:t>Après résolution complète du DRESS (au moins 2 à 4 semaines après la disparition des symptômes cutanés et la normalisation de l'hyperéosinophilie et des transaminases)</w:t>
      </w:r>
    </w:p>
    <w:p>
      <w:pPr>
        <w:pStyle w:val="ListBullet"/>
      </w:pPr>
      <w:r>
        <w:t>Fébuxostat 40 mg/jour (sans adaptation, en raison de la double voie d'élimination hépatique + rénale)</w:t>
      </w:r>
    </w:p>
    <w:p>
      <w:pPr>
        <w:pStyle w:val="ListBullet"/>
      </w:pPr>
      <w:r>
        <w:t>Colchicine prophylactique 0,5 mg/jour pendant 6 mois (en raison de la goutte tophacée)</w:t>
      </w:r>
    </w:p>
    <w:p>
      <w:pPr>
        <w:pStyle w:val="ListBullet"/>
      </w:pPr>
      <w:r>
        <w:t>Surveillance rapprochée : ECG annuel, contrôle de la pression artérielle tous les 6 mois</w:t>
      </w:r>
    </w:p>
    <w:p>
      <w:pPr>
        <w:pStyle w:val="ListBullet"/>
      </w:pPr>
      <w:r>
        <w:t>Information de la patiente sur les signes cardiovasculaires d'alerte</w:t>
      </w:r>
    </w:p>
    <w:p>
      <w:pPr>
        <w:pStyle w:val="Heading4"/>
      </w:pPr>
      <w:r>
        <w:t>Cas clinique 4 : Patient avec insuffisance rénale chronique modérée et goutte</w:t>
      </w:r>
    </w:p>
    <w:p>
      <w:r/>
      <w:r>
        <w:rPr>
          <w:b/>
        </w:rPr>
        <w:t>Présentation</w:t>
      </w:r>
      <w:r>
        <w:t xml:space="preserve"> : Homme de 70 ans, insuffisant rénal chronique modéré (clairance 45 mL/min), diabète de type 2, hypertension artérielle, présente des crises de goutte récidivantes (3 crises dans l'année). Uricémie 520 µmol/L (87 mg/L). Sous amlodipine 10 mg, ramipril 10 mg, metformine 1000 mg × 2/jour, atorvastatine 40 mg.</w:t>
      </w:r>
    </w:p>
    <w:p>
      <w:r/>
      <w:r>
        <w:rPr>
          <w:b/>
        </w:rPr>
        <w:t>Analyse</w:t>
      </w:r>
      <w:r>
        <w:t xml:space="preserve"> :</w:t>
      </w:r>
    </w:p>
    <w:p>
      <w:pPr>
        <w:pStyle w:val="ListBullet"/>
      </w:pPr>
      <w:r>
        <w:t>IRC modérée (clairance 45 mL/min) : allopurinol à dose adaptée</w:t>
      </w:r>
    </w:p>
    <w:p>
      <w:pPr>
        <w:pStyle w:val="ListBullet"/>
      </w:pPr>
      <w:r>
        <w:t>Pas d'interaction médicamenteuse majeure</w:t>
      </w:r>
    </w:p>
    <w:p>
      <w:pPr>
        <w:pStyle w:val="ListBullet"/>
      </w:pPr>
      <w:r>
        <w:t>Atorvastatine + future colchicine prophylactique : surveillance CPK</w:t>
      </w:r>
    </w:p>
    <w:p>
      <w:r/>
      <w:r>
        <w:rPr>
          <w:b/>
        </w:rPr>
        <w:t>Stratégie thérapeutique</w:t>
      </w:r>
      <w:r>
        <w:t xml:space="preserve"> :</w:t>
      </w:r>
    </w:p>
    <w:p>
      <w:pPr>
        <w:pStyle w:val="ListBullet"/>
      </w:pPr>
      <w:r>
        <w:t>Allopurinol 50 mg/jour (1/2 cp de 100 mg), titration par paliers de 50 mg toutes les 2 à 4 semaines</w:t>
      </w:r>
    </w:p>
    <w:p>
      <w:pPr>
        <w:pStyle w:val="ListBullet"/>
      </w:pPr>
      <w:r>
        <w:t>Dose maximale recommandée selon la clairance : 200 mg/jour</w:t>
      </w:r>
    </w:p>
    <w:p>
      <w:pPr>
        <w:pStyle w:val="ListBullet"/>
      </w:pPr>
      <w:r>
        <w:t>Colchicine prophylactique 0,5 mg/jour pendant 6 mois (à dose réduite en raison de l'IRC modérée)</w:t>
      </w:r>
    </w:p>
    <w:p>
      <w:pPr>
        <w:pStyle w:val="ListBullet"/>
      </w:pPr>
      <w:r>
        <w:t>Surveillance : uricémie mensuelle, NFS plaquettaire, créatininémie, transaminases trimestrielles, CPK en cas de myalgies</w:t>
      </w:r>
    </w:p>
    <w:p>
      <w:pPr>
        <w:pStyle w:val="ListBullet"/>
      </w:pPr>
      <w:r>
        <w:t>Objectif : uricémie &lt; 360 µmol/L (60 mg/L)</w:t>
      </w:r>
    </w:p>
    <w:p>
      <w:pPr>
        <w:pStyle w:val="ListBullet"/>
      </w:pPr>
      <w:r>
        <w:t>En cas d'échec à dose maximale tolérée : switch vers fébuxostat (sans adaptation posologique)</w:t>
      </w:r>
    </w:p>
    <w:p>
      <w:pPr>
        <w:pStyle w:val="Heading4"/>
      </w:pPr>
      <w:r>
        <w:t>Cas clinique 5 : Patiente enceinte présentant une crise de goutte</w:t>
      </w:r>
    </w:p>
    <w:p>
      <w:r/>
      <w:r>
        <w:rPr>
          <w:b/>
        </w:rPr>
        <w:t>Présentation</w:t>
      </w:r>
      <w:r>
        <w:t xml:space="preserve"> : Femme de 34 ans, enceinte de 28 semaines (2e trimestre), présentant une crise aiguë de goutte de la cheville droite. Antécédents : goutte familiale, obésité. Pas de traitement hypouricémiant avant la grossesse.</w:t>
      </w:r>
    </w:p>
    <w:p>
      <w:r/>
      <w:r>
        <w:rPr>
          <w:b/>
        </w:rPr>
        <w:t>Analyse</w:t>
      </w:r>
      <w:r>
        <w:t xml:space="preserve"> :</w:t>
      </w:r>
    </w:p>
    <w:p>
      <w:pPr>
        <w:pStyle w:val="ListBullet"/>
      </w:pPr>
      <w:r>
        <w:t>Patiente enceinte (2e trimestre) : éviter colchicine (contre-indiquée au 1er trimestre, à éviter pendant toute la grossesse), allopurinol (à éviter), fébuxostat (déconseillé)</w:t>
      </w:r>
    </w:p>
    <w:p>
      <w:pPr>
        <w:pStyle w:val="ListBullet"/>
      </w:pPr>
      <w:r>
        <w:t>AINS contre-indiqués au 3e trimestre (risque de fermeture prématurée du canal artériel fœtal)</w:t>
      </w:r>
    </w:p>
    <w:p>
      <w:r/>
      <w:r>
        <w:rPr>
          <w:b/>
        </w:rPr>
        <w:t>Stratégie thérapeutique</w:t>
      </w:r>
      <w:r>
        <w:t xml:space="preserve"> :</w:t>
      </w:r>
    </w:p>
    <w:p>
      <w:pPr>
        <w:pStyle w:val="ListBullet"/>
      </w:pPr>
      <w:r>
        <w:t>Corticothérapie orale : prednisone 20–30 mg/jour pendant 5–7 jours, compatible avec la grossesse</w:t>
      </w:r>
    </w:p>
    <w:p>
      <w:pPr>
        <w:pStyle w:val="ListBullet"/>
      </w:pPr>
      <w:r>
        <w:t>Repos strict, glace</w:t>
      </w:r>
    </w:p>
    <w:p>
      <w:pPr>
        <w:pStyle w:val="ListBullet"/>
      </w:pPr>
      <w:r>
        <w:t>Hydratation abondante</w:t>
      </w:r>
    </w:p>
    <w:p>
      <w:pPr>
        <w:pStyle w:val="ListBullet"/>
      </w:pPr>
      <w:r>
        <w:t>Régime pauvre en purines, arrêt de l'alcool</w:t>
      </w:r>
    </w:p>
    <w:p>
      <w:pPr>
        <w:pStyle w:val="ListBullet"/>
      </w:pPr>
      <w:r>
        <w:t>Reporter l'initiation du traitement hypouricémiant en post-partum (6 semaines après l'accouchement, en raison de l'allaitement éventuel)</w:t>
      </w:r>
    </w:p>
    <w:p>
      <w:pPr>
        <w:pStyle w:val="ListBullet"/>
      </w:pPr>
      <w:r>
        <w:t>Si hyperuricémie sévère symptomatique en post-partum : allopurinol à dose standard (compatible avec l'allaitement)</w:t>
      </w:r>
    </w:p>
    <w:p>
      <w:pPr>
        <w:pStyle w:val="Heading2"/>
      </w:pPr>
      <w:r>
        <w:t>154.8. Conclusion générale du Fascicule XVI — Rhumatologie</w:t>
      </w:r>
    </w:p>
    <w:p>
      <w:pPr>
        <w:pStyle w:val="Heading3"/>
      </w:pPr>
      <w:r>
        <w:t>Récapitulatif du chapitre 154</w:t>
      </w:r>
    </w:p>
    <w:p>
      <w:r>
        <w:t>Le chapitre 154, dernier chapitre du Fascicule XVI consacré à la rhumatologie, a abordé en profondeur les trois DCI anti-goutteuses disponibles en Algérie : la colchicine, l'allopurinol et le fébuxostat. L'absence des uricosuriques (probenécide, sulfinpyrazone, benzbromarone) sur le marché algérien a été documentée et analysée, avec proposition de stratégies alternatives en cas d'échec des inhibiteurs de la xanthine oxydase.</w:t>
      </w:r>
    </w:p>
    <w:p>
      <w:r>
        <w:t>Les points critiques à retenir par le pharmacien d'officine et le clinicien algérien sont les suivants :</w:t>
      </w:r>
    </w:p>
    <w:p>
      <w:pPr>
        <w:pStyle w:val="ListNumber"/>
      </w:pPr>
      <w:r/>
      <w:r>
        <w:rPr>
          <w:b/>
        </w:rPr>
        <w:t>La colchicine est l'anti-inflammatoire spécifique de la goutte</w:t>
      </w:r>
      <w:r>
        <w:t>. Son mécanisme d'action (inhibition de la polymérisation des microtubules → blocage de la migration des neutrophiles) en fait un traitement de première intention de la crise aiguë et un traitement prophylactique indispensable lors de l'initiation d'un hypouricémiant. Son index thérapeutique étroit et ses interactions majeures (CYP3A4, P-gp) en font un médicament à manipuler avec prudence, en particulier chez le sujet âgé, l'insuffisant rénal, et le patient polymédicamenté. Le surdosage est potentiellement mortel.</w:t>
      </w:r>
    </w:p>
    <w:p>
      <w:pPr>
        <w:pStyle w:val="ListNumber"/>
      </w:pPr>
      <w:r/>
      <w:r>
        <w:rPr>
          <w:b/>
        </w:rPr>
        <w:t>L'allopurinol est l'hypouricémiant de première intention</w:t>
      </w:r>
      <w:r>
        <w:t xml:space="preserve"> dans toutes les recommandations internationales (EULAR 2016, ACR 2020, BSR 2017). Son mécanisme (inhibition de la xanthine oxydase par l'oxypurinol) réduit la production d'acide urique et permet d'atteindre l'objectif d'uricémie &lt; 360 µmol/L (60 mg/L). Le syndrome d'hypersensibilité (DRESS), rare mais grave (mortalité 20–30 %), impose une initiation à faible dose et une surveillance clinique rapprochée. L'adaptation posologique en cas d'insuffisance rénale est obligatoire. L'interaction majeure avec l'azathioprine doit être systématiquement vérifiée.</w:t>
      </w:r>
    </w:p>
    <w:p>
      <w:pPr>
        <w:pStyle w:val="ListNumber"/>
      </w:pPr>
      <w:r/>
      <w:r>
        <w:rPr>
          <w:b/>
        </w:rPr>
        <w:t>Le fébuxostat est l'hypouricémiant de deuxième intention</w:t>
      </w:r>
      <w:r>
        <w:t>, indiqué en cas d'échec, d'intolérance ou de contre-indication à l'allopurinol. Son mécanisme (inhibition non purinique de la xanthine oxydase, sans similarité structurale avec les purines) en fait une alternative de choix en cas d'allergie à l'allopurinol (pas d'allergie croisée). L'alerte FDA Black Box Warning 2019 (CARES trial) impose une vigilance cardiovasculaire renforcée et une limitation d'utilisation chez les patients avec antécédents cardiovasculaires récents. La double voie d'élimination (hépatique + rénale) permet une utilisation sans adaptation posologique en cas d'insuffisance rénale modérée à sévère (clairance ≥ 30 mL/min), ce qui constitue un avantage majeur par rapport à l'allopurinol.</w:t>
      </w:r>
    </w:p>
    <w:p>
      <w:pPr>
        <w:pStyle w:val="ListNumber"/>
      </w:pPr>
      <w:r/>
      <w:r>
        <w:rPr>
          <w:b/>
        </w:rPr>
        <w:t>L'absence d'uricosuriques en Algérie</w:t>
      </w:r>
      <w:r>
        <w:t xml:space="preserve"> (probenécide, sulfinpyrazone, benzbromarone) impose une stratégie thérapeutique adaptée : optimisation de la dose d'allopurinol jusqu'à 900 mg/jour (au-delà AMM française, mais recommandé EULAR/ACR), switch vers fébuxostat 120 mg/jour en cas d'échec, et éviction des médicaments hyperuricémiants (diurétiques thiazidiques, aspirine à faible dose, ciclosporine).</w:t>
      </w:r>
    </w:p>
    <w:p>
      <w:pPr>
        <w:pStyle w:val="ListNumber"/>
      </w:pPr>
      <w:r/>
      <w:r>
        <w:rPr>
          <w:b/>
        </w:rPr>
        <w:t>La prophylaxie des crises d'initiation est systématique</w:t>
      </w:r>
      <w:r>
        <w:t xml:space="preserve"> : colchicine 0,5–1 mg/jour pendant 3 à 6 mois (jusqu'à 12 mois en cas de tophi), à débuter simultanément à l'hypouricémiant.</w:t>
      </w:r>
    </w:p>
    <w:p>
      <w:pPr>
        <w:pStyle w:val="ListNumber"/>
      </w:pPr>
      <w:r/>
      <w:r>
        <w:rPr>
          <w:b/>
        </w:rPr>
        <w:t>Le traitement hypouricémiant est à vie</w:t>
      </w:r>
      <w:r>
        <w:t>. Ne jamais arrêter sans avis médical, même en l'absence de crise. L'arrêt expose à une rechute rapide (réascension de l'uricémie en quelques semaines, retour des cristaux, nouvelle crise en quelques mois).</w:t>
      </w:r>
    </w:p>
    <w:p>
      <w:pPr>
        <w:pStyle w:val="Heading3"/>
      </w:pPr>
      <w:r>
        <w:t>Bilan global du Fascicule XVI — Rhumatologie</w:t>
      </w:r>
    </w:p>
    <w:p>
      <w:r>
        <w:t>Le Fascicule XVI a permis d'aborder l'ensemble de la pharmacologie rhumatologique algérienne moderne, à travers quatre chapitres complémentaires :</w:t>
      </w:r>
    </w:p>
    <w:p>
      <w:pPr>
        <w:pStyle w:val="ListBullet"/>
      </w:pPr>
      <w:r/>
      <w:r>
        <w:rPr>
          <w:b/>
        </w:rPr>
        <w:t>Chapitre 151</w:t>
      </w:r>
      <w:r>
        <w:t xml:space="preserve"> : DMARD synthétiques (méthotrexate, sulfasalazine, hydroxychloroquine, léflunomide, cyclophosphamide, azathioprine) — socle du traitement de fond de la polyarthrite rhumatoïde, du lupus érythémateux disséminé, et des maladies inflammatoires chroniques articulaires.</w:t>
      </w:r>
    </w:p>
    <w:p>
      <w:pPr>
        <w:pStyle w:val="ListBullet"/>
      </w:pPr>
      <w:r/>
      <w:r>
        <w:rPr>
          <w:b/>
        </w:rPr>
        <w:t>Chapitre 152</w:t>
      </w:r>
      <w:r>
        <w:t xml:space="preserve"> : Biothérapies rhumatologiques (anti-TNFα, anti-IL-6, anti-CD20, anti-IL-1, anti-IL-17, anti-IL-23, inhibiteurs CTLA-4) — révolution thérapeutique des rhumatismes inflammatoires chroniques sévères.</w:t>
      </w:r>
    </w:p>
    <w:p>
      <w:pPr>
        <w:pStyle w:val="ListBullet"/>
      </w:pPr>
      <w:r/>
      <w:r>
        <w:rPr>
          <w:b/>
        </w:rPr>
        <w:t>Chapitre 153</w:t>
      </w:r>
      <w:r>
        <w:t xml:space="preserve"> : Inhibiteurs de JAK, viscosuppléments et chondroprotecteurs — avancées récentes dans l'arthrose et la polyarthrite rhumatoïde réfractaire.</w:t>
      </w:r>
    </w:p>
    <w:p>
      <w:pPr>
        <w:pStyle w:val="ListBullet"/>
      </w:pPr>
      <w:r/>
      <w:r>
        <w:rPr>
          <w:b/>
        </w:rPr>
        <w:t>Chapitre 154</w:t>
      </w:r>
      <w:r>
        <w:t xml:space="preserve"> : Anti-goutteux (colchicine, allopurinol, fébuxostat) — traitement de la goutte, rhumatisme microcristallin le plus fréquent.</w:t>
      </w:r>
    </w:p>
    <w:p>
      <w:r>
        <w:t>L'ensemble de ces chapitres a couvert 24 DCI réparties sur 20 sous-classes pharmacologiques, avec une analyse exhaustive de chaque molécule selon une grille de lecture systématique : mécanisme d'action, indications, contre-indications, effets indésirables, interactions médicamenteuses, posologie, surveillance, grossesse/allaitement, formes galéniques, conseils aux patients, pièges au comptoir.</w:t>
      </w:r>
    </w:p>
    <w:p>
      <w:pPr>
        <w:pStyle w:val="Heading3"/>
      </w:pPr>
      <w:r>
        <w:t>Perspectives et recommandations pour la pratique algérienne</w:t>
      </w:r>
    </w:p>
    <w:p>
      <w:r>
        <w:t>La pharmacologie rhumatologique algérienne a connu une évolution majeure au cours des dernières années, avec l'arrivée des biothérapies, des inhibiteurs de JAK, et des génériques locaux de l'allopurinol et du fébuxostat. Cependant, plusieurs défis persistent :</w:t>
      </w:r>
    </w:p>
    <w:p>
      <w:pPr>
        <w:pStyle w:val="ListBullet"/>
      </w:pPr>
      <w:r/>
      <w:r>
        <w:rPr>
          <w:b/>
        </w:rPr>
        <w:t>Accessibilité des biothérapies</w:t>
      </w:r>
      <w:r>
        <w:t xml:space="preserve"> : coût élevé, nécessité d'une couverture sociale adaptée, dispositif de prescription hospitalière rigoureux.</w:t>
      </w:r>
    </w:p>
    <w:p>
      <w:pPr>
        <w:pStyle w:val="ListBullet"/>
      </w:pPr>
      <w:r/>
      <w:r>
        <w:rPr>
          <w:b/>
        </w:rPr>
        <w:t>Disponibilité des uricosuriques</w:t>
      </w:r>
      <w:r>
        <w:t xml:space="preserve"> : absence totale en Algérie, ce qui limite les options thérapeutiques en cas d'échec des inhibiteurs de la xanthine oxydase.</w:t>
      </w:r>
    </w:p>
    <w:p>
      <w:pPr>
        <w:pStyle w:val="ListBullet"/>
      </w:pPr>
      <w:r/>
      <w:r>
        <w:rPr>
          <w:b/>
        </w:rPr>
        <w:t>Formation médicale continue</w:t>
      </w:r>
      <w:r>
        <w:t xml:space="preserve"> : nécessaire pour optimiser la prescription des hypouricémiants (titration, prophylaxie, surveillance), des DMARD (dépistage des complications), et des biothérapies (dépistage des infections, surveillance immunologique).</w:t>
      </w:r>
    </w:p>
    <w:p>
      <w:pPr>
        <w:pStyle w:val="ListBullet"/>
      </w:pPr>
      <w:r/>
      <w:r>
        <w:rPr>
          <w:b/>
        </w:rPr>
        <w:t>Éducation thérapeutique du patient</w:t>
      </w:r>
      <w:r>
        <w:t xml:space="preserve"> : rôle essentiel du pharmacien d'officine pour expliquer la maladie, le traitement, l'observance, les signes d'alerte.</w:t>
      </w:r>
    </w:p>
    <w:p>
      <w:pPr>
        <w:pStyle w:val="ListBullet"/>
      </w:pPr>
      <w:r/>
      <w:r>
        <w:rPr>
          <w:b/>
        </w:rPr>
        <w:t>Coordination ville-hôpital</w:t>
      </w:r>
      <w:r>
        <w:t xml:space="preserve"> : nécessaire pour les patients sous biothérapies, sous thérapeutiques complexes, ou en cas d'échec des traitements de première intention.</w:t>
      </w:r>
    </w:p>
    <w:p>
      <w:pPr>
        <w:pStyle w:val="Heading3"/>
      </w:pPr>
      <w:r>
        <w:t>Références bibliographiques du chapitre 154</w:t>
      </w:r>
    </w:p>
    <w:p>
      <w:pPr>
        <w:pStyle w:val="ListNumber"/>
      </w:pPr>
      <w:r/>
      <w:r>
        <w:rPr>
          <w:b/>
        </w:rPr>
        <w:t>EULAR 2016</w:t>
      </w:r>
      <w:r>
        <w:t xml:space="preserve"> : Richette P, Doherty M, Pascual E, et al. 2016 updated EULAR evidence-based recommendations for the management of gout. *Ann Rheum Dis*. 2017;76(1):29-42.</w:t>
      </w:r>
    </w:p>
    <w:p>
      <w:pPr>
        <w:pStyle w:val="ListNumber"/>
      </w:pPr>
      <w:r/>
      <w:r>
        <w:rPr>
          <w:b/>
        </w:rPr>
        <w:t>ACR 2020</w:t>
      </w:r>
      <w:r>
        <w:t xml:space="preserve"> : FitzGerald JD, Dalbeth N, Mikuls T, et al. 2020 American College of Rheumatology Guideline for the Management of Gout. *Arthritis Care Res*. 2020;72(6):744-760.</w:t>
      </w:r>
    </w:p>
    <w:p>
      <w:pPr>
        <w:pStyle w:val="ListNumber"/>
      </w:pPr>
      <w:r/>
      <w:r>
        <w:rPr>
          <w:b/>
        </w:rPr>
        <w:t>BSR 2017</w:t>
      </w:r>
      <w:r>
        <w:t xml:space="preserve"> : Hui M, Carr A, Cameron S, et al. British Society for Rheumatology and British Health Professionals in Rheumatology guideline for the management of gout. *Rheumatology*. 2017;56(7):e1-e20.</w:t>
      </w:r>
    </w:p>
    <w:p>
      <w:pPr>
        <w:pStyle w:val="ListNumber"/>
      </w:pPr>
      <w:r/>
      <w:r>
        <w:rPr>
          <w:b/>
        </w:rPr>
        <w:t>AGREE Trial (colchicine)</w:t>
      </w:r>
      <w:r>
        <w:t xml:space="preserve"> : Terkeltaub RA, Furst DE, Bennett K, et al. Low-dose colchicine for acute gout flare: a randomized, double-blind, placebo-controlled study. *Ann Rheum Dis*. 2010;69(10):1856-1861.</w:t>
      </w:r>
    </w:p>
    <w:p>
      <w:pPr>
        <w:pStyle w:val="ListNumber"/>
      </w:pPr>
      <w:r/>
      <w:r>
        <w:rPr>
          <w:b/>
        </w:rPr>
        <w:t>CARES Trial (fébuxostat)</w:t>
      </w:r>
      <w:r>
        <w:t xml:space="preserve"> : White WB, Saag KG, Becker MA, et al. Cardiovascular Safety of Febuxostat or Allopurinol in Patients with Gout. *N Engl J Med*. 2018;378(13):1200-1210.</w:t>
      </w:r>
    </w:p>
    <w:p>
      <w:pPr>
        <w:pStyle w:val="ListNumber"/>
      </w:pPr>
      <w:r/>
      <w:r>
        <w:rPr>
          <w:b/>
        </w:rPr>
        <w:t>FAST Trial (fébuxostat)</w:t>
      </w:r>
      <w:r>
        <w:t xml:space="preserve"> : Mackenzie IS, Hawkey CJ, Ford I, et al. Safety of allopurinol versus febuxostat in patients with gout and cardiovascular comorbidities (FAST): a randomised non-inferiority trial. *Lancet*. 2020;396(10262):1745-1757.</w:t>
      </w:r>
    </w:p>
    <w:p>
      <w:pPr>
        <w:pStyle w:val="ListNumber"/>
      </w:pPr>
      <w:r/>
      <w:r>
        <w:rPr>
          <w:b/>
        </w:rPr>
        <w:t>CONFIRMS Trial (fébuxostat vs allopurinol)</w:t>
      </w:r>
      <w:r>
        <w:t xml:space="preserve"> : Becker MA, Schumacher HR, Espinoza LR, et al. The urate-lowering efficacy and safety of febuxostat in the treatment of the hyperuricemia of gout: the CONFIRMS trial. *Arthritis Res Ther*. 2010;12(2):R63.</w:t>
      </w:r>
    </w:p>
    <w:p>
      <w:pPr>
        <w:pStyle w:val="ListNumber"/>
      </w:pPr>
      <w:r>
        <w:t>**HLA-B\*5801 et DRESS allopurinol** : Hung SI, Chung WH, Liou LB, et al. HLA-B\*5801 allele as a genetic marker for severe cutaneous adverse reactions caused by allopurinol. *Proc Natl Acad Sci USA*. 2005;102(11):4134-4139.</w:t>
      </w:r>
    </w:p>
    <w:p>
      <w:pPr>
        <w:pStyle w:val="ListNumber"/>
      </w:pPr>
      <w:r/>
      <w:r>
        <w:rPr>
          <w:b/>
        </w:rPr>
        <w:t>CRAT</w:t>
      </w:r>
      <w:r>
        <w:t xml:space="preserve"> : Centre Renseignements Agents Tératogènes (https://www.lecrat.fr) — consultations sur la grossesse et l'allaitement.</w:t>
      </w:r>
    </w:p>
    <w:p>
      <w:pPr>
        <w:pStyle w:val="ListNumber"/>
      </w:pPr>
      <w:r/>
      <w:r>
        <w:rPr>
          <w:b/>
        </w:rPr>
        <w:t>ANSM</w:t>
      </w:r>
      <w:r>
        <w:t xml:space="preserve"> : Résumés des Caractéristiques du Produit (RCP) des spécialités pharmaceutiques.</w:t>
      </w:r>
    </w:p>
    <w:p>
      <w:pPr>
        <w:pStyle w:val="ListNumber"/>
      </w:pPr>
      <w:r/>
      <w:r>
        <w:rPr>
          <w:b/>
        </w:rPr>
        <w:t>VIDAL</w:t>
      </w:r>
      <w:r>
        <w:t xml:space="preserve"> : Dictionnaire des spécialités pharmaceutiques.</w:t>
      </w:r>
    </w:p>
    <w:p>
      <w:pPr>
        <w:pStyle w:val="ListNumber"/>
      </w:pPr>
      <w:r/>
      <w:r>
        <w:rPr>
          <w:b/>
        </w:rPr>
        <w:t>Thériaque</w:t>
      </w:r>
      <w:r>
        <w:t xml:space="preserve"> : Banque de données sur les médicaments (CNHIM).</w:t>
      </w:r>
    </w:p>
    <w:p>
      <w:pPr>
        <w:pStyle w:val="ListNumber"/>
      </w:pPr>
      <w:r/>
      <w:r>
        <w:rPr>
          <w:b/>
        </w:rPr>
        <w:t>UpToDate</w:t>
      </w:r>
      <w:r>
        <w:t xml:space="preserve"> : Recommandations internationales sur la prise en charge de la goutte.</w:t>
      </w:r>
    </w:p>
    <w:p>
      <w:pPr>
        <w:pStyle w:val="ListNumber"/>
      </w:pPr>
      <w:r/>
      <w:r>
        <w:rPr>
          <w:b/>
        </w:rPr>
        <w:t>OMS</w:t>
      </w:r>
      <w:r>
        <w:t xml:space="preserve"> : Liste des médicaments essentiels (colchicine, allopurinol).</w:t>
      </w:r>
    </w:p>
    <w:p>
      <w:pPr>
        <w:pStyle w:val="ListNumber"/>
      </w:pPr>
      <w:r/>
      <w:r>
        <w:rPr>
          <w:b/>
        </w:rPr>
        <w:t>Nomenclature algérienne des médicaments</w:t>
      </w:r>
      <w:r>
        <w:t xml:space="preserve"> : Avril 2026 (COMPLETE LISTE.xlsx).</w:t>
      </w:r>
    </w:p>
    <w:p>
      <w:r/>
      <w:r>
        <w:rPr>
          <w:i/>
        </w:rPr>
        <w:t>Fin du chapitre 154 — Anti-goutteux</w:t>
      </w:r>
      <w:r/>
    </w:p>
    <w:p>
      <w:r/>
      <w:r>
        <w:rPr>
          <w:i/>
        </w:rPr>
        <w:t>Fin du Fascicule XVI — Rhumatologie</w:t>
      </w:r>
      <w:r/>
    </w:p>
    <w:sectPr w:rsidR="00FC693F" w:rsidRPr="0006063C" w:rsidSect="00034616">
      <w:headerReference w:type="default" r:id="rId9"/>
      <w:footerReference w:type="default" r:id="rId10"/>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06060"/>
        <w:sz w:val="18"/>
      </w:rPr>
      <w:t xml:space="preserve">Page </w:t>
    </w:r>
    <w:r>
      <w:rPr>
        <w:color w:val="60606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B3D91"/>
      </w:pBdr>
    </w:pPr>
    <w:r>
      <w:rPr>
        <w:rFonts w:ascii="Calibri" w:hAnsi="Calibri"/>
        <w:i/>
        <w:color w:val="606060"/>
        <w:sz w:val="18"/>
      </w:rPr>
      <w:t>Livre Technique de Pharmacologie Clinique — Rhumatologie en Algérie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9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9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E74B5"/>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