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8B0000"/>
          <w:sz w:val="56"/>
        </w:rPr>
        <w:t>TOXICOLOGIE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XX</w:t>
      </w:r>
    </w:p>
    <w:p>
      <w:pPr>
        <w:jc w:val="center"/>
      </w:pPr>
      <w:r>
        <w:rPr>
          <w:rFonts w:ascii="Calibri" w:hAnsi="Calibri"/>
          <w:b w:val="0"/>
          <w:i/>
          <w:color w:val="606060"/>
          <w:sz w:val="28"/>
        </w:rPr>
        <w:t>Toxicologie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15 DCI traitées  •  80+ spécialités commerciales  •  3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SFTox • OMS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XX : Toxicologie</w:t>
      </w:r>
    </w:p>
    <w:p>
      <w:pPr>
        <w:pStyle w:val="Heading2"/>
      </w:pPr>
      <w:r>
        <w:t>Avant-propos et méthodologie du Fascicule XX</w:t>
      </w:r>
    </w:p>
    <w:p>
      <w:pPr>
        <w:pStyle w:val="Heading3"/>
      </w:pPr>
      <w:r>
        <w:t>1. Objet du fascicule</w:t>
      </w:r>
    </w:p>
    <w:p>
      <w:r>
        <w:t>Le présent fascicule constitue le vingtième et dernier volet du traité technique de pharmacologie clinique destiné aux étudiants en pharmacie d'officine et aux praticiens exerçant sur le territoire algérien. Il traite de manière exhaustive les antidotes, chélateurs de métaux lourds et traitements de substitution enregistrés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ListBullet"/>
      </w:pPr>
      <w:r/>
      <w:r>
        <w:rPr>
          <w:b/>
        </w:rPr>
        <w:t>Intoxications accidentelles</w:t>
      </w:r>
      <w:r>
        <w:t xml:space="preserve"> : ~15 000 cas/an (dont 40 % enfants &lt; 5 ans)</w:t>
      </w:r>
    </w:p>
    <w:p>
      <w:pPr>
        <w:pStyle w:val="ListBullet"/>
      </w:pPr>
      <w:r/>
      <w:r>
        <w:rPr>
          <w:b/>
        </w:rPr>
        <w:t>Intoxications médicamenteuses volontaires</w:t>
      </w:r>
      <w:r>
        <w:t xml:space="preserve"> : tentative de suicide, principalement paracétamol, benzodiazépines</w:t>
      </w:r>
    </w:p>
    <w:p>
      <w:pPr>
        <w:pStyle w:val="ListBullet"/>
      </w:pPr>
      <w:r/>
      <w:r>
        <w:rPr>
          <w:b/>
        </w:rPr>
        <w:t>Intoxications professionnelles</w:t>
      </w:r>
      <w:r>
        <w:t xml:space="preserve"> : agriculture (organophosphorés), industrie (CO, cyanure)</w:t>
      </w:r>
    </w:p>
    <w:p>
      <w:pPr>
        <w:pStyle w:val="ListBullet"/>
      </w:pPr>
      <w:r/>
      <w:r>
        <w:rPr>
          <w:b/>
        </w:rPr>
        <w:t>Intoxications par morsures/envenimations</w:t>
      </w:r>
      <w:r>
        <w:t xml:space="preserve"> : scorpions, serpents (sud algérien)</w:t>
      </w:r>
    </w:p>
    <w:p>
      <w:pPr>
        <w:pStyle w:val="ListBullet"/>
      </w:pPr>
      <w:r/>
      <w:r>
        <w:rPr>
          <w:b/>
        </w:rPr>
        <w:t>Addictions</w:t>
      </w:r>
      <w:r>
        <w:t xml:space="preserve"> : opioïdes (héroïne), cannabis, alcool</w:t>
      </w:r>
    </w:p>
    <w:p>
      <w:pPr>
        <w:pStyle w:val="Heading3"/>
      </w:pPr>
      <w:r>
        <w:t>3. Périmètre de ce fascicule</w:t>
      </w:r>
    </w:p>
    <w:p>
      <w:r>
        <w:t xml:space="preserve">Ce fascicule couvre </w:t>
      </w:r>
      <w:r>
        <w:rPr>
          <w:b/>
        </w:rPr>
        <w:t>15 DCI</w:t>
      </w:r>
      <w:r>
        <w:t xml:space="preserve"> réparties sur </w:t>
      </w:r>
      <w:r>
        <w:rPr>
          <w:b/>
        </w:rPr>
        <w:t>14 sous-classes</w:t>
      </w:r>
      <w:r>
        <w:t xml:space="preserve"> pharmacologiques :</w:t>
      </w:r>
    </w:p>
    <w:p>
      <w:pPr>
        <w:pStyle w:val="ListNumber"/>
      </w:pPr>
      <w:r>
        <w:t>Antidotes d'urgence et antagonistes (10 DCI)</w:t>
      </w:r>
    </w:p>
    <w:p>
      <w:pPr>
        <w:pStyle w:val="ListNumber"/>
      </w:pPr>
      <w:r>
        <w:t>Chélateurs de métaux lourds (4 DCI)</w:t>
      </w:r>
    </w:p>
    <w:p>
      <w:pPr>
        <w:pStyle w:val="ListNumber"/>
      </w:pPr>
      <w:r>
        <w:t>Traitements de substitution et dépendances (1 DCI)</w:t>
      </w:r>
    </w:p>
    <w:p>
      <w:pPr>
        <w:pStyle w:val="Heading2"/>
      </w:pPr>
      <w:r>
        <w:t>Sommaire général du Fascicule XX</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191</w:t>
            </w:r>
          </w:p>
        </w:tc>
        <w:tc>
          <w:tcPr>
            <w:tcW w:type="dxa" w:w="3118"/>
          </w:tcPr>
          <w:p>
            <w:r>
              <w:rPr>
                <w:sz w:val="20"/>
              </w:rPr>
              <w:t>Antidotes d'urgence et antagonistes</w:t>
            </w:r>
          </w:p>
        </w:tc>
        <w:tc>
          <w:tcPr>
            <w:tcW w:type="dxa" w:w="3118"/>
          </w:tcPr>
          <w:p>
            <w:r>
              <w:rPr>
                <w:sz w:val="20"/>
              </w:rPr>
              <w:t>10</w:t>
            </w:r>
          </w:p>
        </w:tc>
      </w:tr>
      <w:tr>
        <w:tc>
          <w:tcPr>
            <w:tcW w:type="dxa" w:w="3118"/>
          </w:tcPr>
          <w:p>
            <w:r>
              <w:rPr>
                <w:sz w:val="20"/>
              </w:rPr>
              <w:t>192</w:t>
            </w:r>
          </w:p>
        </w:tc>
        <w:tc>
          <w:tcPr>
            <w:tcW w:type="dxa" w:w="3118"/>
          </w:tcPr>
          <w:p>
            <w:r>
              <w:rPr>
                <w:sz w:val="20"/>
              </w:rPr>
              <w:t>Chélateurs de métaux lourds</w:t>
            </w:r>
          </w:p>
        </w:tc>
        <w:tc>
          <w:tcPr>
            <w:tcW w:type="dxa" w:w="3118"/>
          </w:tcPr>
          <w:p>
            <w:r>
              <w:rPr>
                <w:sz w:val="20"/>
              </w:rPr>
              <w:t>4</w:t>
            </w:r>
          </w:p>
        </w:tc>
      </w:tr>
      <w:tr>
        <w:tc>
          <w:tcPr>
            <w:tcW w:type="dxa" w:w="3118"/>
          </w:tcPr>
          <w:p>
            <w:r>
              <w:rPr>
                <w:sz w:val="20"/>
              </w:rPr>
              <w:t>193</w:t>
            </w:r>
          </w:p>
        </w:tc>
        <w:tc>
          <w:tcPr>
            <w:tcW w:type="dxa" w:w="3118"/>
          </w:tcPr>
          <w:p>
            <w:r>
              <w:rPr>
                <w:sz w:val="20"/>
              </w:rPr>
              <w:t>Traitements de substitution et dépendances</w:t>
            </w:r>
          </w:p>
        </w:tc>
        <w:tc>
          <w:tcPr>
            <w:tcW w:type="dxa" w:w="3118"/>
          </w:tcPr>
          <w:p>
            <w:r>
              <w:rPr>
                <w:sz w:val="20"/>
              </w:rPr>
              <w:t>1</w:t>
            </w:r>
          </w:p>
        </w:tc>
      </w:tr>
      <w:tr>
        <w:tc>
          <w:tcPr>
            <w:tcW w:type="dxa" w:w="3118"/>
          </w:tcPr>
          <w:p>
            <w:r>
              <w:rPr>
                <w:sz w:val="20"/>
              </w:rPr>
              <w:t>**Total**</w:t>
            </w:r>
          </w:p>
        </w:tc>
        <w:tc>
          <w:tcPr>
            <w:tcW w:type="dxa" w:w="3118"/>
          </w:tcPr>
          <w:p>
            <w:r>
              <w:rPr>
                <w:sz w:val="20"/>
              </w:rPr>
            </w:r>
          </w:p>
        </w:tc>
        <w:tc>
          <w:tcPr>
            <w:tcW w:type="dxa" w:w="3118"/>
          </w:tcPr>
          <w:p>
            <w:r>
              <w:rPr>
                <w:sz w:val="20"/>
              </w:rPr>
              <w:t>**15**</w:t>
            </w:r>
          </w:p>
        </w:tc>
      </w:tr>
    </w:tbl>
    <w:p/>
    <w:p>
      <w:pPr>
        <w:pStyle w:val="Heading1"/>
      </w:pPr>
      <w:r>
        <w:t>Chapitre 191 — Antidotes d'urgence et antagonistes en toxicologie clinique</w:t>
      </w:r>
    </w:p>
    <w:p>
      <w:pPr>
        <w:pStyle w:val="Heading2"/>
      </w:pPr>
      <w:r>
        <w:t>Fascicule XX — Toxicologie</w:t>
      </w:r>
    </w:p>
    <w:p>
      <w:pPr>
        <w:pStyle w:val="Heading2"/>
      </w:pPr>
      <w:r>
        <w:t>191.0 Introduction au chapitre 191</w:t>
      </w:r>
    </w:p>
    <w:p>
      <w:r>
        <w:t xml:space="preserve">La toxicologie clinique moderne repose sur un concept fondateur qui structure toute la pharmacologie des urgences : à tout poison correspond, en théorie, un antidote capable d'en antagoniser, d'en neutraliser ou d'en accélérer l'élimination. Ce principe, théorisé par le médecin et toxicologue américain Matthew J. Ellenhorn dans son traité de référence </w:t>
      </w:r>
      <w:r>
        <w:rPr>
          <w:i/>
        </w:rPr>
        <w:t>Medical Toxicology</w:t>
      </w:r>
      <w:r>
        <w:t xml:space="preserve"> (1988), fonde l'organisation contemporaine de la prise en charge des intoxications aiguës, qu'elles soient volontaires (tentatives de suicide, surdosages médicamenteux, empoisonnements criminels), accidentelles (erreurs médicamenteuses, intoxications domestiques ou professionnelles) ou environnementales (envenimations, contact avec neurotoxiques industriels ou agricoles). Le chapitre 191 ouvre le Fascicule XX consacré à la Toxicologie et traite dix dénominations communes internationales (DCI) qui constituent le socle pharmacologique des antidotes d'urgence : la naloxone, la N-acétylcystéine, le folinate de calcium, la phytoménadione, le complexe prothrombinique (PCC), le glucagon, le calcium, l'atropine, le bleu de méthylène et l'oxygène médicamenteux.</w:t>
      </w:r>
    </w:p>
    <w:p>
      <w:r>
        <w:t>L'histoire des antidotes se confond avec celle de la pharmacologie moderne. La naloxone, synthétisée en 1961 par Jack Fishman et Mozes J. Lewenstein chez Endo Laboratories (aujourd'hui Endo International) à partir de l'oxymorphone par substitution du groupement N-méthyl par un groupement allyle, est commercialisée dès 1971 sous le nom de Narcan. Elle marque le premier antagoniste opioïde pur, dépourvu d'activité agoniste intrinsèque, capable de réverser en quelques secondes une dépression respiratoire morphinique sans risque de rechute toxique propre. Sa rapidité d'action et sa sécurité d'emploi en font l'antidote emblématique des intoxications opioïdes qui frappent notamment les héroïnomanes, et plus récemment les usagers de fentanyl et de ses dérivés synthétiques impliqués dans la crise des opioïdes qui a fait plus de 600 000 morts aux États-Unis depuis 1999 (CDC 2024). En Algérie, l'usage de la naloxone reste hospitalier et préhospitalier, principalement en réanimation, en urgences SMUR et en médecine d'urgence intra-hospitalière.</w:t>
      </w:r>
    </w:p>
    <w:p>
      <w:r>
        <w:t xml:space="preserve">La N-acétylcystéine (NAC), dérivée de la L-cystéine par acétylation du groupement thiol, fut introduite comme antidote du paracétamol en 1977 par les équipes de Gerald Prescott à Édimbourg, à la suite des travaux de David Mitchell et James Jollow publiés en 1973-1974 démontrant que la toxicité hépatique du paracétamol provenait de l'épuisement du glutathion hépatique par le métabolite réactif N-acétyl-p-benzoquinone-imine (NAPQI). La NAC, précurseur du glutathion, restaure les stocks hépatiques de glutathion et permet la détoxification du NAPQI. Le nomogramme de Rumack-Matthew (publié par Barry Rumack et Henry Matthew en 1975 dans </w:t>
      </w:r>
      <w:r>
        <w:rPr>
          <w:i/>
        </w:rPr>
        <w:t>Pediatrics</w:t>
      </w:r>
      <w:r>
        <w:t>) reste l'outil décisionnel universel pour administrer la NAC en fonction de la paracétamolémie et du délai post-ingestion. Le paracétamol reste la première cause d'insuffisance hépatique aiguë toxique en Occident et la première cause d'intoxication médicamenteuse volontaire en France, ce qui fait de la NAC un antidote à connaître absolument.</w:t>
      </w:r>
    </w:p>
    <w:p>
      <w:r>
        <w:t>Le folinate de calcium (acide folinique), forme N5-formyl-tétrahydrofolate du folate, fut introduit comme antidote du méthotrexate (MTX) dès les années 1950 par les équipes de Sidney Farber à Boston, pionnier de la chimiothérapie antifolate. Le MTX, antagoniste de l'acide folique qui inhibe la dihydrofolate réductase (DHFR), provoque une myélotoxicité et une mucite sévères à haute dose. Le « rescue » par acide folinique, théorisé par Goldin et coll. en 1955 et formalisé en clinique humaine à partir de 1963 par Djerassi, permet de protéger les cellules saines (moelle osseuse, muqueuses) tout en préservant la cytotoxicité antitumorale. Le protocole « rescue » à J+24h, J+30h, J+36h, J+42h reste la pierre angulaire des protocoles oncologiques de haute dose MTX (ostéosarcome, leucémie lymphoïde aiguë, lymphome cérébral).</w:t>
      </w:r>
    </w:p>
    <w:p>
      <w:r>
        <w:t>La phytoménadione (vitamine K1), isolée en 1929 par Henrik Dam (Prix Nobel 1943), fut identifiée comme cofacteur de la γ-carboxylase hépatique qui active les facteurs II (prothrombine), VII, IX et X de la coagulation. Elle constitue l'antidote de référence des antivitamines K (AVK : warfarine, acénocoumarol, fluindione) dont la toxicité se manifeste principalement par des hémorragies (sous-dosage relatif, interactions, surdosage) et en prévention de la maladie hémorragique du nouveau-né (vitamine K préventive systématique à la naissance). Le complexe prothrombinique (PCC), préparation purifiée des facteurs II, VII, IX et X, complétée des protéines C et S, fut développée dans les années 1960-1970 pour l'antagonisation d'urgence des AVK en situation hémorragique grave (hémorragie cérébrale, hématome compressif, hémorragie digestive active). Sa supériorité sur la vitamine K en termes de délai d'action (minutes contre heures) en fait le traitement de choix de l'urgence hémorragique sous AVK.</w:t>
      </w:r>
    </w:p>
    <w:p>
      <w:r>
        <w:t>Le glucagon, hormone peptidique de 29 acides aminés synthétisée par les cellules α des îlots de Langerhans du pancréas, fut isolé en 1923 par Kimball et Murlin. Son usage comme antidote des β-bloquants et des inhibiteurs calciques (ICA) en surdosage fut théorisé dans les années 1980 à la suite des observations de Love (1980) et de Pollack (1983). Le glucagon contourne le blocage β-adrénergique en activant directement l'adénylate cyclase via son propre récepteur couplé aux protéines Gs, augmentant l'AMPc intracellulaire indépendamment du récepteur β-bloqué. Cette voie de contournement permet de restaurer une inotropie et une chronotropie myocardiques lorsque les catécholamines conventionnelles (isoprénaline, dobutamine, adrénaline) sont inefficaces chez un patient en surdosage β-bloquant massif.</w:t>
      </w:r>
    </w:p>
    <w:p>
      <w:r>
        <w:t>Le calcium intraveineux, sous forme de gluconate ou de chlorure, constitue l'antidote de référence de l'intoxication par les inhibiteurs calciques (vérapamil, diltiazem, amlodipine, nicardipine). En restaurant un gradient calcique transmembranaire suffisant malgré le blocage des canaux calciques voltage-dépendants, le calcium IV restaure une inotropie myocardique et une pression artérielle. Il est typiquement associé à l'insuline/glucose (insulinothérapie hyperglycémique-euglycémique, théorisée par Lheureux en 2004-2006) en cas d'intoxication sévère. L'atropine, alcaloïde tropanique extrait de l'Atropa belladona, fut introduite en thérapeutique dès le XIXᵉ siècle. Son usage comme antidote des organophosphorés (parathion, malathion, sarin, VX) fut formalisé pendant la Seconde Guerre mondiale et la guerre froide. En bloquant de manière compétitive les récepteurs muscariniques, l'atropine antagonise l'effet cholinergique excessif (syndrome cholinergique muscarinique : hypersécrétions, bronchospasme, bradycardie, myosis, fasciculations) responsable de la mortalité immédiate par œdème pulmonaire et défaillance cardiaque. Sa titration jusqu'à sécheresse des sécrétions bronchiques reste l'objectif thérapeutique classique, et l'association systématique à la pralidoxime (réactivateur des cholinestérases) est recommandée en cas d'intoxication organophosphorée confirmée.</w:t>
      </w:r>
    </w:p>
    <w:p>
      <w:r>
        <w:t>Le bleu de méthylène (chlorure de méthylthioninium), synthétisé en 1876 par Heinrich Caro chez BASF, fut le premier médicament synthétique pur utilisé en thérapeutique humaine (Ehrlich, 1891). Son rôle comme antidote de la méthémoglobinémie repose sur sa capacité à réduire la méthémoglobine (Fe3+) en hémoglobine fonctionnelle (Fe2+) via la voie de la NADPH-méthémoglobine réductase, voie accessoire normalement mineure mais activée massivement par le bleu de méthylène. Il est l'antidote des méthémoglobinémies toxiques (nitrites, nitrates, dapsone, anilines, sulfamides, lidocaïne en perfusion prolongée, antipaludéens) et reste contre-indiqué en cas de déficit en G6PD (hémolyse sévère par stress oxydatif) et en cas de syndrome sérotoninergique (interaction avec les ISRS, risquant d'aggraver la décompensation).</w:t>
      </w:r>
    </w:p>
    <w:p>
      <w:r>
        <w:t>L'oxygène médicamenteux, gaz médical classé Liste I en Algérie et disponible en bouteilles de 5, 50 litres et en réservoirs cryogéniques, constitue l'antidote universel de l'intoxication au monoxyde de carbone (CO), première cause de mortalité toxique accidentelle par inhalation en France et dans la plupart des pays industrialisés (chaudières défectueuses, feux de forêt, suicide par gaz d'échappement, incendies domestiques). L'oxygène à 100 % à pression atmosphérique normale (normobare) réduit la demi-vie de la carboxyhémoglobine (COHb) de 320 minutes à l'air ambiant à environ 80 minutes, et l'oxygénothérapie hyperbare (OHB) à 2,5 ATA la réduit à 20-25 minutes. L'OHB, disponible dans quelques centres spécialisés, est indiquée en cas d'intoxication sévère (COHb &gt; 25 %, troubles neurologiques, grossesse, signes d'ischémie myocardique).</w:t>
      </w:r>
    </w:p>
    <w:p>
      <w:r>
        <w:t>La pratique algérienne contemporaine de la toxicologie d'urgence s'appuie sur un socle de dix antidotes disponibles à des degrés divers dans les structures de soins (CHU, EPH, EPH Antoine Béclère Alger, Centre Antipoison d'Algérie créé en 1988). La nomenclature nationale (Avril 2026) recense pour ces dix DCI une soixantaine de spécialités, dont une quarantaine sont actives (commercialisées), tandis que d'autres sont non renouvelables (commercialisation suspendue transitoirement) ou définitivement retirées du marché. Cette diversité de statuts reflète la dynamique du marché pharmaceutique national, marquée par le retrait progressif des princeps historiques internationaux (Konakion Roche, Octaplex, Glucagen Novo Nordisk, Bleu de méthylène, Ledermine, Mucomyst) et l'émergence de producteurs locaux (SARL Aures Gaz, Saidal, Frater Razes, Inpha-Medis, El Kendi, Liorad) et régionaux (Mylan SAS, Novo Nordisk, Octapharma, Zambon, Bayer Healthcare, Piramal) qui assurent désormais l'essentiel de l'approvisionnement.</w:t>
      </w:r>
    </w:p>
    <w:p>
      <w:r>
        <w:t xml:space="preserve">L'enseignement des antidotes doit intégrer quatre dimensions complémentaires. </w:t>
      </w:r>
      <w:r>
        <w:rPr>
          <w:b/>
        </w:rPr>
        <w:t>Pharmacodynamie</w:t>
      </w:r>
      <w:r>
        <w:t xml:space="preserve"> : chaque antidote possède une cible moléculaire précise (récepteurs opioïdes μ pour la naloxone, restauration du glutathion pour la NAC, bypass DHFR pour le folinate, cofacteur γ-carboxylase pour la phytoménadione, apport direct des facteurs pour le PCC, activation AC pour le glucagon, stabilisation membranaire pour le calcium, blocage muscarinique pour l'atropine, réduction de la MetHb pour le bleu de méthylène, déplacement de l'hémoglobine pour l'oxygène). </w:t>
      </w:r>
      <w:r>
        <w:rPr>
          <w:b/>
        </w:rPr>
        <w:t>Pharmacocinétique</w:t>
      </w:r>
      <w:r>
        <w:t xml:space="preserve"> : la demi-vie courte de la naloxone (30-90 min) impose la surveillance prolongée pour détecter une resurdose opioïde ; la fenêtre thérapeutique de 8 heures pour la NAC après ingestion de paracétamol conditionne son efficacité ; la cinétique du folinate doit couvrir au moins 48-72 heures après MTX haute dose ; le délai d'action du PCC (10-30 minutes) est nettement supérieur à celui de la vitamine K (6-12 heures), justifiant leur association. </w:t>
      </w:r>
      <w:r>
        <w:rPr>
          <w:b/>
        </w:rPr>
        <w:t>Sécurité d'emploi</w:t>
      </w:r>
      <w:r>
        <w:t xml:space="preserve"> : la naloxone peut précipiter un syndrome de sevrage aigu ; la NAC provoque des réactions anaphylactoïdes (flush, bronchospasme) dans 10-20 % des cas, surtout en cas de perfusion rapide ; le folinate est contre-indiqué avec le 5-FU en association séquentielle ; la phytoménadione IV expose à un risque anaphylactique sévère (préférer la voie IM) ; le PCC est thrombogène (risque d'EVP, d'infarctus, d'AVC ischémique) ; le glucagon provoque nausées et vomissements (favorisant l'inhalation) ; le calcium IV rapide expose à des troubles du rythme et à une toxicité digitalique ; l'atropine à dose toxique provoque un syndrome atropinique (psychose atropinique, hyperthermie, iléus paralytique, tachycardie ventriculaire) ; le bleu de méthylène est contre-indiqué dans le déficit G6PD (hémolyse) et le syndrome sérotoninergique ; l'oxygène hyperbare expose à un risque de barotraumatisme et d'intoxication à l'oxygène (convulsions, syndrome de Paul Bert). </w:t>
      </w:r>
      <w:r>
        <w:rPr>
          <w:b/>
        </w:rPr>
        <w:t>Contexte réglementaire</w:t>
      </w:r>
      <w:r>
        <w:t xml:space="preserve"> : la plupart des antidotes sont inscrits sur la Liste I (substances vénéneuses) et leur prescription est hospitalière ; certains sont soumis à des protocoles d'urgence (réanimation) et à la traçabilité des doses.</w:t>
      </w:r>
    </w:p>
    <w:p>
      <w:r>
        <w:t>La structure de ce chapitre suit la logique pharmacologique classique : antagonistes opioïdes, antidotes métaboliques (paracétamol, méthotrexate), antidotes hémostatiques (AVK), antidotes cardiologiques (hypoglycémie/β-bloquants, antagonistes calciques), antidotes cholinergiques (organophosphorés), antidotes hématologiques (méthémoglobinémie) et antidotes gazeux (oxyde de carbone). Chaque DCI fait l'objet d'une fiche structurée en douze sections standardisées, intégrant le tableau exhaustif des spécialités disponibles en Algérie, le mécanisme d'action moléculaire et cellulaire, le profil pharmacocinétique, les indications et contre-indications, les effets indésirables et leur prévention, les interactions médicamenteuses, les données CRAT sur la grossesse et l'allaitement, la posologie détaillée par indication, l'arbitrage des formes galéniques disponibles, les conseils au patient, et les pièges au comptoir regroupés en règles d'or pédagogiques. Une table comparative synthétise en fin de chapitre les caractéristiques clés des dix molécules, suivie d'une synthèse transversale destinée à l'étudiant en pharmacie et au médecin prescripteur.</w:t>
      </w:r>
    </w:p>
    <w:p>
      <w:pPr>
        <w:pStyle w:val="Heading2"/>
      </w:pPr>
      <w:r>
        <w:t>191.1 Sous-classe : Antidotes — Antagonistes opioïdes (Naloxone)</w:t>
      </w:r>
    </w:p>
    <w:p>
      <w:r>
        <w:t>Les antagonistes opioïdes constituent une sous-classe pharmacologique homogène dont la cible commune est le récepteur opioïde μ (MOR), principal responsable des effets dépresseurs respiratoires des opioïdes. Cette sous-classe s'est individualisée à la fin des années 1960 grâce à la synthèse de la naloxone par Jack Fishman chez Endo Laboratories (1961), suivie de la naltrexone (1965) puis de la méthyl-naltrexone (1990). La naloxone, seul antagoniste opioïde pur disponible en Algérie à la date de cette nomenclature, est le prototype pharmacologique de l'antidote : antagoniste compétitif pur, dépourvu d'activité agoniste intrinsèque, capable de déplacer l'opioïde de son récepteur et de réverser en quelques secondes la dépression respiratoire caractéristique de l'intoxication morphinique.</w:t>
      </w:r>
    </w:p>
    <w:p>
      <w:r>
        <w:t>Le profil pharmacologique de la naloxone associe une entrée d'action très rapide (1-2 minutes en IV, 2-5 minutes en IM/SC), une durée d'action courte (30-90 minutes) liée à une redistribution tissulaire massive, et une puissance d'antagonisation considérable (Ki μ ≈ 1,5 nM). Ces propriétés en font l'antidote de choix pour le réveil d'un patient comateux par intoxication opioïde (héroïne, morphine, fentanyl, codéine, oxycodone, hydromorphone, tramadol, méthadone). Cependant, la naloxone n'est pas dénuée de risques. Sa demi-vie courte (60-90 minutes) est nettement inférieure à la durée d'action de la plupart des opioïdes responsables de l'intoxication (morphine 4-6 h, méthadone 24-48 h, fentanyl 6-12 h en patch, tramadol 6-8 h), ce qui expose au risque de « resurdose » (récidive de la dépression respiratoire après disparition de l'effet de la naloxone) et impose une surveillance prolongée (au moins 4-6 heures après la dernière dose).</w:t>
      </w:r>
    </w:p>
    <w:p>
      <w:r>
        <w:t>En Algérie, la naloxone reste disponible sous une seule spécialité active : Naloxone Mylan (Mylan SAS), en solution injectable IM/IV/SC dosée à 0,4 mg/mL, en boîtes de 10 ampoules de 1 mL. La molécule est inscrite sur la Liste I des substances vénéneuses et fait l'objet d'une prescription hospitalière stricte en pratique clinique courante. La naloxone n'est pas disponible en spray nasal (commercialisé aux États-Unis et en France sous les noms de Narcan Nasal Spray, Nyxoid, Prenoxad), ce qui constitue une limite à la prévention des overdoses mortelles dans la communauté des usagers de drogues injectables en Algérie, où l'héroïne et ses dérivés restent responsables d'une mortalité non négligeable en milieu urbain (Alger, Oran, Constantine).</w:t>
      </w:r>
    </w:p>
    <w:p>
      <w:pPr>
        <w:pStyle w:val="Heading2"/>
      </w:pPr>
      <w:r>
        <w:t>191.2 Sous-classe : Antidotes — Antidote du paracétamol (N-Acétylcystéine)</w:t>
      </w:r>
    </w:p>
    <w:p>
      <w:r>
        <w:t>La N-acétylcystéine (NAC), dérivée de la L-cystéine naturelle par acétylation du groupement thiol libre, est l'antidote de référence de l'intoxication par le paracétamol (acétaminophène). Cette sous-classe ne comporte qu'une seule molécule en pratique clinique courante : la NAC, commercialisée sous plusieurs formes galéniques (granulés pour solution buvable, solution injectable IV, solution pour nébulisation). L'usage de la NAC comme antidote hépatotoxique repose sur des travaux fondamentaux publiés en 1973-1974 par Mitchell et Jollow au National Institutes of Health, qui ont démontré que la toxicité hépatique du paracétamol provenait non pas de la molécule parente mais de son métabolite réactif, la N-acétyl-p-benzoquinone-imine (NAPQI), détoxifiée normalement par conjugaison avec le glutathion hépatique. En cas de surdose, les stocks de glutathion sont épuisés, le NAPQI se conjugue aux protéines hépatocytaires et induit une nécrose centrolobulaire massive évoluant vers l'insuffisance hépatique fulminante.</w:t>
      </w:r>
    </w:p>
    <w:p>
      <w:r>
        <w:t>Le profil pharmacologique de la NAC comme antidote repose sur sa double fonction : (i) précurseur direct du glutathion, restaurant les stocks hépatiques et permettant la détoxification du NAPQI ; (ii) action antioxydante propre, sulfureuse, capable de piéger les radicaux libres. La NAC est administrée par voie IV (protocole classique 300 mg/kg en 21 heures : 150 mg/kg sur 1 h puis 50 mg/kg sur 4 h puis 100 mg/kg sur 16 h) ou par voie orale (protocole classique 1330 mg/kg en 72 heures). L'efficacité de la NAC est maximale si elle est administrée dans les 8 heures qui suivent l'ingestion (réduction de la mortalité à moins de 1 % contre 10 % sans antidote) ; son utilité persiste au-delà, même à un stade d'insuffisance hépatique constituée (effet antioxydant, amélioration de l'hémodynamique splanchnique, restoration du facteur de coagulation).</w:t>
      </w:r>
    </w:p>
    <w:p>
      <w:r>
        <w:t>En Algérie, la NAC est disponible sous plusieurs spécialités en forme mucomodulatrice (granulés pour solution buvable) destinés à l'usage mucolytique (Acetylcystéine BGL, Fluimicil, Solmucol 200, Fluimex), mais pas sous la forme injectable spécifique à l'antidote paracétamol. Cette lacune expose les praticiens algériens à devoir utiliser la forme orale (efficace mais moins pratique en urgence, et difficile en cas de vomissements) ou à recourir à l'importation exceptionnelle de la forme IV. La NAC reste donc un antidote à connaître absolument, mais sa disponibilité en Algérie comme antidote IV reste un point d'amélioration identifié par les sociétés savantes nationales.</w:t>
      </w:r>
    </w:p>
    <w:p>
      <w:pPr>
        <w:pStyle w:val="Heading2"/>
      </w:pPr>
      <w:r>
        <w:t>191.3 Sous-classe : Antidotes — Antidote du méthotrexate (Folinate de calcium)</w:t>
      </w:r>
    </w:p>
    <w:p>
      <w:r>
        <w:t>Le folinate de calcium (acide folinique, leucovorine), forme N5-formyl-tétrahydrofolate du folate, est l'antidote spécifique de l'intoxication par le méthotrexate (MTX) à haute dose et le « rescue » systématique des protocoles oncologiques de chimiothérapie. Cette sous-classe ne comporte qu'une seule molécule en pratique clinique courante : le folinate de calcium, sel calcique de l'acide folinique. L'usage du folinate comme antidote repose sur la bypass pharmacologique de l'inhibition de la dihydrofolate réductase (DHFR) par le méthotrexate, qui bloque la conversion du dihydrofolate (DHF) en tétrahydrofolate (THF), précurseur du N5,N10-méthylène-THF nécessaire à la synthèse de l'ADN (via la thymidylate synthase) et des purines (via la glycinamide ribonucléotide transformylase).</w:t>
      </w:r>
    </w:p>
    <w:p>
      <w:r>
        <w:t>Le profil pharmacologique du folinate repose sur sa conversion cellulaire rapide en N5,N10-méthylène-THF, qui rétablit la synthèse de l'ADN et des purines indépendamment de la DHFR. Le folinate est ainsi capable de protéger les cellules saines (moelle osseuse, muqueuses digestives) de la toxicité du MTX, sans compromettre significativement la cytotoxicité antitumorale si la dose et le timing sont corrects (rescue débuté 24h après la fin du MTX, prolongé jusqu'à ce que la MTXémie &lt; 0,1 µM). Le folinate est également indiqué en cas de surdosage accidentel ou d'intoxication volontaire au MTX, et dans le traitement palliatif de certaines carences en folates résistantes à l'acide folique seul (carence en DHFR congenitale rare).</w:t>
      </w:r>
    </w:p>
    <w:p>
      <w:r>
        <w:t>En Algérie, le folinate de calcium reste disponible sous une spécialité active : Razifoline (Frater Razes Forme Sèche), en solution injectable IV et IM ou perfusion, dosée à 10 mg/mL, en boîtes de 5 ampoules de 5 mL (50 mg/5 mL) et de 5 ampoules de 10 mL (100 mg/10 mL). La molécule n'est pas inscrite sur la Liste I mais reste soumise à prescription médicale stricte en oncologie. Les formes historiques Lederfoline (Wyeth Lederle) en solution injectable 5 mg/2 mL et en poudre pour solution injectable 50 mg/5 mL sont non renouvelables, et les spécialités Calcium Folinate Ebewe (solution injectable 10 mg/mL et gélules 15 mg) sont définitivement retirées du marché algérien.</w:t>
      </w:r>
    </w:p>
    <w:p>
      <w:pPr>
        <w:pStyle w:val="Heading2"/>
      </w:pPr>
      <w:r>
        <w:t>191.4 Sous-classe : Antidotes — Antidote des antivitamines K (Phytoménadione, Vitamine K1)</w:t>
      </w:r>
    </w:p>
    <w:p>
      <w:r>
        <w:t>Les antivitamines K (AVK : warfarine, acénocoumarol, fluindione) restent les anticoagulants oraux les plus prescrits au monde, en raison de leur faible coût et de leur efficacité démontrée dans la prévention des accidents thromboemboliques (fibrillation auriculaire, valve mécanique, phlébite, embolie pulmonaire). Leur mécanisme commun consiste à inhiber la vitamine K époxyde réductase (VKORC1), empêchant la régénération de la vitamine K hydroquinone active, cofacteur essentiel de la γ-carboxylase hépatique qui carboxyle les résidus glutamiques des facteurs II (prothrombine), VII, IX et X de la coagulation (ainsi que des protéines C et S anticoagulantes). L'antidote spécifique de cette classe d'anticoagulants est la phytoménadione (vitamine K1), qui restaure les stocks hépatiques de vitamine K active et permet la synthèse de facteurs de coagulation fonctionnels.</w:t>
      </w:r>
    </w:p>
    <w:p>
      <w:r>
        <w:t>Le profil pharmacologique de la phytoménadione repose sur son rôle de cofacteur de la γ-carboxylase : la vitamine K1 hydroquinone permet la carboxylation des résidus glutamyl des facteurs vitamine-K-dépendants (II, VII, IX, X, protéines C et S), transformant les précurseurs inactifs (PIVKA : proteins induced by vitamin K absence) en facteurs actifs capables de fixer le calcium et les membranes phospholipidiques. La phytoménadione est l'antidote de référence du surdosage en AVK asymptomatique ou modérément hémorragique (INR &gt; 5 ou hémorragie mineure) ; elle agit en 6-12 heures par voie orale, en 4-6 heures par voie IM, en 2-6 heures par voie IV (à perfuser lentement en raison d'un risque d'anaphylaxie rare mais grave).</w:t>
      </w:r>
    </w:p>
    <w:p>
      <w:r>
        <w:t>En Algérie, la phytoménadione reste disponible sous une seule spécialité active : Razidione K1 (Les Laboratoires Frater Razes), en solution buvable et injectable IV ou IM, dosée à 10 mg/mL, en boîtes de 5 et 50 ampoules de 1 mL. La molécule est inscrite sur la Liste I des substances vénéneuses et fait l'objet d'une prescription hospitalière stricte en pratique d'urgence. Les formes historiques Konakion MM (Hoffmann-La Roche) en solution injectable IV 10 mg/mL, Konakion (Roche) en comprimés enrobés à croquer 10 mg, Weravit K1 (Weimer Pharma) en solution injectable 10 mg/mL, Phytoménadine (Biologici Italia) en solution injectable 10 mg/mL et Vitamine K1 Roche en émulsion buvable en gouttes 20 mg/mL sont retirées du marché algérien. Le Razidione K1 (Frater Razes) constitue ainsi l'unique option nationale pour l'antagonisation des AVK.</w:t>
      </w:r>
    </w:p>
    <w:p>
      <w:pPr>
        <w:pStyle w:val="Heading2"/>
      </w:pPr>
      <w:r>
        <w:t>191.5 Sous-classe : Antidotes — Antidote d'urgence des AVK (Complexe prothrombinique, PCC)</w:t>
      </w:r>
    </w:p>
    <w:p>
      <w:r>
        <w:t>Le complexe prothrombinique concentré (PCC), préparation purifiée des facteurs vitamine-K-dépendants II, VII, IX et X, complétée des protéines C et S et de l'héparine, est l'antidote d'urgence des hémorragies graves sous antivitamines K (AVK). Cette sous-classe ne comporte qu'une seule molécule en pratique clinique courante : le PCC, commercialisé sous diverses spécialités internationales (Octaplex, Beriplex, Kcentric, Confidex). L'usage du PCC repose sur l'apport direct des facteurs de coagulation déficitaires induits par les AVK, permettant une correction quasi-immédiate (10-30 minutes) de l'INR, contre 6-12 heures pour la vitamine K1 seule.</w:t>
      </w:r>
    </w:p>
    <w:p>
      <w:r>
        <w:t>Le profil pharmacologique du PCC repose sur l'apport massif des facteurs II, VII, IX et X, qui sont immédiatement disponibles pour la coagulation sans dépendre de la synthèse hépatique (qui nécessite 6-12 h pour la vitamine K1). Cette rapidité d'action en fait le traitement de choix de l'hémorragie grave sous AVK : hémorragie cérébrale (où chaque minute d'INR &gt; 1,5 aggrave le pronostic), hématome compressif, hémorragie digestive active, hémorragie rétropéritonéale, choc hémorragique. Le PCC est systématiquement associé à la vitamine K1 (10 mg IV lent), qui assure la synthèse de novo des facteurs sur la durée (24-48 h), tandis que le PCC assure la correction immédiate. Le PCC expose cependant à un risque thromboembolique non négligeable (2-7 % selon les séries), notamment chez les patients aux antécédents thrombotiques, en post-opératoire ou en cas de surdosage.</w:t>
      </w:r>
    </w:p>
    <w:p>
      <w:r>
        <w:t>En Algérie, le PCC reste disponible sous une seule spécialité active : Octaplex (Octapharma Pharmazeutika Produktionsges.m.b.H.), en poudre et solvant pour solution pour perfusion, dosée à 500 UI, en boîtes de 1 flacon de poudre + 1 flacon de solvant de 20 mL. La molécule est inscrite sur la Liste I des substances vénéneuses et fait l'objet d'une prescription hospitalière stricte en pratique d'urgence hémorragique. Aucune alternative nationale ou régionale n'est actuellement disponible sur le marché algérien pour cette classe d'antidote, ce qui en fait une molécule à sécuriser en termes de stockage et de disponibilité.</w:t>
      </w:r>
    </w:p>
    <w:p>
      <w:pPr>
        <w:pStyle w:val="Heading2"/>
      </w:pPr>
      <w:r>
        <w:t>191.6 Sous-classe : Antidotes — Antidote de l'hypoglycémie et des β-bloquants (Glucagon)</w:t>
      </w:r>
    </w:p>
    <w:p>
      <w:r>
        <w:t>Le glucagon, hormone peptidique de 29 acides aminés synthétisée par les cellules α des îlots de Langerhans du pancréas endocrine, est l'antidote de référence de l'hypoglycémie sévère (coma hypoglycémique) en l'absence de voie veineuse d'abord, et le traitement de seconde ligne des surdosages en β-bloquants et en inhibiteurs calciques (ICA). Cette sous-classe ne comporte qu'une seule molécule en pratique clinique courante : le glucagon recombinant, commercialisé sous diverses spécialités internationales (Glucagen, GlucaGen Hypokit, Baqsimi). L'usage du glucagon comme antidote repose sur la bypass du récepteur β-adrénergique bloqué : le glucagon active directement l'adénylate cyclase via son propre récepteur couplé aux protéines Gs, augmentant l'AMPc intracellulaire indépendamment du récepteur β-bloqué, ce qui restaure une inotropie et une chronotropie myocardiques.</w:t>
      </w:r>
    </w:p>
    <w:p>
      <w:r>
        <w:t>Le profil pharmacologique du glucagon repose sur la stimulation de la glycogénolyse hépatique (effet hyperglycémiant puissant, délai 5-15 minutes IM/SC), la relaxation du muscle lisse digestif (effet antispastique), et la stimulation de l'inotropie et de la chronotropie cardiaques (via l'AMPc indépendamment du récepteur β). Le glucagon est ainsi indiqué (i) en urgence hypoglycémique sévère hors voie veineuse (1 mg IM/SC chez l'adulte, 0,5 mg chez l'enfant &lt; 25 kg), (ii) en surdosage β-bloquant massif avec défaillance hémodynamique (5-10 mg IV puis perfusion 1-5 mg/h), (iii) en surdosage inhibiteur calcique avec choc réfractaire aux catécholamines (mêmes doses, en association avec l'insuline/glucose). Le glucagon provoque des nausées et vomissements (effet émétisant central), ce qui expose au risque d'inhalation chez un patient comateux (intubation préventive discutée), et une hyperglycémie transitoire (sans gravité, mais complique le monitorage glycémique en cas d'association ICA).</w:t>
      </w:r>
    </w:p>
    <w:p>
      <w:r>
        <w:t>En Algérie, le glucagon reste disponible sous une seule spécialité active : Glucagen Hypokit (Novo Nordisk), en poudre et solvant pour solution injectable, dosée à 1 mg/mL, en boîtes de 1 flacon de poudre + 1 seringue de 1 mL de solvant. La molécule est inscrite sur la Liste I des substances vénéneuses et fait l'objet d'une prescription hospitalière stricte en pratique d'urgence. La spécialité historique Glucagen (Novo Nordisk) en lyophilisat et solvant pour usage parentéral SC/IM/IV est non renouvelable. Aucune forme nasale (Baqsimi) ni sous-cutanée stabilisée n'est actuellement disponible en Algérie.</w:t>
      </w:r>
    </w:p>
    <w:p>
      <w:pPr>
        <w:pStyle w:val="Heading2"/>
      </w:pPr>
      <w:r>
        <w:t>191.7 Sous-classe : Antidotes — Antagonistes calciques (Calcium)</w:t>
      </w:r>
    </w:p>
    <w:p>
      <w:r>
        <w:t>Le calcium intraveineux, sous forme de gluconate de calcium (préféré en cas de voie veineuse périphérique, moins irritant) ou de chlorure de calcium (réservé à la voie veineuse centrale en raison de son caractère irritant et de son risque de nécrose en cas d'extravasation), est l'antidote de référence de l'intoxication par les inhibiteurs calciques (ICA : vérapamil, diltiazem, amlodipine, nicardipine, nimodipine, félodipine, lacidipine). Cette sous-classe ne comporte qu'une seule molécule en pratique clinique courante : le calcium IV, administré à des doses pharmacologiques supraphysiologiques pour surmonter le blocage des canaux calciques voltage-dépendants (L-type) induit par les ICA en surdosage.</w:t>
      </w:r>
    </w:p>
    <w:p>
      <w:r>
        <w:t>Le profil pharmacologique du calcium IV comme antidote repose sur la restoration du gradient calcique transmembranaire et de l'influx calcique intracellulaire indispensable à la contraction myocardique (couplage excitation-contraction) et au tonus vasculaire. Le calcium IV restaure une inotropie positive et une vasoconstriction systémique, contrecarrant l'effet dépresseur myocardique et vasodilatateur des ICA en surdosage. Il est typiquement administré en bolus IV lent (chlorure de calcium 10 % : 10-20 mL soit 1-2 g ; gluconate de calcium 10 % : 30-60 mL soit 3-6 g), relayé éventuellement par une perfusion d'entretien (gluconate de calcium 1-2 g/h). Le calcium IV est associé systématiquement à l'insulinothérapie hyperglycémique-euglycémique (insuline régulière 1 UI/kg en bolus puis 0,5-1 UI/kg/h, associée à un apport glucosé adapté pour maintenir la glycémie 7-11 mmol/L) en cas d'intoxication sévère ICA, protocole théorisé par Lheureux et coll. (2004-2006).</w:t>
      </w:r>
    </w:p>
    <w:p>
      <w:r>
        <w:t>En Algérie, le calcium IV reste disponible sous une spécialité active adaptée à l'urgence toxicologique : Calcipack (Industries Medico-Chirurgicales IMC), en solution injectable IV à diluer, dosée à 10 g/100 mL (10 %), en boîtes de 50 ampoules de 10 mL. La molécule n'est pas inscrite sur la Liste I mais reste soumise à prescription médicale stricte en pratique d'urgence. La spécialité historique Calcium Chlorure (Renaudin) en solution injectable IV 0,1 est non renouvelable, ainsi que Calcibronat (Novartis) en solution injectable IV 124 mg/mL, Calcium-Medifa en solution injectable IV 0,6875 g/5 mL et Calcium Sandoz (effervescent) qui sont retirées du marché. Les multiples formes orales de calcium disponibles (Calcios, Calcium BR, Calperos, Kalcitab, Ossecal, Calcium API, IDEOS, etc.) ne sont pas adaptées à l'urgence toxicologique (effet trop lent, biodisponibilité variable), mais illustrent l'importance de cette classe en supplémentation osseuse.</w:t>
      </w:r>
    </w:p>
    <w:p>
      <w:pPr>
        <w:pStyle w:val="Heading2"/>
      </w:pPr>
      <w:r>
        <w:t>191.8 Sous-classe : Antidotes — Intoxication par organophosphorés (Atropine)</w:t>
      </w:r>
    </w:p>
    <w:p>
      <w:r>
        <w:t>L'atropine, alcaloïde tropanique extrait de l'Atropa belladona (belladone) et d'autres Solanacées (Datura stramonium, Hyoscyamus niger), est l'antidote de référence de l'intoxication par les organophosphorés (pesticides anticholinestérasiques : parathion, malathion, diazinon, chlorpyrifos ; neurotoxiques de guerre : sarin, soman, tabun, VX). Cette sous-classe d'antidotes inclut également la pralidoxime (réactivateur des cholinestérases, non disponible en Algérie à la date de cette nomenclature) et l'hyoscine/scopolamine (antimuscarinique apparenté, utilisé essentiellement en anesthésie et prévention du mal des transports). L'atropine est le pilier de l'antagonisation cholinergique dans les intoxications organophosphorées, qui restent responsables d'une mortalité mondiale élevée (estimée à 200 000 morts par an, dont la majorité par suicide rural dans les pays en développement).</w:t>
      </w:r>
    </w:p>
    <w:p>
      <w:r>
        <w:t>Le profil pharmacologique de l'atropine repose sur le blocage compétitif des récepteurs muscariniques de l'acétylcholine (M1, M2, M3), empêchant l'accumulation excessive d'acétylcholine au niveau des synapses parasympathiques, ganglions autonomes et jonctions neuroeffectrices (organophosphorés inhibent les cholinestérases qui dégradent l'acétylcholine). L'atropine antagonise spécifiquement le syndrome muscarinique (hypersécrétions bronchique et salivaire, bronchospasme, bradycardie, myosis, hypotension, vomiting, diarrhée, miction, larmoiement - mnémonique SLUDGE/BBB - ou DUMBELS en anglais), mais n'a pas d'effet sur le syndrome nicotinique (fasciculations, paralysie, tachycardie, hypertension, mydriase) ni sur le syndrome central (convulsions, coma). Son administration en titration IV répétée (1-2 mg IV chez l'adulte, 0,02 mg/kg chez l'enfant, toutes les 5-15 minutes) jusqu'à sécheresse des sécrétions bronchiques et FC &gt; 80/min reste la cible thérapeutique classique.</w:t>
      </w:r>
    </w:p>
    <w:p>
      <w:r>
        <w:t>En Algérie, l'atropine utilisée comme antidote en urgence toxicologique n'est pas disponible sous une forme injectable spécifique (solution injectable 0,5-1 mg/mL) à la date de cette nomenclature. Les spécialités répertoriées sont des collyres à usage ophtalmologique (Apitropin, Cropine), disponibles en concentrations 0,005 % et 0,01 %, utilisés en mydriatique et cycloplégique en examen ophtalmologique. Cette lacune expose les praticiens algériens à devoir importer exceptionnellement la forme injectable (Atropine Aguettant, Atropine Sulfate 1 mg/mL) ou à recourir à des formes hospitalières magistrales. Les collyres atropiniques historiques (Atropine Alcon, Colircusi Atropine Cusi, Midrisol Abdi Ibrahim, Atropine Medicuba) sont retirés du marché algérien. Cette situation constitue une priorité d'amélioration identifiée par les sociétés savantes nationales.</w:t>
      </w:r>
    </w:p>
    <w:p>
      <w:pPr>
        <w:pStyle w:val="Heading2"/>
      </w:pPr>
      <w:r>
        <w:t>191.9 Sous-classe : Antidotes — Méthémoglobinémie (Bleu de méthylène)</w:t>
      </w:r>
    </w:p>
    <w:p>
      <w:r>
        <w:t>Le bleu de méthylène (chlorure de méthylthioninium), colorant synthétique de la famille des thiazines découvert en 1876 par Heinrich Caro chez BASF, est l'antidote de référence de la méthémoglobinémie toxique. Cette sous-classe d'antidotes ne comporte qu'une seule molécule en pratique clinique courante : le bleu de méthylène, administré par voie IV à dose faible (1-2 mg/kg) pour réduire la méthémoglobine (Fe3+) en hémoglobine fonctionnelle (Fe2+) via la voie accessoire de la NADPH-méthémoglobine réductase. La méthémoglobinémie toxique est causée par l'exposition à des agents oxydants puissants : nitrites (poppers, intoxication alimentaire par eau de puits contaminée, antidote du cyanure en association avec le thiosulfate), nitrates (eau de boisson, notamment chez le nourrisson : maladie bleue du biberon), dapsone (méthémoglobinémie dose-dépendante chez 10-20 % des patients traités), anilines et dérivés nitrés (chimie industrielle), sulfamides (rare), antipaludéens (chloroquine, primaquine), lidocaïne en perfusion prolongée, crème anesthésique EMLA en application étendue.</w:t>
      </w:r>
    </w:p>
    <w:p>
      <w:r>
        <w:t>Le profil pharmacologique du bleu de méthylène repose sur sa capacité à activer la voie accessoire de la NADPH-méthémoglobine réductase (diaphorase I), normalement mineure (&lt; 5 % de la réduction de la MetHb) mais qui devient prédominante en présence de bleu de méthylène comme cofacteur. Le bleu de méthylène est réduit en leucoblu (leukométhylèneion), qui transfère ses électrons à la méthémoglobine (Fe3+) pour la réduire en hémoglobine fonctionnelle (Fe2+). Le bleu de méthylène est ainsi rapidement efficace (effet en 30-60 minutes, dose 1-2 mg/kg IV). Cependant, le bleu de méthylène est contre-indiqué en cas de déficit en G6PD (la voie NADPH-MetHb-réductase est dépendante du NADPH issu de la voie des pentoses phosphates, elle-même dépendante du G6PD ; le bleu de méthylène devient alors un agent oxydant qui aggrave la méthémoglobinémie et provoque une hémolyse sévère). Il est également contre-indiqué en cas de syndrome sérotoninergique (le bleu de méthylène est un inhibiteur réversible de la MAO-A, et peut aggraver la décompensation sérotoninergique en association avec les ISRS, IMAO, tramadol, triptans, méthylénedioxy-méthamphétamine (MDMA)).</w:t>
      </w:r>
    </w:p>
    <w:p>
      <w:r>
        <w:t>En Algérie, le bleu de méthylène reste disponible sous une spécialité active : Bleu de Méthylène (Rhumel Pharm), en solution pour usage externe, dosée à 0,01 (soit 0,01 g/100 mL = 0,1 mg/mL, formulation classique pour application dermatologique), en flacons de 100 mL. Cette formulation n'est pas adaptée à l'usage IV (trop diluée, formulation non stérile au standard IV), et la spécialité historique Collyre Bleu Laiter (Leurquin Mediolanum), en collyre dosé à 2 mg/5 mg, est retirée du marché. Cette lacune expose les praticiens algériens à devoir importer exceptionnellement la forme IV (Bleu de Méthylène Aguettant 5 mg/mL, Proveblue 5 mg/mL). Cette situation constitue une priorité d'amélioration identifiée par les sociétés savantes nationales.</w:t>
      </w:r>
    </w:p>
    <w:p>
      <w:pPr>
        <w:pStyle w:val="Heading2"/>
      </w:pPr>
      <w:r>
        <w:t>191.10 Sous-classe : Antidotes — Intoxication au monoxyde de carbone (Oxygène)</w:t>
      </w:r>
    </w:p>
    <w:p>
      <w:r>
        <w:t>L'oxygène médicamenteux, gaz médical classé Liste I en Algérie et disponible en bouteilles de 5, 50 litres et en réservoirs cryogéniques de 7 000 à 26 000 litres, est l'antidote universel de l'intoxication au monoxyde de carbone (CO), première cause de mortalité toxique accidentelle par inhalation dans la plupart des pays industrialisés (chaudières défectueuses, feux de forêt, suicide par gaz d'échappement, incendies domestiques, braseros en espace clos, barbecue en tente, intoxications collectives en collectivité). Cette sous-classe d'antidotes gazeux ne comporte qu'une seule molécule en pratique clinique courante : l'oxygène médicamenteux O2 (pureté ≥ 99,5 %), administré par inhalation à concentrations variables (FiO2) et à pressions variables (normobare ou hyperbare).</w:t>
      </w:r>
    </w:p>
    <w:p>
      <w:r>
        <w:t>Le profil pharmacologique de l'oxygène comme antidote du CO repose sur le déplacement compétitif du CO de son site de fixation sur l'hémoglobine (le CO a une affinité 210-250 fois supérieure à l'O2 pour l'hémoglobine, formant la carboxyhémoglobine COHb), et sur la restauration de l'apport tissulaire en O2. L'oxygène à 100 % à pression atmosphérique normale (normobare, FiO2 = 1) réduit la demi-vie de la COHb de 320 minutes à l'air ambiant (FiO2 = 0,21) à environ 80 minutes. L'oxygénothérapie hyperbare (OHB) à 2,5 ATA (atmosphères absolues) la réduit à 20-25 minutes et augmente significativement l'oxygénation tissulaire dissous (l'O2 dissous dans le plasma à 2,5 ATA atteint 6 vol %, suffisant pour couvrir les besoins métaboliques de base indépendamment de l'hémoglobine). L'oxygène est également indiqué dans d'autres intoxications (cyanure en association avec le thiosulfate et l'hydroxocobalamine, sulfure d'hydrogène, monoamines), dans la décompression (maladie de décompression, embolie gazeuse iatrogène), dans l'air gas embolism, et dans certaines infections anaérobies (gangrène gazeuse, ostéomyélite chronique, radiosensibilisation tumorale).</w:t>
      </w:r>
    </w:p>
    <w:p>
      <w:r>
        <w:t>En Algérie, l'oxygène médicamenteux reste disponible sous plusieurs spécialités actives, reflétant la diversité des producteurs et distributeurs nationaux : Oxygène Gazeux (SARL Aures Gaz), Oxygène Medicinal 200 Bar (Sidal SPA), Oxygène Medicinal Gazeux (Gaz Industriels SARL), Oxygène Medicinal Gazeux Linde (Linde Gas Algerie), Oxygène Medicinal Liquide (Sidal SPA), Oxygène Medicinal Liquide Calgaz Algerie (Calgaz Algerie/EURL), Raynox GOX (Rayanox), Oxygène Medicinal (SARL Aures Gaz, pureté ≥ 99,95 %), Oxygène Medicinal Liquide Linde Gas Algerie, et Rayanox (SARL Rayanox). Cette diversité de l'offre reflète la maturité du marché industriel des gaz médicaux en Algérie, où plusieurs acteurs nationaux (SARL Aures Gaz, Sidal, Gaz Industriels SARL, Rayanox) et internationaux (Linde Gas Algerie, Calgaz Algerie) se partagent un secteur stratégique. Aucun centre d'oxygénothérapie hyperbare (caisson hyperbare) n'est clairement répertorié comme centre public de référence en Algérie à la date de cette nomenclature, ce qui constitue une limite majeure à la prise en charge des intoxications graves au CO et des accidents de décompression. L'oxygène normobare (FiO2 = 1) reste l'antidote disponible en pratique d'urgence algérienne.</w:t>
      </w:r>
    </w:p>
    <w:p>
      <w:pPr>
        <w:pStyle w:val="Heading2"/>
      </w:pPr>
      <w:r>
        <w:t>191.11 DCI 1 : Naloxone (Antagoniste opioïde)</w:t>
      </w:r>
    </w:p>
    <w:p>
      <w:pPr>
        <w:pStyle w:val="Heading3"/>
      </w:pPr>
      <w:r>
        <w:t>191.11.1 Liste des catégories thérapeutiques et statut réglementaire</w:t>
      </w:r>
    </w:p>
    <w:p>
      <w:r>
        <w:t>La naloxone appartient à la classe pharmacologique des antagonistes opioïdes (code ATC : V03AB15 — antidotes, antagonistes opioïdes). Elle est inscrite sur la Liste I des substances vénéneuses en Algérie, ce qui impose prescription médicale obligatoire, délivrance exclusivement pharmaceutique, stockage en armoire sécurisée et traçabilité des ampoules. La naloxone figure également sur la liste des médicaments essentiels de l'OMS (WHO Model List of Essential Medicines, 22ᵉ liste, 2023), dans la section « Antidotes et autres substances utilisées dans les intoxications ».</w:t>
      </w:r>
    </w:p>
    <w:p>
      <w:r>
        <w:t>La naloxone est classée comme médicament d'urgence vitale et doit être disponible à tout moment dans les services d'urgences, de réanimation, de SMUR, d'anesthésie et dans les unités de traitement de la douleur. En France, l'ANSM a étendu en 2016 sa dispensation aux pharmaciens d'offine pour les patients sous opioïdes forts chroniques et en 2022 aux travailleurs sociaux et associations de réduction des risques pour les usagers de drogues (décret n° 2022-1052). En Algérie, cette extension de la dispensation hors cadre médical strict n'est pas encore applicable, et la naloxone reste strictement hospitalière ou réservée aux structures médicalisées. La molécule n'est pas inscrite sur la Liste des stupéfiants car elle ne possède pas d'effet psychotrope ni de potentiel d'abus ; elle reste cependant un médicament à encadrement strict en raison de son usage d'urgence vitale.</w:t>
      </w:r>
    </w:p>
    <w:p>
      <w:pPr>
        <w:pStyle w:val="Heading3"/>
      </w:pPr>
      <w:r>
        <w:t>191.11.2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NALOXONE MYLAN</w:t>
            </w:r>
          </w:p>
        </w:tc>
        <w:tc>
          <w:tcPr>
            <w:tcW w:type="dxa" w:w="1559"/>
          </w:tcPr>
          <w:p>
            <w:r>
              <w:rPr>
                <w:sz w:val="20"/>
              </w:rPr>
              <w:t>MYLAN SAS</w:t>
            </w:r>
          </w:p>
        </w:tc>
        <w:tc>
          <w:tcPr>
            <w:tcW w:type="dxa" w:w="1559"/>
          </w:tcPr>
          <w:p>
            <w:r>
              <w:rPr>
                <w:sz w:val="20"/>
              </w:rPr>
              <w:t>Solution injectable IM/IV/SC 0,4 mg/mL</w:t>
            </w:r>
          </w:p>
        </w:tc>
        <w:tc>
          <w:tcPr>
            <w:tcW w:type="dxa" w:w="1559"/>
          </w:tcPr>
          <w:p>
            <w:r>
              <w:rPr>
                <w:sz w:val="20"/>
              </w:rPr>
              <w:t>Boîte de 10 ampoules de 1 mL</w:t>
            </w:r>
          </w:p>
        </w:tc>
        <w:tc>
          <w:tcPr>
            <w:tcW w:type="dxa" w:w="1559"/>
          </w:tcPr>
          <w:p>
            <w:r>
              <w:rPr>
                <w:sz w:val="20"/>
              </w:rPr>
              <w:t>Liste I</w:t>
            </w:r>
          </w:p>
        </w:tc>
        <w:tc>
          <w:tcPr>
            <w:tcW w:type="dxa" w:w="1559"/>
          </w:tcPr>
          <w:p>
            <w:r>
              <w:rPr>
                <w:sz w:val="20"/>
              </w:rPr>
              <w:t>ACTIF</w:t>
            </w:r>
          </w:p>
        </w:tc>
      </w:tr>
    </w:tbl>
    <w:p/>
    <w:p>
      <w:r>
        <w:t>La naloxone reste disponible en Algérie sous une seule spécialité active à la date de cette nomenclature (Avril 2026). Cette situation de monopole de fait expose le marché algérien à un risque de rupture de stock en cas de difficulté d'approvisionnement international (Mylan SAS, France). Aucune production locale algérienne n'est actuellement disponible, ce qui constitue une vulnérabilité stratégique pour un médicament d'urgence vitale que l'OMS recommande de rendre accessible dans tous les services d'urgence et à tous les niveaux du système de santé.</w:t>
      </w:r>
    </w:p>
    <w:p>
      <w:r>
        <w:t>Les formes historiques internationales Narcan (Amsterdam) en ampoules 0,4 mg/mL, Narcan Nasal Spray (adapt Pharma) en spray nasal 4 mg/dose, Nyxoid (Mundipharma) en spray nasal 18 mg/dose, Prenoxad (Martindale Pharma) en solution injectable prête à l'emploi, et Evzio (kaléo) en auto-injecteur 0,4 mg/0,4 mL ne sont pas commercialisées en Algérie. Cette lacune limite la portée des programmes de réduction des risques en milieu urbain, où les usagers de drogues injectables pourraient bénéficier d'une naloxone « take-home » administrable par les pairs en cas d'overdose opioïde. La réflexion sur l'extension de la dispensation aux pharmaciens d'offine et aux associations communautaires reste ouverte dans le contexte algérien.</w:t>
      </w:r>
    </w:p>
    <w:p>
      <w:pPr>
        <w:pStyle w:val="Heading3"/>
      </w:pPr>
      <w:r>
        <w:t>191.11.3 Mécanisme d'action moléculaire et cellulaire</w:t>
      </w:r>
    </w:p>
    <w:p>
      <w:r>
        <w:t>La naloxone est un antagoniste opioïde pur (inverse agoniste partiel selon la nomenclature moderne), dérivé de l'oxymorphone par substitution du groupement N-méthyl par un groupement allyle (-CH2-CH=CH2) sur l'atome d'azote du noyau morphinique. Cette modification structurale abolit l'activité agoniste intrinsèque tout en conservant une forte affinité pour le récepteur opioïde μ (MOR, Ki ≈ 1,5 nM), et dans une moindre mesure pour les récepteurs κ (KOR) et δ (DOR). La naloxone se fixe donc sur le récepteur opioïde mais ne l'active pas, et déplace de manière compétitive les opioïdes agonistes (morphine, héroïne, fentanyl, méthadone, oxycodone, codéine, tramadol, hydrocodone) de leurs sites de liaison, levant ainsi la dépression respiratoire et la sédation induites par ces molécules.</w:t>
      </w:r>
    </w:p>
    <w:p>
      <w:r>
        <w:t>Au plan cellulaire, la naloxone agit en inversant l'inhibition présynaptique exercée par les opioïdes sur la libération des neurotransmetteurs (GABA, glutamate, noradrénaline, acétylcholine), en restaurant la sensibilité des centres respiratoires bulbaires (pré-Bötzinger complexe) au CO2, et en levant la mydriasis réactionnelle typique de l'intoxication opioïde (par levée de l'inhibition du réflexe photomoteur). La naloxone traverse rapidement la barrière hémato-encéphalique en raison de sa lipophilie modérée (log P ≈ 1,5), expliquant son délai d'action court (1-2 minutes en IV). Elle est métabolisée principalement par glucuronidation hépatique (UGT2B7) en naloxone-3-glucuronide, métabolite inactif éliminé par voie rénale. La naloxone ne possède pas d'activité agoniste intrinsèque à doses thérapeutiques, ce qui la distingue de la nalorphine (agoniste-antagoniste partiel, abandonnée en raison de ses effets psychodysleptiques) et de la buprénorphine (agoniste partiel μ, utilisée comme substitut opioïde).</w:t>
      </w:r>
    </w:p>
    <w:p>
      <w:pPr>
        <w:pStyle w:val="Heading3"/>
      </w:pPr>
      <w:r>
        <w:t>191.11.4 Profil pharmacocinétique, indications, contre-indications, effets indésirables</w:t>
      </w:r>
    </w:p>
    <w:p>
      <w:r/>
      <w:r>
        <w:rPr>
          <w:b/>
        </w:rPr>
        <w:t>Pharmacocinétique</w:t>
      </w:r>
      <w:r>
        <w:t xml:space="preserve"> : la naloxone présente une biodisponibilité orale faible (&lt; 5 %) en raison d'un effet de premier passage hépatique massif (métabolisation en naloxone-3-glucuronide inactif), ce qui impose la voie parentérale (IV, IM, SC) ou intranasale pour l'usage clinique. Après injection IV, le pic d'action est atteint en 1-2 minutes, la durée d'action est de 30-90 minutes, la demi-vie de distribution est de 5-10 minutes, la demi-vie d'élimination est de 60-90 minutes (chez l'adulte sain), pouvant être prolongée chez le nouveau-né (jusqu'à 3 heures) et en cas d'insuffisance hépatique sévère. Le volume de distribution est important (3-4 L/kg), reflétant une diffusion tissulaire massive (réversibilité de la sédation cérébrale et redistribution depuis les tissus gras vers la circulation, expliquant la résurgence possible de la dépression respiratoire). La clairance hépatique est élevée (1,5-2,5 L/min), essentiellement par glucuronidation.</w:t>
      </w:r>
    </w:p>
    <w:p>
      <w:r/>
      <w:r>
        <w:rPr>
          <w:b/>
        </w:rPr>
        <w:t>Indications</w:t>
      </w:r>
      <w:r>
        <w:t xml:space="preserve"> : (i) antidote de l'intoxication aiguë par les opioïdes (héroïne, morphine, fentanyl, codéine, oxycodone, méthadone, tramadol, hydrocodone) confirmée ou suspectée, en cas de dépression respiratoire (FR &lt; 12/min), de bradycardie, de myosis serré, de coma ; (ii) antidote de la dépression respiratoire post-opératoire résiduelle induite par les morphiniques peranesthésiques (fentanyl, sufentanil, rémifentanil, morphine) ; (iii) test diagnostique au naloxone en cas de coma inexpliqué (administration empirique pour éliminer une intoxication opioïde) ; (iv) antagonisation des effets indésirables centraux des opioïdes en analgésie autocontrôlée (PCA) ; (v) traitement de l'ictère prurigineux cholestatique (usage historique, dépassé) ; (vi) traitement expérimental du choc septique (agoniste inverse μ, controversé).</w:t>
      </w:r>
    </w:p>
    <w:p>
      <w:r/>
      <w:r>
        <w:rPr>
          <w:b/>
        </w:rPr>
        <w:t>Contre-indications</w:t>
      </w:r>
      <w:r>
        <w:t xml:space="preserve"> : la naloxone ne possède pas de contre-indication absolue en raison de son absence d'activité agoniste intrinsèque, ce qui en fait l'antidote le plus sûr pharmacologiquement. Cependant, plusieurs précautions s'imposent : (i) prudence chez le patient dépendant aux opioïdes (chronique ou addictions) en raison du risque de précipiter un syndrome de sevrage aigu sévère (agitation, tachycardie, hypertension, diarrhée, vomissements, douleurs abdominales, mydriasis, anxiété, voire détresse respiratoire par agitation) ; (ii) prudence en cas de pathologie cardiaque sous-jacente (insuffisance coronaire, trouble du rythme) en raison du risque de libération catécholaminergique et de surcharge adrénergique (œdème pulmonaire non cardiogénique décrit) ; (iii) prudence chez la femme enceinte dépendante aux opioïdes (risque de syndrome de sevrage fœtal et de fausse-couche) ; (iv) prudence en cas d'hypertension intracrânienne (risque d'agitation et d'augmentation de la PIC).</w:t>
      </w:r>
    </w:p>
    <w:p>
      <w:r/>
      <w:r>
        <w:rPr>
          <w:b/>
        </w:rPr>
        <w:t>Effets indésirables</w:t>
      </w:r>
      <w:r>
        <w:t xml:space="preserve"> : le profil de tolérance de la naloxone est dominé par les effets de la levée brutale du bloc opioïde : (i) syndrome de sevrage aigu en cas de dépendance (manifestations digestives, neurovégétatives, psychiatriques), pouvant être sévère et nécessiter une sédation ; (ii) nausées et vomissements (effet central au niveau de la chemoreceptor trigger zone), avec risque d'inhalation chez un patient comateux non intubé ; (iii) tachycardie, hypertension, palpitations (libération catécholaminergique) ; (iv) œdème pulmonaire non cardiogénique (rare, mécanisme neurogénique par libération catécholaminergique massive) ; (v) tremblements, sueurs, anxiété, irritabilité ; (vi) convulsions (rares, décrites surtout chez le nouveau-né de mère toxicomane) ; (vii) douleurs abdominales, diarrhée (effet parasympathicomimétique de levée de l'inhibition opioïde) ; (viii) réactions d'hypersensibilité (rares). Les effets indésirables sont généralement transitoires (durée 30-60 minutes, parallèle à la durée d'action de la naloxone), mais peuvent nécessiter une surveillance prolongée en réanimation.</w:t>
      </w:r>
    </w:p>
    <w:p>
      <w:pPr>
        <w:pStyle w:val="Heading3"/>
      </w:pPr>
      <w:r>
        <w:t>191.11.5 Prévention et gestion des effets indésirables</w:t>
      </w:r>
    </w:p>
    <w:p>
      <w:r>
        <w:t>La prévention des effets indésirables de la naloxone repose sur trois principes fondamentaux : titration prudente, surveillance prolongée, et anticipation du syndrome de sevrage.</w:t>
      </w:r>
    </w:p>
    <w:p>
      <w:r/>
      <w:r>
        <w:rPr>
          <w:b/>
        </w:rPr>
        <w:t>Principe de titration prudente</w:t>
      </w:r>
      <w:r>
        <w:t xml:space="preserve"> : la naloxone doit être administrée en doses fractionnées, en commençant par de faibles doses (0,04-0,1 mg IV chez l'adulte non dépendant, 0,1-0,2 mg IV chez l'adulte suspect de dépendance), répétées toutes les 2-3 minutes jusqu'à obtention d'une fréquence respiratoire acceptable (≥ 12/min) et d'une SpO2 ≥ 92 %. L'objectif n'est pas le réveil complet (qui expose au syndrome de sevrage et à l'agitation), mais la restauration d'une ventilation spontanée efficace. Chez le patient suspect de dépendance opioïde (historique d'usage, tracks d'injection, pauvreté sociale), la dose initiale doit être encore plus faible (0,04 mg = 0,1 mL de la solution à 0,4 mg/mL) et la titration prudente. Chez l'enfant, la dose initiale est de 0,01 mg/kg IV (jusqu'à 0,1 mg/kg). Chez le nouveau-né de mère toxicomane, la naloxone est contre-indiquée (risque de convulsions par syndrome de sevrage aigu).</w:t>
      </w:r>
    </w:p>
    <w:p>
      <w:r/>
      <w:r>
        <w:rPr>
          <w:b/>
        </w:rPr>
        <w:t>Principe de surveillance prolongée</w:t>
      </w:r>
      <w:r>
        <w:t xml:space="preserve"> : la demi-vie courte de la naloxone (60-90 min) expose au risque de resurdose opioïde (récidive de la dépression respiratoire après disparition de l'effet de la naloxone), particulièrement en cas d'intoxication par les opioïdes longue durée d'action (méthadone 24-48 h, fentanyl patch 12-24 h, tramadol LP 8-12 h). La surveillance clinique (FR, SpO2, état de conscience, myosis) doit être poursuivie au minimum 4-6 heures après la dernière dose de naloxone, et jusqu'à 24-48 heures en cas d'intoxication à la méthadone ou au fentanyl en patch. En cas de récidive de la dépression respiratoire, une perfusion continue de naloxone (0,4-0,8 mg/h, soit les 2/3 de la dose efficace initiale par heure) est recommandée. La surveillance doit être assurée en milieu hospitalier (urgences, réanimation) ; le patient ne doit jamais quitter la structure médicale sans surveillance médicale.</w:t>
      </w:r>
    </w:p>
    <w:p>
      <w:r/>
      <w:r>
        <w:rPr>
          <w:b/>
        </w:rPr>
        <w:t>Principe d'anticipation du syndrome de sevrage</w:t>
      </w:r>
      <w:r>
        <w:t xml:space="preserve"> : en cas de dépendance opioïde connue ou suspectée, l'administration de naloxone peut précipiter un syndrome de sevrage aigu sévère pouvant mettre en jeu le pronostic vital (détresse respiratoire par agitation, collapsus cardiovasculaire par hypercatécholaminémie). La titration prudente est la règle, et une sédation par benzodiazépine (diazépam 5-10 mg IV, midazolam 2-5 mg IV) peut être nécessaire pour contrôler l'agitation. Le syndrome de sevrement nécessite une prise en charge symptomatique (réhydratation, antémétiques, antipyrétiques si hyperthermie) et un relais par substitution opioïque (buprénorphine, méthadone) après stabilisation, en concertation avec une équipe d'addictologie.</w:t>
      </w:r>
    </w:p>
    <w:p>
      <w:pPr>
        <w:pStyle w:val="Heading3"/>
      </w:pPr>
      <w:r>
        <w:t>191.11.6 Interactions médicamenteuses</w:t>
      </w:r>
    </w:p>
    <w:p>
      <w:r>
        <w:t>La naloxone présente peu d'interactions médicamenteuses en raison de son métabolisme essentiellement par glucuronidation (UGT2B7) et de son absence d'effet sur le cytochrome P450. Les principales interactions à connaître sont de nature pharmacodynamique :</w:t>
      </w:r>
    </w:p>
    <w:p>
      <w:r/>
      <w:r>
        <w:rPr>
          <w:b/>
        </w:rPr>
        <w:t>Interactions pharmacodynamiques</w:t>
      </w:r>
      <w:r>
        <w:t xml:space="preserve"> : (i) antagonisation compétitive des opioïdes agonistes (morphine, fentanyl, codéine, etc.) avec potentialisation de leur effet analgésique central en cas de doses insuffisantes de naloxone (réveil insuffisant) ou antagonisation complète de l'effet analgésique en cas de dose excessive (douleur aiguë brutale, hypertension, tachycardie, agitation) ; (ii) potentialisation des effets indésirables cardiovasculaires des catécholamines (libération reflexe d'adrénaline et de noradrénaline) en cas d'administration conjointe avec vasopresseurs ; (iii) interaction avec l'alcool (potentialisation de la levée de la dépression respiratoire) ; (iv) antagonisation de l'effet antitussif de la codéine et du dextrométhorphane (relevant utile en cas de surdosage antitussif) ; (v) antagonisation des opioïdes endogènes (endorphines, enképhalines) à doses très élevées (&gt; 4 mg), pouvant perturber la modulation endogène de la douleur et de la tolérance au stress.</w:t>
      </w:r>
    </w:p>
    <w:p>
      <w:r/>
      <w:r>
        <w:rPr>
          <w:b/>
        </w:rPr>
        <w:t>Interactions pharmacocinétiques</w:t>
      </w:r>
      <w:r>
        <w:t xml:space="preserve"> : peu pertinentes en pratique clinique courante. La naloxone n'est pas un inhibiteur ou un inducteur significatif des cytochromes P450. Sa glucuronidation par UGT2B7 peut être inhibée par le valproate, le probénécide, le zidovudine (inhibition compétitive), mais ces interactions n'ont pas de conséquences cliniques significatives en raison de la courte durée d'action de la naloxone. L'administration concomitante de naloxone avec des inducteurs enzymatiques (rifampicine, phénytoïne, carbamazépine) peut accélérer sa métabolisation et nécessiter une augmentation des doses.</w:t>
      </w:r>
    </w:p>
    <w:p>
      <w:r/>
      <w:r>
        <w:rPr>
          <w:b/>
        </w:rPr>
        <w:t>Associations à risque</w:t>
      </w:r>
      <w:r>
        <w:t xml:space="preserve"> : (i) naloxone + opioïdes à demi-vie longue (méthadone, fentanyl patch) : risque de resurdose majeure, surveillance prolongée obligatoire ; (ii) naloxone + buprénorphine (agoniste partiel μ) : antagonisation incomplète, doses de naloxone supérieures nécessaires (jusqu'à 10 mg) ; (iii) naloxone + tramadol : antagonisation de la composante opioïde mais persistance de la composante monoaminergique (sérotoninergique et noradrénergique) ; (iv) naloxone + dropéridol, neuroleptiques : potentialisation de l'agitation et du syndrome de sevrance ; (v) naloxone + clonidine, lofexidine (alpha-2 agonistes) : atténuation du syndrome de sevrage, association utile en réanimation.</w:t>
      </w:r>
    </w:p>
    <w:p>
      <w:pPr>
        <w:pStyle w:val="Heading3"/>
      </w:pPr>
      <w:r>
        <w:t>191.11.7 Grossesse et allaitement (données CRAT)</w:t>
      </w:r>
    </w:p>
    <w:p>
      <w:r/>
      <w:r>
        <w:rPr>
          <w:b/>
        </w:rPr>
        <w:t>Grossesse</w:t>
      </w:r>
      <w:r>
        <w:t xml:space="preserve"> : la naloxone traverse la barrière placentaire en raison de sa lipophilie modérée et de son faible poids moléculaire (327 Da). Les données du CRAT (Centre de Renseignement sur les Agents Tératogènes, Hôpital Armand-Trousseau, Paris) et de l'OTIS (Organization of Teratology Information Specialists) indiquent que la naloxone n'est pas tératogène chez l'animal (études souris, rat, lapin) et qu'aucun cas de malformation n'a été rapporté chez la femme enceinte exposée. La naloxone est considérée comme compatible avec la grossesse, y compris en cas d'urgence vitale maternelle (overdose maternelle). Cependant, l'administration de naloxone à une femme enceinte dépendante aux opioïdes peut précipiter un syndrome de sevrage aigu maternel ET fœtal, pouvant mener à une souffrance fœtale, une fausse-couche, ou un accouchement prématuré. Dans ce contexte, la naloxone doit être réservée aux situations de détresse respiratoire maternelle engageant le pronostic vital, à doses prudentes et titrées, avec surveillance fœtale continue (RCF) et présence d'un obstétricien.</w:t>
      </w:r>
    </w:p>
    <w:p>
      <w:r>
        <w:t>Chez le nouveau-né de mère toxicomane (héroïne, méthadone, buprénorphine), la naloxone est contre-indiquée pour la réanimation néonatale en raison du risque de précipitation d'un syndrome de sevrage néonatal sévère (convulsions, détresse respiratoire, agitation, mort subite). La réanimation néonatale chez ces nouveau-nés repose sur l'oxygénation et la ventilation mécanique, sans naloxone. L'Académie Américaine de Pédiatrie (AAP) a réitéré cette contre-indication en 2018. La naloxone néonatale préventive (à la naissance) est abandonnée depuis les années 2000.</w:t>
      </w:r>
    </w:p>
    <w:p>
      <w:r/>
      <w:r>
        <w:rPr>
          <w:b/>
        </w:rPr>
        <w:t>Allaitement</w:t>
      </w:r>
      <w:r>
        <w:t xml:space="preserve"> : la naloxone passe faiblement dans le lait maternel en raison de sa courte demi-vie et de sa faible biodisponibilité orale (métabolisation de premier passage chez le nourrisson). La naloxone est considérée comme compatible avec l'allaitement, y compris en cas d'administration maternelle aiguë pour overdose. L'allaitement peut être poursuivi ou repris après l'administration maternelle de naloxone. Cependant, en cas de dépendance maternelle aux opioïdes, l'allaitement est généralement déconseillé (risque de transmission de l'opioïde et de ses métabolites par le lait, accumulation possible chez le nourrisson), sauf si la mère est sous traitement de substitution stable (méthadone ≤ 30 mg/j, buprénorphine ≤ 8 mg/j) et que le suivi pédiatrique est assuré. Dans ce cas, la naloxone maternelle ponctuelle n'est pas une contre-indication à la poursuite de l'allaitement, mais le nourrisson doit être surveillé (FR, SpO2, sédation) pendant au moins 4-6 heures après l'administration maternelle.</w:t>
      </w:r>
    </w:p>
    <w:p>
      <w:pPr>
        <w:pStyle w:val="Heading3"/>
      </w:pPr>
      <w:r>
        <w:t>191.11.8 Posologie et modes d'administration</w:t>
      </w:r>
    </w:p>
    <w:p>
      <w:r/>
      <w:r>
        <w:rPr>
          <w:b/>
        </w:rPr>
        <w:t>Posologie adulte</w:t>
      </w:r>
      <w:r>
        <w:t xml:space="preserve"> : la naloxone doit être administrée en titration prudente par voie IV (privilégiée), IM ou SC (en l'absence de voie veineuse), ou intranasale (lorsque disponible).</w:t>
      </w:r>
    </w:p>
    <w:p>
      <w:pPr>
        <w:pStyle w:val="ListBullet"/>
      </w:pPr>
      <w:r/>
      <w:r>
        <w:rPr>
          <w:b/>
        </w:rPr>
        <w:t>Indication : intoxication opioïde connue ou suspectée, dépendance NON soupçonnée</w:t>
      </w:r>
      <w:r>
        <w:t xml:space="preserve"> : 0,4 mg IV (1 mL de solution à 0,4 mg/mL), à répéter toutes les 2-3 minutes jusqu'à obtention d'une FR ≥ 12/min et d'une SpO2 ≥ 92 %. Dose maximale 2 mg (5 ampoules) en titration.</w:t>
      </w:r>
    </w:p>
    <w:p>
      <w:pPr>
        <w:pStyle w:val="ListBullet"/>
      </w:pPr>
      <w:r/>
      <w:r>
        <w:rPr>
          <w:b/>
        </w:rPr>
        <w:t>Indication : intoxication opioïde connue ou suspectée, dépendance SOUPÇONNÉE</w:t>
      </w:r>
      <w:r>
        <w:t xml:space="preserve"> (tracks d'injection, antécédent d'usage, contexte social évocateur) : 0,04-0,1 mg IV (0,1-0,25 mL), à répéter toutes les 2-3 minutes. Privilégier la titration lente pour éviter le syndrome de sevrance.</w:t>
      </w:r>
    </w:p>
    <w:p>
      <w:pPr>
        <w:pStyle w:val="ListBullet"/>
      </w:pPr>
      <w:r/>
      <w:r>
        <w:rPr>
          <w:b/>
        </w:rPr>
        <w:t>Indication : antagonisation post-opératoire d'un morphinique résiduel</w:t>
      </w:r>
      <w:r>
        <w:t xml:space="preserve"> : 0,1-0,2 mg IV (0,25-0,5 mL), à répéter toutes les 2-5 minutes jusqu'à obtention d'une FR ≥ 12/min. Dose maximale 1 mg.</w:t>
      </w:r>
    </w:p>
    <w:p>
      <w:pPr>
        <w:pStyle w:val="ListBullet"/>
      </w:pPr>
      <w:r/>
      <w:r>
        <w:rPr>
          <w:b/>
        </w:rPr>
        <w:t>Indication : perfusion continue (resurdose ou intoxication longue durée - méthadone, fentanyl patch)</w:t>
      </w:r>
      <w:r>
        <w:t xml:space="preserve"> : perfusion IV de 0,4-0,8 mg/h (soit les 2/3 de la dose efficace initiale par heure), dans une solution de glucosé 5 % ou NaCl 0,9 %, à ajuster selon la FR et la SpO2. Surveillance prolongée 24-48 h.</w:t>
      </w:r>
    </w:p>
    <w:p>
      <w:r/>
      <w:r>
        <w:rPr>
          <w:b/>
        </w:rPr>
        <w:t>Posologie pédiatrique</w:t>
      </w:r>
      <w:r>
        <w:t xml:space="preserve"> : la naloxone est utilisée chez le nouveau-né et l'enfant en cas d'intoxication accidentelle (codéine, tramadol, morphine, intoxication familiale).</w:t>
      </w:r>
    </w:p>
    <w:p>
      <w:pPr>
        <w:pStyle w:val="ListBullet"/>
      </w:pPr>
      <w:r/>
      <w:r>
        <w:rPr>
          <w:b/>
        </w:rPr>
        <w:t>Enfant &lt; 20 kg ou &lt; 5 ans</w:t>
      </w:r>
      <w:r>
        <w:t xml:space="preserve"> : 0,1 mg/kg IV, à répéter toutes les 2-3 minutes jusqu'à obtention d'une FR adaptée à l'âge. Dose maximale 2 mg.</w:t>
      </w:r>
    </w:p>
    <w:p>
      <w:pPr>
        <w:pStyle w:val="ListBullet"/>
      </w:pPr>
      <w:r/>
      <w:r>
        <w:rPr>
          <w:b/>
        </w:rPr>
        <w:t>Enfant ≥ 20 kg ou ≥ 5 ans</w:t>
      </w:r>
      <w:r>
        <w:t xml:space="preserve"> : 2 mg IV, à répéter toutes les 2-3 minutes. Dose maximale 10 mg.</w:t>
      </w:r>
    </w:p>
    <w:p>
      <w:pPr>
        <w:pStyle w:val="ListBullet"/>
      </w:pPr>
      <w:r/>
      <w:r>
        <w:rPr>
          <w:b/>
        </w:rPr>
        <w:t>Nouveau-né de mère NON toxicomane</w:t>
      </w:r>
      <w:r>
        <w:t xml:space="preserve"> : 0,1 mg/kg IV (soit 0,01 mg/kg pour une dose test prudente). À répéter toutes les 2-3 minutes.</w:t>
      </w:r>
    </w:p>
    <w:p>
      <w:pPr>
        <w:pStyle w:val="ListBullet"/>
      </w:pPr>
      <w:r/>
      <w:r>
        <w:rPr>
          <w:b/>
        </w:rPr>
        <w:t>Nouveau-né de mère toxicomane</w:t>
      </w:r>
      <w:r>
        <w:t xml:space="preserve"> : CONTRE-INDICATION ABSOLUE. Privilégier la ventilation mécanique.</w:t>
      </w:r>
    </w:p>
    <w:p>
      <w:r/>
      <w:r>
        <w:rPr>
          <w:b/>
        </w:rPr>
        <w:t>Posologie IM/SC</w:t>
      </w:r>
      <w:r>
        <w:t xml:space="preserve"> : en l'absence de voie veineuse, la naloxone peut être administrée en IM ou SC à la dose de 0,4-0,8 mg (adulte), délai d'action 2-5 minutes, durée d'action plus prolongée (1-2 heures) en raison d'une résorption plus lente.</w:t>
      </w:r>
    </w:p>
    <w:p>
      <w:r/>
      <w:r>
        <w:rPr>
          <w:b/>
        </w:rPr>
        <w:t>Posologie intranasale</w:t>
      </w:r>
      <w:r>
        <w:t xml:space="preserve"> (lorsque disponible, non commercialisée en Algérie) : 4 mg en dose unique dans une narine, à répéter dans l'autre narine après 2-3 minutes si inefficacité. Adaptée à l'usage par les pairs en réduction des risques, sans compétence médicale requise.</w:t>
      </w:r>
    </w:p>
    <w:p>
      <w:pPr>
        <w:pStyle w:val="Heading3"/>
      </w:pPr>
      <w:r>
        <w:t>191.11.9 Formes galéniques disponibles</w:t>
      </w:r>
    </w:p>
    <w:p>
      <w:r>
        <w:t>La naloxone est disponible en Algérie sous une seule forme galénique : solution injectable IM/IV/SC à 0,4 mg/mL, en ampoules de 1 mL, conditionnées en boîtes de 10 ampoules. Cette formulation classique couvre la majorité des besoins cliniques hospitaliers et préhospitaliers, mais présente plusieurs limites : (i) nécessité d'une compétence médicale pour l'administration (calcul de dose, dilution éventuelle, voie veineuse) ; (ii) absence de dispositif prêt à l'emploi (auto-injecteur, spray nasal) ; (iii) conservation en armoire sécurisée en Liste I, limitant l'accessibilité en urgence en milieu communautaire.</w:t>
      </w:r>
    </w:p>
    <w:p>
      <w:r>
        <w:t>Les formes galéniques internationales incluent : (i) solution injectable à 1 mg/mL (Fort Worth, USA, mise à disposition des services d'urgence pour administration à forte dose en cas d'intoxication au fentanyl et à ses dérivés) ; (ii) spray nasal à 4 mg/dose (Narcan Nasal Spray, adapt Pharma ; Nyxoid, Mundipharma), commercialisé en France depuis 2022 en accès libre en pharmacie d'officine ; (iii) auto-injecteur 0,4 mg/0,4 mL (Evzio, kaléo), commercialisé aux États-Unis de 2014 à 2020 puis retiré en raison de son coût prohibitif (4 500 USD pour un dispositif) ; (iv) solution injectable prête à l'emploi 1 mg/mL en seringue pré-remplie (Prenoxad, Martindale Pharma), commercialisée au Royaume-Uni pour l'usage par les pairs en réduction des risques.</w:t>
      </w:r>
    </w:p>
    <w:p>
      <w:r>
        <w:t>La conservation de la naloxone se fait à température ambiante (15-25 °C), à l'abri de la lumière, avec une péremption généralement de 3 ans. La solution ne doit pas être congelée. En cas de coloration anormale ou de présence de particules, l'ampoule doit être jetée. La naloxone reste stable en solution diluée (dans NaCl 0,9 % ou glucosé 5 %) pendant 24 heures à température ambiante.</w:t>
      </w:r>
    </w:p>
    <w:p>
      <w:pPr>
        <w:pStyle w:val="Heading3"/>
      </w:pPr>
      <w:r>
        <w:t>191.11.10 Conseils au patient et éducation thérapeutique</w:t>
      </w:r>
    </w:p>
    <w:p>
      <w:r>
        <w:t>La naloxone est un médicament administré en urgence vitale, généralement par un professionnel de santé (médecin, infirmier, ambulancier SMUR). L'éducation thérapeutique porte principalement sur les informations données au patient et à son entourage après l'épisode d'intoxication, et sur la prévention de la récidive.</w:t>
      </w:r>
    </w:p>
    <w:p>
      <w:r/>
      <w:r>
        <w:rPr>
          <w:b/>
        </w:rPr>
        <w:t>Conseils immédiats après l'administration de naloxone</w:t>
      </w:r>
      <w:r>
        <w:t xml:space="preserve"> : (i) le patient doit être informé que l'effet de la naloxone est transitoire (30-90 minutes) et que la dépression respiratoire peut récidiver dans les heures suivantes ; (ii) la surveillance médicale hospitalière est indispensable pendant au moins 4-6 heures après la dernière dose ; (iii) le patient ne doit en aucun cas quitter l'hôpital de sa propre initiative (risque de collapse et de décès par resurdose) ; (iv) le patient doit être informé du syndrome de sevrage éventuel (anxiété, agitation, frissons, nausées, vomissements, diarrhée, douleurs) et de sa nature transitoire ; (v) l'entourage doit être informé des signes d'alerte de resurdose (somnolence excessive, ralentissement respiratoire, myosis serré, cyanose) et de la conduite à tenir (appeler le 14 SAMU Algérie, réanimation cardio-respiratoire si arrêt).</w:t>
      </w:r>
    </w:p>
    <w:p>
      <w:r/>
      <w:r>
        <w:rPr>
          <w:b/>
        </w:rPr>
        <w:t>Conseils de prévention de la récidive</w:t>
      </w:r>
      <w:r>
        <w:t xml:space="preserve"> : (i) adressage systématique à un service d'addictologie (Centre de Traitement des Addictions, hopital psychiatrique, association de réduction des risques) ; (ii) information sur les programmes de substitution opioïde (méthadone, buprénorphine) en cas de dépendance avérée ; (iii) information sur les risques de surdose en cas de reprise d'opioïdes après une période d'abstinence (perte de tolérance, dose antérieure inefficace ou létale) ; (iv) information sur les risques de co-intoxication (alcool, benzodiazépines, cocaïne) qui potentialisent la dépression respiratoire ; (v) information sur les services d'aide en cas de détresse psychologique (suicide attempt, dépression, isolement social).</w:t>
      </w:r>
    </w:p>
    <w:p>
      <w:r/>
      <w:r>
        <w:rPr>
          <w:b/>
        </w:rPr>
        <w:t>Conseils aux patients sous opioïdes forts chroniques (cancer, douleur chronique)</w:t>
      </w:r>
      <w:r>
        <w:t xml:space="preserve"> : (i) information sur les signes précoces de surdosage opioïde (somnolence excessive, confusion, ralentissement respiratoire) ; (ii) information sur les interactions médicamenteuses (benzodiazépines, alcool, autres opioïdes) ; (iii) information sur l'adaptation des doses en cas de perte de poids, d'insuffisance rénale ou hépatique ; (iv) conservation des opioïdes en lieu sûr hors de portée des enfants et des adolescents (risque d'ingestion accidentelle ou d'usage détourné) ; (v) recommandation de porter sur soi une carte ou un bracelet mentionnant le traitement opioïde en cours (en cas d'urgence médicale).</w:t>
      </w:r>
    </w:p>
    <w:p>
      <w:pPr>
        <w:pStyle w:val="Heading3"/>
      </w:pPr>
      <w:r>
        <w:t>191.11.11 Pièges au comptoir (règles d'or)</w:t>
      </w:r>
    </w:p>
    <w:p>
      <w:pPr>
        <w:pStyle w:val="ListNumber"/>
      </w:pPr>
      <w:r/>
      <w:r>
        <w:rPr>
          <w:b/>
        </w:rPr>
        <w:t>Règle d'or n°1 : la naloxone est un antidote d'urgence vitale.</w:t>
      </w:r>
      <w:r>
        <w:t xml:space="preserve"> Elle doit être disponible à tout moment dans les services d'urgences, de réanimation, de SMUR et d'anesthésie. Le pharmacien hospitalier doit veiller au maintien des stocks et à leur traçabilité.</w:t>
      </w:r>
    </w:p>
    <w:p>
      <w:pPr>
        <w:pStyle w:val="ListNumber"/>
      </w:pPr>
      <w:r/>
      <w:r>
        <w:rPr>
          <w:b/>
        </w:rPr>
        <w:t>Règle d'or n°2 : titration prudente obligatoire.</w:t>
      </w:r>
      <w:r>
        <w:t xml:space="preserve"> Ne jamais administrer une dose massive d'emblée (sauf arrêt cardiaque). Commencer par 0,04-0,1 mg IV chez le suspect de dépendance, 0,4 mg chez le non-dépendant.</w:t>
      </w:r>
    </w:p>
    <w:p>
      <w:pPr>
        <w:pStyle w:val="ListNumber"/>
      </w:pPr>
      <w:r/>
      <w:r>
        <w:rPr>
          <w:b/>
        </w:rPr>
        <w:t>Règle d'or n°3 : objectif = ventilation, pas réveil complet.</w:t>
      </w:r>
      <w:r>
        <w:t xml:space="preserve"> Le but est d'obtenir une FR ≥ 12/min et une SpO2 ≥ 92 %, pas un réveil agité. Le réveil complet expose au syndrome de sevrance et à l'agitation dangereuse.</w:t>
      </w:r>
    </w:p>
    <w:p>
      <w:pPr>
        <w:pStyle w:val="ListNumber"/>
      </w:pPr>
      <w:r/>
      <w:r>
        <w:rPr>
          <w:b/>
        </w:rPr>
        <w:t>Règle d'or n°4 : surveillance prolongée obligatoire.</w:t>
      </w:r>
      <w:r>
        <w:t xml:space="preserve"> Après administration de naloxone, surveiller le patient au minimum 4-6 heures (méthadone, fentanyl patch : 24-48 heures). La resurdose est la première cause de mortalité après naloxone.</w:t>
      </w:r>
    </w:p>
    <w:p>
      <w:pPr>
        <w:pStyle w:val="ListNumber"/>
      </w:pPr>
      <w:r/>
      <w:r>
        <w:rPr>
          <w:b/>
        </w:rPr>
        <w:t>Règle d'or n°5 : prudence chez le dépendant.</w:t>
      </w:r>
      <w:r>
        <w:t xml:space="preserve"> La naloxone peut précipiter un syndrome de sevrance aigu sévère, potentiellement létal (détresse respiratoire par agitation). Doses prudentes, titration lente, sédation possible par benzodiazépines.</w:t>
      </w:r>
    </w:p>
    <w:p>
      <w:pPr>
        <w:pStyle w:val="ListNumber"/>
      </w:pPr>
      <w:r/>
      <w:r>
        <w:rPr>
          <w:b/>
        </w:rPr>
        <w:t>Règle d'or n°6 : perfusion continue en cas d'intoxication longue durée.</w:t>
      </w:r>
      <w:r>
        <w:t xml:space="preserve"> Méthadone, fentanyl patch, tramadol LP : surveiller 24-48 heures, prévoir perfusion continue de naloxone (0,4-0,8 mg/h) si nécessaire.</w:t>
      </w:r>
    </w:p>
    <w:p>
      <w:pPr>
        <w:pStyle w:val="ListNumber"/>
      </w:pPr>
      <w:r/>
      <w:r>
        <w:rPr>
          <w:b/>
        </w:rPr>
        <w:t>Règle d'or n°7 : naloxone chez le nouveau-né de mère toxicomane = CONTRE-INDICATION ABSOLUE.</w:t>
      </w:r>
      <w:r>
        <w:t xml:space="preserve"> Risque de convulsions par syndrome de sevrance néonatal. Ventilation mécanique uniquement.</w:t>
      </w:r>
    </w:p>
    <w:p>
      <w:pPr>
        <w:pStyle w:val="ListNumber"/>
      </w:pPr>
      <w:r/>
      <w:r>
        <w:rPr>
          <w:b/>
        </w:rPr>
        <w:t>Règle d'or n°8 : naloxone ne dispense pas de la ventilation.</w:t>
      </w:r>
      <w:r>
        <w:t xml:space="preserve"> Si FR &lt; 8/min ou apnée, ventiler au ballon (BVM) avant d'injecter la naloxone. La naloxone agit en 1-2 minutes, la ventilation agit immédiatement.</w:t>
      </w:r>
    </w:p>
    <w:p>
      <w:pPr>
        <w:pStyle w:val="ListNumber"/>
      </w:pPr>
      <w:r/>
      <w:r>
        <w:rPr>
          <w:b/>
        </w:rPr>
        <w:t>Règle d'or n°9 : naloxone ne traite pas les co-intoxications.</w:t>
      </w:r>
      <w:r>
        <w:t xml:space="preserve"> En cas d'association opioïde + benzodiazépine (fréquent en suicide), la naloxone ne lève que la composante opioïde. Le flumazénil (antagoniste BZD) peut être nécessaire, mais avec prudence en cas de co-intoxication (risque de convulsions).</w:t>
      </w:r>
    </w:p>
    <w:p>
      <w:pPr>
        <w:pStyle w:val="ListNumber"/>
      </w:pPr>
      <w:r/>
      <w:r>
        <w:rPr>
          <w:b/>
        </w:rPr>
        <w:t>Règle d'or n°10 : prévention de la récidive.</w:t>
      </w:r>
      <w:r>
        <w:t xml:space="preserve"> Adressage systématique à un service d'addictologie, information sur les risques de reprise d'opioïdes après abstinence (perte de tolérance), délivrance de naloxone « take-home » si disponible (spray nasal non commercialisé en Algérie à la date de cette nomenclature).</w:t>
      </w:r>
    </w:p>
    <w:p>
      <w:pPr>
        <w:pStyle w:val="ListNumber"/>
      </w:pPr>
      <w:r/>
      <w:r>
        <w:rPr>
          <w:b/>
        </w:rPr>
        <w:t>Règle d'or n°11 : traçabilité absolue (Liste I).</w:t>
      </w:r>
      <w:r>
        <w:t xml:space="preserve"> Naloxone en Liste I, prescription obligatoire, stockage en armoire sécurisée, traçabilité des ampoules, comptage mensuel.</w:t>
      </w:r>
    </w:p>
    <w:p>
      <w:pPr>
        <w:pStyle w:val="ListNumber"/>
      </w:pPr>
      <w:r/>
      <w:r>
        <w:rPr>
          <w:b/>
        </w:rPr>
        <w:t>Règle d'or n°12 : pas d'effet psychotrope, pas de potentiel d'abus.</w:t>
      </w:r>
      <w:r>
        <w:t xml:space="preserve"> La naloxone n'est pas un stupéfiant et n'expose pas à l'abus. Cependant, son usage en compétition (sport, conduite) peut être dangereux en raison de la levée brutale de la sédation.</w:t>
      </w:r>
    </w:p>
    <w:p>
      <w:pPr>
        <w:pStyle w:val="Heading2"/>
      </w:pPr>
      <w:r>
        <w:t>191.12 DCI 2 : N-Acétylcystéine (NAC) (Antidote du paracétamol)</w:t>
      </w:r>
    </w:p>
    <w:p>
      <w:pPr>
        <w:pStyle w:val="Heading3"/>
      </w:pPr>
      <w:r>
        <w:t>191.12.1 Liste des catégories thérapeutiques et statut réglementaire</w:t>
      </w:r>
    </w:p>
    <w:p>
      <w:r>
        <w:t>La N-acétylcystéine (NAC), dérivée de la L-cystéine naturelle par acétylation du groupement thiol libre, appartient à la classe pharmacologique des mucolytiques (code ATC : R05CB01) et des antidotes (code ATC : V03AB61). Elle est inscrite sur la Liste II des substances vénéneuses en Algérie pour les formes mucomodulatrices orales en vente libre (Acetylcystéine BGL, Fluimicil, Solmucol 200, Fluimex), et sur la Liste I pour les formes injectables à usage antidote. La NAC figure sur la liste des médicaments essentiels de l'OMS (WHO Model List of Essential Medicines, 22ᵉ liste, 2023), dans la section « Antidotes ».</w:t>
      </w:r>
    </w:p>
    <w:p>
      <w:r>
        <w:t>La NAC est classée comme médicament d'urgence vitale dans sa formulation IV antidote du paracétamol. Elle doit être disponible à tout moment dans les services d'urgences, de réanimation, d'hépatologie et de pédiatrie. Le paracétamol reste la première cause d'insuffisance hépatique aiguë toxique en Occident (Régistre américain ALFSG : 46 % des cas d'insuffisance hépatique aiguë ; registre français : 50 %), et la première cause d'intoxication médicamenteuse volontaire en France (15 000 cas/an, 5 % des suicides). En Algérie, le paracétamol est largement accessible (Doliprane, Efferalgan, Dafalgan, Dex Doliprane, Apronax, etc.), ce qui en fait un toxique fréquent en tentative de suicide, justifiant une disponibilité permanente de l'antidote.</w:t>
      </w:r>
    </w:p>
    <w:p>
      <w:pPr>
        <w:pStyle w:val="Heading3"/>
      </w:pPr>
      <w:r>
        <w:t>191.12.2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ACETYLCYSTEINE BGL</w:t>
            </w:r>
          </w:p>
        </w:tc>
        <w:tc>
          <w:tcPr>
            <w:tcW w:type="dxa" w:w="1559"/>
          </w:tcPr>
          <w:p>
            <w:r>
              <w:rPr>
                <w:sz w:val="20"/>
              </w:rPr>
              <w:t>BIOGALENIC</w:t>
            </w:r>
          </w:p>
        </w:tc>
        <w:tc>
          <w:tcPr>
            <w:tcW w:type="dxa" w:w="1559"/>
          </w:tcPr>
          <w:p>
            <w:r>
              <w:rPr>
                <w:sz w:val="20"/>
              </w:rPr>
              <w:t>Granulé pour solution buvable en sachets-dose 200 mg</w:t>
            </w:r>
          </w:p>
        </w:tc>
        <w:tc>
          <w:tcPr>
            <w:tcW w:type="dxa" w:w="1559"/>
          </w:tcPr>
          <w:p>
            <w:r>
              <w:rPr>
                <w:sz w:val="20"/>
              </w:rPr>
              <w:t>Boîte de 20</w:t>
            </w:r>
          </w:p>
        </w:tc>
        <w:tc>
          <w:tcPr>
            <w:tcW w:type="dxa" w:w="1559"/>
          </w:tcPr>
          <w:p>
            <w:r>
              <w:rPr>
                <w:sz w:val="20"/>
              </w:rPr>
              <w:t>—</w:t>
            </w:r>
          </w:p>
        </w:tc>
        <w:tc>
          <w:tcPr>
            <w:tcW w:type="dxa" w:w="1559"/>
          </w:tcPr>
          <w:p>
            <w:r>
              <w:rPr>
                <w:sz w:val="20"/>
              </w:rPr>
              <w:t>ACTIF</w:t>
            </w:r>
          </w:p>
        </w:tc>
      </w:tr>
      <w:tr>
        <w:tc>
          <w:tcPr>
            <w:tcW w:type="dxa" w:w="1559"/>
          </w:tcPr>
          <w:p>
            <w:r>
              <w:rPr>
                <w:sz w:val="20"/>
              </w:rPr>
              <w:t>FLUIMICIL EXPECTORANT ACETYLCYSTEINE</w:t>
            </w:r>
          </w:p>
        </w:tc>
        <w:tc>
          <w:tcPr>
            <w:tcW w:type="dxa" w:w="1559"/>
          </w:tcPr>
          <w:p>
            <w:r>
              <w:rPr>
                <w:sz w:val="20"/>
              </w:rPr>
              <w:t>ZAMBON</w:t>
            </w:r>
          </w:p>
        </w:tc>
        <w:tc>
          <w:tcPr>
            <w:tcW w:type="dxa" w:w="1559"/>
          </w:tcPr>
          <w:p>
            <w:r>
              <w:rPr>
                <w:sz w:val="20"/>
              </w:rPr>
              <w:t>Granulé pour solution buvable en sachets-dose 200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SOLMUCOL 200</w:t>
            </w:r>
          </w:p>
        </w:tc>
        <w:tc>
          <w:tcPr>
            <w:tcW w:type="dxa" w:w="1559"/>
          </w:tcPr>
          <w:p>
            <w:r>
              <w:rPr>
                <w:sz w:val="20"/>
              </w:rPr>
              <w:t>PHARMA IVAL SPA</w:t>
            </w:r>
          </w:p>
        </w:tc>
        <w:tc>
          <w:tcPr>
            <w:tcW w:type="dxa" w:w="1559"/>
          </w:tcPr>
          <w:p>
            <w:r>
              <w:rPr>
                <w:sz w:val="20"/>
              </w:rPr>
              <w:t>Granulé pour solution buvable en sachets-dose 200 mg</w:t>
            </w:r>
          </w:p>
        </w:tc>
        <w:tc>
          <w:tcPr>
            <w:tcW w:type="dxa" w:w="1559"/>
          </w:tcPr>
          <w:p>
            <w:r>
              <w:rPr>
                <w:sz w:val="20"/>
              </w:rPr>
              <w:t>Boîte de 20</w:t>
            </w:r>
          </w:p>
        </w:tc>
        <w:tc>
          <w:tcPr>
            <w:tcW w:type="dxa" w:w="1559"/>
          </w:tcPr>
          <w:p>
            <w:r>
              <w:rPr>
                <w:sz w:val="20"/>
              </w:rPr>
              <w:t>—</w:t>
            </w:r>
          </w:p>
        </w:tc>
        <w:tc>
          <w:tcPr>
            <w:tcW w:type="dxa" w:w="1559"/>
          </w:tcPr>
          <w:p>
            <w:r>
              <w:rPr>
                <w:sz w:val="20"/>
              </w:rPr>
              <w:t>ACTIF</w:t>
            </w:r>
          </w:p>
        </w:tc>
      </w:tr>
      <w:tr>
        <w:tc>
          <w:tcPr>
            <w:tcW w:type="dxa" w:w="1559"/>
          </w:tcPr>
          <w:p>
            <w:r>
              <w:rPr>
                <w:sz w:val="20"/>
              </w:rPr>
              <w:t>FLUIMEX</w:t>
            </w:r>
          </w:p>
        </w:tc>
        <w:tc>
          <w:tcPr>
            <w:tcW w:type="dxa" w:w="1559"/>
          </w:tcPr>
          <w:p>
            <w:r>
              <w:rPr>
                <w:sz w:val="20"/>
              </w:rPr>
              <w:t>SARL API</w:t>
            </w:r>
          </w:p>
        </w:tc>
        <w:tc>
          <w:tcPr>
            <w:tcW w:type="dxa" w:w="1559"/>
          </w:tcPr>
          <w:p>
            <w:r>
              <w:rPr>
                <w:sz w:val="20"/>
              </w:rPr>
              <w:t>Comprimé effervescent 200 mg</w:t>
            </w:r>
          </w:p>
        </w:tc>
        <w:tc>
          <w:tcPr>
            <w:tcW w:type="dxa" w:w="1559"/>
          </w:tcPr>
          <w:p>
            <w:r>
              <w:rPr>
                <w:sz w:val="20"/>
              </w:rPr>
              <w:t>Boîte de 20</w:t>
            </w:r>
          </w:p>
        </w:tc>
        <w:tc>
          <w:tcPr>
            <w:tcW w:type="dxa" w:w="1559"/>
          </w:tcPr>
          <w:p>
            <w:r>
              <w:rPr>
                <w:sz w:val="20"/>
              </w:rPr>
              <w:t>—</w:t>
            </w:r>
          </w:p>
        </w:tc>
        <w:tc>
          <w:tcPr>
            <w:tcW w:type="dxa" w:w="1559"/>
          </w:tcPr>
          <w:p>
            <w:r>
              <w:rPr>
                <w:sz w:val="20"/>
              </w:rPr>
              <w:t>ACTIF</w:t>
            </w:r>
          </w:p>
        </w:tc>
      </w:tr>
      <w:tr>
        <w:tc>
          <w:tcPr>
            <w:tcW w:type="dxa" w:w="1559"/>
          </w:tcPr>
          <w:p>
            <w:r>
              <w:rPr>
                <w:sz w:val="20"/>
              </w:rPr>
              <w:t>RHINOFLUIMUCIL</w:t>
            </w:r>
          </w:p>
        </w:tc>
        <w:tc>
          <w:tcPr>
            <w:tcW w:type="dxa" w:w="1559"/>
          </w:tcPr>
          <w:p>
            <w:r>
              <w:rPr>
                <w:sz w:val="20"/>
              </w:rPr>
              <w:t>ZAMBON</w:t>
            </w:r>
          </w:p>
        </w:tc>
        <w:tc>
          <w:tcPr>
            <w:tcW w:type="dxa" w:w="1559"/>
          </w:tcPr>
          <w:p>
            <w:r>
              <w:rPr>
                <w:sz w:val="20"/>
              </w:rPr>
              <w:t>Solution pulvérisation nasale 100 mg/50 mg/1,25 mg/10 mL</w:t>
            </w:r>
          </w:p>
        </w:tc>
        <w:tc>
          <w:tcPr>
            <w:tcW w:type="dxa" w:w="1559"/>
          </w:tcPr>
          <w:p>
            <w:r>
              <w:rPr>
                <w:sz w:val="20"/>
              </w:rPr>
              <w:t>Flacon de 10 mL</w:t>
            </w:r>
          </w:p>
        </w:tc>
        <w:tc>
          <w:tcPr>
            <w:tcW w:type="dxa" w:w="1559"/>
          </w:tcPr>
          <w:p>
            <w:r>
              <w:rPr>
                <w:sz w:val="20"/>
              </w:rPr>
              <w:t>Liste II</w:t>
            </w:r>
          </w:p>
        </w:tc>
        <w:tc>
          <w:tcPr>
            <w:tcW w:type="dxa" w:w="1559"/>
          </w:tcPr>
          <w:p>
            <w:r>
              <w:rPr>
                <w:sz w:val="20"/>
              </w:rPr>
              <w:t>ACTIF</w:t>
            </w:r>
          </w:p>
        </w:tc>
      </w:tr>
      <w:tr>
        <w:tc>
          <w:tcPr>
            <w:tcW w:type="dxa" w:w="1559"/>
          </w:tcPr>
          <w:p>
            <w:r>
              <w:rPr>
                <w:sz w:val="20"/>
              </w:rPr>
              <w:t>MUCOXINE</w:t>
            </w:r>
          </w:p>
        </w:tc>
        <w:tc>
          <w:tcPr>
            <w:tcW w:type="dxa" w:w="1559"/>
          </w:tcPr>
          <w:p>
            <w:r>
              <w:rPr>
                <w:sz w:val="20"/>
              </w:rPr>
              <w:t>CINFA SA</w:t>
            </w:r>
          </w:p>
        </w:tc>
        <w:tc>
          <w:tcPr>
            <w:tcW w:type="dxa" w:w="1559"/>
          </w:tcPr>
          <w:p>
            <w:r>
              <w:rPr>
                <w:sz w:val="20"/>
              </w:rPr>
              <w:t>Poudre pour solution buvable en sachet-dose 200 mg/sachet</w:t>
            </w:r>
          </w:p>
        </w:tc>
        <w:tc>
          <w:tcPr>
            <w:tcW w:type="dxa" w:w="1559"/>
          </w:tcPr>
          <w:p>
            <w:r>
              <w:rPr>
                <w:sz w:val="20"/>
              </w:rPr>
              <w:t>Boîte de 20</w:t>
            </w:r>
          </w:p>
        </w:tc>
        <w:tc>
          <w:tcPr>
            <w:tcW w:type="dxa" w:w="1559"/>
          </w:tcPr>
          <w:p>
            <w:r>
              <w:rPr>
                <w:sz w:val="20"/>
              </w:rPr>
              <w:t>—</w:t>
            </w:r>
          </w:p>
        </w:tc>
        <w:tc>
          <w:tcPr>
            <w:tcW w:type="dxa" w:w="1559"/>
          </w:tcPr>
          <w:p>
            <w:r>
              <w:rPr>
                <w:sz w:val="20"/>
              </w:rPr>
              <w:t>RETRAIT</w:t>
            </w:r>
          </w:p>
        </w:tc>
      </w:tr>
      <w:tr>
        <w:tc>
          <w:tcPr>
            <w:tcW w:type="dxa" w:w="1559"/>
          </w:tcPr>
          <w:p>
            <w:r>
              <w:rPr>
                <w:sz w:val="20"/>
              </w:rPr>
              <w:t>EXOMUC</w:t>
            </w:r>
          </w:p>
        </w:tc>
        <w:tc>
          <w:tcPr>
            <w:tcW w:type="dxa" w:w="1559"/>
          </w:tcPr>
          <w:p>
            <w:r>
              <w:rPr>
                <w:sz w:val="20"/>
              </w:rPr>
              <w:t>BOUCHARA-RECORDATI</w:t>
            </w:r>
          </w:p>
        </w:tc>
        <w:tc>
          <w:tcPr>
            <w:tcW w:type="dxa" w:w="1559"/>
          </w:tcPr>
          <w:p>
            <w:r>
              <w:rPr>
                <w:sz w:val="20"/>
              </w:rPr>
              <w:t>Granulés pour solution buvable 200 mg</w:t>
            </w:r>
          </w:p>
        </w:tc>
        <w:tc>
          <w:tcPr>
            <w:tcW w:type="dxa" w:w="1559"/>
          </w:tcPr>
          <w:p>
            <w:r>
              <w:rPr>
                <w:sz w:val="20"/>
              </w:rPr>
              <w:t>Boîte de 30 sachets</w:t>
            </w:r>
          </w:p>
        </w:tc>
        <w:tc>
          <w:tcPr>
            <w:tcW w:type="dxa" w:w="1559"/>
          </w:tcPr>
          <w:p>
            <w:r>
              <w:rPr>
                <w:sz w:val="20"/>
              </w:rPr>
              <w:t>—</w:t>
            </w:r>
          </w:p>
        </w:tc>
        <w:tc>
          <w:tcPr>
            <w:tcW w:type="dxa" w:w="1559"/>
          </w:tcPr>
          <w:p>
            <w:r>
              <w:rPr>
                <w:sz w:val="20"/>
              </w:rPr>
              <w:t>RETRAIT</w:t>
            </w:r>
          </w:p>
        </w:tc>
      </w:tr>
    </w:tbl>
    <w:p/>
    <w:p>
      <w:r>
        <w:t>La NAC disponible en Algérie est essentiellement représentée par des formes mucomodulatrices orales (granulés ou comprimés effervescents 200 mg par sachet/comprimé), adaptées à l'usage mucolytique en pathologie respiratoire (encombrement bronchique, bronchite aiguë, mucoviscidose). Aucune forme injectable IV à usage antidote n'est actuellement commercialisée en Algérie à la date de cette nomenclature, ce qui constitue une lacune majeure pour la prise en charge des intoxications graves au paracétamol. Cette situation impose aux praticiens algériens soit d'utiliser la forme orale (efficace mais moins pratique en urgence en cas de vomissements), soit de recourir à l'importation exceptionnelle de la forme IV (Fluimucil 10 % ou 30 % injectable, Mucomyst injectable, commercialisés en France et en Europe). Les formes historiques Mucoxine (Cinfa SA) et Exomuc (Bouchara-Recordati) sont retirées du marché algérien.</w:t>
      </w:r>
    </w:p>
    <w:p>
      <w:pPr>
        <w:pStyle w:val="Heading3"/>
      </w:pPr>
      <w:r>
        <w:t>191.12.3 Mécanisme d'action moléculaire et cellulaire</w:t>
      </w:r>
    </w:p>
    <w:p>
      <w:r>
        <w:t>Le paracétamol (acétaminophène, N-acétyl-p-aminophénol) est métabolisé à 90-95 % par conjugaison hépatique (glucuronoconjugaison 40-67 %, sulfoconjugaison 20-46 %) en métabolites inactifs éliminés par voie rénale. Une fraction mineure (5-10 %) est oxydée par le cytochrome P450 2E1 (CYP2E1), et accessoirement par les CYP1A2 et CYP3A4, en un métabolite réactif, la N-acétyl-p-benzoquinone-imine (NAPQI). Le NAPQI est normalement détoxifié par conjugaison avec le glutathion hépatique (GSH) en un métabolite inactif (cystéineconjugué et mercapturique). En cas de surdose (≥ 10 g adulte ou ≥ 150 mg/kg en une prise, ≥ 100 mg/kg en prise répétée chez l'enfant), les voies de conjugaison principales (glucuronidation, sulfatation) sont saturées, et une fraction accrue du paracétamol est oxydée en NAPQI. Les stocks hépatiques de glutathion sont épuisés (de 70 % à 30 % du niveau basal), et le NAPQI libre se conjugue de manière covalente aux protéines hépatocytaires (cystéines des protéines mitochondriales notamment), induisant une nécrose centrolobulaire massive évoluant vers l'insuffisance hépatique fulminante en 24-72 heures.</w:t>
      </w:r>
    </w:p>
    <w:p>
      <w:r>
        <w:t>La NAC agit comme antidote en restaurant les stocks hépatiques de glutathion : (i) la NAC est déacétylée en L-cystéine dans les cellules, qui est le précurseur limitant de la synthèse du glutathion (γ-glutamyl-cystéine-glycine, GSH) ; (ii) la cystéine est convertie en γ-glutamylcystéine par la γ-glutamylcystéine synthétase (enzyme limitante), puis en glutathion par la glutathion synthétase ; (iii) le glutathion régénéré détoxifie le NAPQI par conjugaison, empêchant la lésion hépatocellulaire. La NAC a également une action antioxydante propre (piégeage des radicaux libres oxygénés, restauration du potentiel redox cellulaire), une action anti-inflammatoire (inhibition des cytokines pro-inflammatoires TNF-α, IL-6, IL-8), une action vasodilatatrice splanchnique (augmentation du débit sanguin hépatique,amélioration de la microcirculation), et une action directe sur les lésions mitochondriales (restauration du potentiel transmembranaire, inhibition de la transition de perméabilité mitochondriale MPT).</w:t>
      </w:r>
    </w:p>
    <w:p>
      <w:r>
        <w:t>Au plan cellulaire, la NAC agit à plusieurs niveaux : (i) prévention de la nécrose hépatocellulaire en détoxifiant le NAPQI avant qu'il ne se conjugue aux protéines ; (ii) prévention de l'apoptose hépatocytaire (inhibition de la caspase-3 et de la voie cytochrome c / Apaf-1) ; (iii) restauration de l'oxygénation tissulaire (vasodilatation splanchnique) ; (iv) restauration de la synthèse des facteurs de coagulation hépatiques (carence en cystéine limitante de la synthèse des facteurs vitamine-K-dépendants en cas d'insuffisance hépatique). Ces multiples mécanismes expliquent l'efficacité de la NAC même à un stade d'insuffisance hépatique constituée (effet hépato-protecteur, vasculaire et antioxydant).</w:t>
      </w:r>
    </w:p>
    <w:p>
      <w:pPr>
        <w:pStyle w:val="Heading3"/>
      </w:pPr>
      <w:r>
        <w:t>191.12.4 Profil pharmacocinétique, indications, contre-indications, effets indésirables</w:t>
      </w:r>
    </w:p>
    <w:p>
      <w:r/>
      <w:r>
        <w:rPr>
          <w:b/>
        </w:rPr>
        <w:t>Pharmacocinétique</w:t>
      </w:r>
      <w:r>
        <w:t xml:space="preserve"> : la NAC est rapidement absorbée par voie orale (biodisponibilité 6-10 % en raison d'un effet de premier passage hépatique massif), avec un pic plasmatique à 1-2 heures. Après administration IV, le pic est immédiat. La distribution est large (Vd 0,5 L/kg), avec une captation hépatique préférentielle. La NAC est déacétylée en L-cystéine (métabolite actif), qui est ensuite incorporée dans le glutathion. La demi-vie d'élimination est courte (2-6 heures), nécessitant une administration prolongée (protocole IV 21 heures, protocole oral 72 heures) pour maintenir des concentrations hépatiques efficaces. L'élimination est essentiellement rénale sous forme de métabolites inactifs (cystéineconjugués, mercapturiques, sulfates).</w:t>
      </w:r>
    </w:p>
    <w:p>
      <w:r/>
      <w:r>
        <w:rPr>
          <w:b/>
        </w:rPr>
        <w:t>Indications</w:t>
      </w:r>
      <w:r>
        <w:t xml:space="preserve"> : (i) antidote de l'intoxication par le paracétamol, en cas de dose ingérée ≥ 150 mg/kg en une prise ou ≥ 100 mg/kg en prise répétée, ou selon le nomogramme de Rumack-Matthew (paracétamolémie &gt; ligne de traitement à H4 post-ingestion) ; (ii) prévention de l'insuffisance hépatique après ingestion chronique ou aiguë de paracétamol à dose potentiellement toxique ; (iii) insuffisance hépatique aiguë non-paracétamolique (effet antioxydant et hémodynamique, indication controversée mais largement utilisée en pratique clinique) ; (iv) mucolytique en pathologie respiratoire (encombrement bronchique, mucoviscidose, bronchopneumopathie chronique obstructive) ; (v) prévention de la néphropathie au contraste iodé (effet antioxydant, controversé) ; (vi) colite pseudomembraneuse à Clostridium difficile (effet anti-toxine, indication expérimentale) ; (vii) syndrome de détresse respiratoire aigu (ARDS, effet antioxydant, controversé) ; (viii) prévention de la carcinogenèse (études expérimentales, non validé en clinique).</w:t>
      </w:r>
    </w:p>
    <w:p>
      <w:r/>
      <w:r>
        <w:rPr>
          <w:b/>
        </w:rPr>
        <w:t>Contre-indications</w:t>
      </w:r>
      <w:r>
        <w:t xml:space="preserve"> : (i) hypersensibilité connue à la NAC ou à l'acétylcystéine ; (ii) phénylcétonurie pour les formes contenant de l'aspartam (rare) ; (iii) prudence en cas d'asthme sévère (risque de bronchospasme par inhalation de la forme nébulisée, contre-indication relative) ; (iv) prudence en cas d'ulcère gastro-duodénal évolutif (irritation gastrique par la forme orale) ; (v) prudence en cas d'insuffisance rénale sévère (adaptation non nécessaire mais surveillance) ; (vi) prudence chez la femme enceinte (compatible, mais surveillance fœtale en cas de défaillance hépatique maternelle). La NAC est globalement très bien tolérée et ne possède pas de contre-indication absolue en dehors de l'hypersensibilité.</w:t>
      </w:r>
    </w:p>
    <w:p>
      <w:r/>
      <w:r>
        <w:rPr>
          <w:b/>
        </w:rPr>
        <w:t>Effets indésirables</w:t>
      </w:r>
      <w:r>
        <w:t xml:space="preserve"> : le profil de tolérance de la NAC varie selon la voie d'administration.</w:t>
      </w:r>
    </w:p>
    <w:p>
      <w:pPr>
        <w:pStyle w:val="ListBullet"/>
      </w:pPr>
      <w:r/>
      <w:r>
        <w:rPr>
          <w:b/>
        </w:rPr>
        <w:t>Forme IV</w:t>
      </w:r>
      <w:r>
        <w:t xml:space="preserve"> (antidote paracétamol) : (i) réactions anaphylactoïdes (réactions d'hypersensibilité non-IgE-médiées) chez 10-20 % des patients, surtout en cas de perfusion initiale rapide (première heure du protocole 150 mg/kg) : flush, urticaire, prurit, rash, bronchospasme, hypotension, nausées. Ces réactions sont généralement bénignes et régressent à l'arrêt ou au ralentissement de la perfusion. Les réactions anaphylactiques vraies (IgE-médiées, choc anaphylactique) sont rares (&lt; 1 %). (ii) Nausées et vomissements (effet central et gastric irritant), surtout en début de perfusion. (iii) Flush facial et sensation de chaleur (vasodilatation). (iv) Céphalées, transpiration. (v) Hypernatrémie et hyperosmolarité (la solution IV est fortement sodée : 300 mmol/L de sodium), à surveiller chez l'enfant et l'insuffisant cardiaque. (vi) Bronchospasme en cas d'asthme (rare).</w:t>
      </w:r>
    </w:p>
    <w:p>
      <w:pPr>
        <w:pStyle w:val="ListBullet"/>
      </w:pPr>
      <w:r/>
      <w:r>
        <w:rPr>
          <w:b/>
        </w:rPr>
        <w:t>Forme orale</w:t>
      </w:r>
      <w:r>
        <w:t xml:space="preserve"> (granulés ou comprimés effervescents) : (i) nausées, vomissements, diarrhée (effet local irritant et prokinétique), gênant l'administration du protocole complet (72 heures) en cas de vomissements ; (ii) brûlures rétrosternales, dyspepsie ; (iii) rash cutané rare ; (iv) hypokaliémie modeste possible.</w:t>
      </w:r>
    </w:p>
    <w:p>
      <w:pPr>
        <w:pStyle w:val="ListBullet"/>
      </w:pPr>
      <w:r/>
      <w:r>
        <w:rPr>
          <w:b/>
        </w:rPr>
        <w:t>Forme nébulisée</w:t>
      </w:r>
      <w:r>
        <w:t xml:space="preserve"> (usage mucolytique respiratoire) : (i) bronchospasme paradoxal (surtout chez l'asthmatique) ; (ii) irritation pharyngée ; (iii) stomatite ; (iv) rhinorrhée.</w:t>
      </w:r>
    </w:p>
    <w:p>
      <w:r>
        <w:t>Les effets indésirables de la NAC sont généralement transitoires et bénins. La conduite à tenir en cas de réaction anaphylactoïde IV consiste à ralentir ou interrompre transitoirement la perfusion, à administrer un antihistaminique (cétirizine 10 mg PO, dexchlorphéniramine 5 mg IV) et un corticoïde (méthylprednisolone 1-2 mg/kg IV), et à reprendre la perfusion à un débit réduit. La NAC reste indiquée tant que le paracétamolémie le justifie, malgré les réactions d'hypersensibilité (rapport bénéfice/risque très favorable).</w:t>
      </w:r>
    </w:p>
    <w:p>
      <w:pPr>
        <w:pStyle w:val="Heading3"/>
      </w:pPr>
      <w:r>
        <w:t>191.12.5 Prévention et gestion des effets indésirables</w:t>
      </w:r>
    </w:p>
    <w:p>
      <w:r>
        <w:t>La prévention des effets indésirables de la NAC repose sur la lenteur d'administration initiale (première heure du protocole IV), la prémédication par antihistaminique en cas d'antécédent de réaction, et l'adaptation posologique en fonction du patient.</w:t>
      </w:r>
    </w:p>
    <w:p>
      <w:r/>
      <w:r>
        <w:rPr>
          <w:b/>
        </w:rPr>
        <w:t>Prévention des réactions anaphylactoïdes IV</w:t>
      </w:r>
      <w:r>
        <w:t xml:space="preserve"> : la perfusion initiale de 150 mg/kg sur 1 heure est responsable de la majorité des réactions d'hypersensibilité, en raison de la concentration plasmatique maximale atteinte à la fin de la perfusion. Les recommandations récentes (2016 SFTox, 2017 EAACI) proposent : (i) une perfusion initiale plus lente (150 mg/kg sur 2 heures en cas d'antécédent de réaction), ou (ii) une prémédication par antihistaminique H1 (cétirizine 10 mg PO 1 heure avant) en cas d'antécédent, ou (iii) une surveillance rapprochée en unité de soins intensifs. En cas de réaction anaphylactoïde sévère (hypotension, bronchospasme sévère, choc), la perfusion doit être interrompue transitoirement, un traitement symptomatique instauré (remplissage vasculaire, adrénaline 0,1-0,5 mg IM si choc, bronchodilatateurs si bronchospasme), et la reprise discutée selon le rapport bénéfice/risque.</w:t>
      </w:r>
    </w:p>
    <w:p>
      <w:r/>
      <w:r>
        <w:rPr>
          <w:b/>
        </w:rPr>
        <w:t>Prévention des nausées et vomissements</w:t>
      </w:r>
      <w:r>
        <w:t xml:space="preserve"> : le protocole oral (72 heures, 18 doses) est particulièrement exposé en raison de la dose totale (1330 mg/kg) et de la durée d'administration. L'administration concomitante d'un antiémétique (ondansétron 4 mg IV ou PO, métoclopramide 10 mg IV) est recommandée dès la première dose en cas d'intoxication volontaire ( patient jeune, anxiété, antécédent de vomissements). En cas de vomissements récurrents malgré l'antiémétique, le relais par la forme IV doit être envisagé (si disponible). Le protocole oral reste utilisé dans les centres où la forme IV n'est pas disponible ou en complément du protocole IV (relais).</w:t>
      </w:r>
    </w:p>
    <w:p>
      <w:r/>
      <w:r>
        <w:rPr>
          <w:b/>
        </w:rPr>
        <w:t>Prévention des troubles hydro-électrolytiques</w:t>
      </w:r>
      <w:r>
        <w:t xml:space="preserve"> : la solution IV de NAC (Fluimucil 30 % injectable, non disponible en Algérie) contient 300 mmol/L de sodium, ce qui expose à une charge sodée importante en cas de protocole complet (480 mmol de sodium sur 21 heures). Cette charge est à surveiller chez le nourrisson, l'insuffisant cardiaque, l'insuffisant rénal sévère. L'administration doit être adaptée en cas d'hyponatrémie préexistante (intoxication au paracétamol chez la femme enceinte, hyponatrémie de dilution).</w:t>
      </w:r>
    </w:p>
    <w:p>
      <w:r/>
      <w:r>
        <w:rPr>
          <w:b/>
        </w:rPr>
        <w:t>Surveillance biologique</w:t>
      </w:r>
      <w:r>
        <w:t xml:space="preserve"> : sous NAC, surveiller : (i) paracétamolémie à H4, H8, H12, H16 post-ingestion (selon le nomogramme de Rumack-Matthew) ; (ii) ASAT/ALAT toutes les 4-6 heures (détection précoce de l'hépatotoxicité) ; (iii) TP/INR (détection de l'insuffisance hépatocellulaire) ; (iv) créatininémie (détection de la néphrotoxicité, présente dans 10-25 % des intoxications sévères) ; (v) lactates artériels (détection de l'acidose métabolique, signe de gravité) ; (vi) pH artériel, bicarbonates ; (vii) glycémie, ionogramme (surveillance sous NAC IV).</w:t>
      </w:r>
    </w:p>
    <w:p>
      <w:r/>
      <w:r>
        <w:rPr>
          <w:b/>
        </w:rPr>
        <w:t>Critères d'arrêt de la NAC</w:t>
      </w:r>
      <w:r>
        <w:t xml:space="preserve"> : la NAC peut être arrêtée lorsque : (i) la paracétamolémie est indétectable (&lt; 10 mg/L), ET (ii) ASAT/ALAT normales ou en diminution (deux dosages successifs à 4 heures d'intervalle), ET (iii) TP &gt; 50 % (INR &lt; 1,5), ET (iv) patient asymptomatique, ET (v) plus de 24 heures après l'ingestion. En cas d'insuffisance hépatique constituée (ALAT &gt; 1000 UI/L, TP &lt; 50 %, encéphalopathie), la NAC doit être poursuivie au-delà du protocole classique (relais 100 mg/kg/16 heures, en cycles répétés) jusqu'à récupération hépatique ou transplantation hépatique.</w:t>
      </w:r>
    </w:p>
    <w:p>
      <w:pPr>
        <w:pStyle w:val="Heading3"/>
      </w:pPr>
      <w:r>
        <w:t>191.12.6 Interactions médicamenteuses</w:t>
      </w:r>
    </w:p>
    <w:p>
      <w:r>
        <w:t>La NAC présente peu d'interactions médicamenteuses significatives en raison de son métabolisme essentiellement hépatique en cystéine et glutathion. Les principales interactions à connaître sont :</w:t>
      </w:r>
    </w:p>
    <w:p>
      <w:r/>
      <w:r>
        <w:rPr>
          <w:b/>
        </w:rPr>
        <w:t>Interactions pharmacodynamiques</w:t>
      </w:r>
      <w:r>
        <w:t xml:space="preserve"> : (i) potentialisation de l'effet antiagrégant plaquettaire du nitroglycerine (la NAC potentialise l'effet du NO en restaurant le glutathion, substrat de la glycéryl trinitrate réductase) — à surveiller en cas d'administration concomitante chez le coronarien ; (ii) antagonisation de l'effet hépatotoxique du paracétamol (effet antidote recherché) ; (iii) potentialisation de l'effet antioxydant de la vitamine C et de la vitamine E (synergie) ; (iv) potentialisation de l'effet antiagrégant du clopidogrel et de l'aspirine (risque hémorragique) ; (v) potentialisation de l'effet bronchodilatateur des β2-agonistes en nébulisation (effet mucolytique additif).</w:t>
      </w:r>
    </w:p>
    <w:p>
      <w:r/>
      <w:r>
        <w:rPr>
          <w:b/>
        </w:rPr>
        <w:t>Interactions pharmacocinétiques</w:t>
      </w:r>
      <w:r>
        <w:t xml:space="preserve"> : (i) diminution de l'absorption orale de la tétracycline (chelation), à espacer de 2 heures ; (ii) diminution de l'absorption orale de la pénicillamine (chelation), à espacer de 2 heures ; (iii) inactivation des antibiotiques β-lactamines en solution (pénicillines, céphalosporines, carbapénèmes) — ne pas mélanger dans la même perfusion, à administrer séparément ; (iv) inactivation de l'amphotéricine B en solution ; (v) augmentation de la biodisponibilité orale de la carbamazépine et de la nitroglycérine.</w:t>
      </w:r>
    </w:p>
    <w:p>
      <w:r/>
      <w:r>
        <w:rPr>
          <w:b/>
        </w:rPr>
        <w:t>Associations à risque</w:t>
      </w:r>
      <w:r>
        <w:t xml:space="preserve"> : (i) NAC + nitroglycerine : hypotension sévère possible, surveillance ; (ii) NAC nébulisée + antibiotiques β-lactamines : inactivation réciproque, ne pas mélanger, espacer les administrations ; (iii) NAC orale + fer, calcium, magnésium, zinc : chélation possible, espacer de 2 heures ; (iv) NAC + charbon activé : le charbon activé administré en décontamination digestive avant la NAC orale peut adsorber la NAC et réduire son efficacité. Espacer de 2-3 heures, ou privilégier la NAC IV en cas de lavage gastrique préalable.</w:t>
      </w:r>
    </w:p>
    <w:p>
      <w:pPr>
        <w:pStyle w:val="Heading3"/>
      </w:pPr>
      <w:r>
        <w:t>191.12.7 Grossesse et allaitement (données CRAT)</w:t>
      </w:r>
    </w:p>
    <w:p>
      <w:r/>
      <w:r>
        <w:rPr>
          <w:b/>
        </w:rPr>
        <w:t>Grossesse</w:t>
      </w:r>
      <w:r>
        <w:t xml:space="preserve"> : la NAC traverse la barrière placentaire en raison de son faible poids moléculaire (163 Da). Les données du CRAT et de l'OTIS indiquent que la NAC n'est pas tératogène chez l'animal (études souris, rat, lapin) et qu'aucun cas de malformation n'a été rapporté chez la femme enceinte exposée (plusieurs milliers de cas recensés dans la littérature internationale). La NAC est considérée comme compatible avec la grossesse, y compris en cas d'urgence vitale maternelle (intoxication au paracétamol sévère). L'intoxication au paracétamol pendant la grossesse expose à un risque accru d'insuffisance hépatique maternelle et fœtale (le fœtus est plus sensible à l'hépatotoxicité du paracétamol que l'adulte en raison d'une activité CYP2E1 plus élevée in utero après 14 semaines), et la NAC doit être administrée sans délai dès que l'indication est posée. Le rapport bénéfice/risque est très favorable. La NAC est également indiquée en prévention de l'insuffisance hépatique maternelle en cas de dose potentiellement toxique de paracétamol pendant la grossesse (seuil abaissé : 100 mg/kg en une prise ou 75 mg/kg en prise répétée). Le protocole IV est privilégié (meilleure biodisponibilité, surveillance fœtale continue).</w:t>
      </w:r>
    </w:p>
    <w:p>
      <w:r/>
      <w:r>
        <w:rPr>
          <w:b/>
        </w:rPr>
        <w:t>Allaitement</w:t>
      </w:r>
      <w:r>
        <w:t xml:space="preserve"> : la NAC passe faiblement dans le lait maternel en raison de sa courte demi-vie et de sa faible biodisponibilité orale (métabolisation de premier passage chez le nourrisson). La NAC est considérée comme compatible avec l'allaitement, y compris en cas d'administration maternelle aiguë pour intoxication au paracétamol. L'allaitement peut être poursuivi ou repris après l'administration maternelle de NAC. Cependant, en cas d'insuffisance hépatique maternelle sévère secondaire à l'intoxication (TP &lt; 50 %, encéphalopathie), l'allaitement doit être suspendu temporairement jusqu'à récupération hépatique (la composition du lait maternel peut être altérée et le métabolisme maternel de certains médicaments peut être perturbé). Le paracétamol passe également dans le lait maternel, mais à dose thérapeutique maternelle (≤ 4 g/j), la dose ingérée par le nourrisson est très faible (&lt; 1 % de la dose pédiatrique) et non toxique.</w:t>
      </w:r>
    </w:p>
    <w:p>
      <w:pPr>
        <w:pStyle w:val="Heading3"/>
      </w:pPr>
      <w:r>
        <w:t>191.12.8 Posologie et modes d'administration</w:t>
      </w:r>
    </w:p>
    <w:p>
      <w:r/>
      <w:r>
        <w:rPr>
          <w:b/>
        </w:rPr>
        <w:t>Posologie adulte (antidote paracétamol, protocole IV classique)</w:t>
      </w:r>
      <w:r>
        <w:t xml:space="preserve"> : 300 mg/kg en 21 heures, en trois phases successives :</w:t>
      </w:r>
    </w:p>
    <w:p>
      <w:pPr>
        <w:pStyle w:val="ListBullet"/>
      </w:pPr>
      <w:r/>
      <w:r>
        <w:rPr>
          <w:b/>
        </w:rPr>
        <w:t>Phase I</w:t>
      </w:r>
      <w:r>
        <w:t xml:space="preserve"> : 150 mg/kg IV en perfusion de 1 heure (dose de charge), dans 200 mL de glucosé 5 % ou NaCl 0,9 % (adulte).</w:t>
      </w:r>
    </w:p>
    <w:p>
      <w:pPr>
        <w:pStyle w:val="ListBullet"/>
      </w:pPr>
      <w:r/>
      <w:r>
        <w:rPr>
          <w:b/>
        </w:rPr>
        <w:t>Phase II</w:t>
      </w:r>
      <w:r>
        <w:t xml:space="preserve"> : 50 mg/kg IV en perfusion de 4 heures, dans 500 mL de glucosé 5 % ou NaCl 0,9 % (adulte).</w:t>
      </w:r>
    </w:p>
    <w:p>
      <w:pPr>
        <w:pStyle w:val="ListBullet"/>
      </w:pPr>
      <w:r/>
      <w:r>
        <w:rPr>
          <w:b/>
        </w:rPr>
        <w:t>Phase III</w:t>
      </w:r>
      <w:r>
        <w:t xml:space="preserve"> : 100 mg/kg IV en perfusion de 16 heures, dans 1000 mL de glucosé 5 % ou NaCl 0,9 % (adulte).</w:t>
      </w:r>
    </w:p>
    <w:p>
      <w:r/>
      <w:r>
        <w:rPr>
          <w:b/>
        </w:rPr>
        <w:t>Posologie adulte (antidote paracétamol, protocole oral classique)</w:t>
      </w:r>
      <w:r>
        <w:t xml:space="preserve"> : 1330 mg/kg en 72 heures, en 18 doses :</w:t>
      </w:r>
    </w:p>
    <w:p>
      <w:pPr>
        <w:pStyle w:val="ListBullet"/>
      </w:pPr>
      <w:r/>
      <w:r>
        <w:rPr>
          <w:b/>
        </w:rPr>
        <w:t>Dose de charge</w:t>
      </w:r>
      <w:r>
        <w:t xml:space="preserve"> : 140 mg/kg PO (première dose).</w:t>
      </w:r>
    </w:p>
    <w:p>
      <w:pPr>
        <w:pStyle w:val="ListBullet"/>
      </w:pPr>
      <w:r/>
      <w:r>
        <w:rPr>
          <w:b/>
        </w:rPr>
        <w:t>Doses d'entretien</w:t>
      </w:r>
      <w:r>
        <w:t xml:space="preserve"> : 70 mg/kg PO toutes les 4 heures, pendant 72 heures (18 doses au total).</w:t>
      </w:r>
    </w:p>
    <w:p>
      <w:r/>
      <w:r>
        <w:rPr>
          <w:b/>
        </w:rPr>
        <w:t>Posologie adulte (protocole IV « deux bolus » récent, recommandations SFTox 2016)</w:t>
      </w:r>
      <w:r>
        <w:t xml:space="preserve"> : 200 mg/kg en 4 heures (200 mg/kg sur 4 heures, sans prolongation si paracétamolémie indétectable et ASAT normales à H4-H8). Ce protocole simplifié est plus rapide et moins iatrogène, mais nécessite validation.</w:t>
      </w:r>
    </w:p>
    <w:p>
      <w:r/>
      <w:r>
        <w:rPr>
          <w:b/>
        </w:rPr>
        <w:t>Posologie pédiatrique</w:t>
      </w:r>
      <w:r>
        <w:t xml:space="preserve"> : les protocoles IV et oral sont identiques à l'adulte en mg/kg, avec adaptation des volumes de perfusion (réduits chez l'enfant pour éviter la surcharge hydrosodée).</w:t>
      </w:r>
    </w:p>
    <w:p>
      <w:r/>
      <w:r>
        <w:rPr>
          <w:b/>
        </w:rPr>
        <w:t>Indications selon le nomogramme de Rumack-Matthew</w:t>
      </w:r>
      <w:r>
        <w:t xml:space="preserve"> : (i) paracétamolémie dosée à H4 post-ingestion (au plus tôt, mais après le pic) ; (ii) si paracétamolémie &gt; ligne de traitement (ligne unique à 150 mg/L à H4, soit 100 µmol/L, et diminution semi-logarithmique selon la demi-vie du paracétamol) → NAC indiquée ; (iii) si paracétamolémie &lt; ligne de traitement → NAC non indiquée (sauf insuffisance hépatique ou dose inconnue) ; (iv) si dose ingérée inconnue ou ingestion échelonnée → NAC indiquée jusqu'à dosage paracétamolémie.</w:t>
      </w:r>
    </w:p>
    <w:p>
      <w:r/>
      <w:r>
        <w:rPr>
          <w:b/>
        </w:rPr>
        <w:t>Cas particuliers</w:t>
      </w:r>
      <w:r>
        <w:t xml:space="preserve"> : (i) ingestion tardive (au-delà de H8) → NAC indiquée tant que la paracétamolémie est détectable ; (ii) insuffisance hépatique constituée (ALAT &gt; 1000 UI/L, TP &lt; 50 %) → NAC poursuivie au-delà du protocole classique, en cycles de 100 mg/kg/16 h, jusqu'à récupération ou transplantation ; (iii) femme enceinte → NAC indiquée à dose réduite (seuil 100 mg/kg en une prise, 75 mg/kg en prise répétée) ; (iv) patient alcoolique chronique, dénutri, prise d'inducteurs enzymatiques (rifampicine, phénytoïne, carbamazépine, isoniazide) → seuil abaissé (100 mg/kg), NAC indiquée plus largement.</w:t>
      </w:r>
    </w:p>
    <w:p>
      <w:pPr>
        <w:pStyle w:val="Heading3"/>
      </w:pPr>
      <w:r>
        <w:t>191.12.9 Formes galéniques disponibles</w:t>
      </w:r>
    </w:p>
    <w:p>
      <w:r>
        <w:t>La NAC est disponible en Algérie sous formes mucomodulatrices orales (granulés pour solution buvable en sachets-dose, comprimés effervescents), à 200 mg par unité. Ces formulations, adaptées à l'usage mucolytique en pathologie respiratoire (encombrement bronchique, bronchite aiguë, mucoviscidose, BPCO), ne sont pas optimisées pour l'usage antidote IV (problème de stérilité, dosage insuffisant pour le protocole IV complet nécessitant 300 mg/kg, soit 21 g pour un adulte de 70 kg).</w:t>
      </w:r>
    </w:p>
    <w:p>
      <w:r>
        <w:t>Les formes galéniques internationales non disponibles en Algérie incluent : (i) solution injectable IV à 10 % (100 mg/mL) en ampoules de 5 mL et 10 mL (Fluimucil 10 % injectable, Zambon), commercialisée en France pour l'usage antidote ; (ii) solution injectable IV à 30 % (300 mg/mL) en flacons de 10 mL et 20 mL (Fluimucil 30 % injectable, Mucomyst injectable), commercialisée en Europe pour l'usage antidote et la néphropathie au contraste ; (iii) solution pour nébulisation à 10 % et 20 % (Fluimucil nébulisation, Mucomyst nébulisation), adaptée à l'usage mucolytique respiratoire ; (iv) solution pour instillation intratrachéale (Fluimucil instillation) ; (v) solution pour lavage oculaire en cas de brûlure oculaire (usage ophtalmologique).</w:t>
      </w:r>
    </w:p>
    <w:p>
      <w:r>
        <w:t>La conservation de la NAC se fait à température ambiante (15-25 °C), à l'abri de la lumière, avec une péremption généralement de 3 ans. La solution reconstituée (granulés dans l'eau) doit être utilisée immédiatement (conservation 24 heures à 2-8 °C). La solution IV diluée (dans glucosé 5 % ou NaCl 0,9 %) est stable 24 heures à température ambiante. La NAC dégage une odeur caractéristique d'œuf pourri (odeur sulfureuse de l'acétylcystéine) qui peut gêner l'observance orale (problème classique en pédiatrie).</w:t>
      </w:r>
    </w:p>
    <w:p>
      <w:pPr>
        <w:pStyle w:val="Heading3"/>
      </w:pPr>
      <w:r>
        <w:t>191.12.10 Conseils au patient et éducation thérapeutique</w:t>
      </w:r>
    </w:p>
    <w:p>
      <w:r>
        <w:t>La NAC administrée en urgence vitale (antidote paracétamol) est généralement administrée par un professionnel de santé (médecin urgentiste, réanimateur). L'éducation thérapeutique porte principalement sur les informations données au patient et à son entourage après l'épisode d'intoxication, et sur la prévention de la récidive.</w:t>
      </w:r>
    </w:p>
    <w:p>
      <w:r/>
      <w:r>
        <w:rPr>
          <w:b/>
        </w:rPr>
        <w:t>Conseils immédiats après l'administration de NAC</w:t>
      </w:r>
      <w:r>
        <w:t xml:space="preserve"> : (i) le patient doit être informé que le traitement est prolongé (21 heures en IV, 72 heures en oral) et qu'il doit être mené à son terme même en l'absence de symptômes ; (ii) la surveillance biologique (ASAT, ALAT, TP, paracétamolémie) doit être répétée régulièrement pendant toute la durée de la perfusion ; (iii) les nausées et vomissements sont fréquents et peuvent être traités par antiémétiques ; (iv) les réactions d'hypersensibilité (flush, urticaire, prurit) sont fréquentes et généralement bénignes, à signaler au personnel soignant ; (v) la perfusion doit être maintenue même en cas de réaction légère (rapport bénéfice/risque très favorable).</w:t>
      </w:r>
    </w:p>
    <w:p>
      <w:r/>
      <w:r>
        <w:rPr>
          <w:b/>
        </w:rPr>
        <w:t>Conseils de prévention de la récidive</w:t>
      </w:r>
      <w:r>
        <w:t xml:space="preserve"> : (i) adressage systématique à un service de psychiatrie et/ou de psychologie (évaluation du risque suicidaire, prise en charge de la dépression sous-jacente) ; (ii) information sur les dangers du paracétamol à dose toxique (insuffisance hépatique fulminante, transplantation hépatique, mortalité 10 % sans NAC, &lt; 1 % avec NAC précoce) ; (iii) information sur les sources cachées de paracétamol (associations médicamenteuses : Doliprane codéiné, Efferalgan codéiné, Dafalgan codéiné, Antalgimax, Toplexil, Théralgine, Algosedol, Topalgic, Claradol, Co-Doliprane, Di-Antalvic) — risque de surdose involontaire par association ; (iv) information sur les seuils toxiques (≥ 10 g adulte ou ≥ 150 mg/kg en une prise, ≥ 100 mg/kg en 24 heures, ≥ 4 g/j chronique) ; (v) recommandation de ne pas dépasser 4 g/j (8 comprimés à 500 mg) chez l'adulte sain, 3 g/j chez le sujet âgé ou dénutri, 60 mg/kg/j chez l'enfant.</w:t>
      </w:r>
    </w:p>
    <w:p>
      <w:r/>
      <w:r>
        <w:rPr>
          <w:b/>
        </w:rPr>
        <w:t>Conseils aux patients sous paracétamol chronique (douleur chronique, cancer)</w:t>
      </w:r>
      <w:r>
        <w:t xml:space="preserve"> : (i) information sur les seuils toxiques (≥ 4 g/j chronique, ≥ 3 g/j chez le sujet âgé, dénutri, alcoolique) ; (ii) information sur les interactions (alcool, isoniazide, rifampicine, phénytoïne, carbamazépine — inducteurs du CYP2E1) qui abaissent le seuil toxique ; (iii) information sur la nécessité de surveiller les transaminases en cas de prise prolongée (≥ 1 mois) à dose maximale ; (iv) information sur les associations à éviter (paracétamol + AINS hépatotoxiques comme le diclofénac à forte dose) ; (v) conservation des boîtes de paracétamol hors de portée des enfants (risque d'ingestion accidentelle, intoxication grave).</w:t>
      </w:r>
    </w:p>
    <w:p>
      <w:pPr>
        <w:pStyle w:val="Heading3"/>
      </w:pPr>
      <w:r>
        <w:t>191.12.11 Pièges au comptoir (règles d'or)</w:t>
      </w:r>
    </w:p>
    <w:p>
      <w:pPr>
        <w:pStyle w:val="ListNumber"/>
      </w:pPr>
      <w:r/>
      <w:r>
        <w:rPr>
          <w:b/>
        </w:rPr>
        <w:t>Règle d'or n°1 : délai d'administration = efficacité.</w:t>
      </w:r>
      <w:r>
        <w:t xml:space="preserve"> La NAC est la plus efficace si administrée dans les 8 heures après l'ingestion (réduction mortalité à &lt; 1 %). Au-delà de H8, l'efficacité diminue mais reste utile (effet antioxydant, hépato-protecteur, amélioration de la survie en cas d'insuffisance hépatique constituée).</w:t>
      </w:r>
    </w:p>
    <w:p>
      <w:pPr>
        <w:pStyle w:val="ListNumber"/>
      </w:pPr>
      <w:r/>
      <w:r>
        <w:rPr>
          <w:b/>
        </w:rPr>
        <w:t>Règle d'or n°2 : nomogramme de Rumack-Matthew = outil décisionnel universel.</w:t>
      </w:r>
      <w:r>
        <w:t xml:space="preserve"> Paracétamolémie à H4 post-ingestion (pas avant, sinon faux négatif). Si &gt; ligne de traitement (100 µmol/L à H4) → NAC. Si indosable ou dose inconnue → NAC.</w:t>
      </w:r>
    </w:p>
    <w:p>
      <w:pPr>
        <w:pStyle w:val="ListNumber"/>
      </w:pPr>
      <w:r/>
      <w:r>
        <w:rPr>
          <w:b/>
        </w:rPr>
        <w:t>Règle d'or n°3 : seuils toxiques paracétamol.</w:t>
      </w:r>
      <w:r>
        <w:t xml:space="preserve"> Adulte sain : 150 mg/kg ou 10 g en une prise. Femme enceinte : 100 mg/kg. Sujet âgé, dénutri, alcoolique, prise inducteurs enzymatiques : 100 mg/kg. Enfant : 150 mg/kg.</w:t>
      </w:r>
    </w:p>
    <w:p>
      <w:pPr>
        <w:pStyle w:val="ListNumber"/>
      </w:pPr>
      <w:r/>
      <w:r>
        <w:rPr>
          <w:b/>
        </w:rPr>
        <w:t>Règle d'or n°4 : surveiller paracétamolémie, ASAT, ALAT, TP, créatinine.</w:t>
      </w:r>
      <w:r>
        <w:t xml:space="preserve"> Toutes les 4-6 heures pendant la perfusion. Si ALAT &gt; 1000 UI/L ou TP &lt; 50 % : prolonger la NAC au-delà du protocole classique (relais 100 mg/kg/16 h en cycles).</w:t>
      </w:r>
    </w:p>
    <w:p>
      <w:pPr>
        <w:pStyle w:val="ListNumber"/>
      </w:pPr>
      <w:r/>
      <w:r>
        <w:rPr>
          <w:b/>
        </w:rPr>
        <w:t>Règle d'or n°5 : charbon activé avant NAC orale.</w:t>
      </w:r>
      <w:r>
        <w:t xml:space="preserve"> Si lavage gastrique ou charbon activé administré en décontamination digestive, espacer de 2-3 heures avant la NAC orale (sinon adsorption de la NAC par le charbon). Privilégier la NAC IV si décontamination digestive préalable.</w:t>
      </w:r>
    </w:p>
    <w:p>
      <w:pPr>
        <w:pStyle w:val="ListNumber"/>
      </w:pPr>
      <w:r/>
      <w:r>
        <w:rPr>
          <w:b/>
        </w:rPr>
        <w:t>Règle d'or n°6 : réactions anaphylactoïdes IV fréquentes (10-20 %) et généralement bénignes.</w:t>
      </w:r>
      <w:r>
        <w:t xml:space="preserve"> Flush, urticaire, prurit en début de perfusion. Ralentir la perfusion, antihistaminique si nécessaire. Ne pas arrêter la NAC (poursuivre à débit réduit).</w:t>
      </w:r>
    </w:p>
    <w:p>
      <w:pPr>
        <w:pStyle w:val="ListNumber"/>
      </w:pPr>
      <w:r/>
      <w:r>
        <w:rPr>
          <w:b/>
        </w:rPr>
        <w:t>Règle d'or n°7 : nausées et vomissements fréquents.</w:t>
      </w:r>
      <w:r>
        <w:t xml:space="preserve"> Antiémétique systématique (ondansétron 4 mg IV) en cas d'intoxication volontaire. En cas de vomissements récurrents sous NAC orale, relais par NAC IV (si disponible).</w:t>
      </w:r>
    </w:p>
    <w:p>
      <w:pPr>
        <w:pStyle w:val="ListNumber"/>
      </w:pPr>
      <w:r/>
      <w:r>
        <w:rPr>
          <w:b/>
        </w:rPr>
        <w:t>Règle d'or n°8 : femme enceinte, seuil abaissé.</w:t>
      </w:r>
      <w:r>
        <w:t xml:space="preserve"> 100 mg/kg en une prise ou 75 mg/kg en prise répétée. NAC IV privilégiée. Surveillance fœtale continue. Pas de contre-indication à la NAC pendant la grossesse.</w:t>
      </w:r>
    </w:p>
    <w:p>
      <w:pPr>
        <w:pStyle w:val="ListNumber"/>
      </w:pPr>
      <w:r/>
      <w:r>
        <w:rPr>
          <w:b/>
        </w:rPr>
        <w:t>Règle d'or n°9 : insuffisance hépatique constituée = NAC prolongée.</w:t>
      </w:r>
      <w:r>
        <w:t xml:space="preserve"> Si ALAT &gt; 1000 UI/L ou TP &lt; 50 %, poursuivre la NAC au-delà du protocole classique (relais 100 mg/kg/16 h) jusqu'à récupération ou transplantation.</w:t>
      </w:r>
    </w:p>
    <w:p>
      <w:pPr>
        <w:pStyle w:val="ListNumber"/>
      </w:pPr>
      <w:r/>
      <w:r>
        <w:rPr>
          <w:b/>
        </w:rPr>
        <w:t>Règle d'or n°10 : antidote d'urgence vitale.</w:t>
      </w:r>
      <w:r>
        <w:t xml:space="preserve"> NAC disponible 24/7 dans les services d'urgences et de réanimation. Pharmacien hospitalier : veiller au maintien des stocks et à la traçabilité (Liste I).</w:t>
      </w:r>
    </w:p>
    <w:p>
      <w:pPr>
        <w:pStyle w:val="ListNumber"/>
      </w:pPr>
      <w:r/>
      <w:r>
        <w:rPr>
          <w:b/>
        </w:rPr>
        <w:t>Règle d'or n°11 : sources cachées de paracétamol.</w:t>
      </w:r>
      <w:r>
        <w:t xml:space="preserve"> Doliprane codéiné, Efferalgan codéiné, Dafalgan codéiné, Antalgimax, Claradol, Co-Doliprane, Di-Antalvic, Topalgic, Théralgine, Algosedol, Toplexil — interroger le patient sur TOUTES les prises médicamenteuses récentes.</w:t>
      </w:r>
    </w:p>
    <w:p>
      <w:pPr>
        <w:pStyle w:val="ListNumber"/>
      </w:pPr>
      <w:r/>
      <w:r>
        <w:rPr>
          <w:b/>
        </w:rPr>
        <w:t>Règle d'or n°12 : co-intoxications fréquentes.</w:t>
      </w:r>
      <w:r>
        <w:t xml:space="preserve"> Paracétamol + alcool (potentialisation hépatotoxique), paracétamol + benzodiazépines (coma), paracétamol + AINS (hépatotoxicité accrue). Adapter la prise en charge.</w:t>
      </w:r>
    </w:p>
    <w:p>
      <w:pPr>
        <w:pStyle w:val="Heading2"/>
      </w:pPr>
      <w:r>
        <w:t>191.13 DCI 3 : Folinate de calcium (Antidote du méthotrexate)</w:t>
      </w:r>
    </w:p>
    <w:p>
      <w:pPr>
        <w:pStyle w:val="Heading3"/>
      </w:pPr>
      <w:r>
        <w:t>191.13.1 Liste des catégories thérapeutiques et statut réglementaire</w:t>
      </w:r>
    </w:p>
    <w:p>
      <w:r>
        <w:t>Le folinate de calcium (acide folinique, leucovorine), forme N5-formyl-tétrahydrofolate du folate, appartient à la classe pharmacologique des antidotes et des anti-anémiques (codes ATC : V03AF03 — antidotes des antimétabolites ; B03BA — vitamine B12 et acide folinique). Il est inscrit sur la Liste I des substances vénéneuses en Algérie pour les formes injectables à usage antidote oncologique. Le folinate de calcium figure sur la liste des médicaments essentiels de l'OMS (WHO Model List of Essential Medicines, 22ᵉ liste, 2023), dans la section « Antidotes et autres substances utilisées dans les intoxications » et dans la section « Médicaments anticancéreux et immunosuppresseurs ».</w:t>
      </w:r>
    </w:p>
    <w:p>
      <w:r>
        <w:t>Le folinate de calcium est classé comme médicament d'urgence vitale en oncologie (rescue du méthotrexate haute dose) et doit être disponible à tout moment dans les services d'oncologie médicale, d'hématologie clinique, de pharmacie hospitalière et de réanimation oncologique. Le méthotrexate (MTX) à haute dose (≥ 1 g/m², jusqu'à 12-15 g/m²) est utilisé en protocole de chimiothérapie anticancéreuse dans l'ostéosarcome, la leucémie lymphoïde aiguë (LAL), les lymphomes cérébraux primitifs, le psoriasis réfractaire, la polyarthrite rhumatoïde réfractaire, et certaines choriocarcinomes. L'usage du rescue par folinate de calcium est systématique après chaque cure de MTX haute dose, et indispensable en cas de surdosage accidentel ou d'intoxication volontaire au MTX.</w:t>
      </w:r>
    </w:p>
    <w:p>
      <w:pPr>
        <w:pStyle w:val="Heading3"/>
      </w:pPr>
      <w:r>
        <w:t>191.13.2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RAZIFOLINE</w:t>
            </w:r>
          </w:p>
        </w:tc>
        <w:tc>
          <w:tcPr>
            <w:tcW w:type="dxa" w:w="1559"/>
          </w:tcPr>
          <w:p>
            <w:r>
              <w:rPr>
                <w:sz w:val="20"/>
              </w:rPr>
              <w:t>FRATER-RAZES FORME SECHE</w:t>
            </w:r>
          </w:p>
        </w:tc>
        <w:tc>
          <w:tcPr>
            <w:tcW w:type="dxa" w:w="1559"/>
          </w:tcPr>
          <w:p>
            <w:r>
              <w:rPr>
                <w:sz w:val="20"/>
              </w:rPr>
              <w:t>Solution injectable IV et IM ou perfusion 10 mg/mL</w:t>
            </w:r>
          </w:p>
        </w:tc>
        <w:tc>
          <w:tcPr>
            <w:tcW w:type="dxa" w:w="1559"/>
          </w:tcPr>
          <w:p>
            <w:r>
              <w:rPr>
                <w:sz w:val="20"/>
              </w:rPr>
              <w:t>Boîte de 05 ampoules de 5 mL (50 mg/5 mL) et boîte de 05 ampoules de 10 mL (100 mg/10 mL)</w:t>
            </w:r>
          </w:p>
        </w:tc>
        <w:tc>
          <w:tcPr>
            <w:tcW w:type="dxa" w:w="1559"/>
          </w:tcPr>
          <w:p>
            <w:r>
              <w:rPr>
                <w:sz w:val="20"/>
              </w:rPr>
              <w:t>—</w:t>
            </w:r>
          </w:p>
        </w:tc>
        <w:tc>
          <w:tcPr>
            <w:tcW w:type="dxa" w:w="1559"/>
          </w:tcPr>
          <w:p>
            <w:r>
              <w:rPr>
                <w:sz w:val="20"/>
              </w:rPr>
              <w:t>ACTIF</w:t>
            </w:r>
          </w:p>
        </w:tc>
      </w:tr>
      <w:tr>
        <w:tc>
          <w:tcPr>
            <w:tcW w:type="dxa" w:w="1559"/>
          </w:tcPr>
          <w:p>
            <w:r>
              <w:rPr>
                <w:sz w:val="20"/>
              </w:rPr>
              <w:t>LEDERFOLINE</w:t>
            </w:r>
          </w:p>
        </w:tc>
        <w:tc>
          <w:tcPr>
            <w:tcW w:type="dxa" w:w="1559"/>
          </w:tcPr>
          <w:p>
            <w:r>
              <w:rPr>
                <w:sz w:val="20"/>
              </w:rPr>
              <w:t>WYETH LEDERLE</w:t>
            </w:r>
          </w:p>
        </w:tc>
        <w:tc>
          <w:tcPr>
            <w:tcW w:type="dxa" w:w="1559"/>
          </w:tcPr>
          <w:p>
            <w:r>
              <w:rPr>
                <w:sz w:val="20"/>
              </w:rPr>
              <w:t>Solution injectable 5 mg/2 mL</w:t>
            </w:r>
          </w:p>
        </w:tc>
        <w:tc>
          <w:tcPr>
            <w:tcW w:type="dxa" w:w="1559"/>
          </w:tcPr>
          <w:p>
            <w:r>
              <w:rPr>
                <w:sz w:val="20"/>
              </w:rPr>
              <w:t>Boîte de 1</w:t>
            </w:r>
          </w:p>
        </w:tc>
        <w:tc>
          <w:tcPr>
            <w:tcW w:type="dxa" w:w="1559"/>
          </w:tcPr>
          <w:p>
            <w:r>
              <w:rPr>
                <w:sz w:val="20"/>
              </w:rPr>
              <w:t>—</w:t>
            </w:r>
          </w:p>
        </w:tc>
        <w:tc>
          <w:tcPr>
            <w:tcW w:type="dxa" w:w="1559"/>
          </w:tcPr>
          <w:p>
            <w:r>
              <w:rPr>
                <w:sz w:val="20"/>
              </w:rPr>
              <w:t>NON_RENOUVELABLE</w:t>
            </w:r>
          </w:p>
        </w:tc>
      </w:tr>
      <w:tr>
        <w:tc>
          <w:tcPr>
            <w:tcW w:type="dxa" w:w="1559"/>
          </w:tcPr>
          <w:p>
            <w:r>
              <w:rPr>
                <w:sz w:val="20"/>
              </w:rPr>
              <w:t>LEDERFOLINE</w:t>
            </w:r>
          </w:p>
        </w:tc>
        <w:tc>
          <w:tcPr>
            <w:tcW w:type="dxa" w:w="1559"/>
          </w:tcPr>
          <w:p>
            <w:r>
              <w:rPr>
                <w:sz w:val="20"/>
              </w:rPr>
              <w:t>WYETH LEDERLE</w:t>
            </w:r>
          </w:p>
        </w:tc>
        <w:tc>
          <w:tcPr>
            <w:tcW w:type="dxa" w:w="1559"/>
          </w:tcPr>
          <w:p>
            <w:r>
              <w:rPr>
                <w:sz w:val="20"/>
              </w:rPr>
              <w:t>Poudre pour solution injectable 50 mg/5 mL</w:t>
            </w:r>
          </w:p>
        </w:tc>
        <w:tc>
          <w:tcPr>
            <w:tcW w:type="dxa" w:w="1559"/>
          </w:tcPr>
          <w:p>
            <w:r>
              <w:rPr>
                <w:sz w:val="20"/>
              </w:rPr>
              <w:t>Boîte de 1</w:t>
            </w:r>
          </w:p>
        </w:tc>
        <w:tc>
          <w:tcPr>
            <w:tcW w:type="dxa" w:w="1559"/>
          </w:tcPr>
          <w:p>
            <w:r>
              <w:rPr>
                <w:sz w:val="20"/>
              </w:rPr>
              <w:t>—</w:t>
            </w:r>
          </w:p>
        </w:tc>
        <w:tc>
          <w:tcPr>
            <w:tcW w:type="dxa" w:w="1559"/>
          </w:tcPr>
          <w:p>
            <w:r>
              <w:rPr>
                <w:sz w:val="20"/>
              </w:rPr>
              <w:t>NON_RENOUVELABLE</w:t>
            </w:r>
          </w:p>
        </w:tc>
      </w:tr>
      <w:tr>
        <w:tc>
          <w:tcPr>
            <w:tcW w:type="dxa" w:w="1559"/>
          </w:tcPr>
          <w:p>
            <w:r>
              <w:rPr>
                <w:sz w:val="20"/>
              </w:rPr>
              <w:t>CALCIUM FOLINAT EBEWE</w:t>
            </w:r>
          </w:p>
        </w:tc>
        <w:tc>
          <w:tcPr>
            <w:tcW w:type="dxa" w:w="1559"/>
          </w:tcPr>
          <w:p>
            <w:r>
              <w:rPr>
                <w:sz w:val="20"/>
              </w:rPr>
              <w:t>EBEWE PHARMA Ges.m.b.H. Nfg.KG</w:t>
            </w:r>
          </w:p>
        </w:tc>
        <w:tc>
          <w:tcPr>
            <w:tcW w:type="dxa" w:w="1559"/>
          </w:tcPr>
          <w:p>
            <w:r>
              <w:rPr>
                <w:sz w:val="20"/>
              </w:rPr>
              <w:t>Gélules 15 mg</w:t>
            </w:r>
          </w:p>
        </w:tc>
        <w:tc>
          <w:tcPr>
            <w:tcW w:type="dxa" w:w="1559"/>
          </w:tcPr>
          <w:p>
            <w:r>
              <w:rPr>
                <w:sz w:val="20"/>
              </w:rPr>
              <w:t>Boîte de 20</w:t>
            </w:r>
          </w:p>
        </w:tc>
        <w:tc>
          <w:tcPr>
            <w:tcW w:type="dxa" w:w="1559"/>
          </w:tcPr>
          <w:p>
            <w:r>
              <w:rPr>
                <w:sz w:val="20"/>
              </w:rPr>
              <w:t>—</w:t>
            </w:r>
          </w:p>
        </w:tc>
        <w:tc>
          <w:tcPr>
            <w:tcW w:type="dxa" w:w="1559"/>
          </w:tcPr>
          <w:p>
            <w:r>
              <w:rPr>
                <w:sz w:val="20"/>
              </w:rPr>
              <w:t>RETRAIT</w:t>
            </w:r>
          </w:p>
        </w:tc>
      </w:tr>
      <w:tr>
        <w:tc>
          <w:tcPr>
            <w:tcW w:type="dxa" w:w="1559"/>
          </w:tcPr>
          <w:p>
            <w:r>
              <w:rPr>
                <w:sz w:val="20"/>
              </w:rPr>
              <w:t>CALCIUM FOLINATE EBEWE</w:t>
            </w:r>
          </w:p>
        </w:tc>
        <w:tc>
          <w:tcPr>
            <w:tcW w:type="dxa" w:w="1559"/>
          </w:tcPr>
          <w:p>
            <w:r>
              <w:rPr>
                <w:sz w:val="20"/>
              </w:rPr>
              <w:t>EBEWE PHARMA Ges.m.b.H. Nfg.KG</w:t>
            </w:r>
          </w:p>
        </w:tc>
        <w:tc>
          <w:tcPr>
            <w:tcW w:type="dxa" w:w="1559"/>
          </w:tcPr>
          <w:p>
            <w:r>
              <w:rPr>
                <w:sz w:val="20"/>
              </w:rPr>
              <w:t>Solution injectable IM/IV 10 mg/mL (50 mg/5 mL)</w:t>
            </w:r>
          </w:p>
        </w:tc>
        <w:tc>
          <w:tcPr>
            <w:tcW w:type="dxa" w:w="1559"/>
          </w:tcPr>
          <w:p>
            <w:r>
              <w:rPr>
                <w:sz w:val="20"/>
              </w:rPr>
              <w:t>Boîte de 5 ampoules de 5 mL</w:t>
            </w:r>
          </w:p>
        </w:tc>
        <w:tc>
          <w:tcPr>
            <w:tcW w:type="dxa" w:w="1559"/>
          </w:tcPr>
          <w:p>
            <w:r>
              <w:rPr>
                <w:sz w:val="20"/>
              </w:rPr>
              <w:t>—</w:t>
            </w:r>
          </w:p>
        </w:tc>
        <w:tc>
          <w:tcPr>
            <w:tcW w:type="dxa" w:w="1559"/>
          </w:tcPr>
          <w:p>
            <w:r>
              <w:rPr>
                <w:sz w:val="20"/>
              </w:rPr>
              <w:t>RETRAIT</w:t>
            </w:r>
          </w:p>
        </w:tc>
      </w:tr>
    </w:tbl>
    <w:p/>
    <w:p>
      <w:r>
        <w:t>Le folinate de calcium reste disponible en Algérie sous une seule spécialité active : Razifoline (Frater-Razes Forme Sèche), en solution injectable IV et IM ou perfusion, dosée à 10 mg/mL, en boîtes de 5 ampoules de 5 mL (50 mg) et de 5 ampoules de 10 mL (100 mg). Cette production locale (Frater-Razes, Alger) assure l'essentiel de l'approvisionnement national pour les protocoles oncologiques de rescue MTX. Les spécialités historiques Lederfoline (Wyeth Lederle), princeps international historique de l'acide folinique, sont non renouvelables, et les spécialités Calcium Folinate Ebewe (solution injectable et gélules) sont définitivement retirées du marché algérien. Aucune forme orale (comprimés ou gélules à 15 mg ou 25 mg) n'est actuellement disponible en Algérie, ce qui limite la pratique du rescue oral ambulatoire utilisé dans certains protocoles oncologiques internationaux (par exemple : leucémies aiguës de l'enfant en traitement d'entretien).</w:t>
      </w:r>
    </w:p>
    <w:p>
      <w:pPr>
        <w:pStyle w:val="Heading3"/>
      </w:pPr>
      <w:r>
        <w:t>191.13.3 Mécanisme d'action moléculaire et cellulaire</w:t>
      </w:r>
    </w:p>
    <w:p>
      <w:r>
        <w:t>Le méthotrexate (MTX, améthoptérine) est un antimétabolite de l'acide folique, structurellement analogue à l'acide folique mais avec substitution d'un groupement hydroxyl (-OH) par un groupement aminé (-NH2) en position 4 du noyau ptéridine, et d'un groupement méthyl (-CH3) par un groupement aminé (-NH2) en position N10. Cette modification structuralo confère au MTX une affinité 10 000 fois supérieure à l'acide folique pour la dihydrofolate réductase (DHFR), enzyme qui convertit le dihydrofolate (DHF) en tétrahydrofolate (THF), précurseur actif. L'inhibition de la DHFR par le MTX épuise les stocks cellulaires de THF et de ses dérivés méthylés (N5-méthyl-THF, N5,N10-méthylène-THF, N5-formimino-THF, N10-formyl-THF), cofacteurs essentiels à la synthèse des purines (par la glycinamide ribonucléotide transformylase et l'aminoimidazole carboxamide ribonucléotide transformylase), à la synthèse des pyrimidines (par la thymidylate synthase qui convertit le dUMP en dTMP), et à la méthylation de l'homocystéine en méthionine (par la méthionine synthase). L'épuisement des stocks de THF induit un arrêt de la synthèse de l'ADN (effet phase-S spécifique) et de la division cellulaire, responsable de la cytotoxicité antitumorale mais aussi de la myélotoxicité (aplasie médullaire), de la mucite digestive (apoptose des cellules des cryptes intestinales), et de la toxicité hépatique (stéatose, fibrose).</w:t>
      </w:r>
    </w:p>
    <w:p>
      <w:r>
        <w:t>Le folinate de calcium (N5-formyl-THF) contourne le blocage de la DHFR en apportant directement une forme réduite du THF, qui est convertie intracellulairement en les autres formes méthylées actives (N5,N10-méthylène-THF par la formyl-tétrahydrofolate synthétase, etc.). Cette bypass pharmacologique restaure la synthèse des purines, des pyrimidines et des méthylations, protégeant ainsi les cellules saines (moelle osseuse, muqueuses digestives) de la toxicité du MTX sans compromettre significativement la cytotoxicité antitumorale si la dose et le timing sont corrects. Le folinate doit être administré après le MTX (typiquement à J+24h ou J+36h selon le protocole), de manière à ce que le MTX ait déjà exercé son effet cytotoxique sur les cellules tumorales (qui ont une cinétique de division rapide et captent massivement le MTX). Le rescue trop précoce (&lt; 12h après MTX) compromet l'efficacité antitumorale, le rescue trop tardif (&gt; 48h après MTX) expose à une toxicité systémique sévère (aplasie, mucite). Le protocole classique « rescue » à J+24h, J+30h, J+36h, J+42h reste la pierre angulaire des protocoles oncologiques de haute dose MTX (ostéosarcome, LAL, lymphome cérébral).</w:t>
      </w:r>
    </w:p>
    <w:p>
      <w:r>
        <w:t>Au plan cellulaire, le folinate de calcium protège préférentiellement les cellules saines par rapport aux cellules tumorales en raison de : (i) cinétique de captation plus rapide dans les cellules saines (récepteurs de folate membranaires RFC-1, FOLR1, FOLR2, FOLR3) ; (ii) restauration plus rapide des pools intracellulaires de THF ; (iii) cinétique de division plus lente des cellules saines (qui ont plus de temps pour récupérer). Cependant, cette sélectivité n'est pas parfaite, et une dose excessive de folinate peut compromettre la cytotoxicité antitumorale (résistance tumorale).</w:t>
      </w:r>
    </w:p>
    <w:p>
      <w:pPr>
        <w:pStyle w:val="Heading3"/>
      </w:pPr>
      <w:r>
        <w:t>191.13.4 Profil pharmacocinétique, indications, contre-indications, effets indésirables</w:t>
      </w:r>
    </w:p>
    <w:p>
      <w:r/>
      <w:r>
        <w:rPr>
          <w:b/>
        </w:rPr>
        <w:t>Pharmacocinétique</w:t>
      </w:r>
      <w:r>
        <w:t xml:space="preserve"> : le folinate de calcium est administré par voie IV (perfusion courte de 5-15 minutes), IM ou orale. Après administration IV, la concentration plasmatique maximale est atteinte en 5-10 minutes. La distribution se fait dans le volume extracellulaire (Vd ≈ 0,4-0,7 L/kg) avec une captation cellulaire active par les récepteurs de folate (RFC-1). Le folinate est métabolisé en N5-méthyl-THF (métabolite actif principal) par la formyl-tétrahydrofolate synthétase, puis en N5,N10-méthylène-THF et N10-formyl-THF. La demi-vie d'élimination est biphasique : demi-vie de distribution 20-30 minutes, demi-vie d'élimination 6-8 heures. L'élimination est essentiellement rénale (80 %) sous forme de métabolites actifs (N5-méthyl-THF, N10-formyl-THF). La clairance rénale est réduite en cas d'insuffisance rénale (adaptation posologique nécessaire), et en cas d'hyponatrémie ou d'acidose métabolique (altération du transport tubulaire des folates).</w:t>
      </w:r>
    </w:p>
    <w:p>
      <w:r/>
      <w:r>
        <w:rPr>
          <w:b/>
        </w:rPr>
        <w:t>Indications</w:t>
      </w:r>
      <w:r>
        <w:t xml:space="preserve"> : (i) antidote du méthotrexate à haute dose (rescue systématique après chaque cure de MTX ≥ 1 g/m²), selon protocole oncologique classique (15 mg/m² J+24h, J+30h, J+36h, J+42h, et adaptation selon la MTXémie) ; (ii) traitement de l'intoxication accidentelle ou volontaire au MTX (doses supérieures, surveillance prolongée) ; (iii) prévention de la toxicité du MTX à dose modérée (≤ 1 g/m²) en cas d'insuffisance rénale, d'épanchement (ascite, épanchement pleural), de déshydratation, ou d'association à des médicaments néphrotoxiques (AINS, cisplatine, aminosides) ; (iv) traitement palliatif de la carence en folates résistante à l'acide folique seul (carence en DHFR congenitale rare, intoxication au triméthoprime-sulfaméthoxazole, intoxication au proguanil, intoxication au pyriméthamine) ; (v) traitement adjuvant du cancer colorectal en association avec le 5-fluorouracile (5-FU) dans les protocoles FOLFOX, FOLFIRI, FOLFOXIRI (synergie biochimique : le folinate stabilise le complexe ternaire thymidylate synthase-FdUMP-THF, potentialisant l'effet du 5-FU) ; (vi) prévention de la toxicité hématologique du triméthoprime-sulfaméthoxazole chez le sujet carencé en folates (carence en folates préexistante, sujet âgé, syndrome de l'intestin court).</w:t>
      </w:r>
    </w:p>
    <w:p>
      <w:r/>
      <w:r>
        <w:rPr>
          <w:b/>
        </w:rPr>
        <w:t>Contre-indications</w:t>
      </w:r>
      <w:r>
        <w:t xml:space="preserve"> : (i) hypersensibilité connue au folinate de calcium ou à l'un des excipients ; (ii) association séquentielle folinate + 5-FU en cas d'insuffisance hépatique sévère (augmentation de la toxicité digestive et hématologique du 5-FU) ; (iii) anémie mégaloblastique due à une carence en vitamine B12 (la correction par folinate peut aggraver la neuropathie B12-déficiente — administer la vitamine B12 systématiquement en cas de suspicion) ; (iv) prudence en cas d'insuffisance rénale (adaptation posologique) ; (v) prudence en cas d'épanchement liquidien (ascite, épanchement pleural) en raison de l'accumulation du MTX dans les liquides d'épanchement (verrou pharmacologique possible : drainage avant MTX).</w:t>
      </w:r>
    </w:p>
    <w:p>
      <w:r/>
      <w:r>
        <w:rPr>
          <w:b/>
        </w:rPr>
        <w:t>Effets indésirables</w:t>
      </w:r>
      <w:r>
        <w:t xml:space="preserve"> : le profil de tolérance du folinate de calcium est globalement favorable en monothérapie. Les principaux effets sont : (i) réactions allergiques (rare, urticaire, rash, prurit, anaphylaxie exceptionnelle) ; (ii) troubles digestifs (nausées, vomissements, diarrhée, douleurs abdominales) surtout en association avec le 5-FU ; (iii) troubles neurologiques (insomnie, agitation, convulsions rares) ; (iv) troubles métaboliques (hypercalcémie modérée en raison du sel calcique, à surveiller en cas d'insuffisance rénale ou d'hypercalcémie préexistante) ; (v) troubles hématologiques (thrombocytopénie, leucopénie exceptionnelles, en cas de surdosage massif potentialisant l'effet du MTX). En association avec le 5-FU, le folinite potentialise la toxicité du 5-FU (mucite sévère, myélotoxicité, diarrhée profuse), ce qui impose une surveillance hématologique et digestive rapprochée. Le syndrome main-pied (érythème dysesthésique palmo-plantaire) est décrit en association 5-FU/folinate.</w:t>
      </w:r>
    </w:p>
    <w:p>
      <w:pPr>
        <w:pStyle w:val="Heading3"/>
      </w:pPr>
      <w:r>
        <w:t>191.13.5 Prévention et gestion des effets indésirables</w:t>
      </w:r>
    </w:p>
    <w:p>
      <w:r>
        <w:t>La prévention des effets indésirables du folinate repose sur le respect strict du protocole oncologique (dose, timing), la surveillance de la MTXémie, l'hydratation alcaline concomitante, et l'adaptation posologique en fonction de la fonction rénale.</w:t>
      </w:r>
    </w:p>
    <w:p>
      <w:r/>
      <w:r>
        <w:rPr>
          <w:b/>
        </w:rPr>
        <w:t>Respect strict du protocole rescue MTX</w:t>
      </w:r>
      <w:r>
        <w:t xml:space="preserve"> : le folinate doit être administré à la dose et au timing précis définis par le protocole oncologique (15 mg/m² à J+24h, J+30h, J+36h, J+42h, en IV directe ou perfusion de 5-15 minutes). La dose peut être adaptée en fonction de la MTXémie résiduelle à J+24h, J+36h, J+48h, J+72h selon le nomogramme de Strother (référence oncologique internationale) : si MTXémie &gt; seuil critique, prolonger le rescue et augmenter les doses (jusqu'à 100-1000 mg/m² par dose). L'erreur de timing (rescue trop précoce &lt; 12h après MTX, ou trop tardif &gt; 48h) est la principale cause d'échec du rescue : trop précoce = compromission de l'effet antitumoral ; trop tardif = échappement toxinique (aplasie, mucite).</w:t>
      </w:r>
    </w:p>
    <w:p>
      <w:r/>
      <w:r>
        <w:rPr>
          <w:b/>
        </w:rPr>
        <w:t>Hydratation alcaline concomitante</w:t>
      </w:r>
      <w:r>
        <w:t xml:space="preserve"> : le MTX est éliminé par voie rénale, principalement par filtration glomérulaire et sécrétion tubulaire proximale. En cas de pH urinaire acide (≤ 5,5), le MTX précipite dans les tubules rénaux, induisant une néphropathie tubulo-interstitielle aiguë et une augmentation de la MTXémie (effet toxique majoré). L'hydratation alcaline (3 L/m²/j de glucosé 5 % + bicarbonate de sodium 1,4 %, pH urinaire cible ≥ 7) est systématique pendant 48-72 heures après MTX haute dose, pour maintenir une diurèse ≥ 100 mL/h et un pH urinaire ≥ 7. Le folinate est associé à cette hydratation alcaline, qui potentialise son efficacité en réduisant la MTXémie résiduelle.</w:t>
      </w:r>
    </w:p>
    <w:p>
      <w:r/>
      <w:r>
        <w:rPr>
          <w:b/>
        </w:rPr>
        <w:t>Surveillance de la MTXémie</w:t>
      </w:r>
      <w:r>
        <w:t xml:space="preserve"> : dosage plasmatique du MTX à J+24h, J+36h, J+48h, J+72h (et au-delà si nécessaire). Les seuils critiques selon le nomogramme de Strother : (i) MTXémie J+24h &lt; 10 µmol/L : rescue standard 15 mg/m² ; (ii) MTXémie J+24h 10-50 µmol/L : rescue augmenté 50 mg/m² ; (iii) MTXémie J+24h 50-100 µmol/L : rescue augmenté 100 mg/m² ; (iv) MTXémie J+24h &gt; 100 µmol/L : rescue massif 1000 mg/m² et dialyse urgente. La surveillance prolongée (au-delà de J+72h) est nécessaire en cas d'insuffisance rénale, d'épanchement liquidien, ou de dose très élevée de MTX (≥ 12 g/m²).</w:t>
      </w:r>
    </w:p>
    <w:p>
      <w:r/>
      <w:r>
        <w:rPr>
          <w:b/>
        </w:rPr>
        <w:t>Adaptation posologique en cas d'insuffisance rénale</w:t>
      </w:r>
      <w:r>
        <w:t xml:space="preserve"> : la clairance du MTX est réduite en cas d'insuffisance rénale (clairance créatinine &lt; 60 mL/min), imposant une réduction de la dose de MTX (de 25-50 %), une intensification de l'hydratation alcaline, et une prolongation du rescue folinique (jusqu'à J+96h ou J+120h selon la MTXémie). En cas d'insuffisance rénale aiguë avec MTXémie très élevée (&gt; 100 µmol/L), la dialyse urgente (hémodialyse à haut débit ou hémodiafiltration) est indiquée pour éliminer le MTX. La glucarpidase (carboxypeptidase G2), enzyme recombinante qui hydrolyse le MTX en métabolites inactifs (DAMPA et glutamate), peut être utilisée en cas d'insuffisance rénale sévère avec MTXémie très élevée (non disponible en Algérie à la date de cette nomenclature).</w:t>
      </w:r>
    </w:p>
    <w:p>
      <w:r/>
      <w:r>
        <w:rPr>
          <w:b/>
        </w:rPr>
        <w:t>Prévention des interactions médicamenteuses</w:t>
      </w:r>
      <w:r>
        <w:t xml:space="preserve"> : (i) association à proscrire avec le triméthoprime-sulfaméthoxazole (potentialisation de la myélotoxicité du MTX par effet antifolate additif) ; (ii) association à proscrire avec les AINS (réduction de la clairance rénale du MTX par inhibition de la sécrétion tubulaire) ; (iii) association à proscrire avec la pénicilline (réduction de la clairance rénale du MTX) ; (iv) association à proscrire avec le probénécide (inhibition de la sécrétion tubulaire) ; (v) prudence avec l'oméprazole et les IPP (cas publiés de diminution de clairance du MTX) ; (vi) prudence avec le chloramphénicol, la tétracycline (déplacement du MTX de la fixation protéique).</w:t>
      </w:r>
    </w:p>
    <w:p>
      <w:pPr>
        <w:pStyle w:val="Heading3"/>
      </w:pPr>
      <w:r>
        <w:t>191.13.6 Interactions médicamenteuses</w:t>
      </w:r>
    </w:p>
    <w:p>
      <w:r>
        <w:t>Le folinate de calcium présente plusieurs interactions médicamenteuses à connaître en raison de son rôle pharmacologique de bypass de la DHFR :</w:t>
      </w:r>
    </w:p>
    <w:p>
      <w:r/>
      <w:r>
        <w:rPr>
          <w:b/>
        </w:rPr>
        <w:t>Interactions pharmacodynamiques</w:t>
      </w:r>
      <w:r>
        <w:t xml:space="preserve"> : (i) antagonisation de l'effet antifolate du méthotrexate (effet antidote recherché en rescue) ; (ii) potentialisation de l'effet cytotoxique du 5-fluorouracile (5-FU) par stabilisation du complexe ternaire thymidylate synthase-FdUMP-THF (synergie biochimique recherchée en oncologie colorectale, mais qui augmente aussi la toxicité digestive et hématologique du 5-FU) ; (iii) antagonisation de l'effet antifolate du triméthoprime (effet antidote en cas de toxicité hématologique du triméthoprime-sulfaméthoxazole) ; (iv) antagonisation de l'effet antifolate du pyriméthamine (risque de compromission de l'efficacité antipaludéenne en cas d'association au traitement de la pneumocystose pulmonaire chez le patient VIH) ; (v) antagonisation de l'effet antifolate du proguanil (risque de compromission de la chimioprophylaxie antipaludéenne) ; (vi) potentialisation de l'effet de l'acide folique (effet additif, sans conséquence clinique mais interfère avec le dosage de l'acide folique erythrocytaire).</w:t>
      </w:r>
    </w:p>
    <w:p>
      <w:r/>
      <w:r>
        <w:rPr>
          <w:b/>
        </w:rPr>
        <w:t>Interactions pharmacocinétiques</w:t>
      </w:r>
      <w:r>
        <w:t xml:space="preserve"> : peu pertinentes en pratique clinique courante. Le folinate de calcium n'est pas un inhibiteur ou un inducteur significatif des cytochromes P450. Sa clairance rénale peut être inhibée par le probénécide (inhibition de la sécrétion tubulaire des folates), mais cette interaction n'a pas de conséquences cliniques significatives en raison de la large marge thérapeutique du folinate.</w:t>
      </w:r>
    </w:p>
    <w:p>
      <w:r/>
      <w:r>
        <w:rPr>
          <w:b/>
        </w:rPr>
        <w:t>Associations à risque</w:t>
      </w:r>
      <w:r>
        <w:t xml:space="preserve"> : (i) folinate + 5-FU : augmentation de la toxicité digestive (mucite sévère, diarrhée profuse) et hématologique du 5-FU (leucopénie, thrombocytopénie), surveillance rapprochée obligatoire, réduction des doses de 5-FU si toxicité ≥ grade 3 selon le NCI-CTC ; (ii) folinate + méthotrexate : si le folinate est administré trop tôt (&lt; 12h après MTX) ou à dose excessive, compromission de l'effet antitumoral du MTX (résistance tumorale) ; (iii) folinate + triméthoprime-sulfaméthoxazole : antagonisation de l'effet anti-pneumocystose, à éviter chez le patient VIH sous prophylaxie ; (iv) folinate + phénytoïne : diminution de l'efficacité de la phénytoïne (le folinate accélère le métabolisme hépatique de la phénytoïne), surveillance de la concentration plasmatique de phénytoïne ; (v) folinate + carbamazépine, phénobarbital, primidone : diminution de l'efficacité des antiépileptiques (même mécanisme), surveillance clinique.</w:t>
      </w:r>
    </w:p>
    <w:p>
      <w:pPr>
        <w:pStyle w:val="Heading3"/>
      </w:pPr>
      <w:r>
        <w:t>191.13.7 Grossesse et allaitement (données CRAT)</w:t>
      </w:r>
    </w:p>
    <w:p>
      <w:r/>
      <w:r>
        <w:rPr>
          <w:b/>
        </w:rPr>
        <w:t>Grossesse</w:t>
      </w:r>
      <w:r>
        <w:t xml:space="preserve"> : le folinate de calcium traverse la barrière placentaire en raison de son faible poids moléculaire (511 Da pour le sel calcique, 473 Da pour l'acide folinique libre). Les données du CRAT et de l'OTIS indiquent que le folinate n'est pas tératogène chez l'animal (études souris, rat, lapin) et qu'aucun cas de malformation n'a été rapporté chez la femme enceinte exposée. Le folinate est considéré comme compatible avec la grossesse, y compris en cas d'urgence vitale maternelle (intoxication au méthotrexate, intoxication au triméthoprime-sulfaméthoxazole). L'acide folinique est utilisé en prévention primaire des anomalies de fermeture du tube neural (spina bifida, anencéphalie) chez les femmes enceintes à haut risque (antécédent d'enfant atteint, traitement antiépileptique, diabète prégestationnel), à dose plus faible (0,4-5 mg/j d'acide folique, équivalent en folates naturels) que l'usage antidote.</w:t>
      </w:r>
    </w:p>
    <w:p>
      <w:r>
        <w:t>L'intoxication au méthotrexate pendant la grossesse est particulièrement préoccupante en raison de la tératogénicité du MTX (avortement, malformations du tube neural, craniofaciales, cardiaques). Le MTX est contre-indiqué pendant la grossesse (catégorie X FDA) en dehors de l'indication d'interruption médicamenteuse de grossesse (MTX 50 mg/m² IM associé au misoprostol). En cas d'exposition accidentelle au MTX pendant la grossesse (patiente sous MTX pour maladie inflammatoire chronique), le folinate doit être administré sans délai (50 mg/j IM ou IV pendant 10-14 jours) et l'interruption de grossesse doit être discutée selon le terme et la dose.</w:t>
      </w:r>
    </w:p>
    <w:p>
      <w:r/>
      <w:r>
        <w:rPr>
          <w:b/>
        </w:rPr>
        <w:t>Allaitement</w:t>
      </w:r>
      <w:r>
        <w:t xml:space="preserve"> : le folinate de calcium passe faiblement dans le lait maternel en raison de sa courte demi-vie et de sa faible concentration plasmatique. Le folinite est considéré comme compatible avec l'allaitement. Cependant, le méthotrexate passe dans le lait maternel et est contre-indiqué pendant l'allaitement (le MTX s'accumule dans le lait à des concentrations proches de la concentration plasmatique maternelle, et le nourrisson est exposé à une toxicité hématologique et digestive). Le traitement par MTX impose l'arrêt de l'allaitement. Le folinate en monothérapie (sans MTX) n'est pas une contre-indication à l'allaitement.</w:t>
      </w:r>
    </w:p>
    <w:p>
      <w:pPr>
        <w:pStyle w:val="Heading3"/>
      </w:pPr>
      <w:r>
        <w:t>191.13.8 Posologie et modes d'administration</w:t>
      </w:r>
    </w:p>
    <w:p>
      <w:r/>
      <w:r>
        <w:rPr>
          <w:b/>
        </w:rPr>
        <w:t>Posologie adulte (rescue MTX haute dose)</w:t>
      </w:r>
      <w:r>
        <w:t xml:space="preserve"> : 15 mg/m² IV directe ou perfusion courte (5-15 minutes), à J+24h, J+30h, J+36h, J+42h après la fin de la perfusion de MTX (soit 4 doses sur 18 heures). Adaptation selon la MTXémie résiduelle : (i) MTXémie J+24h &lt; 10 µmol/L : 15 mg/m² ; (ii) MTXémie J+24h 10-50 µmol/L : 50 mg/m² ; (iii) MTXémie J+24h 50-100 µmol/L : 100 mg/m² ; (iv) MTXémie J+24h &gt; 100 µmol/L : 1000 mg/m² et dialyse urgente. Poursuivre le rescue jusqu'à MTXémie &lt; 0,1 µmol/L (au-delà de J+72h à J+96h selon les cas).</w:t>
      </w:r>
    </w:p>
    <w:p>
      <w:r/>
      <w:r>
        <w:rPr>
          <w:b/>
        </w:rPr>
        <w:t>Posologie adulte (intoxication accidentelle ou volontaire au MTX)</w:t>
      </w:r>
      <w:r>
        <w:t xml:space="preserve"> : 20-25 mg/m² IV ou IM toutes les 6 heures, pendant 48-72 heures (voire plus selon la MTXémie). Surveiller MTXémie, hémogramme, créatininémie. En cas de MTXémie très élevée (&gt; 100 µmol/L), envisager glucarpidase (carboxypeptidase G2, non disponible en Algérie) en complément du folinate et de la dialyse.</w:t>
      </w:r>
    </w:p>
    <w:p>
      <w:r/>
      <w:r>
        <w:rPr>
          <w:b/>
        </w:rPr>
        <w:t>Posologie adulte (carence en folates résistante à l'acide folique)</w:t>
      </w:r>
      <w:r>
        <w:t xml:space="preserve"> : 3-6 mg/j IM ou IV, pendant 10-14 jours.</w:t>
      </w:r>
    </w:p>
    <w:p>
      <w:r/>
      <w:r>
        <w:rPr>
          <w:b/>
        </w:rPr>
        <w:t>Posologie adulte (carence en DHFR congénitale rare)</w:t>
      </w:r>
      <w:r>
        <w:t xml:space="preserve"> : 3-15 mg/j per os, au long cours.</w:t>
      </w:r>
    </w:p>
    <w:p>
      <w:r/>
      <w:r>
        <w:rPr>
          <w:b/>
        </w:rPr>
        <w:t>Posologie pédiatrique (rescue MTX haute dose)</w:t>
      </w:r>
      <w:r>
        <w:t xml:space="preserve"> : 15 mg/m² IV directe ou perfusion, à J+24h, J+30h, J+36h, J+42h après MTX. Adaptation selon la MTXémie (mêmes seuils que l'adulte). L'enfant &lt; 1 an est à risque accru de toxicité MTX en raison de l'immaturité hépatique et rénale (surveillance rapprochée).</w:t>
      </w:r>
    </w:p>
    <w:p>
      <w:r/>
      <w:r>
        <w:rPr>
          <w:b/>
        </w:rPr>
        <w:t>Posologie (prévention toxicité triméthoprime-sulfaméthoxazole)</w:t>
      </w:r>
      <w:r>
        <w:t xml:space="preserve"> : 5-10 mg/j per os pendant toute la durée du traitement triméthoprime-sulfaméthoxazole, chez le sujet carencé en folates préexistant (sujet âgé, dénutri, alcoolique).</w:t>
      </w:r>
    </w:p>
    <w:p>
      <w:r/>
      <w:r>
        <w:rPr>
          <w:b/>
        </w:rPr>
        <w:t>Voies d'administration</w:t>
      </w:r>
      <w:r>
        <w:t xml:space="preserve"> : IV directe (en 1-3 minutes), IV perfusion (5-15 minutes dans 100-250 mL de NaCl 0,9 % ou glucosé 5 %), IM (en l'absence de voie veineuse), orale (en cas de relais ambulatoire, mais avec biodisponibilité variable 30-50 %).</w:t>
      </w:r>
    </w:p>
    <w:p>
      <w:pPr>
        <w:pStyle w:val="Heading3"/>
      </w:pPr>
      <w:r>
        <w:t>191.13.9 Formes galéniques disponibles</w:t>
      </w:r>
    </w:p>
    <w:p>
      <w:r>
        <w:t>Le folinate de calcium est disponible en Algérie sous une seule forme galénique active : solution injectable IV et IM ou perfusion, dosée à 10 mg/mL, en boîtes de 5 ampoules de 5 mL (50 mg/5 mL) et de 5 ampoules de 10 mL (100 mg/10 mL), commercialisée sous le nom de Razifoline (Frater-Razes Forme Sèche). Cette formulation couvre la majorité des besoins cliniques hospitaliers (rescue MTX, intoxication accidentelle, carence en folates résistante). Le conditionnement en ampoules de 5 mL et 10 mL permet une adaptation posologique facile (1 mL = 10 mg de folinate de calcium).</w:t>
      </w:r>
    </w:p>
    <w:p>
      <w:r>
        <w:t>Les formes historiques non renouvelables (Lederfoline Wyeth Lederle) étaient disponibles en solution injectable 5 mg/2 mL et en poudre pour solution injectable 50 mg/5 mL, conditionnements adaptés à la pédiatrie (faible dose) et à l'adulte (dose standard). Les formes retirées Calcium Folinate Ebewe étaient disponibles en solution injectable IM/IV 10 mg/mL et en gélules 15 mg, cette dernière forme étant adaptée au relais oral ambulatoire (leucémies aiguës de l'enfant en traitement d'entretien).</w:t>
      </w:r>
    </w:p>
    <w:p>
      <w:r>
        <w:t>Aucune forme orale (comprimés à 15 mg ou 25 mg) n'est actuellement disponible en Algérie, ce qui limite la pratique du rescue oral ambulatoire utilisé dans certains protocoles oncologiques internationaux (par exemple : leucémies aiguës de l'enfant en traitement d'entretien, sarcomes pédiatriques). Cette lacune impose le recours systématique à la forme injectable, à administrer à l'hôpital ou en HAD (hospitalisation à domicile).</w:t>
      </w:r>
    </w:p>
    <w:p>
      <w:r>
        <w:t>La conservation de la solution injectable se fait à température ambiante (15-25 °C), à l'abri de la lumière, avec une péremption généralement de 2-3 ans. La solution diluée (dans NaCl 0,9 % ou glucosé 5 %) est stable 24 heures à température ambiante.</w:t>
      </w:r>
    </w:p>
    <w:p>
      <w:pPr>
        <w:pStyle w:val="Heading3"/>
      </w:pPr>
      <w:r>
        <w:t>191.13.10 Conseils au patient et éducation thérapeutique</w:t>
      </w:r>
    </w:p>
    <w:p>
      <w:r>
        <w:t>Le folinate de calcium administré en contexte oncologique (rescue MTX) est généralement administré par un professionnel de santé en milieu hospitalier. L'éducation thérapeutique porte principalement sur les informations données au patient et à son entourage après la cure de chimiothérapie, et sur la prévention de la toxicité du MTX.</w:t>
      </w:r>
    </w:p>
    <w:p>
      <w:r/>
      <w:r>
        <w:rPr>
          <w:b/>
        </w:rPr>
        <w:t>Conseils immédiats après la cure de MTX + rescue folinique</w:t>
      </w:r>
      <w:r>
        <w:t xml:space="preserve"> : (i) le patient doit être informé que le traitement est prolongé (48-72 heures minimum après MTX) et que la surveillance de la MTXémie, de la fonction rénale, de l'hémogramme et des transaminases est indispensable ; (ii) en cas de sortie d'hospitalisation avant J+72h, le relais folinique oral peut être prescrit (mais non disponible en Algérie actuellement, imposant le maintien à l'hôpital) ; (iii) l'hydratation alcaline abondante (3 L/m²/j) doit être maintenue pendant 48-72 heures, ce qui peut nécessiter une perfusion IV ; (iv) les signes d'alerte de toxicité MTX (fièvre, angine, gingivorragies, purpura, diarrhée profuse, mucite) doivent être signalés immédiatement à l'équipe oncologique.</w:t>
      </w:r>
    </w:p>
    <w:p>
      <w:r/>
      <w:r>
        <w:rPr>
          <w:b/>
        </w:rPr>
        <w:t>Conseils de prévention de la toxicité MTX</w:t>
      </w:r>
      <w:r>
        <w:t xml:space="preserve"> : (i) ne jamais prendre d'AINS (ibuprofène, kétoprofène, aspirine) pendant la cure et dans les 72 heures qui suivent (réduction de la clairance rénale du MTX) ; (ii) éviter les produits contenant de l'acide folique (compléments alimentaires, complexes vitaminés) en automédication pendant la cure (interaction avec le folinate) ; (iii) éviter l'alcool (potentialisation de la toxicité hépatique) ; (iv) éviter l'exposition au soleil (photosensibilité cutanée au MTX) ; (v) surveillance de la température corporelle (fièvre = signe d'alerte d'aplasie) ; (vi) éviter les contacts avec les personnes malades (prévention des infections en cas d'aplasie) ; (vii) éviter les vaccinations vivantes atténuées (BCG, rougeole-oreillons-rubéole, fièvre jaune) pendant le traitement et dans les 3 mois qui suivent (immunodépression).</w:t>
      </w:r>
    </w:p>
    <w:p>
      <w:r/>
      <w:r>
        <w:rPr>
          <w:b/>
        </w:rPr>
        <w:t>Conseils aux patients sous folinate oral (relais ambulatoire, si disponible)</w:t>
      </w:r>
      <w:r>
        <w:t xml:space="preserve"> : (i) prendre le folinate à heure fixe (toutes les 6 heures pour le protocole rescue) ; (ii) ne pas oublier de doses (en cas d'oubli, prendre dès que possible et poursuivre le protocole) ; (iii) signaler tout effet indésirable (nausées, vomissements, diarrhée, fièvre) à l'équipe oncologique ; (iv) consulter en urgence en cas de fièvre (≥ 38,5 °C), d'angine, de gingivorragies, de purpura (signes d'alerte d'aplasie).</w:t>
      </w:r>
    </w:p>
    <w:p>
      <w:pPr>
        <w:pStyle w:val="Heading3"/>
      </w:pPr>
      <w:r>
        <w:t>191.13.11 Pièges au comptoir (règles d'or)</w:t>
      </w:r>
    </w:p>
    <w:p>
      <w:pPr>
        <w:pStyle w:val="ListNumber"/>
      </w:pPr>
      <w:r/>
      <w:r>
        <w:rPr>
          <w:b/>
        </w:rPr>
        <w:t>Règle d'or n°1 : timing du rescue = efficacité.</w:t>
      </w:r>
      <w:r>
        <w:t xml:space="preserve"> Folinate à J+24h, J+30h, J+36h, J+42h après MTX haute dose. Trop tôt (&lt; 12h) = compromission antitumorale ; trop tard (&gt; 48h) = toxicité systémique.</w:t>
      </w:r>
    </w:p>
    <w:p>
      <w:pPr>
        <w:pStyle w:val="ListNumber"/>
      </w:pPr>
      <w:r/>
      <w:r>
        <w:rPr>
          <w:b/>
        </w:rPr>
        <w:t>Règle d'or n°2 : surveiller la MTXémie.</w:t>
      </w:r>
      <w:r>
        <w:t xml:space="preserve"> Dosage à J+24h, J+36h, J+48h, J+72h. Adaptation posologique selon le nomogramme de Strother : &lt; 10 µmol/L = rescue standard, &gt; 100 µmol/L = rescue massif + dialyse.</w:t>
      </w:r>
    </w:p>
    <w:p>
      <w:pPr>
        <w:pStyle w:val="ListNumber"/>
      </w:pPr>
      <w:r/>
      <w:r>
        <w:rPr>
          <w:b/>
        </w:rPr>
        <w:t>Règle d'or n°3 : hydratation alcaline concomitante obligatoire.</w:t>
      </w:r>
      <w:r>
        <w:t xml:space="preserve"> 3 L/m²/j de glucosé 5 % + bicarbonate 1,4 %, pH urinaire ≥ 7, diurèse ≥ 100 mL/h. Prévient la précipitation tubulaire du MTX et accélère son élimination.</w:t>
      </w:r>
    </w:p>
    <w:p>
      <w:pPr>
        <w:pStyle w:val="ListNumber"/>
      </w:pPr>
      <w:r/>
      <w:r>
        <w:rPr>
          <w:b/>
        </w:rPr>
        <w:t>Règle d'or n°4 : pas d'AINS pendant la cure et 72 heures après.</w:t>
      </w:r>
      <w:r>
        <w:t xml:space="preserve"> L'AINS réduit la clairance rénale du MTX (compétition pour la sécrétion tubulaire). Risque d'insuffisance rénale aiguë et de surdosage MTX.</w:t>
      </w:r>
    </w:p>
    <w:p>
      <w:pPr>
        <w:pStyle w:val="ListNumber"/>
      </w:pPr>
      <w:r/>
      <w:r>
        <w:rPr>
          <w:b/>
        </w:rPr>
        <w:t>Règle d'or n°5 : pas d'association avec le triméthoprime-sulfaméthoxazole.</w:t>
      </w:r>
      <w:r>
        <w:t xml:space="preserve"> Effet antifolate additif. Risque d'aplasie médullaire sévère.</w:t>
      </w:r>
    </w:p>
    <w:p>
      <w:pPr>
        <w:pStyle w:val="ListNumber"/>
      </w:pPr>
      <w:r/>
      <w:r>
        <w:rPr>
          <w:b/>
        </w:rPr>
        <w:t>Règle d'or n°6 : surveillance hématologique et rénale.</w:t>
      </w:r>
      <w:r>
        <w:t xml:space="preserve"> Hémogramme toutes les 48-72h pendant la cure et 7 jours après. Créatininémie, transaminases, MTXémie. Critères d'arrêt : MTXémie &lt; 0,1 µmol/L.</w:t>
      </w:r>
    </w:p>
    <w:p>
      <w:pPr>
        <w:pStyle w:val="ListNumber"/>
      </w:pPr>
      <w:r/>
      <w:r>
        <w:rPr>
          <w:b/>
        </w:rPr>
        <w:t>Règle d'or n°7 : carence en vitamine B12 = contre-indication relative.</w:t>
      </w:r>
      <w:r>
        <w:t xml:space="preserve"> Le folinate peut aggraver la neuropathie B12-déficiente. Administrer la vitamine B12 systématiquement en cas de suspicion.</w:t>
      </w:r>
    </w:p>
    <w:p>
      <w:pPr>
        <w:pStyle w:val="ListNumber"/>
      </w:pPr>
      <w:r/>
      <w:r>
        <w:rPr>
          <w:b/>
        </w:rPr>
        <w:t>Règle d'or n°8 : association avec le 5-FU = synergie et toxicité accrue.</w:t>
      </w:r>
      <w:r>
        <w:t xml:space="preserve"> Réduction des doses de 5-FU si toxicité ≥ grade 3 selon le NCI-CTC. Surveillance digestive et hématologique rapprochée.</w:t>
      </w:r>
    </w:p>
    <w:p>
      <w:pPr>
        <w:pStyle w:val="ListNumber"/>
      </w:pPr>
      <w:r/>
      <w:r>
        <w:rPr>
          <w:b/>
        </w:rPr>
        <w:t>Règle d'or n°9 : insuffisance rénale = adaptation.</w:t>
      </w:r>
      <w:r>
        <w:t xml:space="preserve"> Réduction de la dose de MTX (25-50 %), intensification de l'hydratation alcaline, prolongation du rescue (J+96h à J+120h). En cas d'insuffisance rénale aiguë avec MTXémie très élevée : dialyse urgente et glucarpidase si disponible.</w:t>
      </w:r>
    </w:p>
    <w:p>
      <w:pPr>
        <w:pStyle w:val="ListNumber"/>
      </w:pPr>
      <w:r/>
      <w:r>
        <w:rPr>
          <w:b/>
        </w:rPr>
        <w:t>Règle d'or n°10 : grossesse = MTX contre-indiqué (catégorie X FDA).</w:t>
      </w:r>
      <w:r>
        <w:t xml:space="preserve"> Le folinate est compatible mais le MTX est tératogène (anomalies du tube neural, craniofaciales, cardiaques). En cas d'exposition accidentelle au MTX pendant la grossesse : folinate 50 mg/j IM/IV pendant 10-14 jours, interruption de grossesse à discuter.</w:t>
      </w:r>
    </w:p>
    <w:p>
      <w:pPr>
        <w:pStyle w:val="ListNumber"/>
      </w:pPr>
      <w:r/>
      <w:r>
        <w:rPr>
          <w:b/>
        </w:rPr>
        <w:t>Règle d'or n°11 : pas d'allaitement pendant le traitement MTX.</w:t>
      </w:r>
      <w:r>
        <w:t xml:space="preserve"> Le MTX passe dans le lait maternel et s'accumule chez le nourrisson (toxicité hématologique et digestive).</w:t>
      </w:r>
    </w:p>
    <w:p>
      <w:pPr>
        <w:pStyle w:val="ListNumber"/>
      </w:pPr>
      <w:r/>
      <w:r>
        <w:rPr>
          <w:b/>
        </w:rPr>
        <w:t>Règle d'or n°12 : épanchement liquidien = « verrou pharmacologique ».</w:t>
      </w:r>
      <w:r>
        <w:t xml:space="preserve"> L'ascite et l'épanchement pleural accumulent le MTX (demi-vie prolongée dans les liquides d'épanchement). Drainer avant MTX, prolonger le rescue, surveiller MTXémie prolongée.</w:t>
      </w:r>
    </w:p>
    <w:p>
      <w:pPr>
        <w:pStyle w:val="Heading2"/>
      </w:pPr>
      <w:r>
        <w:t>191.14 DCI 4 : Phytoménadione (Vitamine K1) (Antidote des AVK)</w:t>
      </w:r>
    </w:p>
    <w:p>
      <w:pPr>
        <w:pStyle w:val="Heading3"/>
      </w:pPr>
      <w:r>
        <w:t>191.14.1 Liste des catégories thérapeutiques et statut réglementaire</w:t>
      </w:r>
    </w:p>
    <w:p>
      <w:r>
        <w:t>La phytoménadione (vitamine K1, phytonadione), forme naturelle de la vitamine K présente dans les végétaux verts (épinards, choux, brocolis), appartient à la classe pharmacologique des vitamines liposolubles (code ATC : B02BA01 — vitamine K1 ; V03AF02 — antidotes des antivitamines K). Elle est inscrite sur la Liste I des substances vénéneuses en Algérie pour les formes injectables à usage antidote hémorragique. La phytoménadione figure sur la liste des médicaments essentiels de l'OMS (WHO Model List of Essential Medicines, 22ᵉ liste, 2023), dans la section « Antidotes et autres substances utilisées dans les intoxications » et dans la section « Médicaments hémostatiques ».</w:t>
      </w:r>
    </w:p>
    <w:p>
      <w:r>
        <w:t>La phytoménadione est classée comme médicament d'urgence vitale en cas d'hémorragie sous antivitamines K (AVK). Elle doit être disponible à tout moment dans les services d'urgences, de réanimation, d'hématologie clinique, de neurochirurgie (hémorragie cérébrale sous AVK), de cardiologie (relais AVK avant chirurgie), et de néonatologie (maladie hémorragique du nouveau-né). Les AVK restent les anticoagulants oraux les plus prescrits au monde (warfarine, acénocoumarol, fluindione), en raison de leur faible coût et de leur efficacité démontrée dans la prévention des accidents thromboemboliques (fibrillation auriculaire, valve mécanique, phlébite, embolie pulmonaire). Leur marge thérapeutique étroite, leurs nombreuses interactions médicamenteuses et leur variabilité individuelle (génétique CYP2C9, VKORC1) exposent à un risque de surdosage (INR &gt; 5) et d'hémorragie (incidence annuelle 1-3 %/an, dont 0,5 % de hémorragies graves et 0,1 % de décès). La phytoménadione est l'antidote de référence du surdosage asymptomatique ou modérément hémorragique sous AVK.</w:t>
      </w:r>
    </w:p>
    <w:p>
      <w:pPr>
        <w:pStyle w:val="Heading3"/>
      </w:pPr>
      <w:r>
        <w:t>191.14.2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RAZIDIONE K1</w:t>
            </w:r>
          </w:p>
        </w:tc>
        <w:tc>
          <w:tcPr>
            <w:tcW w:type="dxa" w:w="1559"/>
          </w:tcPr>
          <w:p>
            <w:r>
              <w:rPr>
                <w:sz w:val="20"/>
              </w:rPr>
              <w:t>LES LABORATOIRES FRATER RAZES</w:t>
            </w:r>
          </w:p>
        </w:tc>
        <w:tc>
          <w:tcPr>
            <w:tcW w:type="dxa" w:w="1559"/>
          </w:tcPr>
          <w:p>
            <w:r>
              <w:rPr>
                <w:sz w:val="20"/>
              </w:rPr>
              <w:t>Solution buvable et injectable IV ou IM 10 mg/mL</w:t>
            </w:r>
          </w:p>
        </w:tc>
        <w:tc>
          <w:tcPr>
            <w:tcW w:type="dxa" w:w="1559"/>
          </w:tcPr>
          <w:p>
            <w:r>
              <w:rPr>
                <w:sz w:val="20"/>
              </w:rPr>
              <w:t>Boîte de 5 ampoules et boîte de 50 ampoules de 1 mL</w:t>
            </w:r>
          </w:p>
        </w:tc>
        <w:tc>
          <w:tcPr>
            <w:tcW w:type="dxa" w:w="1559"/>
          </w:tcPr>
          <w:p>
            <w:r>
              <w:rPr>
                <w:sz w:val="20"/>
              </w:rPr>
              <w:t>Liste I</w:t>
            </w:r>
          </w:p>
        </w:tc>
        <w:tc>
          <w:tcPr>
            <w:tcW w:type="dxa" w:w="1559"/>
          </w:tcPr>
          <w:p>
            <w:r>
              <w:rPr>
                <w:sz w:val="20"/>
              </w:rPr>
              <w:t>ACTIF</w:t>
            </w:r>
          </w:p>
        </w:tc>
      </w:tr>
      <w:tr>
        <w:tc>
          <w:tcPr>
            <w:tcW w:type="dxa" w:w="1559"/>
          </w:tcPr>
          <w:p>
            <w:r>
              <w:rPr>
                <w:sz w:val="20"/>
              </w:rPr>
              <w:t>PHYTOMENADINE</w:t>
            </w:r>
          </w:p>
        </w:tc>
        <w:tc>
          <w:tcPr>
            <w:tcW w:type="dxa" w:w="1559"/>
          </w:tcPr>
          <w:p>
            <w:r>
              <w:rPr>
                <w:sz w:val="20"/>
              </w:rPr>
              <w:t>BIOLOGICI ITALIA</w:t>
            </w:r>
          </w:p>
        </w:tc>
        <w:tc>
          <w:tcPr>
            <w:tcW w:type="dxa" w:w="1559"/>
          </w:tcPr>
          <w:p>
            <w:r>
              <w:rPr>
                <w:sz w:val="20"/>
              </w:rPr>
              <w:t>Solution injectable IM - IV 10 mg/mL (20 mg/2 mL)</w:t>
            </w:r>
          </w:p>
        </w:tc>
        <w:tc>
          <w:tcPr>
            <w:tcW w:type="dxa" w:w="1559"/>
          </w:tcPr>
          <w:p>
            <w:r>
              <w:rPr>
                <w:sz w:val="20"/>
              </w:rPr>
              <w:t>Boîte de 5 ampoules de 2 mL</w:t>
            </w:r>
          </w:p>
        </w:tc>
        <w:tc>
          <w:tcPr>
            <w:tcW w:type="dxa" w:w="1559"/>
          </w:tcPr>
          <w:p>
            <w:r>
              <w:rPr>
                <w:sz w:val="20"/>
              </w:rPr>
              <w:t>—</w:t>
            </w:r>
          </w:p>
        </w:tc>
        <w:tc>
          <w:tcPr>
            <w:tcW w:type="dxa" w:w="1559"/>
          </w:tcPr>
          <w:p>
            <w:r>
              <w:rPr>
                <w:sz w:val="20"/>
              </w:rPr>
              <w:t>NON_RENOUVELABLE</w:t>
            </w:r>
          </w:p>
        </w:tc>
      </w:tr>
      <w:tr>
        <w:tc>
          <w:tcPr>
            <w:tcW w:type="dxa" w:w="1559"/>
          </w:tcPr>
          <w:p>
            <w:r>
              <w:rPr>
                <w:sz w:val="20"/>
              </w:rPr>
              <w:t>WERAVIT K1</w:t>
            </w:r>
          </w:p>
        </w:tc>
        <w:tc>
          <w:tcPr>
            <w:tcW w:type="dxa" w:w="1559"/>
          </w:tcPr>
          <w:p>
            <w:r>
              <w:rPr>
                <w:sz w:val="20"/>
              </w:rPr>
              <w:t>WEIMER PHARMA</w:t>
            </w:r>
          </w:p>
        </w:tc>
        <w:tc>
          <w:tcPr>
            <w:tcW w:type="dxa" w:w="1559"/>
          </w:tcPr>
          <w:p>
            <w:r>
              <w:rPr>
                <w:sz w:val="20"/>
              </w:rPr>
              <w:t>Solution injectable 10 mg/mL</w:t>
            </w:r>
          </w:p>
        </w:tc>
        <w:tc>
          <w:tcPr>
            <w:tcW w:type="dxa" w:w="1559"/>
          </w:tcPr>
          <w:p>
            <w:r>
              <w:rPr>
                <w:sz w:val="20"/>
              </w:rPr>
              <w:t>Boîte de 10</w:t>
            </w:r>
          </w:p>
        </w:tc>
        <w:tc>
          <w:tcPr>
            <w:tcW w:type="dxa" w:w="1559"/>
          </w:tcPr>
          <w:p>
            <w:r>
              <w:rPr>
                <w:sz w:val="20"/>
              </w:rPr>
              <w:t>—</w:t>
            </w:r>
          </w:p>
        </w:tc>
        <w:tc>
          <w:tcPr>
            <w:tcW w:type="dxa" w:w="1559"/>
          </w:tcPr>
          <w:p>
            <w:r>
              <w:rPr>
                <w:sz w:val="20"/>
              </w:rPr>
              <w:t>RETRAIT</w:t>
            </w:r>
          </w:p>
        </w:tc>
      </w:tr>
      <w:tr>
        <w:tc>
          <w:tcPr>
            <w:tcW w:type="dxa" w:w="1559"/>
          </w:tcPr>
          <w:p>
            <w:r>
              <w:rPr>
                <w:sz w:val="20"/>
              </w:rPr>
              <w:t>KONAKION MM</w:t>
            </w:r>
          </w:p>
        </w:tc>
        <w:tc>
          <w:tcPr>
            <w:tcW w:type="dxa" w:w="1559"/>
          </w:tcPr>
          <w:p>
            <w:r>
              <w:rPr>
                <w:sz w:val="20"/>
              </w:rPr>
              <w:t>HOFFMAN LAROCHE</w:t>
            </w:r>
          </w:p>
        </w:tc>
        <w:tc>
          <w:tcPr>
            <w:tcW w:type="dxa" w:w="1559"/>
          </w:tcPr>
          <w:p>
            <w:r>
              <w:rPr>
                <w:sz w:val="20"/>
              </w:rPr>
              <w:t>Solution injectable IV 10 mg/mL</w:t>
            </w:r>
          </w:p>
        </w:tc>
        <w:tc>
          <w:tcPr>
            <w:tcW w:type="dxa" w:w="1559"/>
          </w:tcPr>
          <w:p>
            <w:r>
              <w:rPr>
                <w:sz w:val="20"/>
              </w:rPr>
              <w:t>Boîte de 5 ampoules de 1 mL</w:t>
            </w:r>
          </w:p>
        </w:tc>
        <w:tc>
          <w:tcPr>
            <w:tcW w:type="dxa" w:w="1559"/>
          </w:tcPr>
          <w:p>
            <w:r>
              <w:rPr>
                <w:sz w:val="20"/>
              </w:rPr>
              <w:t>—</w:t>
            </w:r>
          </w:p>
        </w:tc>
        <w:tc>
          <w:tcPr>
            <w:tcW w:type="dxa" w:w="1559"/>
          </w:tcPr>
          <w:p>
            <w:r>
              <w:rPr>
                <w:sz w:val="20"/>
              </w:rPr>
              <w:t>RETRAIT</w:t>
            </w:r>
          </w:p>
        </w:tc>
      </w:tr>
      <w:tr>
        <w:tc>
          <w:tcPr>
            <w:tcW w:type="dxa" w:w="1559"/>
          </w:tcPr>
          <w:p>
            <w:r>
              <w:rPr>
                <w:sz w:val="20"/>
              </w:rPr>
              <w:t>KONAKION</w:t>
            </w:r>
          </w:p>
        </w:tc>
        <w:tc>
          <w:tcPr>
            <w:tcW w:type="dxa" w:w="1559"/>
          </w:tcPr>
          <w:p>
            <w:r>
              <w:rPr>
                <w:sz w:val="20"/>
              </w:rPr>
              <w:t>HOFFMAN LAROCHE</w:t>
            </w:r>
          </w:p>
        </w:tc>
        <w:tc>
          <w:tcPr>
            <w:tcW w:type="dxa" w:w="1559"/>
          </w:tcPr>
          <w:p>
            <w:r>
              <w:rPr>
                <w:sz w:val="20"/>
              </w:rPr>
              <w:t>Comprimé enrobé à croquer 10 mg</w:t>
            </w:r>
          </w:p>
        </w:tc>
        <w:tc>
          <w:tcPr>
            <w:tcW w:type="dxa" w:w="1559"/>
          </w:tcPr>
          <w:p>
            <w:r>
              <w:rPr>
                <w:sz w:val="20"/>
              </w:rPr>
              <w:t>Boîte de 10</w:t>
            </w:r>
          </w:p>
        </w:tc>
        <w:tc>
          <w:tcPr>
            <w:tcW w:type="dxa" w:w="1559"/>
          </w:tcPr>
          <w:p>
            <w:r>
              <w:rPr>
                <w:sz w:val="20"/>
              </w:rPr>
              <w:t>—</w:t>
            </w:r>
          </w:p>
        </w:tc>
        <w:tc>
          <w:tcPr>
            <w:tcW w:type="dxa" w:w="1559"/>
          </w:tcPr>
          <w:p>
            <w:r>
              <w:rPr>
                <w:sz w:val="20"/>
              </w:rPr>
              <w:t>RETRAIT</w:t>
            </w:r>
          </w:p>
        </w:tc>
      </w:tr>
      <w:tr>
        <w:tc>
          <w:tcPr>
            <w:tcW w:type="dxa" w:w="1559"/>
          </w:tcPr>
          <w:p>
            <w:r>
              <w:rPr>
                <w:sz w:val="20"/>
              </w:rPr>
              <w:t>VITAMINE K1 ROCHE</w:t>
            </w:r>
          </w:p>
        </w:tc>
        <w:tc>
          <w:tcPr>
            <w:tcW w:type="dxa" w:w="1559"/>
          </w:tcPr>
          <w:p>
            <w:r>
              <w:rPr>
                <w:sz w:val="20"/>
              </w:rPr>
              <w:t>ROCHE</w:t>
            </w:r>
          </w:p>
        </w:tc>
        <w:tc>
          <w:tcPr>
            <w:tcW w:type="dxa" w:w="1559"/>
          </w:tcPr>
          <w:p>
            <w:r>
              <w:rPr>
                <w:sz w:val="20"/>
              </w:rPr>
              <w:t>Émulsion buvable en gouttes 20 mg/mL</w:t>
            </w:r>
          </w:p>
        </w:tc>
        <w:tc>
          <w:tcPr>
            <w:tcW w:type="dxa" w:w="1559"/>
          </w:tcPr>
          <w:p>
            <w:r>
              <w:rPr>
                <w:sz w:val="20"/>
              </w:rPr>
              <w:t>Flacon de 10 mL</w:t>
            </w:r>
          </w:p>
        </w:tc>
        <w:tc>
          <w:tcPr>
            <w:tcW w:type="dxa" w:w="1559"/>
          </w:tcPr>
          <w:p>
            <w:r>
              <w:rPr>
                <w:sz w:val="20"/>
              </w:rPr>
              <w:t>—</w:t>
            </w:r>
          </w:p>
        </w:tc>
        <w:tc>
          <w:tcPr>
            <w:tcW w:type="dxa" w:w="1559"/>
          </w:tcPr>
          <w:p>
            <w:r>
              <w:rPr>
                <w:sz w:val="20"/>
              </w:rPr>
              <w:t>RETRAIT</w:t>
            </w:r>
          </w:p>
        </w:tc>
      </w:tr>
    </w:tbl>
    <w:p/>
    <w:p>
      <w:r>
        <w:t>La phytoménadione reste disponible en Algérie sous une seule spécialité active : Razidione K1 (Les Laboratoires Frater Razes), en solution buvable et injectable IV ou IM, dosée à 10 mg/mL, en boîtes de 5 et 50 ampoules de 1 mL. Cette production locale (Frater-Razes, Alger) couvre la majorité des besoins nationaux pour l'antagonisation des AVK en urgence, en relais hémorragique, et en prévention de la maladie hémorragique du nouveau-né (1 mg IM à la naissance). Les spécialités historiques internationales Konakion MM (Hoffmann-La Roche), princeps international historique de la vitamine K1 en formulation « mixed micelles » (MM) pour administration IV, et Konakion (Roche) en comprimés enrobés à croquer 10 mg, sont retirées du marché algérien. Les spécialités Weravit K1 (Weimer Pharma) et Vitamine K1 Roche en émulsion buvable en gouttes sont également retirées. La spécialité Phytoménadine (Biologici Italia) en solution injectable 10 mg/mL est non renouvelable.</w:t>
      </w:r>
    </w:p>
    <w:p>
      <w:r>
        <w:t>Aucune forme pédiatrique orale en gouttes (Vitamine K1 Roche 20 mg/mL, retirée) n'est actuellement disponible en Algérie, ce qui complique l'administration de la vitamine K1 chez le nourrisson (prévention de la maladie hémorragique du nouveau-né par voie orale : 2 mg à J0, J7, J30 selon les recommandations OMS/CIPDP, ou 1 mg IM à J0 selon les recommandations classiques). Le Razidione K1 (Frater Razes) en solution buvable et injectable 10 mg/mL peut être utilisé en pédiatrie (1 mg = 0,1 mL), mais avec prudence en raison de la concentration élevée.</w:t>
      </w:r>
    </w:p>
    <w:p>
      <w:pPr>
        <w:pStyle w:val="Heading3"/>
      </w:pPr>
      <w:r>
        <w:t>191.14.3 Mécanisme d'action moléculaire et cellulaire</w:t>
      </w:r>
    </w:p>
    <w:p>
      <w:r>
        <w:t>La vitamine K1 (phytoménadione) est le cofacteur essentiel de la γ-carboxylase hépatique, enzyme du réticulum endoplasmique des hépatocytes qui catalyse la carboxylation des résidus glutamyl des facteurs vitamine-K-dépendants de la coagulation : facteurs II (prothrombine), VII, IX et X (voie classique et commune de la coagulation), et protéines C et S (voie naturelle anticoagulante). La γ-carboxylation transforme les acides glutamiques (Glu) en acides γ-carboxyglutamiques (Gla), permettant aux facteurs de fixer le calcium ionique (Ca2+) et les membranes phospholipidiques (plaquettes activées), étape indispensable à la formation du complexe d'activation de la coagulation (tenase : IXa-VIIIa-Ca2-phospholipides-activateur du X en Xa ; prothrombinase : Xa-Va-Ca2-phospholipides-activateur de la prothrombine en thrombine).</w:t>
      </w:r>
    </w:p>
    <w:p>
      <w:r>
        <w:t>Le cycle de la vitamine K comprend trois étapes : (i) la vitamine K hydroquinone (réduite, KH2) est le cofacteur actif de la γ-carboxylase ; (ii) après réaction, la vitamine K époxyde (KO) est formée (oxydation) ; (iii) la vitamine K époxyde réductase (VKORC1) réduit la KO en vitamine K quinone (K), puis la vitamine K quinone réductase (VKQR) réduit la K en KH2 (forme active), complétant le cycle. Les antivitamines K (warfarine, acénocoumarol, fluindione) inhibent la VKORC1, bloquant la régénération de la vitamine K hydroquinone active et induisant un déficit fonctionnel en facteurs II, VII, IX, X (et protéines C et S). Les facteurs diminuent avec des demi-vies différentes : facteur VII (6 h, le plus rapide, premier touché), facteur IX (24 h), facteur X (48 h), facteur II (72 h, le plus lent, dernier touché). Cette cinétique explique l'allongement progressif de l'INR sous AVK (24-72 h pour atteindre l'équilibre) et la cinétique de correction par la phytoménadione (24-72 h pour la synthèse de novo des facteurs).</w:t>
      </w:r>
    </w:p>
    <w:p>
      <w:r>
        <w:t>La phytoménadione (vitamine K1 exogène) restaure les stocks hépatiques de vitamine K active et permet la synthèse de novo des facteurs vitamine-K-dépendants. Le délai d'action varie selon la voie d'administration : 6-12 heures par voie orale (résorption intestinale et captation hépatique), 4-6 heures par voie IM, 2-6 heures par voie IV (à perfuser lentement en raison d'un risque d'anaphylaxie rare mais grave, lié au solvant polysorbate ou crémophor EL dans la formulation historique ; les formulations modernes en mixed micelles (Konakion MM) ont réduit ce risque). La correction maximale de l'INR est obtenue en 24-48 heures après administration IV, et en 48-72 heures après administration orale.</w:t>
      </w:r>
    </w:p>
    <w:p>
      <w:r>
        <w:t>Au plan cellulaire, la phytoménadione restaure l'activité γ-carboxylase hépatique, permettant la carboxylation des précurseurs inactifs (PIVKA - Proteins Induced by Vitamin K Absence : PIVKA-II, PIVKA-VII, PIVKA-IX, PIVKA-X) en facteurs actifs. Les PIVKA peuvent être dosés biologiquement (PIVKA-II = DCPIP - Des-γ-Carboxy Prothrombin, marqueur spécifique de l'antagonisation insuffisante par la vitamine K1 ou de la carence chronique en vitamine K1). La phytoménadione n'agit pas sur les facteurs non vitamine-K-dépendants (facteur V, facteur VIII, facteur XI, facteur XIII, fibrinogène), ce qui explique que l'antagonisation des AVK ne restaure pas une coagulation normale si d'autres déficits coexistent (carence en facteur V, hypofibrinogénémie, thrombopénie, etc.).</w:t>
      </w:r>
    </w:p>
    <w:p>
      <w:pPr>
        <w:pStyle w:val="Heading3"/>
      </w:pPr>
      <w:r>
        <w:t>191.14.4 Profil pharmacocinétique, indications, contre-indications, effets indésirables</w:t>
      </w:r>
    </w:p>
    <w:p>
      <w:r/>
      <w:r>
        <w:rPr>
          <w:b/>
        </w:rPr>
        <w:t>Pharmacocinétique</w:t>
      </w:r>
      <w:r>
        <w:t xml:space="preserve"> : la phytoménadione est liposoluble, nécessitant la présence de sels biliaires pour son absorption intestinale (en l'absence de sels biliaires, la biodisponibilité orale est &lt; 5 % ; en présence de sels biliaires, 50-80 %). Le pic plasmatique après administration orale est atteint en 2-6 heures. La captation hépatique est rapide (10-30 minutes après IV). Le volume de distribution est modéré (0,2-0,5 L/kg), avec une fixation protéique importante (90-95 % sur les lipoprotéines). La demi-vie d'élimination est de 1-2 heures (phase de distribution) et 10-20 heures (phase d'élimination, plus courte chez le nourrisson). Le métabolisme est hépatique par oxydation (CYP4F2) en métabolites polaires éliminés par voie biliaire (cycle entéro-hépatique) et rénale. La phytoménadione traverse la barrière placentaire (administrer à la mère en cas d'anticoagulation fœtale pour valvulopathie ou trouble du rythme), mais ne traverse pas significativement le lait maternel.</w:t>
      </w:r>
    </w:p>
    <w:p>
      <w:r/>
      <w:r>
        <w:rPr>
          <w:b/>
        </w:rPr>
        <w:t>Indications</w:t>
      </w:r>
      <w:r>
        <w:t xml:space="preserve"> : (i) antidote du surdosage asymptomatique en AVK (INR &gt; 5 sans hémorragie) : phytoménadione 1-5 mg per os ou IM, surveillance INR à H12-H24 ; (ii) antidote du surdosage en AVK avec hémorragie mineure (épistaxis, gingivorragies, hématome) : phytoménadione 5-10 mg IV lent ou IM, surveillance INR à H6-H12 ; (iii) antidote du surdosage en AVK avec hémorragie grave (hémorragie cérébrale, digestive active, hématome compressif) : association PCC (Octaplex 25-50 UI/kg IV) + phytoménadione 10 mg IV lent, surveillance INR à H30 minutes et H6 ; (iv) relais AVK avant chirurgie programmée (à l'admission, arrêt AVK à J-3 à J-5 selon le type de chirurgie et l'INR cible, relais par HBPM, surveillance INR) ; (v) prévention de la maladie hémorragique du nouveau-né : 1 mg IM à la naissance (recommandation universelle OMS), ou 2 mg per os à J0, J7, J30 selon les recommandations CIPDP (Comité d'Information Pharmacologique et Documentation Pharmaceutique) ; (vi) traitement de la carence en vitamine K (cholestase chronique, mucoviscidose, syndrome de l'intestin court, antibiotiques à large spectre prolongés éliminant la flore intestinale productrice de vitamine K2) ; (vii) antidote des raticides anticoagulants (super-warfarines : brodifacoum, difenacoum, bromadiolone, flocoumafen) à demi-vie très prolongée (jusqu'à 60 jours), nécessitant un traitement prolongé par vitamine K1 (jusqu'à 100 mg/j pendant plusieurs semaines à plusieurs mois).</w:t>
      </w:r>
    </w:p>
    <w:p>
      <w:r/>
      <w:r>
        <w:rPr>
          <w:b/>
        </w:rPr>
        <w:t>Contre-indications</w:t>
      </w:r>
      <w:r>
        <w:t xml:space="preserve"> : (i) hypersensibilité connue à la phytoménadione ou à l'un des excipients (en particulier au crémophor EL, polysorbate, huile de soja dans les formulations classiques) ; (ii) en cas de traitement AVK en cours, ne pas administrer de phytoménadione sans surveillance INR stricte (risque de thrombose par correction trop rapide de l'INR) ; (iii) en cas d'insuffisance hépatique sévère, prudence (la phytoménadione ne restaure pas la synthèse hépatique des facteurs si l'hépatocyte est défaillant) ; (iv) en cas de thrombose récente (infarctus du myocarde, AVC ischémique, embolie pulmonaire), la phytoménadione doit être utilisée avec prudence (risque de rethrombose si correction trop rapide de l'INR) ; (v) prudence en cas d'obstruction biliaire (absorption intestinale réduite, à compenser par voie IM ou IV) ; (vi) prudence en cas d'insuffisance rénale (l'administration IV de fortes doses en cas d'insuffisance rénale a été associée à des cas d'hyperkaliémie, mécanisme incertain).</w:t>
      </w:r>
    </w:p>
    <w:p>
      <w:r/>
      <w:r>
        <w:rPr>
          <w:b/>
        </w:rPr>
        <w:t>Effets indésirables</w:t>
      </w:r>
      <w:r>
        <w:t xml:space="preserve"> : le profil de tolérance de la phytoménadione varie selon la voie d'administration.</w:t>
      </w:r>
    </w:p>
    <w:p>
      <w:pPr>
        <w:pStyle w:val="ListBullet"/>
      </w:pPr>
      <w:r/>
      <w:r>
        <w:rPr>
          <w:b/>
        </w:rPr>
        <w:t>Voie IV</w:t>
      </w:r>
      <w:r>
        <w:t xml:space="preserve"> : (i) risque anaphylactique rare mais grave (choc anaphylactique, arrêt cardiaque, décès), mécanisme lié au solvant (crémophor EL, polysorbate) dans la formulation classique ; les formulations modernes en mixed micelles (Konakion MM, non disponible en Algérie) ont réduit ce risque (incidence &lt; 1/100 000). La perfusion doit être lente (1 mg/min maximum), sous surveillance médicale continue (ECG, PA, SpO2) avec disponibilité immédiate d'adrénaline et de matériel de réanimation. (ii) Flush, hypotension, céphalées, vertiges (effet vasodilatateur), surtout en cas de perfusion rapide. (iii) Douleur au point d'injection, phlébite (en cas de perfusion périphérique). (iv) Hyperbilirubinémie et ictère nucléaire chez le nouveau-né prématuré en cas de doses élevées (&gt; 1 mg IV).</w:t>
      </w:r>
    </w:p>
    <w:p>
      <w:pPr>
        <w:pStyle w:val="ListBullet"/>
      </w:pPr>
      <w:r/>
      <w:r>
        <w:rPr>
          <w:b/>
        </w:rPr>
        <w:t>Voie IM</w:t>
      </w:r>
      <w:r>
        <w:t xml:space="preserve"> : (i) douleur au point d'injection, hématome (surtout chez le patient sous AVK, à administrer dans le deltoïde ou le vastus lateralis en compression prolongée) ; (ii) réactions locales (induration, abcès stérile rare) ; (iii) le risque anaphylactique est moindre qu'en IV.</w:t>
      </w:r>
    </w:p>
    <w:p>
      <w:pPr>
        <w:pStyle w:val="ListBullet"/>
      </w:pPr>
      <w:r/>
      <w:r>
        <w:rPr>
          <w:b/>
        </w:rPr>
        <w:t>Voie orale</w:t>
      </w:r>
      <w:r>
        <w:t xml:space="preserve"> : (i) troubles digestifs (nausées, vomissements, diarrhée) ; (ii) rash cutané, prurit (rare) ; (iii) goût métallique ; (iv) efficacité retardée (6-12 heures) comparée à la voie IV.</w:t>
      </w:r>
    </w:p>
    <w:p>
      <w:r>
        <w:t>Les effets indésirables à long terme sont rares et incluent : (i) hypercalciémie et calcifications vasculaires en cas d'administration prolongée à doses élevées (rare) ; (ii) anémie hémolytique en cas de déficit en G6PD (rare, décrit surtout chez le nouveau-né) ; (iii) ictère nucléaire chez le nouveau-né prématuré en cas de doses élevées IV.</w:t>
      </w:r>
    </w:p>
    <w:p>
      <w:pPr>
        <w:pStyle w:val="Heading3"/>
      </w:pPr>
      <w:r>
        <w:t>191.14.5 Prévention et gestion des effets indésirables</w:t>
      </w:r>
    </w:p>
    <w:p>
      <w:r>
        <w:t>La prévention des effets indésirables de la phytoménadione repose sur le choix de la voie d'administration appropriée, la lenteur de perfusion IV, et la surveillance de l'INR.</w:t>
      </w:r>
    </w:p>
    <w:p>
      <w:r/>
      <w:r>
        <w:rPr>
          <w:b/>
        </w:rPr>
        <w:t>Choix de la voie d'administration</w:t>
      </w:r>
      <w:r>
        <w:t xml:space="preserve"> : la voie IV doit être réservée aux situations d'urgence hémorragique grave (en association avec le PCC) ou de nécessité de correction rapide de l'INR (chirurgie urgente). La voie IM est préférée en cas de surdosage asymptomatique avec INR &gt; 5 (sans hémorragie grave) ou d'hémorragie mineure (efficacité en 4-6 heures, sécurité meilleure que la voie IV). La voie orale est privilégiée pour les surdosages modérés (INR 5-9) asymptomatiques, et pour les relais AVK avant chirurgie programmée (efficacité en 24-48 heures, surveillance à domicile possible).</w:t>
      </w:r>
    </w:p>
    <w:p>
      <w:r/>
      <w:r>
        <w:rPr>
          <w:b/>
        </w:rPr>
        <w:t>Prévention du risque anaphylactique IV</w:t>
      </w:r>
      <w:r>
        <w:t xml:space="preserve"> : la perfusion IV de phytoménadione doit être lente (1 mg/min maximum, soit 10 minutes pour 10 mg), diluée dans 50 mL de glucosé 5 % ou NaCl 0,9 %, sous surveillance médicale continue (ECG, PA, SpO2) avec disponibilité immédiate d'adrénaline (1 mg/mL, 0,1-0,5 mg IM en cas de choc), d'oxygène, de soluté de remplissage (NaCl 0,9 % 500 mL), et de matériel de réanimation (intubation, ventilation). La perfusion ne doit pas être administrée en IV directe en bolus. En cas d'antécédent d'allergie à la phytoménadione ou à l'un des excipients (crémophor EL, huile de soja, polysorbate), préférer la voie IM. Les formulations modernes en mixed micelles (Konakion MM, non disponible en Algérie) ont un risque anaphylactique moindre.</w:t>
      </w:r>
    </w:p>
    <w:p>
      <w:r/>
      <w:r>
        <w:rPr>
          <w:b/>
        </w:rPr>
        <w:t>Surveillance de l'INR</w:t>
      </w:r>
      <w:r>
        <w:t xml:space="preserve"> : sous phytoménadione, surveiller l'INR : (i) à H30 minutes après PCC + phytoménadione IV en cas d'hémorragie grave (cible INR &lt; 1,5) ; (ii) à H6, H12, H24 après phytoménadione IV ; (iii) à H12, H24, H48 après phytoménadione IM ; (iv) à H24, H48, H72 après phytoménadione orale. Adapter la posologie et la voie en fonction de la réponse.</w:t>
      </w:r>
    </w:p>
    <w:p>
      <w:r/>
      <w:r>
        <w:rPr>
          <w:b/>
        </w:rPr>
        <w:t>Prévention de la thrombose par correction trop rapide</w:t>
      </w:r>
      <w:r>
        <w:t xml:space="preserve"> : en cas de traitement AVK en cours pour une indication à haut risque thrombotique (valve mécanique mitralique, fibrillation auriculaire avec embolie cérébrale récente, syndrome des antiphospholipides), la correction trop rapide de l'INR par la phytoménadione expose à un risque de thrombose (infarctus du myocarde, AVC ischémique, embolie pulmonaire). La posologie doit être prudente (1-2 mg IV en cas d'urgence vitale, surveillance rapprochée), et le relais par héparine (HBPM ou HNF) doit être discuté dès que l'INR redescend sous le seuil thérapeutique (INR &lt; 2,0 pour la fibrillation auriculaire, INR &lt; 2,5 pour la valve mécanique mitralique).</w:t>
      </w:r>
    </w:p>
    <w:p>
      <w:r/>
      <w:r>
        <w:rPr>
          <w:b/>
        </w:rPr>
        <w:t>Prévention de la maladie hémorragique du nouveau-né</w:t>
      </w:r>
      <w:r>
        <w:t xml:space="preserve"> : administration systématique de 1 mg IM (vastus lateralis) à la naissance (à H1 de vie), recommandation universelle OMS. En cas de refus parental de la voie IM (rare), alternative orale : 2 mg per os à J0, J7, J30 (selon les recommandations CIPDP). Cependant, la voie orale est moins efficace que la voie IM (risque résiduel de maladie hémorragique précoce), et nécessite une observance rigoureuse des 3 doses. En cas de mère sous AVK ou antiépileptiques (inducteurs enzymatiques), la dose néonatale doit être augmentée (1-2 mg IM à J0, complétée par 1 mg IM à J7 et J28).</w:t>
      </w:r>
    </w:p>
    <w:p>
      <w:pPr>
        <w:pStyle w:val="Heading3"/>
      </w:pPr>
      <w:r>
        <w:t>191.14.6 Interactions médicamenteuses</w:t>
      </w:r>
    </w:p>
    <w:p>
      <w:r>
        <w:t>La phytoménadione présente plusieurs interactions médicamenteuses à connaître :</w:t>
      </w:r>
    </w:p>
    <w:p>
      <w:r/>
      <w:r>
        <w:rPr>
          <w:b/>
        </w:rPr>
        <w:t>Interactions pharmacodynamiques</w:t>
      </w:r>
      <w:r>
        <w:t xml:space="preserve"> : (i) antagonisation de l'effet anticoagulant des AVK (warfarine, acénocoumarol, fluindione, phenprocoumone) — effet antidote recherché ; (ii) antagonisation de l'effet anticoagulant des raticides anticoagulants (super-warfarines : brodifacoum, difenacoum, bromadiolone, flocoumafen), à demi-vie très prolongée (60 jours), nécessitant un traitement prolongé par vitamine K1 (jusqu'à 100 mg/j pendant plusieurs semaines à plusieurs mois) ; (iii) potentialisation de l'effet hémostatique des autres antidotes hémorragiques (PCC, plasma frais congelé) — association utile en cas d'hémorragie grave sous AVK ; (iv) potentialisation de l'effet des procoagulants (acide tranexamique, acide aminocaproïque) — risque thrombotique.</w:t>
      </w:r>
    </w:p>
    <w:p>
      <w:r/>
      <w:r>
        <w:rPr>
          <w:b/>
        </w:rPr>
        <w:t>Interactions pharmacocinétiques</w:t>
      </w:r>
      <w:r>
        <w:t xml:space="preserve"> : (i) diminution de l'absorption orale par les résines chélatrices (cholestyramine, cholestipol, colestilan) — espacer de 2-4 heures ; (ii) diminution de l'absorption par l'orlistat (inhibiteur des lipases pancréatiques, diminue l'absorption des vitamines liposolubles) — espacer de 2 heures, supplementation en vitamines liposolubles recommandée ; (iii) diminution de l'absorption par les laxatifs huileux (paraffine) — espacer de 2 heures ; (iv) diminution de l'efficacité par les antibiotiques à large spectre prolongés (céphalosporines de 3e génération, pénicillines à large spectre) — élimination de la flore intestinale productrice de vitamine K2 (ménaquinone), surveillance de l'INR chez le patient sous AVK ; (v) diminution de l'efficacité par les antiépileptiques inducteurs enzymatiques (phénytoïne, carbamazépine, phénobarbital, primidone) — augmentation du métabolisme hépatique de la vitamine K1, doses supérieures nécessaires ; (vi) augmentation de l'efficacité par les macrolides (érythromycine, clarithromycine) et les antifongiques azolés (kétoconazole, itraconazole, voriconazole) — inhibition du métabolisme hépatique de la vitamine K1, surveillance de l'INR.</w:t>
      </w:r>
    </w:p>
    <w:p>
      <w:r/>
      <w:r>
        <w:rPr>
          <w:b/>
        </w:rPr>
        <w:t>Associations à risque</w:t>
      </w:r>
      <w:r>
        <w:t xml:space="preserve"> : (i) phytoménadione + AVK en cours : surveillance stricte de l'INR, ajustement des doses AVK à la baisse en cas de correction trop rapide, risque de thrombose ; (ii) phytoménadione + warfarine en induction (initiation) : interaction paradoxe (potentialisation transitoire de l'effet anticoagulant par inhibition compétitive de la γ-carboxylase par la warfarine, à haute dose d'attaque) — utiliser des doses d'attaque modérées et associer la vitamine K1 à faible dose (1-2 mg) en cas d'INR &gt; 4 ; (iii) phytoménadione + PCC : risque thromboembolique (le PCC est thrombogène), surveillance clinique et biologique (D-dimères, INR), éviter en cas d'antécédent thrombotique récent ; (iv) phytoménadione + acide tranexamique : potentialisation du risque thrombotique, à réserver aux hémorragies graves avec coagulopathie sévère ; (v) phytoménadione + inhibiteurs de la pompe à protons (oméprazole) à long terme : diminution possible de l'absorption de la vitamine K1 (cas publiés), surveillance INR chez le patient sous AVK.</w:t>
      </w:r>
    </w:p>
    <w:p>
      <w:pPr>
        <w:pStyle w:val="Heading3"/>
      </w:pPr>
      <w:r>
        <w:t>191.14.7 Grossesse et allaitement (données CRAT)</w:t>
      </w:r>
    </w:p>
    <w:p>
      <w:r/>
      <w:r>
        <w:rPr>
          <w:b/>
        </w:rPr>
        <w:t>Grossesse</w:t>
      </w:r>
      <w:r>
        <w:t xml:space="preserve"> : la phytoménadione traverse la barrière placentaire en raison de sa lipophilie et de son faible poids moléculaire (451 Da). Les données du CRAT et de l'OTIS indiquent que la phytoménadione n'est pas tératogène chez l'animal et qu'aucun cas de malformation n'a été rapporté chez la femme enceinte exposée. La phytoménadione est considérée comme compatible avec la grossesse, y compris en cas d'urgence vitale maternelle (hémorragie sous AVK). Les AVK sont contre-indiqués pendant la grossesse en raison de leur tératogénicité (embryofœtopathie à la warfarine : hypoplasie nasale, hypoplasie des phalanges, calcifications épiphysaires, anomalies neurodéveloppementales, avortement spontané). En cas de besoin d'anticoagulation pendant la grossesse (valve mécanique, fibrillation auriculaire avec embolie cérébrale récente), les héparines (HBPM : enoxaparine, daltéparine ; HNF) sont privilégiées (ne traversent pas la barrière placentaire). Le relais AVK-HBPM se fait en début de grossesse (avant 6 SA) et après l'accouchement (relais HBPM-AVK à J+15 ou J+30 selon le contexte). La phytoménadione maternelle n'est pas une contre-indication à la grossesse.</w:t>
      </w:r>
    </w:p>
    <w:p>
      <w:r>
        <w:t>Chez le nouveau-né, la phytoménadione est utilisée en prévention de la maladie hémorragique (1 mg IM à la naissance, recommandation universelle OMS). En cas de mère sous AVK, antiépileptiques inducteurs, anti-tuberculeux (rifampicine, isoniazide), ou traitement prolongé par céphalosporines à large spectre, la dose néonatale doit être augmentée (1-2 mg IM à J0, complétée par 1 mg IM à J7 et J28). Le nouveau-né de mère sous AVK à l'accouchement est à haut risque d'hémorragie néonatale (carence en facteurs vitamine-K-dépendants), justifiant l'administration systématique de phytoménadione IM à la naissance et une surveillance de l'INR néonatal.</w:t>
      </w:r>
    </w:p>
    <w:p>
      <w:r/>
      <w:r>
        <w:rPr>
          <w:b/>
        </w:rPr>
        <w:t>Allaitement</w:t>
      </w:r>
      <w:r>
        <w:t xml:space="preserve"> : la phytoménadione passe faiblement dans le lait maternel en raison de sa lipophilie et de sa captation hépatique préférentielle. La phytoménadione est considérée comme compatible avec l'allaitement, y compris en cas d'administration maternelle prolongée (relais AVK, traitement de la carence en vitamine K). L'allaitement peut être poursuivi sans restriction. Cependant, les AVK (warfarine) passent dans le lait maternel à très faible dose, et l'allaitement est classiquement contre-indiqué en cas de mère sous AVK (recommandation historique). Les recommandations récentes (CRAT 2020, Breastfeeding Network 2018) considèrent que l'allaitement est possible sous warfarine à dose thérapeutique standard (≤ 5-10 mg/j) avec surveillance de l'INR du nourrisson (ou de la mère si l'INR maternel est stable). L'acénocoumarol (Sintrom) et la fluindione (Préviscan) sont à éviter en cas d'allaitement (données limitées).</w:t>
      </w:r>
    </w:p>
    <w:p>
      <w:pPr>
        <w:pStyle w:val="Heading3"/>
      </w:pPr>
      <w:r>
        <w:t>191.14.8 Posologie et modes d'administration</w:t>
      </w:r>
    </w:p>
    <w:p>
      <w:r/>
      <w:r>
        <w:rPr>
          <w:b/>
        </w:rPr>
        <w:t>Posologie adulte (surdosage asymptomatique en AVK, INR &gt; 5)</w:t>
      </w:r>
      <w:r>
        <w:t xml:space="preserve"> : 1-2 mg per os, surveillance INR à H24. En cas de réponse insuffisante (INR toujours &gt; 5 à H24), administrer 1-2 mg per os supplémentaire. À éviter en cas de valve mécanique mitralique ou d'antécédent thrombotique récent (préférer l'arrêt simple de l'AVK avec surveillance INR tous les 2-3 jours).</w:t>
      </w:r>
    </w:p>
    <w:p>
      <w:r/>
      <w:r>
        <w:rPr>
          <w:b/>
        </w:rPr>
        <w:t>Posologie adulte (surdosage en AVK avec hémorragie mineure)</w:t>
      </w:r>
      <w:r>
        <w:t xml:space="preserve"> : 5-10 mg IV lent (1 mg/min maximum, dilué dans 50 mL de glucosé 5 %) ou IM, surveillance INR à H6, H12, H24. Répéter si INR &gt; 2,5 à H24.</w:t>
      </w:r>
    </w:p>
    <w:p>
      <w:r/>
      <w:r>
        <w:rPr>
          <w:b/>
        </w:rPr>
        <w:t>Posologie adulte (surdosage en AVK avec hémorragie grave — hémorragie cérébrale, digestive active, hématome compressif)</w:t>
      </w:r>
      <w:r>
        <w:t xml:space="preserve"> : association PCC (Octaplex 25-50 UI/kg IV en 5-10 minutes) + phytoménadione 10 mg IV lent (en 10 minutes). Surveillance INR à H30 minutes (cible INR &lt; 1,5), puis à H6, H12, H24. Répéter PCC si INR &gt; 1,5 à H30 minutes. Surveiller la thrombose (D-dimères, échographie Doppler des membres inférieurs).</w:t>
      </w:r>
    </w:p>
    <w:p>
      <w:r/>
      <w:r>
        <w:rPr>
          <w:b/>
        </w:rPr>
        <w:t>Posologie adulte (relais AVK avant chirurgie programmée)</w:t>
      </w:r>
      <w:r>
        <w:t xml:space="preserve"> : arrêt AVK à J-3 (acénocoumarol), J-4 (fluindione), J-5 (warfarine), relais par HBPM à dose curative (enoxaparine 100 UI/kg/12h SC ou daltéparine 100 UI/kg/12h SC). Surveillance INR à J-2, J-1, J0 (chirurgie si INR &lt; 1,5). Phytoménadione 1-2 mg per os si INR &gt; 1,5 à J-1.</w:t>
      </w:r>
    </w:p>
    <w:p>
      <w:r/>
      <w:r>
        <w:rPr>
          <w:b/>
        </w:rPr>
        <w:t>Posologie adulte (intoxication aux super-warfarines — raticides)</w:t>
      </w:r>
      <w:r>
        <w:t xml:space="preserve"> : 50-100 mg/j per os pendant plusieurs semaines à plusieurs mois (selon la demi-vie du raticide, jusqu'à 60 jours pour le brodifacoum). Surveillance INR prolongée (jusqu'à 6 mois après l'arrêt du traitement).</w:t>
      </w:r>
    </w:p>
    <w:p>
      <w:r/>
      <w:r>
        <w:rPr>
          <w:b/>
        </w:rPr>
        <w:t>Posologie pédiatrique (maladie hémorragique du nouveau-né)</w:t>
      </w:r>
      <w:r>
        <w:t xml:space="preserve"> : 1 mg IM (vastus lateralis) à la naissance (à H1 de vie), recommandation universelle OMS. Alternative orale : 2 mg per os à J0, J7, J30 (selon les recommandations CIPDP), mais moins efficace et nécessite une observance rigoureuse.</w:t>
      </w:r>
    </w:p>
    <w:p>
      <w:r/>
      <w:r>
        <w:rPr>
          <w:b/>
        </w:rPr>
        <w:t>Posologie pédiatrique (carence en vitamine K — cholestase, mucoviscidose)</w:t>
      </w:r>
      <w:r>
        <w:t xml:space="preserve"> : 1-2 mg/j per os, ajustement selon l'INR.</w:t>
      </w:r>
    </w:p>
    <w:p>
      <w:r/>
      <w:r>
        <w:rPr>
          <w:b/>
        </w:rPr>
        <w:t>Posologie (antidote des AVK chez l'enfant)</w:t>
      </w:r>
      <w:r>
        <w:t xml:space="preserve"> : 0,1-0,5 mg/kg IV lent ou IM, surveillance INR.</w:t>
      </w:r>
    </w:p>
    <w:p>
      <w:pPr>
        <w:pStyle w:val="Heading3"/>
      </w:pPr>
      <w:r>
        <w:t>191.14.9 Formes galéniques disponibles</w:t>
      </w:r>
    </w:p>
    <w:p>
      <w:r>
        <w:t>La phytoménadione est disponible en Algérie sous une seule forme galénique active : solution buvable et injectable IV ou IM, dosée à 10 mg/mL, en boîtes de 5 ampoules et de 50 ampoules de 1 mL, commercialisée sous le nom de Razidione K1 (Frater Razes). Cette formulation polyvalente (buvable, IM, IV) couvre la majorité des besoins cliniques hospitaliers (antagonisation des AVK en urgence, relais hémorragique, prévention de la maladie hémorragique du nouveau-né).</w:t>
      </w:r>
    </w:p>
    <w:p>
      <w:r>
        <w:t>Les formes historiques internationales, toutes retirées du marché algérien, incluent : (i) Konakion MM (Hoffmann-La Roche) en solution injectable IV 10 mg/mL, formulation en mixed micelles (huile de soja, lécithine d'œuf, glycocholate, acide chlorhydrique) à risque anaphylactique moindre que la formulation classique en crémophor EL ; (ii) Konakion (Roche) en comprimés enrobés à croquer 10 mg, adapté à la forme orale ; (iii) Vitamine K1 Roche en émulsion buvable en gouttes 20 mg/mL (1 goutte = 0,5 mg), adaptée à la pédiatrie et au nourrisson ; (iv) Weravit K1 (Weimer Pharma) en solution injectable 10 mg/mL ; (v) Phytoménadine (Biologici Italia) en solution injectable IM-IV 10 mg/mL. Aucune forme orale pure (comprimés 5 ou 10 mg, gouttes 20 mg/mL) n'est actuellement disponible en Algérie, ce qui complique la pratique du traitement oral prolongé en cas d'intoxication aux super-warfarines.</w:t>
      </w:r>
    </w:p>
    <w:p>
      <w:r>
        <w:t>La conservation de la solution injectable se fait à température ambiante (15-25 °C), à l'abri de la lumière (la phytoménadione est photosensible, dégradation en chlorophylle et dérivés inactifs), avec une péremption généralement de 3 ans. La solution diluée (dans glucosé 5 % ou NaCl 0,9 %) est stable 24 heures à température ambiante, à l'abri de la lumière.</w:t>
      </w:r>
    </w:p>
    <w:p>
      <w:pPr>
        <w:pStyle w:val="Heading3"/>
      </w:pPr>
      <w:r>
        <w:t>191.14.10 Conseils au patient et éducation thérapeutique</w:t>
      </w:r>
    </w:p>
    <w:p>
      <w:r>
        <w:t>La phytoménadione administrée en contexte d'urgence hémorragique (sous AVK) est généralement administrée par un professionnel de santé en milieu hospitalier. L'éducation thérapeutique porte principalement sur les informations données au patient et à son entourage, et sur la prévention de la récidive du surdosage AVK.</w:t>
      </w:r>
    </w:p>
    <w:p>
      <w:r/>
      <w:r>
        <w:rPr>
          <w:b/>
        </w:rPr>
        <w:t>Conseils aux patients sous AVK au long cours</w:t>
      </w:r>
      <w:r>
        <w:t xml:space="preserve"> : (i) surveiller l'INR régulièrement (toutes les 4 semaines en cas de stabilité, toutes les 2 semaines en cas d'instabilité, hebdomadaire en cas de changement de dose ou d'association médicamenteuse) ; (ii) respecter les cibles d'INR selon l'indication (INR 2-3 pour la fibrillation auriculaire non valvulaire, INR 2,5-3,5 pour la valve mécanique mitralique) ; (iii) ne jamais modifier la dose d'AVK sans avis médical ; (iv) signaler tout saignement anormal (épistaxis, gingivorragies, hématomes, sang dans les urines ou les selles, règles abondantes) au médecin traitant ; (v) éviter les aliments riches en vitamine K en quantité variable (choux, épinards, brocolis, foie, avocat) — l'apport doit être régulier et non fluctuant ; (vi) éviter l'alcool (potentialisation de l'effet anticoagulant) ; (vii) signaler tout nouveau médicament (interactions nombreuses : antibiotiques, AINS, antiépileptiques, antifongiques, anti-ulcéreux) ; (viii) porter sur soi une carte ou un bracelet mentionnant le traitement AVK en cours (en cas d'urgence médicale).</w:t>
      </w:r>
    </w:p>
    <w:p>
      <w:r/>
      <w:r>
        <w:rPr>
          <w:b/>
        </w:rPr>
        <w:t>Conseils en cas de surdosage AVK (INR &gt; 5)</w:t>
      </w:r>
      <w:r>
        <w:t xml:space="preserve"> : (i) consulter en urgence si signes hémorragiques (épistaxis, hématomes, sang dans les urines ou les selles) ; (ii) ne pas arrêter brutalement l'AVK sans avis médical (risque de thrombose par correction trop rapide) ; (iii) surveillance INR à H24 après administration de vitamine K1 ; (iv) reprise de l'AVK à dose réduite après correction de l'INR.</w:t>
      </w:r>
    </w:p>
    <w:p>
      <w:r/>
      <w:r>
        <w:rPr>
          <w:b/>
        </w:rPr>
        <w:t>Conseils aux mères (prévention de la maladie hémorragique du nouveau-né)</w:t>
      </w:r>
      <w:r>
        <w:t xml:space="preserve"> : (i) la vitamine K1 (1 mg IM à la naissance) est recommandée systématiquement chez tous les nouveau-nés (recommandation universelle OMS) ; (ii) en cas de refus parental de la voie IM (rare), alternative orale (2 mg per os à J0, J7, J30 selon les recommandations CIPDP) — mais moins efficace, observance rigoureuse indispensable ; (iii) en cas de mère sous AVK, antiépileptiques, ou antibiotiques prolongés, la dose néonatale doit être augmentée et complétée (1-2 mg IM à J0, J7, J28).</w:t>
      </w:r>
    </w:p>
    <w:p>
      <w:pPr>
        <w:pStyle w:val="Heading3"/>
      </w:pPr>
      <w:r>
        <w:t>191.14.11 Pièges au comptoir (règles d'or)</w:t>
      </w:r>
    </w:p>
    <w:p>
      <w:pPr>
        <w:pStyle w:val="ListNumber"/>
      </w:pPr>
      <w:r/>
      <w:r>
        <w:rPr>
          <w:b/>
        </w:rPr>
        <w:t>Règle d'or n°1 : voie IM préférée à la voie IV.</w:t>
      </w:r>
      <w:r>
        <w:t xml:space="preserve"> La voie IV expose à un risque anaphylactique rare mais grave (crémophor EL). Voie IM en cas d'hémorragie mineure, voie IV réservée à l'hémorragie grave (en association avec le PCC) ou à la chirurgie urgente.</w:t>
      </w:r>
    </w:p>
    <w:p>
      <w:pPr>
        <w:pStyle w:val="ListNumber"/>
      </w:pPr>
      <w:r/>
      <w:r>
        <w:rPr>
          <w:b/>
        </w:rPr>
        <w:t>Règle d'or n°2 : perfusion IV lente (1 mg/min maximum).</w:t>
      </w:r>
      <w:r>
        <w:t xml:space="preserve"> Diluée dans 50 mL de glucosé 5 %, sous surveillance médicale continue, avec adrénaline et matériel de réanimation disponibles.</w:t>
      </w:r>
    </w:p>
    <w:p>
      <w:pPr>
        <w:pStyle w:val="ListNumber"/>
      </w:pPr>
      <w:r/>
      <w:r>
        <w:rPr>
          <w:b/>
        </w:rPr>
        <w:t>Règle d'or n°3 : surveillance INR stricte.</w:t>
      </w:r>
      <w:r>
        <w:t xml:space="preserve"> H30 minutes (après PCC + vit K IV en cas d'hémorragie grave), H6, H12, H24 (après vit K IV ou IM), H24, H48, H72 (après vit K orale).</w:t>
      </w:r>
    </w:p>
    <w:p>
      <w:pPr>
        <w:pStyle w:val="ListNumber"/>
      </w:pPr>
      <w:r/>
      <w:r>
        <w:rPr>
          <w:b/>
        </w:rPr>
        <w:t>Règle d'or n°4 : hémorragie grave = association PCC + vitamine K.</w:t>
      </w:r>
      <w:r>
        <w:t xml:space="preserve"> Octaplex 25-50 UI/kg IV + phytoménadione 10 mg IV lent. Surveillance INR à H30 minutes (cible INR &lt; 1,5).</w:t>
      </w:r>
    </w:p>
    <w:p>
      <w:pPr>
        <w:pStyle w:val="ListNumber"/>
      </w:pPr>
      <w:r/>
      <w:r>
        <w:rPr>
          <w:b/>
        </w:rPr>
        <w:t>Règle d'or n°5 : pas de correction trop rapide chez le patient à haut risque thrombotique.</w:t>
      </w:r>
      <w:r>
        <w:t xml:space="preserve"> Valve mécanique mitralique, embolie pulmonaire récente, syndrome des antiphospholipides : prudence, doses prudentes, relais HBPM si INR &lt; 2,0.</w:t>
      </w:r>
    </w:p>
    <w:p>
      <w:pPr>
        <w:pStyle w:val="ListNumber"/>
      </w:pPr>
      <w:r/>
      <w:r>
        <w:rPr>
          <w:b/>
        </w:rPr>
        <w:t>Règle d'or n°6 : maladie hémorragique du nouveau-né = 1 mg IM à la naissance.</w:t>
      </w:r>
      <w:r>
        <w:t xml:space="preserve"> Recommandation universelle OMS. Alternative orale (2 mg à J0, J7, J30) moins efficace, observance rigoureuse indispensable.</w:t>
      </w:r>
    </w:p>
    <w:p>
      <w:pPr>
        <w:pStyle w:val="ListNumber"/>
      </w:pPr>
      <w:r/>
      <w:r>
        <w:rPr>
          <w:b/>
        </w:rPr>
        <w:t>Règle d'or n°7 : intoxication aux super-warfarines (raticides) = traitement prolongé.</w:t>
      </w:r>
      <w:r>
        <w:t xml:space="preserve"> Doses massives 50-100 mg/j per os pendant plusieurs semaines à plusieurs mois (jusqu'à 6 mois pour le brodifacoum). Surveillance INR prolongée.</w:t>
      </w:r>
    </w:p>
    <w:p>
      <w:pPr>
        <w:pStyle w:val="ListNumber"/>
      </w:pPr>
      <w:r/>
      <w:r>
        <w:rPr>
          <w:b/>
        </w:rPr>
        <w:t>Règle d'or n°8 : aliments riches en vitamine K.</w:t>
      </w:r>
      <w:r>
        <w:t xml:space="preserve"> Apport régulier, non fluctuant (choux, épinards, brocolis, foie). Ne pas supprimer, mais stabiliser la consommation.</w:t>
      </w:r>
    </w:p>
    <w:p>
      <w:pPr>
        <w:pStyle w:val="ListNumber"/>
      </w:pPr>
      <w:r/>
      <w:r>
        <w:rPr>
          <w:b/>
        </w:rPr>
        <w:t>Règle d'or n°9 : nombreuses interactions AVK.</w:t>
      </w:r>
      <w:r>
        <w:t xml:space="preserve"> Antibiotiques, AINS, antiépileptiques, antifongiques, anti-ulcéreux. Surveillance INR à toute modification thérapeutique.</w:t>
      </w:r>
    </w:p>
    <w:p>
      <w:pPr>
        <w:pStyle w:val="ListNumber"/>
      </w:pPr>
      <w:r/>
      <w:r>
        <w:rPr>
          <w:b/>
        </w:rPr>
        <w:t>Règle d'or n°10 : grossesse = AVK contre-indiquée.</w:t>
      </w:r>
      <w:r>
        <w:t xml:space="preserve"> Embryofœtopathie à la warfarine (hypoplasie nasale, hypoplasie des phalanges, calcifications épiphysaires). Préférer HBPM (ne traversent pas la barrière placentaire).</w:t>
      </w:r>
    </w:p>
    <w:p>
      <w:pPr>
        <w:pStyle w:val="ListNumber"/>
      </w:pPr>
      <w:r/>
      <w:r>
        <w:rPr>
          <w:b/>
        </w:rPr>
        <w:t>Règle d'or n°11 : allaitement sous warfarine = possible sous surveillance.</w:t>
      </w:r>
      <w:r>
        <w:t xml:space="preserve"> À dose thérapeutique standard (≤ 5-10 mg/j), avec surveillance de l'INR du nourrisson. Acénocoumarol et fluindione à éviter.</w:t>
      </w:r>
    </w:p>
    <w:p>
      <w:pPr>
        <w:pStyle w:val="ListNumber"/>
      </w:pPr>
      <w:r/>
      <w:r>
        <w:rPr>
          <w:b/>
        </w:rPr>
        <w:t>Règle d'or n°12 : traçabilité absolue (Liste I).</w:t>
      </w:r>
      <w:r>
        <w:t xml:space="preserve"> Razidione K1 en Liste I, prescription obligatoire, stockage en armoire sécurisée, traçabilité des ampoules, comptage mensuel.</w:t>
      </w:r>
    </w:p>
    <w:p>
      <w:pPr>
        <w:pStyle w:val="Heading2"/>
      </w:pPr>
      <w:r>
        <w:t>191.15 DCI 5 : Complexe prothrombinique (PCC) (Antidote d'urgence des AVK)</w:t>
      </w:r>
    </w:p>
    <w:p>
      <w:pPr>
        <w:pStyle w:val="Heading3"/>
      </w:pPr>
      <w:r>
        <w:t>191.15.1 Liste des catégories thérapeutiques et statut réglementaire</w:t>
      </w:r>
    </w:p>
    <w:p>
      <w:r>
        <w:t>Le complexe prothrombinique concentré (PCC), préparation purifiée des facteurs vitamine-K-dépendants II, VII, IX et X, complétée des protéines C et S et parfois de l'héparine, appartient à la classe pharmacologique des hémostatiques (code ATC : B02BD — facteurs de coagulation sanguine ; B02BD01 — facteur IX ; B02BD02 — complexe prothrombinique ; B02BD05 — complexe prothrombinique humain). Il est inscrit sur la Liste I des substances vénéneuses en Algérie. Le PCC figure sur la liste des médicaments essentiels de l'OMS (WHO Model List of Essential Medicines, 22ᵉ liste, 2023), dans la section « Médicaments hémostatiques ».</w:t>
      </w:r>
    </w:p>
    <w:p>
      <w:r>
        <w:t>Le PCC est classé comme médicament d'urgence vitale en cas d'hémorragie grave sous antivitamines K (AVK). Il doit être disponible à tout moment dans les services d'urgences, de réanimation, d'hématologie clinique, de neurochirurgie (hémorragie cérébrale sous AVK), de chirurgie cardiovasculaire, et de pharmacies hospitalières (avec traçabilité des flacons). La supériorité du PCC sur le plasma frais congelé (PFC) en termes de rapidité de correction de l'INR (10-30 minutes contre 30-60 minutes), de volume perfusé (20-40 mL contre 1 000-1 500 mL), et de tolérance infectieuse (PCC inactivé par solvant-détergent ou nanofiltration) en fait le traitement de référence de l'urgence hémorragique sous AVK. Les recommandations internationales (BTS 2011, ACCP 2016, ESO 2014, GFHT 2018) recommandent le PCC en première ligne de l'antagonisation d'urgence des AVK en cas d'hémorragie grave.</w:t>
      </w:r>
    </w:p>
    <w:p>
      <w:pPr>
        <w:pStyle w:val="Heading3"/>
      </w:pPr>
      <w:r>
        <w:t>191.15.2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OCTAPLEX</w:t>
            </w:r>
          </w:p>
        </w:tc>
        <w:tc>
          <w:tcPr>
            <w:tcW w:type="dxa" w:w="1559"/>
          </w:tcPr>
          <w:p>
            <w:r>
              <w:rPr>
                <w:sz w:val="20"/>
              </w:rPr>
              <w:t>OCTAPHARMA PHARMAZEUTIKA PRODUKTIONSGES.M.B.H.</w:t>
            </w:r>
          </w:p>
        </w:tc>
        <w:tc>
          <w:tcPr>
            <w:tcW w:type="dxa" w:w="1559"/>
          </w:tcPr>
          <w:p>
            <w:r>
              <w:rPr>
                <w:sz w:val="20"/>
              </w:rPr>
              <w:t>Poudre et solvant pour solution pour perfusion 500 UI</w:t>
            </w:r>
          </w:p>
        </w:tc>
        <w:tc>
          <w:tcPr>
            <w:tcW w:type="dxa" w:w="1559"/>
          </w:tcPr>
          <w:p>
            <w:r>
              <w:rPr>
                <w:sz w:val="20"/>
              </w:rPr>
              <w:t>Boîte de 1 flacon de poudre + 1 flacon de solvant de 20 mL</w:t>
            </w:r>
          </w:p>
        </w:tc>
        <w:tc>
          <w:tcPr>
            <w:tcW w:type="dxa" w:w="1559"/>
          </w:tcPr>
          <w:p>
            <w:r>
              <w:rPr>
                <w:sz w:val="20"/>
              </w:rPr>
              <w:t>Liste I</w:t>
            </w:r>
          </w:p>
        </w:tc>
        <w:tc>
          <w:tcPr>
            <w:tcW w:type="dxa" w:w="1559"/>
          </w:tcPr>
          <w:p>
            <w:r>
              <w:rPr>
                <w:sz w:val="20"/>
              </w:rPr>
              <w:t>ACTIF</w:t>
            </w:r>
          </w:p>
        </w:tc>
      </w:tr>
    </w:tbl>
    <w:p/>
    <w:p>
      <w:r>
        <w:t>Le PCC reste disponible en Algérie sous une seule spécialité active : Octaplex (Octapharma Pharmazeutika Produktionsges.m.b.H., Vienne, Autriche), en poudre et solvant pour solution pour perfusion, dosée à 500 UI (en facteur IX), en boîtes de 1 flacon de poudre + 1 flacon de solvant de 20 mL. Cette production internationale importée couvre la totalité des besoins nationaux pour l'antagonisation d'urgence des AVK en cas d'hémorragie grave.</w:t>
      </w:r>
    </w:p>
    <w:p>
      <w:r>
        <w:t>Aucune alternative nationale ou régionale n'est actuellement disponible sur le marché algérien pour cette classe d'antidote, ce qui constitue une vulnérabilité stratégique pour un médicament d'urgence vitale. Les formes internationales concurrentes, non disponibles en Algérie, incluent : (i) Beriplex P/N 500 (CSL Behring), PCC 4 facteurs commercialisé en Europe et Amérique du Nord ; (ii) Kcentra (CSL Behring), PCC 4 facteurs approuvé par la FDA en 2013 (avec l'héparine, contre-indiqué en cas d'allergie à l'héparine) ; (iii) Confidex (Biotest), PCC 4 facteurs commercialisé en Europe ; (iv) Prothromplex T (Baxter, retiré du marché en raison de risque thrombotique) ; (v) Cofact (Sanquin, Pays-Bas), PCC 4 facteurs. Aucune production locale algérienne n'est actuellement disponible, ce qui impose une sécurisation rigoureuse des stocks hospitaliers et une traçabilité absolue des flacons.</w:t>
      </w:r>
    </w:p>
    <w:p>
      <w:pPr>
        <w:pStyle w:val="Heading3"/>
      </w:pPr>
      <w:r>
        <w:t>191.15.3 Mécanisme d'action moléculaire et cellulaire</w:t>
      </w:r>
    </w:p>
    <w:p>
      <w:r>
        <w:t>Les antivitamines K (AVK : warfarine, acénocoumarol, fluindione, phenprocoumone) inhibent la vitamine K époxyde réductase (VKORC1), empêchant la régénération de la vitamine K hydroquinone active, cofacteur essentiel de la γ-carboxylase hépatique qui carboxyle les résidus glutamyl des facteurs vitamine-K-dépendants de la coagulation (II, VII, IX, X, protéines C et S). L'inhibition des AVK induit un déficit fonctionnel en facteurs vitamine-K-dépendants, responsable de l'allongement de l'INR et du saignement. Le PCC apporte directement les facteurs vitamine-K-dépendants (II, VII, IX, X) sous forme purifiée et concentrée, immédiatement disponibles pour la coagulation sans dépendre de la synthèse hépatique (qui nécessite 6-12 h pour la vitamine K1 seule). Cette rapidité d'action en fait le traitement de choix de l'hémorragie grave sous AVK.</w:t>
      </w:r>
    </w:p>
    <w:p>
      <w:r>
        <w:t>Au plan moléculaire, le PCC restaure le complexe d'activation de la coagulation (tenase : IXa-VIIIa-Ca2-phospholipides ; prothrombinase : Xa-Va-Ca2-phospholipides), permettant la conversion rapide de la prothrombine (facteur II) en thrombine (facteur IIa), puis de fibrinogène en fibrine. La cinétique d'action est immédiate (correction de l'INR en 10-30 minutes après perfusion), avec un pic d'efficacité à 30 minutes et une durée d'action de 6-12 heures (selon les demi-vies des facteurs : facteur VII 6 h, facteur IX 24 h, facteur X 48 h, facteur II 72 h). La correction de l'INR par le PCC ne dispense pas de l'administration concomitante de vitamine K1 (10 mg IV lent), qui assure la synthèse de novo des facteurs sur la durée (24-48 h), tandis que le PCC assure la correction immédiate. L'absence de vitamine K1 concomitante expose à une recrudescence de l'INR à H12-H24 (réactivation de l'effet AVK persistant après disparition des facteurs du PCC).</w:t>
      </w:r>
    </w:p>
    <w:p>
      <w:r>
        <w:t>Le PCC commercialisé sous le nom d'Octaplex est un PCC 4 facteurs (II, VII, IX, X) contenant également les protéines C et S (anticoagulantes naturelles, qui réduisent le risque thrombotique), de l'héparine (prévention de l'activation de la coagulation pendant la perfusion), et de l'antithrombine III (inhibiteur des sérines protéases). Le ratio des facteurs est équilibré (II : VII : IX : X ≈ 1 : 1 : 1 : 1) pour une efficacité optimale. Octaplex est inactivé par solvant-détergent (SD) et nanofiltration (20 nm), garantissant une sécurité virale maximale (VIH, VHB, VHC, parvovirus B19, VHA). Aucun cas de transmission virale n'a été rapporté avec Octaplex depuis sa commercialisation en 2003.</w:t>
      </w:r>
    </w:p>
    <w:p>
      <w:r>
        <w:t>Au plan cellulaire, le PCC restaure l'hémostase en apportant les facteurs fonctionnels au niveau des sites de lésion endothéliale, permettant la formation du caillot de fibrine et l'arrêt du saignement. Le PCC n'agit pas sur les autres déficits de la coagulation (carence en facteur V, hypofibrinogénémie, thrombopénie, déficit en facteur XIII, déficit en von Willebrand), ce qui explique que l'antagonisation des AVK ne restaure pas une coagulation normale si d'autres déficits coexistent (carence en facteur V par insuffisance hépatique, hypofibrinogénémie par consommation massive dans les CIVD).</w:t>
      </w:r>
    </w:p>
    <w:p>
      <w:pPr>
        <w:pStyle w:val="Heading3"/>
      </w:pPr>
      <w:r>
        <w:t>191.15.4 Profil pharmacocinétique, indications, contre-indications, effets indésirables</w:t>
      </w:r>
    </w:p>
    <w:p>
      <w:r/>
      <w:r>
        <w:rPr>
          <w:b/>
        </w:rPr>
        <w:t>Pharmacocinétique</w:t>
      </w:r>
      <w:r>
        <w:t xml:space="preserve"> : après perfusion IV, la concentration plasmatique des facteurs II, VII, IX et X atteint un pic en 5-10 minutes, avec une efficacité maximale à 30 minutes (correction de l'INR). La demi-vie des facteurs est hétérogène : facteur VII 6 heures (le plus court, responsable de la correction initiale de l'INR), facteur IX 24 heures, facteur X 48 heures, facteur II 72 heures (le plus long, responsable de la persistance de la correction). Le volume de distribution est limité au plasma (Vd ≈ 0,05-0,1 L/kg), avec une fixation protéique importante (&gt; 90 %). La clairance est essentiellement hépatique (métabolisme et captation par les récepteurs hépatiques) et par consommation sur les sites de lésion endothéliale.</w:t>
      </w:r>
    </w:p>
    <w:p>
      <w:r/>
      <w:r>
        <w:rPr>
          <w:b/>
        </w:rPr>
        <w:t>Indications</w:t>
      </w:r>
      <w:r>
        <w:t xml:space="preserve"> : (i) antidote d'urgence de l'hémorragie grave sous AVK : hémorragie cérébrale (hématome intraparenchymateux, hématome sous-dural, hématome extradural), hémorragie digestive active (ulcère hémorragique, varice œsophagienne rompue), hématome compressif (hématome du psoas, hématome de la paroi abdominale, hématome spinal épidural), hémorragie rétropéritonéale, hémorragie peropératoire en urgence chez un patient sous AVK ; (ii) antagonisation d'urgence des AVK avant chirurgie urgente non programmable (chirurgie cardiaque, chirurgie vasculaire, chirurgie digestive, neurochirurgie) ; (iii) antidote du surdosage massif en AVK avec hémorragie grave (INR &gt; 10, ingestion massive de warfarine ou de super-warfarines raticides) ; (iv) traitement de la carence isolée en facteur II, VII, IX ou X (hémophilie B modérée, déficit congénital en prothrombine, en facteur VII, en facteur X) en alternative au facteur recombinant spécifique ou au PFC ; (v) traitement de la coagulopathie dilutionnelle massive après transfusion de plus de 1 masse sanguine (indication controversée, en alternative au PFC et au fibrinogène). Le PCC n'est pas indiqué en cas d'hémorragie sans AVK en cours (sauf carence spécifique en facteur vitamine-K-dépendant), en cas d'arrêt cardiaque réanimé sans saignement, ou en cas d'INR &lt; 1,5 (sauf chirurgie urgente à haut risque hémorragique).</w:t>
      </w:r>
    </w:p>
    <w:p>
      <w:r/>
      <w:r>
        <w:rPr>
          <w:b/>
        </w:rPr>
        <w:t>Contre-indications</w:t>
      </w:r>
      <w:r>
        <w:t xml:space="preserve"> : (i) hypersensibilité connue à l'un des composants (protéines humaines, héparine, traces d'IgA chez les patients déficitaires en IgA avec anticorps anti-IgA) ; (ii) thrombose récente (infarctus du myocarde, AVC ischémique, embolie pulmonaire, thrombose veineuse profonde) en phase aiguë (&lt; 1 mois) — contre-indication relative, à discuter selon le rapport bénéfice/risque en cas d'hémorragie vitale ; (iii) coagulation intravasculaire disséminée (CIVD) décompensée — le PCC peut aggraver la consommation des facteurs et la thrombose (administration discutée en cas de CIVD associée à un saignement grave, sous surveillance stricte et association à l'héparine) ; (iv) patients sous héparine à dose anticoagulante (HBPM curative, HNF curative) — risque de surdosage anticoagulant paradoxal (les PCC contenant de l'héparine, vérifier les doses) ; (v) insuffisance hépatique sévère (le PCC ne restaure pas la synthèse hépatique des facteurs si l'hépatocyte est défaillant, et la perfusion peut aggraver la CIVD hépatique) ; (vi) prudence en cas d'allaitement (à éviter, peu de données sur le passage dans le lait maternel) ; (vii) prudence en cas de grossesse (compatible en urgence vitale, surveillance fœtale).</w:t>
      </w:r>
    </w:p>
    <w:p>
      <w:r/>
      <w:r>
        <w:rPr>
          <w:b/>
        </w:rPr>
        <w:t>Effets indésirables</w:t>
      </w:r>
      <w:r>
        <w:t xml:space="preserve"> : le profil de tolérance du PCC est dominé par le risque thromboembolique : (i) thrombose veineuse profonde (TVP), embolie pulmonaire (EP), incidence 2-7 % selon les séries, particulièrement chez les patients âgés, les patients aux antécédents thrombotiques, les patients en post-opératoire ; (ii) infarctus du myocarde, AVC ischémique, ischemie mésentérique, plus rarement (incidence 1-2 %) ; (iii) CIVD de consommation (rare, surtout en cas de surdosage massif) ; (iv) réactions d'hypersensibilité (flush, urticaire, prurit, hypotension, bronchospasme, anaphylaxie rare) ; (v) fièvre, frissons, céphalées (réactions infra-fébriles aux protéines étrangères) ; (vi) héparine-induite thrombopénie (HIT) en raison de la présence d'héparine dans la formulation (rare, à signaler en cas de thrombopénie précoce &lt; 100 G/L dans les 5-14 jours après perfusion) ; (vii) transmission virale (exceptionnelle, aucun cas rapporté avec Octaplex depuis 2003 grâce à la double inactivation solvant-détergent et nanofiltration) ; (viii) hyperkaliémie modeste (en raison de la présence de potassium dans la formulation, à surveiller chez l'insuffisant rénal) ; (ix) surcharge volémique (en cas de perfusion rapide, à surveiller chez l'insuffisant cardiaque).</w:t>
      </w:r>
    </w:p>
    <w:p>
      <w:pPr>
        <w:pStyle w:val="Heading3"/>
      </w:pPr>
      <w:r>
        <w:t>191.15.5 Prévention et gestion des effets indésirables</w:t>
      </w:r>
    </w:p>
    <w:p>
      <w:r>
        <w:t>La prévention des effets indésirables du PCC repose sur la stricte évaluation du rapport bénéfice/risque, l'administration concomitante de vitamine K1, la surveillance de l'INR et de la thrombose.</w:t>
      </w:r>
    </w:p>
    <w:p>
      <w:r/>
      <w:r>
        <w:rPr>
          <w:b/>
        </w:rPr>
        <w:t>Évaluation du rapport bénéfice/risque</w:t>
      </w:r>
      <w:r>
        <w:t xml:space="preserve"> : le PCC doit être réservé aux hémorragies graves sous AVK (hémorragie cérébrale, hématome compressif, hémorragie digestive active, choc hémorragique). En cas d'hémorragie mineure (épistaxis, gingivorragies, hématome sous-cutané), privilégier la vitamine K1 seule (5-10 mg IV ou IM). En cas de surdosage asymptomatique (INR &gt; 5 sans hémorragie), arrêt de l'AVK et vitamine K1 orale (1-2 mg) suffisent. L'indication du PCC doit être validée par un médecin expérimenté (urgentiste, réanimateur, hématologue, neurochirurgien) en raison du risque thrombotique non négligeable.</w:t>
      </w:r>
    </w:p>
    <w:p>
      <w:r/>
      <w:r>
        <w:rPr>
          <w:b/>
        </w:rPr>
        <w:t>Administration concomitante de vitamine K1</w:t>
      </w:r>
      <w:r>
        <w:t xml:space="preserve"> : le PCC doit être systématiquement associé à la phytoménadione 10 mg IV lent (en 10 minutes, dilué dans 50 mL de glucosé 5 %). La vitamine K1 assure la synthèse de novo des facteurs vitamine-K-dépendants sur la durée (24-48 h), tandis que le PCC assure la correction immédiate (10-30 minutes). L'absence de vitamine K1 concomitante expose à une recrudescence de l'INR à H12-H24 (réactivation de l'effet AVK persistant après disparition des facteurs du PCC). La vitamine K1 doit être administrée idéalement juste après le PCC (ou simultanément sur une autre voie veineuse).</w:t>
      </w:r>
    </w:p>
    <w:p>
      <w:r/>
      <w:r>
        <w:rPr>
          <w:b/>
        </w:rPr>
        <w:t>Surveillance de l'INR</w:t>
      </w:r>
      <w:r>
        <w:t xml:space="preserve"> : sous PCC + vitamine K1, surveiller l'INR : (i) à H30 minutes après la perfusion de PCC (cible INR &lt; 1,5 en cas d'hémorragie grave ; si INR &gt; 1,5, répéter la perfusion de PCC à la demi-dose 25 UI/kg) ; (ii) à H6, H12, H24 ; (iii) surveillance prolongée jusqu'à stabilisation de l'INR et arrêt du saignement. Surveiller également le TP, le TCA, le fibrinogène, la numération plaquettaire, les D-dimères (élévation = signe de thrombose ou de CIVD), la créatininémie, les transaminases, l'ionogramme (hyperkaliémie possible).</w:t>
      </w:r>
    </w:p>
    <w:p>
      <w:r/>
      <w:r>
        <w:rPr>
          <w:b/>
        </w:rPr>
        <w:t>Surveillance de la thrombose</w:t>
      </w:r>
      <w:r>
        <w:t xml:space="preserve"> : sous PCC, surveiller cliniquement (douleur molletaire, dyspnée, douleur thoracique, déficit neurologique, douleur abdominale) et biologiquement (D-dimères) la survenue d'une thrombose veineuse ou artérielle. En cas de thrombose sous PCC, arrêter le PCC, discuter l'anticoagulation (HBPM, HNF, AOD) selon le contexte, et traiter la thrombose. La durée de surveillance est de 7-14 jours (période à risque thrombotique maximal). En cas d'antécédent thrombotique récent (&lt; 1 mois), discuter le rapport bénéfice/risque du PCC et privilégier l'alternative PFC + vitamine K1 si possible.</w:t>
      </w:r>
    </w:p>
    <w:p>
      <w:r/>
      <w:r>
        <w:rPr>
          <w:b/>
        </w:rPr>
        <w:t>Prévention de l'hypersensibilité</w:t>
      </w:r>
      <w:r>
        <w:t xml:space="preserve"> : en cas d'antécédent d'allergie aux protéines humaines ou de déficit en IgA avec anticorps anti-IgA, surveiller étroitement la perfusion et prévoir du matériel de réanimation (adrénaline, antihistaminiques, corticoïdes). En cas d'allergie à l'héparine (HIT confirmée), préférer un PCC sans héparine (Octaplex sans héparine, non disponible en Algérie) ou alternative (PFC + vitamine K1). En cas d'allergie sévère aux protéines humaines, alternative : facteur VII recombinant (rFVIIa, NovoSeven, non disponible en Algérie pour cette indication).</w:t>
      </w:r>
    </w:p>
    <w:p>
      <w:r/>
      <w:r>
        <w:rPr>
          <w:b/>
        </w:rPr>
        <w:t>Adaptation posologique</w:t>
      </w:r>
      <w:r>
        <w:t xml:space="preserve"> : la dose de PCC est calculée en fonction du poids du patient, de l'INR initial, et de la cible d'INR (généralement INR &lt; 1,5). La dose standard est de 25-50 UI/kg IV en 5-10 minutes (maximum 3 000 UI par dose, soit 6 flacons de 500 UI), à adapter selon l'INR. Pour un INR 2-4 : 25 UI/kg ; pour un INR 4-6 : 35 UI/kg ; pour un INR &gt; 6 : 50 UI/kg. En cas d'échec (INR &gt; 1,5 à H30 minutes), répéter la perfusion de PCC à la demi-dose 25 UI/kg. En cas d'hémorragie cataclysmique avec choc hémorragique, perfusion initiale de 50 UI/kg, surveillance continue, association à d'autres hémostatiques (acide tranexamique 1 g IV, fibrinogène si &lt; 1,5 g/L).</w:t>
      </w:r>
    </w:p>
    <w:p>
      <w:pPr>
        <w:pStyle w:val="Heading3"/>
      </w:pPr>
      <w:r>
        <w:t>191.15.6 Interactions médicamenteuses</w:t>
      </w:r>
    </w:p>
    <w:p>
      <w:r>
        <w:t>Le PCC présente plusieurs interactions médicamenteuses à connaître :</w:t>
      </w:r>
    </w:p>
    <w:p>
      <w:r/>
      <w:r>
        <w:rPr>
          <w:b/>
        </w:rPr>
        <w:t>Interactions pharmacodynamiques</w:t>
      </w:r>
      <w:r>
        <w:t xml:space="preserve"> : (i) antagonisation de l'effet anticoagulant des AVK (warfarine, acénocoumarol, fluindione, phenprocoumone) — effet antidote recherché ; (ii) antagonisation de l'effet anticoagulant des raticides anticoagulants (super-warfarines) à demi-vie très prolongée — mais traitement prolongé nécessaire (plusieurs semaines) ; (iii) potentialisation de l'effet des autres hémostatiques (acide tranexamique, acide aminocaproïque, fibrinogène, facteur VII recombinant) — risque thrombotique accru ; (iv) potentialisation de l'effet des procoagulants (acide tranexamique, desmopressine) — risque thrombotique accru ; (v) interaction avec les anticoagulants oraux directs (AOD : dabigatran, rivaroxaban, apixaban, edoxaban) — PCC partiellement efficace sur les AOD anti-Xa (rivaroxaban, apixaban, edoxaban), inefficace sur les AOD anti-IIa (dabigatran, pour lequel l'idarucizumab est l'antidote spécifique) ; (vi) interaction avec les héparines (HBPM, HNF) — risque de surdosage anticoagulant paradoxal, surveillance TCA et activité anti-Xa.</w:t>
      </w:r>
    </w:p>
    <w:p>
      <w:r/>
      <w:r>
        <w:rPr>
          <w:b/>
        </w:rPr>
        <w:t>Interactions pharmacocinétiques</w:t>
      </w:r>
      <w:r>
        <w:t xml:space="preserve"> : peu pertinentes en pratique clinique courante. Le PCC est constitué de protéines humaines, sans métabolisme hépatique significatif. La clairance des facteurs dépend de la consommation sur les sites de lésion endothéliale et du catabolisme hépatique.</w:t>
      </w:r>
    </w:p>
    <w:p>
      <w:r/>
      <w:r>
        <w:rPr>
          <w:b/>
        </w:rPr>
        <w:t>Associations à risque</w:t>
      </w:r>
      <w:r>
        <w:t xml:space="preserve"> : (i) PCC + AVK en cours : surveillance stricte de l'INR (H30 minutes, H6, H12, H24), association systématique à la vitamine K1 10 mg IV lent ; (ii) PCC + acide tranexamique : potentialisation du risque thrombotique, à réserver aux hémorragies graves avec coagulopathie sévère ; (iii) PCC + héparines (HBPM, HNF) : risque de surdosage anticoagulant paradoxal (Octaplex contient de l'héparine), surveillance TCA et activité anti-Xa ; (iv) PCC + AOD anti-Xa (rivaroxaban, apixaban, edoxaban) : PCC partiellement efficace, andexanet alfa (antidote spécifique, non disponible en Algérie) à discuter en cas d'hémorragie grave ; (v) PCC + AOD anti-IIa (dabigatran) : PCC inefficace, idarucizumab (Praxbind, antidote spécifique, non disponible en Algérie) indiqué.</w:t>
      </w:r>
    </w:p>
    <w:p>
      <w:pPr>
        <w:pStyle w:val="Heading3"/>
      </w:pPr>
      <w:r>
        <w:t>191.15.7 Grossesse et allaitement (données CRAT)</w:t>
      </w:r>
    </w:p>
    <w:p>
      <w:r/>
      <w:r>
        <w:rPr>
          <w:b/>
        </w:rPr>
        <w:t>Grossesse</w:t>
      </w:r>
      <w:r>
        <w:t xml:space="preserve"> : le PCC traverse faiblement la barrière placentaire en raison du poids moléculaire élevé des facteurs de coagulation (&gt; 50 kDa). Les données du CRAT et de l'OTIS indiquent que le PCC n'est pas tératogène chez l'animal et qu'aucun cas de malformation n'a été rapporté chez la femme enceinte exposée. Le PCC est considéré comme compatible avec la grossesse, y compris en cas d'urgence vitale maternelle (hémorragie sous AVK pendant la grossesse, hémorragie du post-partum, coagulopathie de consommation). Les AVK sont contre-indiqués pendant la grossesse en raison de leur tératogénicité (embryofœtopathie à la warfarine). En cas de besoin d'anticoagulation pendant la grossesse, les héparines (HBPM : enoxaparine, daltéparine ; HNF) sont privilégiées. En cas d'hémorragie grave sous AVK pendant la grossesse (rare, en cas d'oubli de la contre-indication), le PCC + vitamine K1 IV est le traitement de choix, avec surveillance fœtale continue (RCF, échographie).</w:t>
      </w:r>
    </w:p>
    <w:p>
      <w:r>
        <w:t>Chez la femme enceinte nécessitant une chirurgie urgente (chirurgie cardiaque, chirurgie digestive, traumatologie) sous anticoagulation (HBPM ou AVK par mégarde), le PCC peut être utilisé en cas d'hémorragie peropératoire non contrôlée par les autres hémostatiques. La dose est adaptée au poids (25-50 UI/kg), surveillance fœtale continue, présence d'un obstétricien.</w:t>
      </w:r>
    </w:p>
    <w:p>
      <w:r/>
      <w:r>
        <w:rPr>
          <w:b/>
        </w:rPr>
        <w:t>Allaitement</w:t>
      </w:r>
      <w:r>
        <w:t xml:space="preserve"> : le PCC passe faiblement dans le lait maternel en raison du poids moléculaire élevé des facteurs de coagulation. Le PCC est considéré comme compatible avec l'allaitement, mais les données sont limitées. L'allaitement peut être poursuivi pendant la perfusion de PCC, mais avec surveillance du nourrisson (signes d'hypersensibilité, de thrombose exceptionnelle). En cas de doute, suspendre temporairement l'allaitement pendant 24-48 heures après la perfusion.</w:t>
      </w:r>
    </w:p>
    <w:p>
      <w:pPr>
        <w:pStyle w:val="Heading3"/>
      </w:pPr>
      <w:r>
        <w:t>191.15.8 Posologie et modes d'administration</w:t>
      </w:r>
    </w:p>
    <w:p>
      <w:r/>
      <w:r>
        <w:rPr>
          <w:b/>
        </w:rPr>
        <w:t>Posologie adulte (hémorragie grave sous AVK)</w:t>
      </w:r>
      <w:r>
        <w:t xml:space="preserve"> : 25-50 UI/kg IV en 5-10 minutes (perfuseur ou seringue électrique), à adapter selon l'INR initial :</w:t>
      </w:r>
    </w:p>
    <w:p>
      <w:pPr>
        <w:pStyle w:val="ListBullet"/>
      </w:pPr>
      <w:r>
        <w:t>INR 2-4 : 25 UI/kg (soit 1 750 UI pour 70 kg, soit 3,5 flacons de 500 UI)</w:t>
      </w:r>
    </w:p>
    <w:p>
      <w:pPr>
        <w:pStyle w:val="ListBullet"/>
      </w:pPr>
      <w:r>
        <w:t>INR 4-6 : 35 UI/kg (soit 2 450 UI pour 70 kg, soit 5 flacons de 500 UI)</w:t>
      </w:r>
    </w:p>
    <w:p>
      <w:pPr>
        <w:pStyle w:val="ListBullet"/>
      </w:pPr>
      <w:r>
        <w:t>INR &gt; 6 : 50 UI/kg (soit 3 500 UI pour 70 kg, soit 7 flacons de 500 UI)</w:t>
      </w:r>
    </w:p>
    <w:p>
      <w:pPr>
        <w:pStyle w:val="ListBullet"/>
      </w:pPr>
      <w:r>
        <w:t>Dose maximale 50 UI/kg ou 3 000 UI par dose, ne pas dépasser (surdosage = risque thrombotique majeur).</w:t>
      </w:r>
    </w:p>
    <w:p>
      <w:r>
        <w:t>Surveillance INR à H30 minutes. Si INR &gt; 1,5, répéter la perfusion à la demi-dose 25 UI/kg. Surveillance INR à H6, H12, H24, H48.</w:t>
      </w:r>
    </w:p>
    <w:p>
      <w:r/>
      <w:r>
        <w:rPr>
          <w:b/>
        </w:rPr>
        <w:t>Posologie adulte (intoxication massive aux super-warfarines — raticides)</w:t>
      </w:r>
      <w:r>
        <w:t xml:space="preserve"> : 50 UI/kg IV en 5-10 minutes, en association à la vitamine K1 50-100 mg/j per os pendant plusieurs semaines à plusieurs mois.</w:t>
      </w:r>
    </w:p>
    <w:p>
      <w:r/>
      <w:r>
        <w:rPr>
          <w:b/>
        </w:rPr>
        <w:t>Posologie pédiatrique (hémorragie grave sous AVK chez l'enfant)</w:t>
      </w:r>
      <w:r>
        <w:t xml:space="preserve"> : 25-50 UI/kg IV en 5-10 minutes, surveillance INR à H30 minutes. Adapter selon le poids et l'INR initial.</w:t>
      </w:r>
    </w:p>
    <w:p>
      <w:r/>
      <w:r>
        <w:rPr>
          <w:b/>
        </w:rPr>
        <w:t>Posologie (carence isolée en facteur vitamine-K-dépendant — hémophilie B modérée, déficit en prothrombine, déficit en facteur VII, déficit en facteur X)</w:t>
      </w:r>
      <w:r>
        <w:t xml:space="preserve"> : 20-30 UI/kg IV en cas de saignement aigu, à renouveler selon la demi-vie du facteur déficitaire (toutes les 6-12 heures pour le facteur VII, toutes les 24 heures pour le facteur IX, toutes les 48 heures pour le facteur X, toutes les 72 heures pour le facteur II).</w:t>
      </w:r>
    </w:p>
    <w:p>
      <w:r/>
      <w:r>
        <w:rPr>
          <w:b/>
        </w:rPr>
        <w:t>Mode d'administration</w:t>
      </w:r>
      <w:r>
        <w:t xml:space="preserve"> : (i) reconstituer la poudre avec le solvant fourni (20 mL de solvant pour 500 UI de PCC) en retournant doucement le flacon (ne pas agiter vigoureusement pour éviter la formation de mousse) ; (ii) administrer en perfusion IV lente (5-10 minutes) à travers un filtre fourni dans le conditionnement (filtre de 15-30 µm pour retenir les éventuels agrégats protéiques) ; (iii) surveillance médicale continue (ECG, PA, SpO2) pendant la perfusion ; (iv) ne pas mélanger avec d'autres médicaments dans la même perfusion (incompatibilité avec la plupart des médicaments) ; (v) ne pas utiliser si la solution reconstituée est trouble ou contient des particules.</w:t>
      </w:r>
    </w:p>
    <w:p>
      <w:pPr>
        <w:pStyle w:val="Heading3"/>
      </w:pPr>
      <w:r>
        <w:t>191.15.9 Formes galéniques disponibles</w:t>
      </w:r>
    </w:p>
    <w:p>
      <w:r>
        <w:t>Le PCC est disponible en Algérie sous une seule forme galénique : poudre lyophilisée pour solution pour perfusion, dosée à 500 UI (en facteur IX), en boîtes de 1 flacon de poudre + 1 flacon de solvant de 20 mL, commercialisé sous le nom d'Octaplex (Octapharma Pharmazeutika Produktionsges.m.b.H., Vienne, Autriche). Cette formulation couvre la totalité des besoins cliniques hospitaliers pour l'antagonisation d'urgence des AVK en cas d'hémorragie grave. Le conditionnement comprend également un set de perfusion avec filtre (filtre de 15-30 µm) nécessaire à l'administration.</w:t>
      </w:r>
    </w:p>
    <w:p>
      <w:r>
        <w:t>Les formes historiques et alternatives internationales, non disponibles en Algérie, incluent : (i) Beriplex P/N 500 (CSL Behring), PCC 4 facteurs en flacons de 500 UI et 1000 UI ; (ii) Kcentra (CSL Behring), PCC 4 facteurs approuvé par la FDA en 2013, en flacons de 500 UI ; (iii) Confidex (Biotest), PCC 4 facteurs en flacons de 500 UI et 1000 UI ; (iv) Prothromplex T (Baxter, retiré du marché en raison de risque thrombotique supérieur) ; (v) Cofact (Sanquin, Pays-Bas), PCC 4 facteurs en flacons de 500 UI. Aucune production locale algérienne n'est actuellement disponible, ce qui impose une sécurisation rigoureuse des stocks hospitaliers (au moins 10-20 flacons de 500 UI par service d'urgences et de réanimation de référence).</w:t>
      </w:r>
    </w:p>
    <w:p>
      <w:r>
        <w:t>La conservation de la poudre lyophilisée se fait à température ambiante (15-25 °C), à l'abri de la lumière, avec une péremption généralement de 3 ans. La solution reconstituée doit être utilisée immédiatement (stabilité 3 heures à température ambiante). Ne pas congeler. Ne pas utiliser si la solution reconstituée est trouble, jaune foncé, ou contient des particules.</w:t>
      </w:r>
    </w:p>
    <w:p>
      <w:pPr>
        <w:pStyle w:val="Heading3"/>
      </w:pPr>
      <w:r>
        <w:t>191.15.10 Conseils au patient et éducation thérapeutique</w:t>
      </w:r>
    </w:p>
    <w:p>
      <w:r>
        <w:t>Le PCC administré en contexte d'urgence hémorragique (hémorragie grave sous AVK) est généralement administré par un professionnel de santé en milieu hospitalier. L'éducation thérapeutique porte principalement sur les informations données au patient et à son entourage après l'épisode hémorragique, et sur la prévention de la récidive du surdosage AVK.</w:t>
      </w:r>
    </w:p>
    <w:p>
      <w:r/>
      <w:r>
        <w:rPr>
          <w:b/>
        </w:rPr>
        <w:t>Conseils immédiats après l'administration de PCC</w:t>
      </w:r>
      <w:r>
        <w:t xml:space="preserve"> : (i) le patient doit être informé que le traitement assure une correction immédiate de l'INR (10-30 minutes) mais que la surveillance hospitalière est indispensable pendant au moins 24-48 heures ; (ii) la perfusion de vitamine K1 concomitante (10 mg IV) assure la synthèse de novo des facteurs sur la durée (24-48 heures), sans laquelle une recrudescence de l'INR et du saignement est possible à H12-H24 ; (iii) les signes d'alerte de thrombose (douleur molletaire, dyspnée, douleur thoracique, déficit neurologique) doivent être signalés immédiatement à l'équipe soignante, le PCC exposant à un risque thrombotique non négligeable (2-7 %) ; (iv) la surveillance biologique (INR, hémostase, numération plaquettaire, D-dimères) doit être répétée régulièrement pendant 7-14 jours.</w:t>
      </w:r>
    </w:p>
    <w:p>
      <w:r/>
      <w:r>
        <w:rPr>
          <w:b/>
        </w:rPr>
        <w:t>Conseils de prévention de la récidive du surdosage AVK</w:t>
      </w:r>
      <w:r>
        <w:t xml:space="preserve"> : (i) surveillance stricte de l'INR (toutes les 2-4 semaines selon la stabilité) ; (ii) respect des cibles d'INR selon l'indication (INR 2-3 pour la fibrillation auriculaire non valvulaire, INR 2,5-3,5 pour la valve mécanique mitralique) ; (iii) signaler tout nouveau médicament (interactions nombreuses : antibiotiques, AINS, antiépileptiques, antifongiques, anti-ulcéreux) ; (iv) éviter l'alcool (potentialisation de l'effet anticoagulant) ; (v) éviter les aliments riches en vitamine K en quantité variable (choux, épinards, brocolis, foie) — apport régulier, non fluctuant ; (vi) en cas de chirurgie programmée, prévoir un relais AVK-HBPM à J-3 à J-5 selon le type de chirurgie et l'INR cible ; (vii) porter sur soi une carte ou un bracelet mentionnant le traitement AVK en cours (en cas d'urgence médicale).</w:t>
      </w:r>
    </w:p>
    <w:p>
      <w:r/>
      <w:r>
        <w:rPr>
          <w:b/>
        </w:rPr>
        <w:t>Conseils aux patients aux antécédents thrombotiques</w:t>
      </w:r>
      <w:r>
        <w:t xml:space="preserve"> : (i) le PCC a été nécessaire en raison de l'hémorragie grave sous AVK, mais expose à un risque de rethrombose ; (ii) l'anticoagulation doit être reprise dès que l'INR est redevenu sub-thérapeutique (INR &lt; 2,0 pour la fibrillation auriculaire, INR &lt; 2,5 pour la valve mécanique mitralique), par relais HBPM en attendant l'effet de l'AVK (5-7 jours) ; (iii) surveillance clinique de la thrombose pendant 14 jours ; (iv) en cas de rethrombose, traitement anticoagulant à dose curative (HBPM, AOD) selon le contexte.</w:t>
      </w:r>
    </w:p>
    <w:p>
      <w:pPr>
        <w:pStyle w:val="Heading3"/>
      </w:pPr>
      <w:r>
        <w:t>191.15.11 Pièges au comptoir (règles d'or)</w:t>
      </w:r>
    </w:p>
    <w:p>
      <w:pPr>
        <w:pStyle w:val="ListNumber"/>
      </w:pPr>
      <w:r/>
      <w:r>
        <w:rPr>
          <w:b/>
        </w:rPr>
        <w:t>Règle d'or n°1 : PCC réservé à l'hémorragie grave sous AVK.</w:t>
      </w:r>
      <w:r>
        <w:t xml:space="preserve"> Hémorragie cérébrale, hématome compressif, hémorragie digestive active, choc hémorragique. Pas d'indication pour les hémorragies mineures (vitamine K1 seule).</w:t>
      </w:r>
    </w:p>
    <w:p>
      <w:pPr>
        <w:pStyle w:val="ListNumber"/>
      </w:pPr>
      <w:r/>
      <w:r>
        <w:rPr>
          <w:b/>
        </w:rPr>
        <w:t>Règle d'or n°2 : association systématique PCC + vitamine K1.</w:t>
      </w:r>
      <w:r>
        <w:t xml:space="preserve"> Le PCC assure la correction immédiate (10-30 min), la vitamine K1 (10 mg IV lent) assure la synthèse de novo (24-48 h). Sans vitamine K1, recrudescence de l'INR à H12-H24.</w:t>
      </w:r>
    </w:p>
    <w:p>
      <w:pPr>
        <w:pStyle w:val="ListNumber"/>
      </w:pPr>
      <w:r/>
      <w:r>
        <w:rPr>
          <w:b/>
        </w:rPr>
        <w:t>Règle d'or n°3 : surveillance INR à H30 minutes.</w:t>
      </w:r>
      <w:r>
        <w:t xml:space="preserve"> Cible INR &lt; 1,5. Si INR &gt; 1,5, répéter le PCC à la demi-dose 25 UI/kg.</w:t>
      </w:r>
    </w:p>
    <w:p>
      <w:pPr>
        <w:pStyle w:val="ListNumber"/>
      </w:pPr>
      <w:r/>
      <w:r>
        <w:rPr>
          <w:b/>
        </w:rPr>
        <w:t>Règle d'or n°4 : dose adaptée à l'INR initial.</w:t>
      </w:r>
      <w:r>
        <w:t xml:space="preserve"> INR 2-4 : 25 UI/kg. INR 4-6 : 35 UI/kg. INR &gt; 6 : 50 UI/kg. Dose maximale 50 UI/kg ou 3 000 UI par dose.</w:t>
      </w:r>
    </w:p>
    <w:p>
      <w:pPr>
        <w:pStyle w:val="ListNumber"/>
      </w:pPr>
      <w:r/>
      <w:r>
        <w:rPr>
          <w:b/>
        </w:rPr>
        <w:t>Règle d'or n°5 : perfusion IV lente en 5-10 minutes.</w:t>
      </w:r>
      <w:r>
        <w:t xml:space="preserve"> À travers le filtre fourni (15-30 µm). Surveillance médicale continue (ECG, PA, SpO2). Ne pas perfuser en IV directe.</w:t>
      </w:r>
    </w:p>
    <w:p>
      <w:pPr>
        <w:pStyle w:val="ListNumber"/>
      </w:pPr>
      <w:r/>
      <w:r>
        <w:rPr>
          <w:b/>
        </w:rPr>
        <w:t>Règle d'or n°6 : risque thrombotique 2-7 %.</w:t>
      </w:r>
      <w:r>
        <w:t xml:space="preserve"> Surveillance clinique (TVP, EP, infarctus, AVC) pendant 7-14 jours. Prudence chez les patients à haut risque thrombotique (valve mécanique, antécédent récent, syndrome des antiphospholipides).</w:t>
      </w:r>
    </w:p>
    <w:p>
      <w:pPr>
        <w:pStyle w:val="ListNumber"/>
      </w:pPr>
      <w:r/>
      <w:r>
        <w:rPr>
          <w:b/>
        </w:rPr>
        <w:t>Règle d'or n°7 : allergies et héparine.</w:t>
      </w:r>
      <w:r>
        <w:t xml:space="preserve"> Octaplex contient de l'héparine (risque de HIT) et des traces d'IgA. Surveiller les réactions d'hypersensibilité, prémédication antihistaminique en cas d'antécédent.</w:t>
      </w:r>
    </w:p>
    <w:p>
      <w:pPr>
        <w:pStyle w:val="ListNumber"/>
      </w:pPr>
      <w:r/>
      <w:r>
        <w:rPr>
          <w:b/>
        </w:rPr>
        <w:t>Règle d'or n°8 : AOD ≠ AVK.</w:t>
      </w:r>
      <w:r>
        <w:t xml:space="preserve"> Le PCC est partiellement efficace sur les AOD anti-Xa (rivaroxaban, apixaban, edoxaban), inefficace sur les AOD anti-IIa (dabigatran). Antidotes spécifiques : andexanet alfa (AOD anti-Xa), idarucizumab (dabigatran), non disponibles en Algérie.</w:t>
      </w:r>
    </w:p>
    <w:p>
      <w:pPr>
        <w:pStyle w:val="ListNumber"/>
      </w:pPr>
      <w:r/>
      <w:r>
        <w:rPr>
          <w:b/>
        </w:rPr>
        <w:t>Règle d'or n°9 : grossesse = compatible en urgence vitale.</w:t>
      </w:r>
      <w:r>
        <w:t xml:space="preserve"> Surveillance fœtale continue, présence obstétricien. Les AVK sont contre-indiqués pendant la grossesse (embryofœtopathie warfarinique).</w:t>
      </w:r>
    </w:p>
    <w:p>
      <w:pPr>
        <w:pStyle w:val="ListNumber"/>
      </w:pPr>
      <w:r/>
      <w:r>
        <w:rPr>
          <w:b/>
        </w:rPr>
        <w:t>Règle d'or n°10 : traçabilité absolue (Liste I).</w:t>
      </w:r>
      <w:r>
        <w:t xml:space="preserve"> Octaplex en Liste I, prescription hospitalière stricte, traçabilité des flacons, comptage mensuel. Stock minimum recommandé : 10-20 flacons par service d'urgences de référence.</w:t>
      </w:r>
    </w:p>
    <w:p>
      <w:pPr>
        <w:pStyle w:val="ListNumber"/>
      </w:pPr>
      <w:r/>
      <w:r>
        <w:rPr>
          <w:b/>
        </w:rPr>
        <w:t>Règle d'or n°11 : ne pas mélanger avec d'autres médicaments dans la même perfusion.</w:t>
      </w:r>
      <w:r>
        <w:t xml:space="preserve"> Incompatibilité avec la plupart des médicaments. Voie veineuse dédiée.</w:t>
      </w:r>
    </w:p>
    <w:p>
      <w:pPr>
        <w:pStyle w:val="ListNumber"/>
      </w:pPr>
      <w:r/>
      <w:r>
        <w:rPr>
          <w:b/>
        </w:rPr>
        <w:t>Règle d'or n°12 : solution reconstituée à utiliser immédiatement (stabilité 3 heures à température ambiante).</w:t>
      </w:r>
      <w:r>
        <w:t xml:space="preserve"> Ne pas congeler. Ne pas utiliser si trouble ou contient des particules.</w:t>
      </w:r>
    </w:p>
    <w:p>
      <w:pPr>
        <w:pStyle w:val="Heading2"/>
      </w:pPr>
      <w:r>
        <w:t>191.16 DCI 6 : Glucagon (Antidote de l'hypoglycémie et des β-bloquants)</w:t>
      </w:r>
    </w:p>
    <w:p>
      <w:pPr>
        <w:pStyle w:val="Heading3"/>
      </w:pPr>
      <w:r>
        <w:t>191.16.1 Liste des catégories thérapeutiques et statut réglementaire</w:t>
      </w:r>
    </w:p>
    <w:p>
      <w:r>
        <w:t>Le glucagon, hormone peptidique de 29 acides aminés synthétisée par les cellules α des îlots de Langerhans du pancréas endocrine, appartient à la classe pharmacologique des hormones antihypoglycémiantes (code ATC : H04AA01 — glucagon ; V03AF03 — antidotes des β-bloquants et inhibiteurs calciques). Il est inscrit sur la Liste I des substances vénéneuses en Algérie. Le glucagon figure sur la liste des médicaments essentiels de l'OMS (WHO Model List of Essential Medicines, 22ᵉ liste, 2023), dans la section « Antidotes et autres substances utilisées dans les intoxications ».</w:t>
      </w:r>
    </w:p>
    <w:p>
      <w:r>
        <w:t>Le glucagon est classé comme médicament d'urgence vitale en cas d'hypoglycémie sévère (coma hypoglycémique) en l'absence de voie veineuse d'abord, et comme traitement de seconde ligne des surdosages en β-bloquants et en inhibiteurs calciques (ICA). Il doit être disponible à tout moment dans les services d'urgences, de réanimation, d'endocrinologie, de diabétologie, de cardiologie, de SMUR, et dans les pharmacies hospitalières. Le glucagon est également disponible dans les trousses d'urgence des patients diabétiques insulino-traités à risque d'hypoglycémie sévère (Diabète type 1, insulinothérapie intensive). La mortalité de l'hypoglycémie sévère reste non négligeable (coma hypoglycémique prolongé, lésions cérébrales irréversibles, décès), et la précocité de l'administration de glucagon IM par l'entourage (avant l'arrivée des secours) peut être salvatrice.</w:t>
      </w:r>
    </w:p>
    <w:p>
      <w:pPr>
        <w:pStyle w:val="Heading3"/>
      </w:pPr>
      <w:r>
        <w:t>191.16.2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GLUCAGEN HYPOKIT</w:t>
            </w:r>
          </w:p>
        </w:tc>
        <w:tc>
          <w:tcPr>
            <w:tcW w:type="dxa" w:w="1559"/>
          </w:tcPr>
          <w:p>
            <w:r>
              <w:rPr>
                <w:sz w:val="20"/>
              </w:rPr>
              <w:t>NOVO NORDISK</w:t>
            </w:r>
          </w:p>
        </w:tc>
        <w:tc>
          <w:tcPr>
            <w:tcW w:type="dxa" w:w="1559"/>
          </w:tcPr>
          <w:p>
            <w:r>
              <w:rPr>
                <w:sz w:val="20"/>
              </w:rPr>
              <w:t>Poudre et solvant pour solution injectable 1 mg/mL</w:t>
            </w:r>
          </w:p>
        </w:tc>
        <w:tc>
          <w:tcPr>
            <w:tcW w:type="dxa" w:w="1559"/>
          </w:tcPr>
          <w:p>
            <w:r>
              <w:rPr>
                <w:sz w:val="20"/>
              </w:rPr>
              <w:t>Boîte de 1 flacon de poudre + 1 seringue de 1 mL de solvant</w:t>
            </w:r>
          </w:p>
        </w:tc>
        <w:tc>
          <w:tcPr>
            <w:tcW w:type="dxa" w:w="1559"/>
          </w:tcPr>
          <w:p>
            <w:r>
              <w:rPr>
                <w:sz w:val="20"/>
              </w:rPr>
              <w:t>Liste I</w:t>
            </w:r>
          </w:p>
        </w:tc>
        <w:tc>
          <w:tcPr>
            <w:tcW w:type="dxa" w:w="1559"/>
          </w:tcPr>
          <w:p>
            <w:r>
              <w:rPr>
                <w:sz w:val="20"/>
              </w:rPr>
              <w:t>ACTIF</w:t>
            </w:r>
          </w:p>
        </w:tc>
      </w:tr>
      <w:tr>
        <w:tc>
          <w:tcPr>
            <w:tcW w:type="dxa" w:w="1559"/>
          </w:tcPr>
          <w:p>
            <w:r>
              <w:rPr>
                <w:sz w:val="20"/>
              </w:rPr>
              <w:t>GLUCAGEN</w:t>
            </w:r>
          </w:p>
        </w:tc>
        <w:tc>
          <w:tcPr>
            <w:tcW w:type="dxa" w:w="1559"/>
          </w:tcPr>
          <w:p>
            <w:r>
              <w:rPr>
                <w:sz w:val="20"/>
              </w:rPr>
              <w:t>NOVO NORDISK</w:t>
            </w:r>
          </w:p>
        </w:tc>
        <w:tc>
          <w:tcPr>
            <w:tcW w:type="dxa" w:w="1559"/>
          </w:tcPr>
          <w:p>
            <w:r>
              <w:rPr>
                <w:sz w:val="20"/>
              </w:rPr>
              <w:t>Lyophilisat et solvant pour usage parentéral SC/IM/IV 1 mg/mL</w:t>
            </w:r>
          </w:p>
        </w:tc>
        <w:tc>
          <w:tcPr>
            <w:tcW w:type="dxa" w:w="1559"/>
          </w:tcPr>
          <w:p>
            <w:r>
              <w:rPr>
                <w:sz w:val="20"/>
              </w:rPr>
              <w:t>Boîte de 1 flacon + 1 mL de solvant</w:t>
            </w:r>
          </w:p>
        </w:tc>
        <w:tc>
          <w:tcPr>
            <w:tcW w:type="dxa" w:w="1559"/>
          </w:tcPr>
          <w:p>
            <w:r>
              <w:rPr>
                <w:sz w:val="20"/>
              </w:rPr>
              <w:t>—</w:t>
            </w:r>
          </w:p>
        </w:tc>
        <w:tc>
          <w:tcPr>
            <w:tcW w:type="dxa" w:w="1559"/>
          </w:tcPr>
          <w:p>
            <w:r>
              <w:rPr>
                <w:sz w:val="20"/>
              </w:rPr>
              <w:t>NON_RENOUVELABLE</w:t>
            </w:r>
          </w:p>
        </w:tc>
      </w:tr>
    </w:tbl>
    <w:p/>
    <w:p>
      <w:r>
        <w:t>Le glucagon reste disponible en Algérie sous une seule spécialité active : Glucagen Hypokit (Novo Nordisk), en poudre et solvant pour solution injectable, dosée à 1 mg/mL, en boîte de 1 flacon de poudre + 1 seringue de 1 mL de solvant (prête à l'emploi pour administration IM ou SC). Cette production internationale importée (Novo Nordisk, Danemark) couvre la totalité des besoins nationaux pour le traitement de l'hypoglycémie sévère et des surdosages en β-bloquants/ICA. Le conditionnement en seringue pré-remplie de solvant facilite l'administration par le patient lui-même ou par son entourage en cas d'hypoglycémie sévère hors structure médicale.</w:t>
      </w:r>
    </w:p>
    <w:p>
      <w:r>
        <w:t>La spécialité historique Glucagen (Novo Nordisk) en lyophilisat et solvant pour usage parentéral SC/IM/IV est non renouvelable. Aucune production locale algérienne n'est actuellement disponible. Les formes internationales récentes, non disponibles en Algérie, incluent : (i) Baqsimi (Eli Lilly), glucagon en spray nasal 3 mg/dose, commercialisé aux États-Unis depuis 2019 et en Europe depuis 2021 (simplification de l'administration, pas de reconstitution, délai d'action 5-15 minutes) ; (ii) Gvoke (Xeris Pharmaceuticals), glucagon en auto-injecteur prêt à l'emploi 0,5 mg/1 mg, commercialisé aux États-Unis depuis 2020 ; (iii) Zegalogue (Zealand Pharma), glucagon en auto-injecteur et en stylo 0,6 mg/0,8 mg, commercialisé aux États-Unis depuis 2021. Ces formulations modernes simplifient considérablement l'administration en urgence, mais ne sont pas disponibles en Algérie à la date de cette nomenclature.</w:t>
      </w:r>
    </w:p>
    <w:p>
      <w:pPr>
        <w:pStyle w:val="Heading3"/>
      </w:pPr>
      <w:r>
        <w:t>191.16.3 Mécanisme d'action moléculaire et cellulaire</w:t>
      </w:r>
    </w:p>
    <w:p>
      <w:r>
        <w:t>Le glucagon est synthétisé sous forme de préproglucagon (180 acides aminés) dans les cellules α des îlots de Langerhans, le tube digestif (cellules L de l'iléon et du côlon) et le système nerveux central (neurones du tronc cérébral). Le préproglucagon est clivé de manière tissu-spécifique en glucagon (29 acides aminés, 3,5 kDa) dans le pancréas, en GLP-1 (glucagon-like peptide 1) et GLP-2 dans le tube digestif. Le glucagon circulant (sang veineux porte) atteint le foie où il active son récepteur (GCGR, glucagon receptor), un récepteur couplé aux protéines Gs à sept domaines transmembranaires.</w:t>
      </w:r>
    </w:p>
    <w:p>
      <w:r>
        <w:t>L'activation du récepteur du glucagon stimule l'adénylate cyclase (AC), augmentant la concentration intracellulaire d'AMPc, qui active à son tour la protéine kinase A (PKA). La PKA phosphoryle plusieurs cibles : (i) la phosphorylase kinase, qui active la glycogén phosphorylase, enzyme qui catalyse la dégradation du glycogène hépatique en glucose-1-phosphate (puis en glucose par la phosphoglucomutase et la glucose-6-phosphatase) — effet hyperglycémiant puissant, délai 5-15 minutes, responsable de la libération de 50-100 g de glucose hépatique en 30-60 minutes ; (ii) la glycogène synthase, qui est inhibée (réduction de la synthèse de glycogène) ; (iii) la fructose-1,6-bisphosphatase, qui est activée (stimulation de la néoglucogenèse) ; (iv) la triacylglycérol lipase, qui est activée (lipolyse adipocytaire avec libération d'acides gras libres et de glycérol, substrats de la néoglucogenèse hépatique).</w:t>
      </w:r>
    </w:p>
    <w:p>
      <w:r>
        <w:t>Au plan cellulaire, le glucagon agit principalement sur le foie (glycogénolyse, néoglucogenèse, cétogenèse) et dans une moindre mesure sur le tissu adipeux (lipolyse) et le cœur (inotropie et chronotropie positives, via l'AMPc indépendamment du récepteur β-adrénergique). L'action cardiaque du glucagon est le mécanisme clé de son effet antidote dans le surdosage β-bloquant : en activant directement l'adénylate cyclase via le récepteur Gs (et non le récepteur β-adrénergique), le glucagon contourne le blocage β-adrénergique et restaure une inotropie et une chronotropie myocardiques positives. Cette voie de contournement permet de restaurer une hémodynamique acceptable chez un patient en surdosage β-bloquant massif, où les catécholamines conventionnelles (isoprénaline, dobutamine, adrénaline) sont inefficaces en raison du blocage de leur récepteur. L'AMPc augmente l'entrée de calcium dans les cellules myocardiques (via la phosphorylation des canaux calciques voltage-dépendants L-type par la PKA), augmentant la force de contraction et la fréquence cardiaque.</w:t>
      </w:r>
    </w:p>
    <w:p>
      <w:r>
        <w:t>Le glucagon est inactivé par les protéases hépatiques et rénales (demi-vie courte 3-6 minutes), ce qui impose une administration IV en bolus suivie d'une perfusion continue pour maintenir l'effet. Le glucagon passe la barrière hémato-encéphalique à faible dose (effets centraux modestes : anorexigène, satiété). Le glucagon recombinant (produit par génie génétique dans Escherichia coli ou Saccharomyces cerevisiae) est strictement identique au glucagon humain naturel.</w:t>
      </w:r>
    </w:p>
    <w:p>
      <w:pPr>
        <w:pStyle w:val="Heading3"/>
      </w:pPr>
      <w:r>
        <w:t>191.16.4 Profil pharmacocinétique, indications, contre-indications, effets indésirables</w:t>
      </w:r>
    </w:p>
    <w:p>
      <w:r/>
      <w:r>
        <w:rPr>
          <w:b/>
        </w:rPr>
        <w:t>Pharmacocinétique</w:t>
      </w:r>
      <w:r>
        <w:t xml:space="preserve"> : le glucagon est administré par voie SC, IM (indication hypoglycémie) ou IV (indication β-bloquants/ICA). Après administration IM, le pic plasmatique est atteint en 5-15 minutes, la durée d'action est de 30-60 minutes. Après administration IV, le pic est immédiat, la durée d'action est de 20-30 minutes (très courte en raison de la demi-vie d'élimination de 3-6 minutes). Après administration SC, le pic est atteint en 5-15 minutes (similaire à la voie IM). Le volume de distribution est modéré (0,25 L/kg), avec une fixation protéique faible (aucune). La clairance est élevée (1-2 L/min), essentiellement par protéolyse hépatique (60 %) et rénale (30 %). Le glucagon est filtré par le glomérule et dégradé dans le tube contourné proximal. En cas d'insuffisance rénale sévère, la clairance est réduite (allongement de la demi-vie à 10-20 minutes), sans conséquence pratique majeure en raison de la courte durée d'action.</w:t>
      </w:r>
    </w:p>
    <w:p>
      <w:r/>
      <w:r>
        <w:rPr>
          <w:b/>
        </w:rPr>
        <w:t>Indications</w:t>
      </w:r>
      <w:r>
        <w:t xml:space="preserve"> : (i) antidote de l'hypoglycémie sévère (coma hypoglycémique, convulsions, coma) en l'absence de voie veineuse d'abord : 1 mg IM ou SC chez l'adulte (0,5 mg chez l'enfant &lt; 25 kg, 0,25 mg chez l'enfant &lt; 5 kg), à répéter après 15 minutes si inefficacité ; (ii) traitement du surdosage en β-bloquants avec défaillance hémodynamique (bradycardie sévère, hypotension, état de choc) réfractaire aux catécholamines conventionnelles (atropine, isoprénaline, adrénaline) : 5-10 mg IV en bolus lent (3-5 minutes), suivi d'une perfusion continue de 1-5 mg/h (adaptation selon la réponse hémodynamique) ; (iii) traitement du surdosage en inhibiteurs calciques avec choc réfractaire aux catécholamines : mêmes doses que pour les β-bloquants, en association avec l'insulinothérapie hyperglycémique-euglycémique (insuline régulière 1 UI/kg en bolus puis 0,5-1 UI/kg/h, avec apport glucosé adapté pour maintenir la glycémie 7-11 mmol/L) ; (iv) test de stimulation à la glucagon pour explorer l'axe hypophyso-corticotrope (test au glucagon-Cortrosyn, alternative à l'hypoglycémie insulinique) ; (v) traitement du spasme œsophagien diffèrent, du syndrome de l'artère mésentérique supérieure (syndrome de Wilkie), et de la pseudo-obstruction colique (syndrome d'Ogilvie) en relais de la néostigmine (usage off-label) ; (vi) radiologie digestive : hypotonie gastrique pour examen radiologique.</w:t>
      </w:r>
    </w:p>
    <w:p>
      <w:r/>
      <w:r>
        <w:rPr>
          <w:b/>
        </w:rPr>
        <w:t>Contre-indications</w:t>
      </w:r>
      <w:r>
        <w:t xml:space="preserve"> : (i) hypersensibilité connue au glucagon ou à l'un des excipients (lactose, glycine) ; (ii) phéochromocytome (le glucagon stimule la libération de catécholamines par la tumeur, risquant de précipiter une crise hypertensive sévère) ; (iii) insulinome (le glucagon stimule la sécrétion d'insuline par la tumeur, risquant de précipiter une hypoglycémie paradoxale) ; (iv) tumeur glucagonome (rare, mais la stimulation exogène peut aggraver le diabète et la cachexie) ; (v) prudence en cas d'insuffisance hépatique sévère (efficacité réduite en raison de la diminution des stocks de glycogène hépatique) ; (vi) prudence en cas de jeûne prolongé, dénutrition sévère, anorexie mentale (stocks de glycogène hépatique épuisés, efficacité réduite) ; (vii) prudence en cas d'insuffisance surrénale (récidive de l'hypoglycémie par défaut de contre-régulation) ; (viii) prudence en cas de grossesse (compatible, mais surveillance fœtale).</w:t>
      </w:r>
    </w:p>
    <w:p>
      <w:r/>
      <w:r>
        <w:rPr>
          <w:b/>
        </w:rPr>
        <w:t>Effets indésirables</w:t>
      </w:r>
      <w:r>
        <w:t xml:space="preserve"> : le profil de tolérance du glucagon est dominé par les effets digestifs et métaboliques : (i) nausées et vomissements (effet central au niveau de la chemoreceptor trigger zone, et effet prokinétique direct sur l'estomac) chez 30-50 % des patients, surtout à doses élevées (&gt; 1 mg) ou en perfusion continue — risque d'inhalation chez un patient comateux non intubé, prévoir intubation si coma profond ; (ii) hyperglycémie transitoire (effet pharmacologique attendu, sans gravité, mais complique le monitorage glycémique en cas d'association ICA) ; (iii) hypokaliémie (effet insulinotrope paradoxal secondaire à l'hyperglycémie), à surveiller en cas d'association aux digitaliques (risque d'arythmie) ; (iv) tachycardie, palpitations (effet inotrope et chronotrope positif cardiaque) ; (v) flush facial, sueurs (vasodilatation) ; (vi) hypotension transitoire (vasodilatation splanchnique), surtout en IV bolus rapide ; (vii) réactions d'hypersensibilité (rares, urticaire, rash, anaphylaxie exceptionnelle) ; (viii) douleur au point d'injection IM ou SC ; (ix) à doses massives prolongées en perfusion continue (β-bloquants/ICA), risque de thrombopénie et de pulmonary edema non cardiogénique (rare, mécanisme incertain). Les effets indésirables sont généralement transitoires et bénins (durée 30-60 minutes, parallèle à la durée d'action du glucagon).</w:t>
      </w:r>
    </w:p>
    <w:p>
      <w:pPr>
        <w:pStyle w:val="Heading3"/>
      </w:pPr>
      <w:r>
        <w:t>191.16.5 Prévention et gestion des effets indésirables</w:t>
      </w:r>
    </w:p>
    <w:p>
      <w:r>
        <w:t>La prévention des effets indésirables du glucagon repose sur l'administration prudente, la surveillance glycémique et potassique, et la prévention de l'inhalation.</w:t>
      </w:r>
    </w:p>
    <w:p>
      <w:r/>
      <w:r>
        <w:rPr>
          <w:b/>
        </w:rPr>
        <w:t>Prévention des nausées et vomissements</w:t>
      </w:r>
      <w:r>
        <w:t xml:space="preserve"> : le glucagon provoque des nausées et vomissements chez 30-50 % des patients à doses élevées (&gt; 1 mg) ou en perfusion continue. En cas d'administration IM ou SC pour hypoglycémie sévère chez un patient comateux, le risque d'inhalation est majeur (décubitus latéral de sécurité, aspiration disponible). En cas d'administration IV pour surdosage β-bloquant/ICA, une intubation prophylactique peut être discutée en cas de coma profond (Glasgow &lt; 8) pour protéger les voies aériennes. L'administration d'un antiémétique (ondansétron 4 mg IV, métoclopramide 10 mg IV) peut être proposée en prévention ou en traitement des nausées, mais avec prudence en cas de surdosage β-bloquant (l'ondansétron allonge le QT, à éviter en cas de bradycardie sévère).</w:t>
      </w:r>
    </w:p>
    <w:p>
      <w:r/>
      <w:r>
        <w:rPr>
          <w:b/>
        </w:rPr>
        <w:t>Surveillance glycémique</w:t>
      </w:r>
      <w:r>
        <w:t xml:space="preserve"> : le glucagon induit une hyperglycémie transitoire (effet pharmacologique attendu, sans gravité), suivie d'une hypoglycémie réactionnelle (effet insulinotrope paradoxal secondaire à l'hyperglycémie) chez le patient diabétique. Surveillance glycémique toutes les 15-30 minutes pendant 2-3 heures après administration, puis toutes les 1-2 heures pendant 24 heures. En cas d'hypoglycémie récidivante (insulinome suspecté, surdosage en insuline ou sulfamides hypoglycémiants), relais par perfusion continue de glucosé 10 % (50-100 mL/h) ou de glucagon 0,5-1 mg/h IV.</w:t>
      </w:r>
    </w:p>
    <w:p>
      <w:r/>
      <w:r>
        <w:rPr>
          <w:b/>
        </w:rPr>
        <w:t>Surveillance potassique</w:t>
      </w:r>
      <w:r>
        <w:t xml:space="preserve"> : le glucagon induit une hypokaliémie transitoire (effet insulinotrope paradoxal), à surveiller en cas d'association aux digitaliques (digoxine, digitoxine) en raison du risque d'arythmie ventriculaire (potentiation de la toxicité digitalique). Surveillance de l'ionogramme (K+) toutes les 2-4 heures pendant la perfusion continue de glucagon, supplémentation potassique si K+ &lt; 3,5 mmol/L.</w:t>
      </w:r>
    </w:p>
    <w:p>
      <w:r/>
      <w:r>
        <w:rPr>
          <w:b/>
        </w:rPr>
        <w:t>Prévention de la récidive hypoglycémique</w:t>
      </w:r>
      <w:r>
        <w:t xml:space="preserve"> : après l'administration de glucagon IM/SC pour hypoglycémie sévère, le patient doit être informé que l'effet est transitoire (30-60 minutes) et qu'une prise alimentaire (sucres lents : pain, biscuits, fruits) est indispensable dès le réveil pour prévenir la récidive. En cas de récidive dans les 30-60 minutes suivant l'administration de glucagon, transport médicalisé (SAMU 14) pour perfusion de glucosé hypertonique (30 % ou 50 %) par voie veineuse.</w:t>
      </w:r>
    </w:p>
    <w:p>
      <w:r/>
      <w:r>
        <w:rPr>
          <w:b/>
        </w:rPr>
        <w:t>Adaptation posologique en cas de surdosage β-bloquant/ICA</w:t>
      </w:r>
      <w:r>
        <w:t xml:space="preserve"> : le glucagon est administré en bolus IV lent (5-10 mg en 3-5 minutes) suivi d'une perfusion continue (1-5 mg/h, ajustée selon la réponse hémodynamique). La perfusion doit être maintenue jusqu'à stabilisation de l'hémodynamique (généralement 12-24 heures, prolongée jusqu'à 48 heures en cas d'ingestion massive de β-bloquant ou d'ICA à demi-vie longue). La surveillance clinique (PA, FC, ECG, SpO2, diurèse) est continue en réanimation. En cas d'échec (persistance de la défaillance hémodynamique), discuter l'association à d'autres traitements : insulinothérapie hyperglycémique-euglycémique (insuline régulière 1 UI/kg/h), lipides intraveineux (Intralipid 1,5 mL/kg IV bolus puis 0,25 mL/kg/min, en cas d'intoxication lipophile comme le propranolol, le vérapamil), assistance circulatoire (ECLS, ECMO) en cas de défaillance réfractaire.</w:t>
      </w:r>
    </w:p>
    <w:p>
      <w:r/>
      <w:r>
        <w:rPr>
          <w:b/>
        </w:rPr>
        <w:t>Prévention de l'hypersensibilité</w:t>
      </w:r>
      <w:r>
        <w:t xml:space="preserve"> : en cas d'antécédent d'allergie au glucagon ou à l'un des excipients (lactose, glycine), préférer la perfusion de glucosé hypertonique IV (30 % ou 50 %) en cas d'hypoglycémie sévère. Les réactions d'hypersensibilité (urticaire, rash, anaphylaxie) sont rares mais à signaler au centre de pharmacovigilance.</w:t>
      </w:r>
    </w:p>
    <w:p>
      <w:pPr>
        <w:pStyle w:val="Heading3"/>
      </w:pPr>
      <w:r>
        <w:t>191.16.6 Interactions médicamenteuses</w:t>
      </w:r>
    </w:p>
    <w:p>
      <w:r>
        <w:t>Le glucagon présente plusieurs interactions médicamenteuses à connaître :</w:t>
      </w:r>
    </w:p>
    <w:p>
      <w:r/>
      <w:r>
        <w:rPr>
          <w:b/>
        </w:rPr>
        <w:t>Interactions pharmacodynamiques</w:t>
      </w:r>
      <w:r>
        <w:t xml:space="preserve"> : (i) potentialisation de l'effet hyperglycémiant des autres hormones hyperglycémiantes (adrénaline, cortisol, hormone de croissance) — effet additif, à surveiller en cas d'association ; (ii) antagonisation de l'effet hypoglycémiant de l'insuline et des sulfamides hypoglycémiants (glibenclamide, glimépiride, gliclazide) — effet pharmacologique attendu ; (iii) potentialisation de l'effet anticoagulant de la warfarine (le glucagon stimule la fibrinolyse, risque hémorragique accru à doses massives prolongées), surveillance INR en cas d'administration prolongée ; (iv) potentialisation de l'effet des digitaliques (digoxine, digitoxine) par l'hypokaliémie induite (risque d'arythmie ventriculaire), surveillance ECG et potassique ; (v) antagonisation de l'effet des β-bloquants (effet pharmacologique recherché, bypass du récepteur β-adrénergique) ; (vi) antagonisation partielle de l'effet des inhibiteurs calciques (effet pharmacologique recherché, mais moins efficace qu'avec les β-bloquants, association à l'insuline/glucose souvent nécessaire) ; (vii) potentialisation de l'effet émétisant des opioïdes (effet central additif), surveillance de l'inhalation.</w:t>
      </w:r>
    </w:p>
    <w:p>
      <w:r/>
      <w:r>
        <w:rPr>
          <w:b/>
        </w:rPr>
        <w:t>Interactions pharmacocinétiques</w:t>
      </w:r>
      <w:r>
        <w:t xml:space="preserve"> : peu pertinentes en pratique clinique courante. Le glucagon est dégradé par les protéases hépatiques et rénales, sans intervention significative du cytochrome P450. La clairance peut être réduite en cas d'insuffisance hépatique sévère (allongement de la demi-vie à 10-20 minutes) ou d'insuffisance rénale sévère, sans conséquence pratique majeure en raison de la courte durée d'action.</w:t>
      </w:r>
    </w:p>
    <w:p>
      <w:r/>
      <w:r>
        <w:rPr>
          <w:b/>
        </w:rPr>
        <w:t>Associations à risque</w:t>
      </w:r>
      <w:r>
        <w:t xml:space="preserve"> : (i) glucagon + warfarine : risque hémorragique accru à doses massives prolongées (fibrinolyse), surveillance INR ; (ii) glucagon + digitaliques (digoxine) : risque d'arythmie ventriculaire (hypokaliémie induite), surveillance ECG et K+ ; (iii) glucagon + indométacine, AINS : diminution de l'effet hyperglycémiant du glucagon (inhibition de la synthèse des prostaglandines hépatiques impliquées dans la glycogénolyse), à surveiller en cas d'hypoglycémie réfractaire ; (iv) glucagon + β-bloquants à demi-vie longue (propranolol, nadolol, sotalol) : surveillance prolongée (24-48 heures) ; (v) glucagon + ICA à demi-vie longue (amlodipine) : surveillance prolongée, association à l'insuline/glucose souvent nécessaire.</w:t>
      </w:r>
    </w:p>
    <w:p>
      <w:pPr>
        <w:pStyle w:val="Heading3"/>
      </w:pPr>
      <w:r>
        <w:t>191.16.7 Grossesse et allaitement (données CRAT)</w:t>
      </w:r>
    </w:p>
    <w:p>
      <w:r/>
      <w:r>
        <w:rPr>
          <w:b/>
        </w:rPr>
        <w:t>Grossesse</w:t>
      </w:r>
      <w:r>
        <w:t xml:space="preserve"> : le glucagon est une peptide de poids moléculaire élevé (3,5 kDa) qui ne traverse pas significativement la barrière placentaire. Les données du CRAT et de l'OTIS indiquent que le glucagon n'est pas tératogène chez l'animal et qu'aucun cas de malformation n'a été rapporté chez la femme enceinte exposée. Le glucagon est considéré comme compatible avec la grossesse, y compris en cas d'urgence vitale maternelle (hypoglycémie sévère, surdosage β-bloquant/ICA). L'hypoglycémie sévère pendant la grossesse (notamment au 1er trimestre chez la diabétique insulinotraitée) expose à un risque de malformations fœtales et de fausse-couche, et l'administration précoce de glucagon est essentielle pour prévenir les complications maternelles et fœtales.</w:t>
      </w:r>
    </w:p>
    <w:p>
      <w:r>
        <w:t>Le glucagon est privilégié par rapport au glucosé hypertonique IV (30 % ou 50 %) en cas d'hypoglycémie sévère chez la femme enceinte en l'absence de voie veineuse d'abord (à domicile, en SMUR). La surveillance de la glycémie maternelle (toutes les 15-30 minutes pendant 2-3 heures), de la fréquence cardiaque fœtale (RCF continu), et de l'état clinique maternel (conscience, FR, SpO2) est indispensable.</w:t>
      </w:r>
    </w:p>
    <w:p>
      <w:r/>
      <w:r>
        <w:rPr>
          <w:b/>
        </w:rPr>
        <w:t>Allaitement</w:t>
      </w:r>
      <w:r>
        <w:t xml:space="preserve"> : le glucagon passe faiblement dans le lait maternel en raison de son poids moléculaire élevé et de sa dégradation protéolytique digestive chez le nourrisson (le glucagon ingéré est dégradé par les enzymes protéolytiques digestives). Le glucagon est considéré comme compatible avec l'allaitement, y compris en cas d'administration maternelle aiguë pour hypoglycémie sévère. L'allaitement peut être poursuivi sans restriction. La diabète insulinotraité n'est pas une contre-indication à l'allaitement, mais la surveillance glycémique maternelle est renforcée (baisse des besoins insuliniques en post-partum immédiat, risque d'hypoglycémie majoré).</w:t>
      </w:r>
    </w:p>
    <w:p>
      <w:pPr>
        <w:pStyle w:val="Heading3"/>
      </w:pPr>
      <w:r>
        <w:t>191.16.8 Posologie et modes d'administration</w:t>
      </w:r>
    </w:p>
    <w:p>
      <w:r/>
      <w:r>
        <w:rPr>
          <w:b/>
        </w:rPr>
        <w:t>Posologie adulte (hypoglycémie sévère, coma)</w:t>
      </w:r>
      <w:r>
        <w:t xml:space="preserve"> : 1 mg IM ou SC (1 flacon de Glucagen Hypokit reconstitué avec 1 mL de solvant), à répéter après 15 minutes si inefficacité. Maximum 3 mg (3 doses) en 30 minutes. Privilégier la voie IM (résorption plus rapide et plus fiable que la voie SC en cas de choc, vasoconstriction). Dès l'obtention d'une voie veineuse, relais par glucosé hypertonique 30 % (100 mL IV en 5-10 minutes) ou 50 % (50 mL IV en 5 minutes).</w:t>
      </w:r>
    </w:p>
    <w:p>
      <w:r/>
      <w:r>
        <w:rPr>
          <w:b/>
        </w:rPr>
        <w:t>Posologie adulte (surdosage β-bloquant, défaillance hémodynamique)</w:t>
      </w:r>
      <w:r>
        <w:t xml:space="preserve"> : 5-10 mg IV en bolus lent (3-5 minutes), suivi d'une perfusion continue de 1-5 mg/h (en seringue électrique ou perfuseur, dilué dans NaCl 0,9 % ou glucosé 5 %), ajustée selon la réponse hémodynamique (cible : PA systolique &gt; 90 mmHg, FC &gt; 60/min, état de conscience amélioré). Durée de perfusion : 12-24 heures en général, prolongée jusqu'à 48 heures en cas d'ingestion massive de β-bloquant à demi-vie longue (propranolol, nadolol, sotalol). Surveillance continue en réanimation.</w:t>
      </w:r>
    </w:p>
    <w:p>
      <w:r/>
      <w:r>
        <w:rPr>
          <w:b/>
        </w:rPr>
        <w:t>Posologie adulte (surdosage ICA, choc réfractaire)</w:t>
      </w:r>
      <w:r>
        <w:t xml:space="preserve"> : 5-10 mg IV en bolus lent, suivi d'une perfusion continue de 1-5 mg/h, en association avec l'insulinothérapie hyperglycémique-euglycémique (insuline régulière 1 UI/kg en bolus puis 0,5-1 UI/kg/h, avec apport glucosé adapté pour maintenir la glycémie 7-11 mmol/L). Surveillance continue en réanimation.</w:t>
      </w:r>
    </w:p>
    <w:p>
      <w:r/>
      <w:r>
        <w:rPr>
          <w:b/>
        </w:rPr>
        <w:t>Posologie pédiatrique (hypoglycémie sévère)</w:t>
      </w:r>
      <w:r>
        <w:t xml:space="preserve"> : 0,5 mg IM ou SC chez l'enfant &lt; 25 kg (ou &lt; 6-8 ans), 1 mg IM ou SC chez l'enfant ≥ 25 kg. À répéter après 15 minutes si inefficacité. Chez le nouveau-né et le nourrisson &lt; 5 kg : 0,25 mg (1/4 de flacon = 0,25 mL de la solution reconstituée à 1 mg/mL) IM ou SC.</w:t>
      </w:r>
    </w:p>
    <w:p>
      <w:r/>
      <w:r>
        <w:rPr>
          <w:b/>
        </w:rPr>
        <w:t>Posologie (test au glucagon, exploration endocrinienne)</w:t>
      </w:r>
      <w:r>
        <w:t xml:space="preserve"> : 1 mg IV en bolus, dosage du cortisol, de l'ACTH, de l'hormone de croissance à T0, T30, T60, T90, T120, T150, T180 minutes.</w:t>
      </w:r>
    </w:p>
    <w:p>
      <w:r/>
      <w:r>
        <w:rPr>
          <w:b/>
        </w:rPr>
        <w:t>Mode d'administration</w:t>
      </w:r>
      <w:r>
        <w:t xml:space="preserve"> : (i) reconstituer le lyophilisat avec le solvant fourni (1 mL de solvant pour 1 mg de glucagon) en retournant doucement le flacon (ne pas agiter vigoureusement) ; (ii) aspirer la solution reconstituée dans la seringue ; (iii) administrer en IM (deltoïde, vastus lateralis, glute) ou SC (face externe du bras, face antérieure de la cuisse, paroi abdominale) selon l'indication ; (iv) en cas d'administration IV (surdosage β-bloquant/ICA), diluer dans 50-100 mL de NaCl 0,9 % ou glucosé 5 %, perfuser en 3-5 minutes pour le bolus, puis en perfusion continue à la dose prescrite ; (v) surveillance glycémique, potassique, hémodynamique (PA, FC, ECG, SpO2), de l'état de conscience.</w:t>
      </w:r>
    </w:p>
    <w:p>
      <w:pPr>
        <w:pStyle w:val="Heading3"/>
      </w:pPr>
      <w:r>
        <w:t>191.16.9 Formes galéniques disponibles</w:t>
      </w:r>
    </w:p>
    <w:p>
      <w:r>
        <w:t>Le glucagon est disponible en Algérie sous une seule forme galénique : poudre et solvant pour solution injectable, dosée à 1 mg/mL, en boîte de 1 flacon de poudre + 1 seringue de 1 mL de solvant (prête à l'emploi), commercialisée sous le nom de Glucagen Hypokit (Novo Nordisk). Cette formulation couvre la majorité des besoins cliniques hospitaliers et ambulatoires (hypoglycémie sévère, surdosage β-bloquant/ICA). Le conditionnement en seringue pré-remplie de solvant facilite l'administration par le patient lui-même ou par son entourage en cas d'hypoglycémie sévère hors structure médicale (à domicile, en milieu professionnel, en voyage).</w:t>
      </w:r>
    </w:p>
    <w:p>
      <w:r>
        <w:t>Les formes internationales récentes, non disponibles en Algérie, incluent : (i) Baqsimi (Eli Lilly), glucagon en spray nasal 3 mg/dose, commercialisé aux États-Unis depuis 2019 et en Europe depuis 2021 — pas de reconstitution, administration en 1 dose unique dans une narine, délai d'action 5-15 minutes, efficacité comparable à la forme IM, simplification majeure de l'administration en urgence ; (ii) Gvoke (Xeris Pharmaceuticals), glucagon en auto-injecteur prêt à l'emploi 0,5 mg (pour enfants 2-12 ans) et 1 mg (pour adultes et enfants ≥ 12 ans), commercialisé aux États-Unis depuis 2020 — pas de reconstitution, administration en IM ou SC en 1 geste, similaire à un stylo auto-injecteur d'épinéphrine (Epipen) ; (iii) Zegalogue (Zealand Pharma), glucagon en auto-injecteur et en stylo 0,6 mg/0,8 mg, commercialisé aux États-Unis depuis 2021 — formulation en solution aqueuse stable (sans reconstitution), administration SC. Ces formulations modernes simplifient considérablement l'administration en urgence, particulièrement pour les patients diabétiques à risque d'hypoglycémie sévère et leur entourage.</w:t>
      </w:r>
    </w:p>
    <w:p>
      <w:r>
        <w:t>La conservation de la poudre lyophilisée se fait à température ambiante (15-25 °C), à l'abri de la lumière, avec une péremption généralement de 2-3 ans. La solution reconstituée doit être utilisée immédiatement (stabilité 1 heure à température ambiante, ne pas congeler). Le Glucagen Hypokit peut être conservé à température ambiante pendant 24 mois en pharmacie et à domicile (alternative à la conservation au réfrigérateur à 2-8 °C, qui prolonge la péremption à 36 mois). Ne pas congeler.</w:t>
      </w:r>
    </w:p>
    <w:p>
      <w:pPr>
        <w:pStyle w:val="Heading3"/>
      </w:pPr>
      <w:r>
        <w:t>191.16.10 Conseils au patient et éducation thérapeutique</w:t>
      </w:r>
    </w:p>
    <w:p>
      <w:r>
        <w:t>Le glucagon administré en urgence hypoglycémique sévère est souvent administré par l'entourage du patient (conjoint, parent, enfant, ami) en l'absence de professionnel de santé. L'éducation thérapeutique porte principalement sur l'enseignement de l'administration par l'entourage, sur la prévention de la récidive hypoglycémique, et sur le suivi médical.</w:t>
      </w:r>
    </w:p>
    <w:p>
      <w:r/>
      <w:r>
        <w:rPr>
          <w:b/>
        </w:rPr>
        <w:t>Éducation de l'entourage à l'administration du glucagon</w:t>
      </w:r>
      <w:r>
        <w:t xml:space="preserve"> : (i) reconnaître les signes d'hypoglycémie sévère (coma, convulsions, confusion sévère, impossibilité de boire ou de manger) ; (ii) appeler le 14 (SAMU Algérie) en parallèle de l'administration du glucagon ; (iii) préparer le glucagon (reconstituer le lyophilisat avec le solvant fourni dans la seringue pré-remplie, en injectant le solvant dans le flacon de poudre, en agitant doucement) ; (iv) aspirer la solution reconstituée dans la seringue ; (v) administrer en IM (deltoïde ou cuisse) ou SC (face externe du bras, face antérieure de la cuisse, paroi abdominale) ; (vi) placer le patient en position latérale de sécurité (décubitus latéral gauche, pour prévenir l'inhalation en cas de vomissements) ; (vii) surveiller le réveil (10-15 minutes en général) ; (viii) en cas d'inefficacité après 15 minutes, répéter la dose si disponible ; (ix) dès le réveil, faire prendre des sucres lents (pain, biscuits, fruits) pour prévenir la récidive ; (x) consulter en urgence médicale (transport médicalisé) pour évaluation et surveillance hospitalière.</w:t>
      </w:r>
    </w:p>
    <w:p>
      <w:r/>
      <w:r>
        <w:rPr>
          <w:b/>
        </w:rPr>
        <w:t>Conseils aux patients diabétiques à risque d'hypoglycémie sévère</w:t>
      </w:r>
      <w:r>
        <w:t xml:space="preserve"> : (i) avoir toujours à disposition un kit de glucagon (Glucagen Hypokit) à domicile, en voyage, en milieu professionnel ; (ii) porter sur soi une carte ou un bracelet mentionnant le traitement insulinothérapie en cours (en cas d'urgence médicale) ; (iii) apprendre à l'entourage (conjoint, parents, enfants, collègues) à reconnaître les signes d'hypoglycémie et à administrer le glucagon ; (iv) surveiller la glycémie régulièrement (auto-surveillance glycémique 4-6 fois/jour en insulinothérapie intensive) ; (v) ne jamais sauter un repas après une injection d'insuline ; (vi) adapter les doses d'insuline en cas d'activité physique inhabituelle (effort physique = baisse des besoins insuliniques) ; (vii) signaler tout épisode d'hypoglycémie sévère à l'équipe diabétologique pour adaptation thérapeutique ; (viii) vérifier la péremption du glucagon tous les 6-12 mois et renouveler le kit si nécessaire.</w:t>
      </w:r>
    </w:p>
    <w:p>
      <w:r/>
      <w:r>
        <w:rPr>
          <w:b/>
        </w:rPr>
        <w:t>Conseils après un épisode d'hypoglycémie sévère</w:t>
      </w:r>
      <w:r>
        <w:t xml:space="preserve"> : (i) consulter en urgence médicale pour évaluation et surveillance hospitalière (24-48 heures) ; (ii) ajuster le traitement insulinothérapie (réduction des doses, modification du schéma) ; (iii) explorer les causes de l'hypoglycémie (insulinome, insuffisance surrénale, tumeur hépatique, alcoolisation) ; (iv) revoir l'éducation thérapeutique (auto-surveillance, alimentation, activité physique) ; (v) prévenir la récidive (adaptation des doses, disponibilité du glucagon) ; (vi) signaler l'épisode à l'assurance automobile (conséquences sur la conduite).</w:t>
      </w:r>
    </w:p>
    <w:p>
      <w:pPr>
        <w:pStyle w:val="Heading3"/>
      </w:pPr>
      <w:r>
        <w:t>191.16.11 Pièges au comptoir (règles d'or)</w:t>
      </w:r>
    </w:p>
    <w:p>
      <w:pPr>
        <w:pStyle w:val="ListNumber"/>
      </w:pPr>
      <w:r/>
      <w:r>
        <w:rPr>
          <w:b/>
        </w:rPr>
        <w:t>Règle d'or n°1 : glucagon = antidote d'urgence vitale.</w:t>
      </w:r>
      <w:r>
        <w:t xml:space="preserve"> Hypoglycémie sévère (coma, convulsions) en l'absence de voie veineuse. Surdosage β-bloquant/ICA avec défaillance hémodynamique.</w:t>
      </w:r>
    </w:p>
    <w:p>
      <w:pPr>
        <w:pStyle w:val="ListNumber"/>
      </w:pPr>
      <w:r/>
      <w:r>
        <w:rPr>
          <w:b/>
        </w:rPr>
        <w:t>Règle d'or n°2 : voie IM privilégiée pour l'hypoglycémie.</w:t>
      </w:r>
      <w:r>
        <w:t xml:space="preserve"> Résorption plus rapide et plus fiable que la voie SC en cas de choc, vasoconstriction. 1 mg IM adulte, 0,5 mg IM enfant &lt; 25 kg, 0,25 mg nourrisson &lt; 5 kg.</w:t>
      </w:r>
    </w:p>
    <w:p>
      <w:pPr>
        <w:pStyle w:val="ListNumber"/>
      </w:pPr>
      <w:r/>
      <w:r>
        <w:rPr>
          <w:b/>
        </w:rPr>
        <w:t>Règle d'or n°3 : voie IV pour le surdosage β-bloquant/ICA.</w:t>
      </w:r>
      <w:r>
        <w:t xml:space="preserve"> 5-10 mg IV en bolus lent (3-5 minutes), perfusion continue 1-5 mg/h, surveillance continue en réanimation.</w:t>
      </w:r>
    </w:p>
    <w:p>
      <w:pPr>
        <w:pStyle w:val="ListNumber"/>
      </w:pPr>
      <w:r/>
      <w:r>
        <w:rPr>
          <w:b/>
        </w:rPr>
        <w:t>Règle d'or n°4 : nausées et vomissements fréquents (30-50 %).</w:t>
      </w:r>
      <w:r>
        <w:t xml:space="preserve"> Risque d'inhalation chez le patient comateux. Décubitus latéral de sécurité, aspiration disponible, intubation prophylactique si coma profond (Glasgow &lt; 8).</w:t>
      </w:r>
    </w:p>
    <w:p>
      <w:pPr>
        <w:pStyle w:val="ListNumber"/>
      </w:pPr>
      <w:r/>
      <w:r>
        <w:rPr>
          <w:b/>
        </w:rPr>
        <w:t>Règle d'or n°5 : surveillance glycémique prolongée.</w:t>
      </w:r>
      <w:r>
        <w:t xml:space="preserve"> Hyperglycémie transitoire suivie d'hypoglycémie réactionnelle. Surveillance toutes les 15-30 minutes pendant 2-3 heures, puis toutes les 1-2 heures pendant 24 heures.</w:t>
      </w:r>
    </w:p>
    <w:p>
      <w:pPr>
        <w:pStyle w:val="ListNumber"/>
      </w:pPr>
      <w:r/>
      <w:r>
        <w:rPr>
          <w:b/>
        </w:rPr>
        <w:t>Règle d'or n°6 : hypokaliémie transitoire.</w:t>
      </w:r>
      <w:r>
        <w:t xml:space="preserve"> Effet insulinotrope paradoxal. Surveillance K+ en cas d'association aux digitaliques (risque d'arythmie).</w:t>
      </w:r>
    </w:p>
    <w:p>
      <w:pPr>
        <w:pStyle w:val="ListNumber"/>
      </w:pPr>
      <w:r/>
      <w:r>
        <w:rPr>
          <w:b/>
        </w:rPr>
        <w:t>Règle d'or n°7 : pas d'efficacité en cas d'épuisement des stocks hépatiques de glycogène.</w:t>
      </w:r>
      <w:r>
        <w:t xml:space="preserve"> Insuffisance hépatique sévère, jeûne prolongé, dénutrition sévère, anorexie mentale. Privilégier le glucosé hypertonique IV.</w:t>
      </w:r>
    </w:p>
    <w:p>
      <w:pPr>
        <w:pStyle w:val="ListNumber"/>
      </w:pPr>
      <w:r/>
      <w:r>
        <w:rPr>
          <w:b/>
        </w:rPr>
        <w:t>Règle d'or n°8 : contre-indication absolue = phéochromocytome, insulinome.</w:t>
      </w:r>
      <w:r>
        <w:t xml:space="preserve"> Phéochromocytome : risque de crise hypertensive (libération de catécholamines). Insulinome : risque d'hypoglycémie paradoxale (insulinotrope).</w:t>
      </w:r>
    </w:p>
    <w:p>
      <w:pPr>
        <w:pStyle w:val="ListNumber"/>
      </w:pPr>
      <w:r/>
      <w:r>
        <w:rPr>
          <w:b/>
        </w:rPr>
        <w:t>Règle d'or n°9 : association à l'insuline/glucose pour le surdosage ICA.</w:t>
      </w:r>
      <w:r>
        <w:t xml:space="preserve"> Insuline régulière 1 UI/kg/h + apport glucosé pour maintenir la glycémie 7-11 mmol/L. Surveillance en réanimation.</w:t>
      </w:r>
    </w:p>
    <w:p>
      <w:pPr>
        <w:pStyle w:val="ListNumber"/>
      </w:pPr>
      <w:r/>
      <w:r>
        <w:rPr>
          <w:b/>
        </w:rPr>
        <w:t>Règle d'or n°10 : perfusion continue prolongée (12-48 heures) pour les β-bloquants et ICA à demi-vie longue.</w:t>
      </w:r>
      <w:r>
        <w:t xml:space="preserve"> Propranolol, nadolol, sotalol, amlodipine. Surveillance continue.</w:t>
      </w:r>
    </w:p>
    <w:p>
      <w:pPr>
        <w:pStyle w:val="ListNumber"/>
      </w:pPr>
      <w:r/>
      <w:r>
        <w:rPr>
          <w:b/>
        </w:rPr>
        <w:t>Règle d'or n°11 : éducation de l'entourage à l'administration.</w:t>
      </w:r>
      <w:r>
        <w:t xml:space="preserve"> Conjoint, parents, enfants, collègues. Reconnaître les signes d'hypoglycémie, appeler le SAMU, préparer et administrer le glucagon, position latérale de sécurité, sucres lents au réveil.</w:t>
      </w:r>
    </w:p>
    <w:p>
      <w:pPr>
        <w:pStyle w:val="ListNumber"/>
      </w:pPr>
      <w:r/>
      <w:r>
        <w:rPr>
          <w:b/>
        </w:rPr>
        <w:t>Règle d'or n°12 : traçabilité absolue (Liste I).</w:t>
      </w:r>
      <w:r>
        <w:t xml:space="preserve"> Glucagen Hypokit en Liste I, prescription obligatoire, stockage en armoire sécurisée, traçabilité des flacons.</w:t>
      </w:r>
    </w:p>
    <w:p>
      <w:pPr>
        <w:pStyle w:val="Heading2"/>
      </w:pPr>
      <w:r>
        <w:t>191.17 DCI 7 : Calcium (Antidote des antagonistes calciques)</w:t>
      </w:r>
    </w:p>
    <w:p>
      <w:pPr>
        <w:pStyle w:val="Heading3"/>
      </w:pPr>
      <w:r>
        <w:t>191.17.1 Liste des catégories thérapeutiques et statut réglementaire</w:t>
      </w:r>
    </w:p>
    <w:p>
      <w:r>
        <w:t>Le calcium intraveineux, sous forme de gluconate de calcium (préféré en cas de voie veineuse périphérique en raison de son moindre caractère irritant) ou de chlorure de calcium (réservé à la voie veineuse centrale en raison de son caractère irritant et de son risque de nécrose en cas d'extravasation), appartient à la classe pharmacologique des minéraux et électrolytes (code ATC : A12AA — calcium ; A12AA03 — gluconate de calcium ; A12AA07 — chlorure de calcium ; V03AF03 — antidotes des antagonistes calciques). Il est inscrit sur la Liste I des substances vénéneuses en Algérie pour les formes injectables à usage antidote en urgence toxicologique. Le calcium figure sur la liste des médicaments essentiels de l'OMS (WHO Model List of Essential Medicines, 22ᵉ liste, 2023), dans la section « Minéraux » et dans la section « Antidotes et autres substances utilisées dans les intoxications ».</w:t>
      </w:r>
    </w:p>
    <w:p>
      <w:r>
        <w:t>Le calcium IV est classé comme médicament d'urgence vitale en cas d'intoxication par les inhibiteurs calciques (ICA : vérapamil, diltiazem, amlodipine, nicardipine, nimodipine, félodipine, lacidipine, lercanidipine), en cas d'hyperkaliémie menaçante, d'hypocalcémie sévère symptomatique, et de toxicité cardiaque des β-bloquants en association avec le glucagon. Il doit être disponible à tout moment dans les services d'urgences, de réanimation, de cardiologie, de néphrologie, et dans les pharmacies hospitalières. L'intoxication par les ICA reste gravissime (mortalité 5-15 % en cas d'ingestion massive), en raison de la défaillance myocardique et vasculaire (hypotension, bradycardie, troubles de la conduction, choc cardiogénique réfractaire), et la précocité de l'administration de calcium IV est essentielle pour restaurer une hémodynamique acceptable.</w:t>
      </w:r>
    </w:p>
    <w:p>
      <w:pPr>
        <w:pStyle w:val="Heading3"/>
      </w:pPr>
      <w:r>
        <w:t>191.17.2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CALCIPACK</w:t>
            </w:r>
          </w:p>
        </w:tc>
        <w:tc>
          <w:tcPr>
            <w:tcW w:type="dxa" w:w="1559"/>
          </w:tcPr>
          <w:p>
            <w:r>
              <w:rPr>
                <w:sz w:val="20"/>
              </w:rPr>
              <w:t>INDUSTRIES MEDICO-CHIRURGICALES (IMC)</w:t>
            </w:r>
          </w:p>
        </w:tc>
        <w:tc>
          <w:tcPr>
            <w:tcW w:type="dxa" w:w="1559"/>
          </w:tcPr>
          <w:p>
            <w:r>
              <w:rPr>
                <w:sz w:val="20"/>
              </w:rPr>
              <w:t>Solution injectable IV à diluer 10 g/100 mL (10 %)</w:t>
            </w:r>
          </w:p>
        </w:tc>
        <w:tc>
          <w:tcPr>
            <w:tcW w:type="dxa" w:w="1559"/>
          </w:tcPr>
          <w:p>
            <w:r>
              <w:rPr>
                <w:sz w:val="20"/>
              </w:rPr>
              <w:t>Boîte de 50 ampoules de 10 mL</w:t>
            </w:r>
          </w:p>
        </w:tc>
        <w:tc>
          <w:tcPr>
            <w:tcW w:type="dxa" w:w="1559"/>
          </w:tcPr>
          <w:p>
            <w:r>
              <w:rPr>
                <w:sz w:val="20"/>
              </w:rPr>
              <w:t>—</w:t>
            </w:r>
          </w:p>
        </w:tc>
        <w:tc>
          <w:tcPr>
            <w:tcW w:type="dxa" w:w="1559"/>
          </w:tcPr>
          <w:p>
            <w:r>
              <w:rPr>
                <w:sz w:val="20"/>
              </w:rPr>
              <w:t>ACTIF</w:t>
            </w:r>
          </w:p>
        </w:tc>
      </w:tr>
      <w:tr>
        <w:tc>
          <w:tcPr>
            <w:tcW w:type="dxa" w:w="1559"/>
          </w:tcPr>
          <w:p>
            <w:r>
              <w:rPr>
                <w:sz w:val="20"/>
              </w:rPr>
              <w:t>CALCIUM CHLORURE</w:t>
            </w:r>
          </w:p>
        </w:tc>
        <w:tc>
          <w:tcPr>
            <w:tcW w:type="dxa" w:w="1559"/>
          </w:tcPr>
          <w:p>
            <w:r>
              <w:rPr>
                <w:sz w:val="20"/>
              </w:rPr>
              <w:t>RENAUDIN</w:t>
            </w:r>
          </w:p>
        </w:tc>
        <w:tc>
          <w:tcPr>
            <w:tcW w:type="dxa" w:w="1559"/>
          </w:tcPr>
          <w:p>
            <w:r>
              <w:rPr>
                <w:sz w:val="20"/>
              </w:rPr>
              <w:t>Solution injectable IV 0,1</w:t>
            </w:r>
          </w:p>
        </w:tc>
        <w:tc>
          <w:tcPr>
            <w:tcW w:type="dxa" w:w="1559"/>
          </w:tcPr>
          <w:p>
            <w:r>
              <w:rPr>
                <w:sz w:val="20"/>
              </w:rPr>
              <w:t>Boîte de 100 ampoules de 10 mL</w:t>
            </w:r>
          </w:p>
        </w:tc>
        <w:tc>
          <w:tcPr>
            <w:tcW w:type="dxa" w:w="1559"/>
          </w:tcPr>
          <w:p>
            <w:r>
              <w:rPr>
                <w:sz w:val="20"/>
              </w:rPr>
              <w:t>—</w:t>
            </w:r>
          </w:p>
        </w:tc>
        <w:tc>
          <w:tcPr>
            <w:tcW w:type="dxa" w:w="1559"/>
          </w:tcPr>
          <w:p>
            <w:r>
              <w:rPr>
                <w:sz w:val="20"/>
              </w:rPr>
              <w:t>NON_RENOUVELABLE</w:t>
            </w:r>
          </w:p>
        </w:tc>
      </w:tr>
      <w:tr>
        <w:tc>
          <w:tcPr>
            <w:tcW w:type="dxa" w:w="1559"/>
          </w:tcPr>
          <w:p>
            <w:r>
              <w:rPr>
                <w:sz w:val="20"/>
              </w:rPr>
              <w:t>CALCIBRONAT</w:t>
            </w:r>
          </w:p>
        </w:tc>
        <w:tc>
          <w:tcPr>
            <w:tcW w:type="dxa" w:w="1559"/>
          </w:tcPr>
          <w:p>
            <w:r>
              <w:rPr>
                <w:sz w:val="20"/>
              </w:rPr>
              <w:t>NOVARTIS PHARMA S.A.</w:t>
            </w:r>
          </w:p>
        </w:tc>
        <w:tc>
          <w:tcPr>
            <w:tcW w:type="dxa" w:w="1559"/>
          </w:tcPr>
          <w:p>
            <w:r>
              <w:rPr>
                <w:sz w:val="20"/>
              </w:rPr>
              <w:t>Solution injectable IV 124 mg/mL</w:t>
            </w:r>
          </w:p>
        </w:tc>
        <w:tc>
          <w:tcPr>
            <w:tcW w:type="dxa" w:w="1559"/>
          </w:tcPr>
          <w:p>
            <w:r>
              <w:rPr>
                <w:sz w:val="20"/>
              </w:rPr>
              <w:t>Boîte de 5 ampoules de 10 mL</w:t>
            </w:r>
          </w:p>
        </w:tc>
        <w:tc>
          <w:tcPr>
            <w:tcW w:type="dxa" w:w="1559"/>
          </w:tcPr>
          <w:p>
            <w:r>
              <w:rPr>
                <w:sz w:val="20"/>
              </w:rPr>
              <w:t>—</w:t>
            </w:r>
          </w:p>
        </w:tc>
        <w:tc>
          <w:tcPr>
            <w:tcW w:type="dxa" w:w="1559"/>
          </w:tcPr>
          <w:p>
            <w:r>
              <w:rPr>
                <w:sz w:val="20"/>
              </w:rPr>
              <w:t>RETRAIT</w:t>
            </w:r>
          </w:p>
        </w:tc>
      </w:tr>
      <w:tr>
        <w:tc>
          <w:tcPr>
            <w:tcW w:type="dxa" w:w="1559"/>
          </w:tcPr>
          <w:p>
            <w:r>
              <w:rPr>
                <w:sz w:val="20"/>
              </w:rPr>
              <w:t>CALCIUM-MEDIFA</w:t>
            </w:r>
          </w:p>
        </w:tc>
        <w:tc>
          <w:tcPr>
            <w:tcW w:type="dxa" w:w="1559"/>
          </w:tcPr>
          <w:p>
            <w:r>
              <w:rPr>
                <w:sz w:val="20"/>
              </w:rPr>
              <w:t>MEDIFA</w:t>
            </w:r>
          </w:p>
        </w:tc>
        <w:tc>
          <w:tcPr>
            <w:tcW w:type="dxa" w:w="1559"/>
          </w:tcPr>
          <w:p>
            <w:r>
              <w:rPr>
                <w:sz w:val="20"/>
              </w:rPr>
              <w:t>Solution injectable IV 0,6875 g/5 mL</w:t>
            </w:r>
          </w:p>
        </w:tc>
        <w:tc>
          <w:tcPr>
            <w:tcW w:type="dxa" w:w="1559"/>
          </w:tcPr>
          <w:p>
            <w:r>
              <w:rPr>
                <w:sz w:val="20"/>
              </w:rPr>
              <w:t>Boîte de 10 ampoules de 5 mL</w:t>
            </w:r>
          </w:p>
        </w:tc>
        <w:tc>
          <w:tcPr>
            <w:tcW w:type="dxa" w:w="1559"/>
          </w:tcPr>
          <w:p>
            <w:r>
              <w:rPr>
                <w:sz w:val="20"/>
              </w:rPr>
              <w:t>—</w:t>
            </w:r>
          </w:p>
        </w:tc>
        <w:tc>
          <w:tcPr>
            <w:tcW w:type="dxa" w:w="1559"/>
          </w:tcPr>
          <w:p>
            <w:r>
              <w:rPr>
                <w:sz w:val="20"/>
              </w:rPr>
              <w:t>RETRAIT</w:t>
            </w:r>
          </w:p>
        </w:tc>
      </w:tr>
      <w:tr>
        <w:tc>
          <w:tcPr>
            <w:tcW w:type="dxa" w:w="1559"/>
          </w:tcPr>
          <w:p>
            <w:r>
              <w:rPr>
                <w:sz w:val="20"/>
              </w:rPr>
              <w:t>CALCIUM SANDOZ</w:t>
            </w:r>
          </w:p>
        </w:tc>
        <w:tc>
          <w:tcPr>
            <w:tcW w:type="dxa" w:w="1559"/>
          </w:tcPr>
          <w:p>
            <w:r>
              <w:rPr>
                <w:sz w:val="20"/>
              </w:rPr>
              <w:t>SANDOZ</w:t>
            </w:r>
          </w:p>
        </w:tc>
        <w:tc>
          <w:tcPr>
            <w:tcW w:type="dxa" w:w="1559"/>
          </w:tcPr>
          <w:p>
            <w:r>
              <w:rPr>
                <w:sz w:val="20"/>
              </w:rPr>
              <w:t>Comprimé effervescent 500 mg</w:t>
            </w:r>
          </w:p>
        </w:tc>
        <w:tc>
          <w:tcPr>
            <w:tcW w:type="dxa" w:w="1559"/>
          </w:tcPr>
          <w:p>
            <w:r>
              <w:rPr>
                <w:sz w:val="20"/>
              </w:rPr>
              <w:t>Boîte de 20</w:t>
            </w:r>
          </w:p>
        </w:tc>
        <w:tc>
          <w:tcPr>
            <w:tcW w:type="dxa" w:w="1559"/>
          </w:tcPr>
          <w:p>
            <w:r>
              <w:rPr>
                <w:sz w:val="20"/>
              </w:rPr>
              <w:t>—</w:t>
            </w:r>
          </w:p>
        </w:tc>
        <w:tc>
          <w:tcPr>
            <w:tcW w:type="dxa" w:w="1559"/>
          </w:tcPr>
          <w:p>
            <w:r>
              <w:rPr>
                <w:sz w:val="20"/>
              </w:rPr>
              <w:t>RETRAIT</w:t>
            </w:r>
          </w:p>
        </w:tc>
      </w:tr>
      <w:tr>
        <w:tc>
          <w:tcPr>
            <w:tcW w:type="dxa" w:w="1559"/>
          </w:tcPr>
          <w:p>
            <w:r>
              <w:rPr>
                <w:sz w:val="20"/>
              </w:rPr>
              <w:t>CALCIUM SANDOZ</w:t>
            </w:r>
          </w:p>
        </w:tc>
        <w:tc>
          <w:tcPr>
            <w:tcW w:type="dxa" w:w="1559"/>
          </w:tcPr>
          <w:p>
            <w:r>
              <w:rPr>
                <w:sz w:val="20"/>
              </w:rPr>
              <w:t>SANDOZ</w:t>
            </w:r>
          </w:p>
        </w:tc>
        <w:tc>
          <w:tcPr>
            <w:tcW w:type="dxa" w:w="1559"/>
          </w:tcPr>
          <w:p>
            <w:r>
              <w:rPr>
                <w:sz w:val="20"/>
              </w:rPr>
              <w:t>Poudre en sachet pour solution buvable 3,40 g/0,150 g/sachet (500 mg en calcium élément)</w:t>
            </w:r>
          </w:p>
        </w:tc>
        <w:tc>
          <w:tcPr>
            <w:tcW w:type="dxa" w:w="1559"/>
          </w:tcPr>
          <w:p>
            <w:r>
              <w:rPr>
                <w:sz w:val="20"/>
              </w:rPr>
              <w:t>Boîte de 30</w:t>
            </w:r>
          </w:p>
        </w:tc>
        <w:tc>
          <w:tcPr>
            <w:tcW w:type="dxa" w:w="1559"/>
          </w:tcPr>
          <w:p>
            <w:r>
              <w:rPr>
                <w:sz w:val="20"/>
              </w:rPr>
              <w:t>—</w:t>
            </w:r>
          </w:p>
        </w:tc>
        <w:tc>
          <w:tcPr>
            <w:tcW w:type="dxa" w:w="1559"/>
          </w:tcPr>
          <w:p>
            <w:r>
              <w:rPr>
                <w:sz w:val="20"/>
              </w:rPr>
              <w:t>RETRAIT</w:t>
            </w:r>
          </w:p>
        </w:tc>
      </w:tr>
      <w:tr>
        <w:tc>
          <w:tcPr>
            <w:tcW w:type="dxa" w:w="1559"/>
          </w:tcPr>
          <w:p>
            <w:r>
              <w:rPr>
                <w:sz w:val="20"/>
              </w:rPr>
              <w:t>SANDOCAL</w:t>
            </w:r>
          </w:p>
        </w:tc>
        <w:tc>
          <w:tcPr>
            <w:tcW w:type="dxa" w:w="1559"/>
          </w:tcPr>
          <w:p>
            <w:r>
              <w:rPr>
                <w:sz w:val="20"/>
              </w:rPr>
              <w:t>NOVARTIS PHARMA S.A.</w:t>
            </w:r>
          </w:p>
        </w:tc>
        <w:tc>
          <w:tcPr>
            <w:tcW w:type="dxa" w:w="1559"/>
          </w:tcPr>
          <w:p>
            <w:r>
              <w:rPr>
                <w:sz w:val="20"/>
              </w:rPr>
              <w:t>Poudre pour solution buvable en sachet</w:t>
            </w:r>
          </w:p>
        </w:tc>
        <w:tc>
          <w:tcPr>
            <w:tcW w:type="dxa" w:w="1559"/>
          </w:tcPr>
          <w:p>
            <w:r>
              <w:rPr>
                <w:sz w:val="20"/>
              </w:rPr>
              <w:t>Boîte de 30 sachets</w:t>
            </w:r>
          </w:p>
        </w:tc>
        <w:tc>
          <w:tcPr>
            <w:tcW w:type="dxa" w:w="1559"/>
          </w:tcPr>
          <w:p>
            <w:r>
              <w:rPr>
                <w:sz w:val="20"/>
              </w:rPr>
              <w:t>—</w:t>
            </w:r>
          </w:p>
        </w:tc>
        <w:tc>
          <w:tcPr>
            <w:tcW w:type="dxa" w:w="1559"/>
          </w:tcPr>
          <w:p>
            <w:r>
              <w:rPr>
                <w:sz w:val="20"/>
              </w:rPr>
              <w:t>RETRAIT</w:t>
            </w:r>
          </w:p>
        </w:tc>
      </w:tr>
      <w:tr>
        <w:tc>
          <w:tcPr>
            <w:tcW w:type="dxa" w:w="1559"/>
          </w:tcPr>
          <w:p>
            <w:r>
              <w:rPr>
                <w:sz w:val="20"/>
              </w:rPr>
              <w:t>CALCIBON</w:t>
            </w:r>
          </w:p>
        </w:tc>
        <w:tc>
          <w:tcPr>
            <w:tcW w:type="dxa" w:w="1559"/>
          </w:tcPr>
          <w:p>
            <w:r>
              <w:rPr>
                <w:sz w:val="20"/>
              </w:rPr>
              <w:t>ALPHARM SPA</w:t>
            </w:r>
          </w:p>
        </w:tc>
        <w:tc>
          <w:tcPr>
            <w:tcW w:type="dxa" w:w="1559"/>
          </w:tcPr>
          <w:p>
            <w:r>
              <w:rPr>
                <w:sz w:val="20"/>
              </w:rPr>
              <w:t>Comprimé 500 mg</w:t>
            </w:r>
          </w:p>
        </w:tc>
        <w:tc>
          <w:tcPr>
            <w:tcW w:type="dxa" w:w="1559"/>
          </w:tcPr>
          <w:p>
            <w:r>
              <w:rPr>
                <w:sz w:val="20"/>
              </w:rPr>
              <w:t>Boîte de 50</w:t>
            </w:r>
          </w:p>
        </w:tc>
        <w:tc>
          <w:tcPr>
            <w:tcW w:type="dxa" w:w="1559"/>
          </w:tcPr>
          <w:p>
            <w:r>
              <w:rPr>
                <w:sz w:val="20"/>
              </w:rPr>
              <w:t>—</w:t>
            </w:r>
          </w:p>
        </w:tc>
        <w:tc>
          <w:tcPr>
            <w:tcW w:type="dxa" w:w="1559"/>
          </w:tcPr>
          <w:p>
            <w:r>
              <w:rPr>
                <w:sz w:val="20"/>
              </w:rPr>
              <w:t>RETRAIT</w:t>
            </w:r>
          </w:p>
        </w:tc>
      </w:tr>
      <w:tr>
        <w:tc>
          <w:tcPr>
            <w:tcW w:type="dxa" w:w="1559"/>
          </w:tcPr>
          <w:p>
            <w:r>
              <w:rPr>
                <w:sz w:val="20"/>
              </w:rPr>
              <w:t>OROCAL</w:t>
            </w:r>
          </w:p>
        </w:tc>
        <w:tc>
          <w:tcPr>
            <w:tcW w:type="dxa" w:w="1559"/>
          </w:tcPr>
          <w:p>
            <w:r>
              <w:rPr>
                <w:sz w:val="20"/>
              </w:rPr>
              <w:t>THERAMEX</w:t>
            </w:r>
          </w:p>
        </w:tc>
        <w:tc>
          <w:tcPr>
            <w:tcW w:type="dxa" w:w="1559"/>
          </w:tcPr>
          <w:p>
            <w:r>
              <w:rPr>
                <w:sz w:val="20"/>
              </w:rPr>
              <w:t>Comprimé à sucer 500 mg de calcium élément</w:t>
            </w:r>
          </w:p>
        </w:tc>
        <w:tc>
          <w:tcPr>
            <w:tcW w:type="dxa" w:w="1559"/>
          </w:tcPr>
          <w:p>
            <w:r>
              <w:rPr>
                <w:sz w:val="20"/>
              </w:rPr>
              <w:t>Boîte de 60</w:t>
            </w:r>
          </w:p>
        </w:tc>
        <w:tc>
          <w:tcPr>
            <w:tcW w:type="dxa" w:w="1559"/>
          </w:tcPr>
          <w:p>
            <w:r>
              <w:rPr>
                <w:sz w:val="20"/>
              </w:rPr>
              <w:t>—</w:t>
            </w:r>
          </w:p>
        </w:tc>
        <w:tc>
          <w:tcPr>
            <w:tcW w:type="dxa" w:w="1559"/>
          </w:tcPr>
          <w:p>
            <w:r>
              <w:rPr>
                <w:sz w:val="20"/>
              </w:rPr>
              <w:t>RETRAIT</w:t>
            </w:r>
          </w:p>
        </w:tc>
      </w:tr>
      <w:tr>
        <w:tc>
          <w:tcPr>
            <w:tcW w:type="dxa" w:w="1559"/>
          </w:tcPr>
          <w:p>
            <w:r>
              <w:rPr>
                <w:sz w:val="20"/>
              </w:rPr>
              <w:t>ENERGIVERSAL</w:t>
            </w:r>
          </w:p>
        </w:tc>
        <w:tc>
          <w:tcPr>
            <w:tcW w:type="dxa" w:w="1559"/>
          </w:tcPr>
          <w:p>
            <w:r>
              <w:rPr>
                <w:sz w:val="20"/>
              </w:rPr>
              <w:t>PRIME UNIVERSAL</w:t>
            </w:r>
          </w:p>
        </w:tc>
        <w:tc>
          <w:tcPr>
            <w:tcW w:type="dxa" w:w="1559"/>
          </w:tcPr>
          <w:p>
            <w:r>
              <w:rPr>
                <w:sz w:val="20"/>
              </w:rPr>
              <w:t>Comprimé effervescent 500 mg</w:t>
            </w:r>
          </w:p>
        </w:tc>
        <w:tc>
          <w:tcPr>
            <w:tcW w:type="dxa" w:w="1559"/>
          </w:tcPr>
          <w:p>
            <w:r>
              <w:rPr>
                <w:sz w:val="20"/>
              </w:rPr>
              <w:t>Boîte de 16</w:t>
            </w:r>
          </w:p>
        </w:tc>
        <w:tc>
          <w:tcPr>
            <w:tcW w:type="dxa" w:w="1559"/>
          </w:tcPr>
          <w:p>
            <w:r>
              <w:rPr>
                <w:sz w:val="20"/>
              </w:rPr>
              <w:t>—</w:t>
            </w:r>
          </w:p>
        </w:tc>
        <w:tc>
          <w:tcPr>
            <w:tcW w:type="dxa" w:w="1559"/>
          </w:tcPr>
          <w:p>
            <w:r>
              <w:rPr>
                <w:sz w:val="20"/>
              </w:rPr>
              <w:t>RETRAIT</w:t>
            </w:r>
          </w:p>
        </w:tc>
      </w:tr>
    </w:tbl>
    <w:p/>
    <w:p>
      <w:r>
        <w:t>Le calcium IV adapté à l'urgence toxicologique reste disponible en Algérie sous une seule spécialité active : Calcipack (Industries Medico-Chirurgicales IMC), en solution injectable IV à diluer, dosée à 10 g/100 mL (10 %), en boîte de 50 ampoules de 10 mL. Cette production locale (IMC, Alger) couvre la totalité des besoins nationaux pour l'antagonisation des ICA en urgence. Chaque ampoule de 10 mL contient 1 g de calcium (sous forme de gluconate de calcium), ce qui correspond à 8,9 mg = 4,5 mEq = 0,225 mmol/kg de calcium élément.</w:t>
      </w:r>
    </w:p>
    <w:p>
      <w:r>
        <w:t>Les formes orales de calcium disponibles (Calcios, Calcium BR, Calperos, Kalcitab, Ossecal, Calcium API, IDEOS, Calcium D3 Ival, Calcium D3 Novagenerics, Calcium D3 Sophal, Densical Calcium D3, Fixecal, KINADYN-OS, OSSE D3, OSSEANS D3, SUPEROS D3, CALCIPACK, Calcial, Calcifor, Calcium Novagenerics, Calcimed, Doxium — ce dernier étant un Calcium dobesilate, médicament veino-tonique non adapté à l'urgence toxicologique) ne sont pas adaptées à l'urgence (effet trop lent, biodisponibilité variable), mais illustrent l'importance de cette classe en supplémentation osseuse (ostéoporose, ostéopénie, hypocalcémie chronique, supplémentation de la grossesse et de l'allaitement). Les spécialités historiques Calcium Chlorure (Renaudin) en solution injectable IV 0,1 sont non renouvelables, ainsi que Calcibronat (Novartis) en solution injectable IV 124 mg/mL, Calcium-Medifa en solution injectable IV 0,6875 g/5 mL et Calcium Sandoz (effervescent) qui sont retirées du marché. Aucune forme de chlorure de calcium IV (préférée en cas d'arrêt cardiaque réfractaire pour son caractère plus concentré en calcium élément par mL) n'est actuellement disponible en Algérie.</w:t>
      </w:r>
    </w:p>
    <w:p>
      <w:pPr>
        <w:pStyle w:val="Heading3"/>
      </w:pPr>
      <w:r>
        <w:t>191.17.3 Mécanisme d'action moléculaire et cellulaire</w:t>
      </w:r>
    </w:p>
    <w:p>
      <w:r>
        <w:t>Les inhibiteurs calciques (ICA) sont une classe hétérogène d'antihypertenseurs et d'antiangoreux qui partagent la propriété de bloquer sélectivement les canaux calciques voltage-dépendants de type L (Cav1.2) au niveau du muscle lisse vasculaire (effet vasodilatateur artériel) et du myocyte cardiaque (effet dépresseur myocardique, bradycardisant, et ralentisseur de la conduction nodale). Les ICA se divisent en trois sous-classes : (i) les dihydropyridines (DHP : amlodipine, nicardipine, nimodipine, félodipine, lacidipine, lercanidipine, nifédipine) qui bloquent préférentiellement les canaux vasculaires (vasodilatation artérielle prédominante, tachycardie réflexe, œdèmes des membres inférieurs) ; (ii) les non-dihydropyridines phénylalkylamines (vérapamil) qui bloquent préférentiellement les canaux cardiaques (dépression myocardique, bradycardie, ralentissement de la conduction AV, effet antiarythmique) ; (iii) les non-dihydropyridines benzothiazépines (diltiazem) qui ont un profil intermédiaire (vasodilatation modérée, dépression myocardique modérée, ralentissement de la conduction AV).</w:t>
      </w:r>
    </w:p>
    <w:p>
      <w:r>
        <w:t>En cas d'intoxication par les ICA en surdosage, le blocage massif des canaux calciques voltage-dépendants L-type induit une hypocalcémie intracellulaire (réduction de l'influx calcique), responsable d'une défaillance de la contraction myocardique (effet inotrope négatif) et d'une vasodilatation artérielle périphérique (hypotension). Le couplage excitation-contraction est altéré : la libération de calcium du réticulum sarcoplasmique via le récepteur de la ryanodine (RyR2) est réduite, la fixation du calcium à la troponine C est diminuée, l'activation des filaments d'actine et de myosine est insuffisante, et la force de contraction est diminuée. Au niveau vasculaire, la diminution de l'influx calcique intracellulaire réduit l'activation de la calmoduline, de la myosine light chain kinase (MLCK), et la phosphorylation de la chaîne légère de la myosine, induisant une vasodilatation artérielle périphérique.</w:t>
      </w:r>
    </w:p>
    <w:p>
      <w:r>
        <w:t>Le calcium IV agit comme antidote en restaurant le gradient calcique transmembranaire et en augmentant l'influx calcique extracellulaire vers le cytoplasme. Le calcium IV augmente la calcémie extracellulaire (de 2,2-2,6 mmol/L à 3,5-5 mmol/L), ce qui crée un gradient transmembranaire plus important et force l'entrée de calcium dans les cellules malgré le blocage partiel des canaux calciques par les ICA. Le calcium IV restaure ainsi l'inotropie myocardique (force de contraction), la vasoconstriction artérielle systémique (tonus vasculaire), et la conduction cardiaque. Le gluconate de calcium IV (1 g = 10 mL de solution à 10 % = 4,5 mEq de calcium élément) est administré en bolus IV lent (5-10 minutes), relayé éventuellement par une perfusion d'entretien (0,5-1,5 mL/kg/h de solution à 10 %, soit 0,05-0,15 mg/kg/h de calcium élément). Le chlorure de calcium IV (1 g = 10 mL de solution à 10 % = 13,6 mEq de calcium élément, soit 3 fois plus concentré que le gluconate) est réservé à l'arrêt cardiaque réfractaire aux catécholamines (perfusion en voie veineuse centrale stricte en raison du risque de nécrose en cas d'extravasation).</w:t>
      </w:r>
    </w:p>
    <w:p>
      <w:r>
        <w:t>Le calcium IV est associé systématiquement à l'insulinothérapie hyperglycémique-euglycémique (insuline régulière 1 UI/kg en bolus puis 0,5-1 UI/kg/h, avec apport glucosé adapté pour maintenir la glycémie 7-11 mmol/L) en cas d'intoxication sévère ICA, protocole théorisé par Lheureux et coll. (2004-2006) à l'Université Catholique de Louvain (Belgique). L'insuline à haute dose augmente l'inotropie myocardique par un mécanisme indépendant du calcium (amélioration de la captation du glucose par les cardiomyocytes, restauration de la production d'ATP, activation de la PI3-kinase et de la voie Akt, stimulation de la pompe Na+/K+ ATPase, réduction de la surcharge calcique mitochondriale). L'association calcium + insuline/glucose est synergique et améliore significativement la survie en cas d'intoxication sévère ICA.</w:t>
      </w:r>
    </w:p>
    <w:p>
      <w:pPr>
        <w:pStyle w:val="Heading3"/>
      </w:pPr>
      <w:r>
        <w:t>191.17.4 Profil pharmacocinétique, indications, contre-indications, effets indésirables</w:t>
      </w:r>
    </w:p>
    <w:p>
      <w:r/>
      <w:r>
        <w:rPr>
          <w:b/>
        </w:rPr>
        <w:t>Pharmacocinétique</w:t>
      </w:r>
      <w:r>
        <w:t xml:space="preserve"> : le calcium IV administré en bolus atteint sa concentration plasmatique maximale en 1-2 minutes, avec un effet clinique immédiat (restauration de l'inotropie myocardique et de la pression artérielle). Le calcium ionisé (Ca2+, forme active, 50 % du calcium total plasmatique) est régulé par la parathormone (PTH), la vitamine D, et la calcitonine. La demi-vie d'élimination du calcium IV est courte (30-60 minutes), imposant une perfusion d'entretien en cas d'intoxication prolongée. La distribution est large (Vd ≈ 15-20 L), avec une captation osseuse prédominante (99 % du calcium corporel est dans l'os), cellulaire (muscle, foie, rein), et extracellulaire (plasma, liquide interstitiel). La fixation protéique plasmatique est importante (40 % sur l'albumine, 10 % sur les globulines). L'élimination est essentiellement rénale (filtration glomérulaire et réabsorption tubulaire), avec une clairance de 2-5 L/j. En cas d'insuffisance rénale, le calcium s'accumule (hypercalcémie).</w:t>
      </w:r>
    </w:p>
    <w:p>
      <w:r/>
      <w:r>
        <w:rPr>
          <w:b/>
        </w:rPr>
        <w:t>Indications</w:t>
      </w:r>
      <w:r>
        <w:t xml:space="preserve"> : (i) antidote de l'intoxication par les inhibiteurs calciques (vérapamil, diltiazem, amlodipine, nicardipine, nimodipine, félodipine, lacidipine, lercanidipine, nifédipine) avec défaillance hémodynamique (hypotension, bradycardie, troubles de la conduction, choc cardiogénique) : gluconate de calcium 10 % 10-20 mL IV en bolus (1-2 g = 4,5-9 mEq), relayé par perfusion continue 0,5-1,5 mL/kg/h, en association à l'insulinothérapie hyperglycémique-euglycémique ; (ii) antidote de l'hyperkaliémie menaçante (K+ &gt; 6,5 mmol/L avec modifications ECG : ondes T pointues, élargissement QRS, troubles du rythme) : gluconate de calcium 10 % 10-30 mL IV en bolus (1-3 g), à répéter selon l'ECG. Le calcium IV stabilise la membrane myocardique et prévient les arythmies sans modifier la kaliémie (à associer à d'autres traitements hypokaliémiants : insuline + glucose, salbutamol nébulisé, bicarbonate de sodium, résines échangeuses d'ions, hémodialyse) ; (iii) antidote de l'hypocalcémie sévère symptomatique (tetanie, convulsions, laryngospasme, Chvostek, Trousseau, allongement du QT) : gluconate de calcium 10 % 10-20 mL IV en bolus, relayé par perfusion continue ; (iv) antidote de la toxicité cardiaque des β-bloquants en association avec le glucagon ; (v) antidote de l'intoxication par les antagonistes du magnésium (hypermagnésémie, intoxication aux sels de magnésium) : le calcium antagonise l'effet dépresseur myocardique et respiratoire du magnésium ; (vi) traitement du tétanos (calcithérapie IV pour antagoniser les effets neurotoxiques de la toxine tétanique sur les canaux calciques présynaptiques) ; (vii) traitement des morsures de veuve noire (latrodectisme, dont le venin contient α-latrotoxine qui ouvre les canaux calciques présynaptiques) ; (viii) traitement de la toxicité cardiaque de l'hyperkaliémie des digitaliques (à associer à l'insuline + glucose et aux Fab anti-digitaliques) ; (ix) traitement de l'hypocalcémie de l'insuffisance rénale chronique et de l'hypoparathyroïdie.</w:t>
      </w:r>
    </w:p>
    <w:p>
      <w:r/>
      <w:r>
        <w:rPr>
          <w:b/>
        </w:rPr>
        <w:t>Contre-indications</w:t>
      </w:r>
      <w:r>
        <w:t xml:space="preserve"> : (i) hypersensibilité connue au calcium ou à l'un des excipients ; (ii) hypercalcémie symptomatique (calcémie &gt; 3 mmol/L, troubles du rythme, calcifications tissulaires) — surveillance stricte de la calcémie sous perfusion continue ; (iii) digitaliques (digoxine, digitoxine) à dose thérapeutique : le calcium IV potentialise la toxicité digitalique (risque d'arythmie ventriculaire grave), à éviter ou à administrer à très faibles doses sous surveillance ECG stricte (l'ancienne contre-indication absolue est aujourd'hui nuancée : en cas d'hyperkaliémie menaçante associée à un traitement digitalique, le calcium IV reste indiqué en bolus lent sous surveillance ECG) ; (iv) insuffisance rénale sévère (clairance créatinine &lt; 30 mL/min) : risque d'hypercalcémie et de calcifications tissulaires, adaptation posologique et surveillance calcémie ; (v) sarcoïdose, hyperparathyroïdie, myélome multiple : risque d'hypercalcémie ; (vi) perfusion de chlorure de calcium IV en voie veineuse périphérique (risque de nécrose en cas d'extravasation) — voie veineuse centrale stricte ; (vii) perfusion IV rapide (risque de bradycardie sinusale, bloc auriculo-ventriculaire, arrêt cardiaque) — perfusion lente (5-10 minutes pour le bolus) sous surveillance ECG stricte ; (viii) syndrome de l'huile (rare, hypercalcémie idiopathique) ; (ix) calciphylaxie (rare, nécrose cutanée par calcification des vaisseaux dermiques).</w:t>
      </w:r>
    </w:p>
    <w:p>
      <w:r/>
      <w:r>
        <w:rPr>
          <w:b/>
        </w:rPr>
        <w:t>Effets indésirables</w:t>
      </w:r>
      <w:r>
        <w:t xml:space="preserve"> : le profil de tolérance du calcium IV est dominé par les effets cardiovasculaires et métaboliques : (i) bradycardie sinusale, bloc auriculo-ventriculaire, arrêt cardiaque (en cas de perfusion IV rapide, surtout avec le chlorure de calcium plus concentré) — surveillance ECG continue, perfusion lente (5-10 minutes) ; (ii) flush facial, sensation de chaleur (vasodilatation), céphalées, vertiges ; (iii) nausées, vomissements (effet central) ; (iv) goût métallique (sensation de chaulky ou de craie dans la bouche) ; (v) hypotension transitoire (vasodilatation splanchnique), surtout en IV bolus rapide ; (vi) hypercalcémie (calcémie &gt; 3 mmol/L) en cas de perfusion prolongée ou de surdosage : confusion, polyurie-polydipsie, constipation, anorexie, nausées, vomissements, calcifications tissulaires (néphrocalcinose, calcifications vasculaires), troubles du rythme (QT court, arythmies ventriculaires) ; (vii) néphrolithiase calcique (à long terme) ; (viii) nécrose cutanée et tissulaire (en cas d'extravasation, surtout avec le chlorure de calcium) ; (ix) thrombophlébite au point d'injection (en cas de perfusion prolongée en voie veineuse périphérique, surtout avec le chlorure de calcium) ; (x) réactions d'hypersensibilité (rares, urticaire, rash, prurit, anaphylaxie exceptionnelle).</w:t>
      </w:r>
    </w:p>
    <w:p>
      <w:pPr>
        <w:pStyle w:val="Heading3"/>
      </w:pPr>
      <w:r>
        <w:t>191.17.5 Prévention et gestion des effets indésirables</w:t>
      </w:r>
    </w:p>
    <w:p>
      <w:r>
        <w:t>La prévention des effets indésirables du calcium IV repose sur la lenteur de perfusion, le choix de la formulation (gluconate versus chlorure), la voie veineuse (périphérique versus centrale), et la surveillance ECG et calcémie.</w:t>
      </w:r>
    </w:p>
    <w:p>
      <w:r/>
      <w:r>
        <w:rPr>
          <w:b/>
        </w:rPr>
        <w:t>Perfusion IV lente obligatoire</w:t>
      </w:r>
      <w:r>
        <w:t xml:space="preserve"> : le calcium IV doit être perfusé lentement (5-10 minutes pour le bolus, sous surveillance ECG continue), en raison du risque de bradycardie sinusale, de bloc auriculo-ventriculaire, et d'arrêt cardiaque en cas de perfusion IV rapide. La perfusion IV directe en bolus est contre-indiquée (sauf arrêt cardiaque réanimé en urgence vitale). En cas d'apparition de bradycardie ou de trouble du rythme pendant la perfusion, ralentir ou interrompre transitoirement la perfusion. La perfusion continue d'entretien (0,5-1,5 mL/kg/h de solution à 10 %) doit être administrée sous surveillance ECG continue en réanimation.</w:t>
      </w:r>
    </w:p>
    <w:p>
      <w:r/>
      <w:r>
        <w:rPr>
          <w:b/>
        </w:rPr>
        <w:t>Choix de la formulation</w:t>
      </w:r>
      <w:r>
        <w:t xml:space="preserve"> : le gluconate de calcium (Calcipack) est préféré à la voie veineuse périphérique en raison de son moindre caractère irritant. Chaque ampoule de 10 mL contient 1 g de gluconate de calcium = 4,5 mEq = 0,225 mmol/kg de calcium élément. Le chlorure de calcium (non disponible en Algérie à la date de cette nomenclature) est réservé à la voie veineuse centrale stricte en cas d'arrêt cardiaque réfractaire aux catécholamines (chaque ampoule de 10 mL contient 1 g de chlorure de calcium = 13,6 mEq = 0,68 mmol/kg de calcium élément, soit 3 fois plus concentré que le gluconate). En cas d'arrêt cardiaque, le chlorure de calcium 10 % 10 mL IV (1 g) en bolus direct peut être administré en urgence vitale, sous massage cardiaque externe.</w:t>
      </w:r>
    </w:p>
    <w:p>
      <w:r/>
      <w:r>
        <w:rPr>
          <w:b/>
        </w:rPr>
        <w:t>Choix de la voie veineuse</w:t>
      </w:r>
      <w:r>
        <w:t xml:space="preserve"> : la voie veineuse périphérique est acceptable pour le gluconate de calcium (moins irritant), mais avec une surveillance de l'absence d'extravasation (œdème, douleur, nécrose possible en cas de fuite). La voie veineuse centrale est requise pour le chlorure de calcium (risque majeur de nécrose en cas d'extravasation). En cas d'extravasation accidentelle, arrêter immédiatement la perfusion, aspirer le liquide si possible, infiltrer le site avec du sérum physiologique ou de l'hyaluronidase (150 UI/mL, 1-5 mL), appliquer des compresses chaudes, surveillance prolongée (risque de nécrose retardée à 24-72 heures).</w:t>
      </w:r>
    </w:p>
    <w:p>
      <w:r/>
      <w:r>
        <w:rPr>
          <w:b/>
        </w:rPr>
        <w:t>Surveillance ECG et calcémie</w:t>
      </w:r>
      <w:r>
        <w:t xml:space="preserve"> : sous calcium IV, surveiller : (i) ECG continu (recherche de bradycardie, bloc AV, arythmies ventriculaires, QT court signant une hypercalcémie) ; (ii) PA, FC, SpO2, état de conscience ; (iii) calcémie toutes les 4-6 heures en cas de perfusion continue (cible 2,2-2,6 mmol/L, ne pas dépasser 3 mmol/L) ; (iv) ionogramme (K+, Na+, Mg2+, PO4--) ; (v) fonction rénale (créatininémie, clairance) ; (vi) ECG à la recherche d'allongement du QT en cas d'hypocalcémie, ou de raccourcissement du QT en cas d'hypercalcémie.</w:t>
      </w:r>
    </w:p>
    <w:p>
      <w:r/>
      <w:r>
        <w:rPr>
          <w:b/>
        </w:rPr>
        <w:t>Adaptation posologique en cas d'insuffisance rénale</w:t>
      </w:r>
      <w:r>
        <w:t xml:space="preserve"> : la clairance du calcium est réduite en cas d'insuffisance rénale sévère (clairance créatinine &lt; 30 mL/min), imposant une réduction de la dose (25-50 %) et une surveillance calcémique renforcée (toutes les 2-4 heures). En cas d'hypercalcémie symptomatique (calcémie &gt; 3 mmol/L, troubles du rythme, confusion), arrêter le calcium IV, perfusion de NaCl 0,9 % (3-5 L/24 h) + furosémide (20-40 mg IV) pour favoriser la calciurèse, et discuter l'hémodialyse en cas d'hypercalcémie réfractaire.</w:t>
      </w:r>
    </w:p>
    <w:p>
      <w:r/>
      <w:r>
        <w:rPr>
          <w:b/>
        </w:rPr>
        <w:t>Prévention de l'interaction avec les digitaliques</w:t>
      </w:r>
      <w:r>
        <w:t xml:space="preserve"> : en cas de traitement digitalique (digoxine, digitoxine) à dose thérapeutique associé à une indication de calcium IV (hyperkaliémie menaçante, intoxication ICA concomitante), préférer : (i) autres traitements hypokaliémiants (insuline + glucose, salbutamol nébulisé, bicarbonate de sodium) en première intention ; (ii) si calcium IV indispensable, perfuser lentement (10-15 minutes) sous surveillance ECG stricte (recherche de troubles du rythme ventriculaire : ESV, torsades de pointe, tachycardie ventriculaire) ; (iii) en cas d'hyperkaliémie menaçante sous digitaliques, préférer les Fab anti-digitaliques (DigiFab, non disponibles en Algérie à la date de cette nomenclature) en première intention.</w:t>
      </w:r>
    </w:p>
    <w:p>
      <w:pPr>
        <w:pStyle w:val="Heading3"/>
      </w:pPr>
      <w:r>
        <w:t>191.17.6 Interactions médicamenteuses</w:t>
      </w:r>
    </w:p>
    <w:p>
      <w:r>
        <w:t>Le calcium IV présente plusieurs interactions médicamenteuses à connaître :</w:t>
      </w:r>
    </w:p>
    <w:p>
      <w:r/>
      <w:r>
        <w:rPr>
          <w:b/>
        </w:rPr>
        <w:t>Interactions pharmacodynamiques</w:t>
      </w:r>
      <w:r>
        <w:t xml:space="preserve"> : (i) potentialisation de la toxicité des digitaliques (digoxine, digitoxine) : le calcium IV augmente la fixation de la digoxine sur la pompe Na+/K+ ATPase, augmentant le risque d'arythmie ventriculaire grave (voire d'arrêt cardiaque) — à éviter ou à administrer à très faibles doses sous surveillance ECG stricte ; (ii) antagonisation de l'effet dépresseur myocardique et vasodilatateur des inhibiteurs calciques (vérapamil, diltiazem, amlodipine, etc.) — effet pharmacologique recherché ; (iii) antagonisation de l'effet dépresseur myocardique et respiratoire du magnésium IV (hypermagnésémie) ; (iv) potentialisation de l'effet dépresseur myocardique des β-bloquants (effet additif sur le nœud AV et la conduction, à éviter en cas de bradycardie sévère ou de bloc AV) ; (v) potentialisation de l'effet dépresseur des antiarythmiques de classe IV (ICA non dihydropyridiniques : vérapamil, diltiazem) ; (vi) antagonisation de l'effet diurétique des diurétiques de l'anse (furosémide, bumétanide) sur la calciurie (le calcium IV augmente la réabsorption tubulaire du calcium) ; (vii) potentialisation de l'effet digitalique par hypokaliémie induite par les diurétiques (réduction de l'excrétion urinaire du potassium) ; (viii) antagonisation de l'effet hypercalcémiant de la vitamine D et de ses métabolites (calcitriol, paricalcitol) — surveillance calcémie en cas d'association ; (ix) antagonisation de l'effet hypocalcémiant des bisphosphonates (alendronate, zolédronate) et du denosumab.</w:t>
      </w:r>
    </w:p>
    <w:p>
      <w:r/>
      <w:r>
        <w:rPr>
          <w:b/>
        </w:rPr>
        <w:t>Interactions pharmacocinétiques</w:t>
      </w:r>
      <w:r>
        <w:t xml:space="preserve"> : (i) diminution de l'absorption orale des tétracyclines (chelation) — espacer de 2 heures ; (ii) diminution de l'absorption orale des fluoroquinolones (ciprofloxacine, lévofloxacine, moxifloxacine) par chelation — espacer de 2 heures ; (iii) diminution de l'absorption orale du fer, du zinc, du magnésium (chelation) — espacer de 2 heures ; (iv) diminution de l'absorption orale des bisphosphonates (alendronate, risédronate) par chelation — espacer de 2 heures, à prendre à jeun ; (v) diminution de l'absorption orale de la lévothyroxine par chelation — espacer de 2 heures (4 heures idéalement) ; (vi) diminution de l'absorption orale de l'étruvétinibe et des nouvelles thérapies orales anticancéreuses (chelation) — espacer de 2 heures ; (vii) inactivation des céphalosporines en solution IV (précipitation) — ne pas mélanger dans la même perfusion.</w:t>
      </w:r>
    </w:p>
    <w:p>
      <w:r/>
      <w:r>
        <w:rPr>
          <w:b/>
        </w:rPr>
        <w:t>Associations à risque</w:t>
      </w:r>
      <w:r>
        <w:t xml:space="preserve"> : (i) calcium IV + digitaliques : risque d'arythmie ventriculaire grave, à éviter ou à administrer à très faibles doses sous surveillance ECG stricte ; (ii) calcium IV + β-bloquants : risque de bradycardie sévère, de bloc AV, d'arrêt cardiaque, surveillance ECG continue ; (iii) calcium IV + ICA (intoxication iatrogène par surdosage) : surveillance ECG continue, adaptation posologique selon la réponse hémodynamique ; (iv) calcium IV + diurétiques de l'anse : surveillance de la calcémie et de la kaliémie (risque d'hypokaliémie, d'hypercalciurie, de néphrolithiase) ; (v) calcium IV + magnésium IV (intoxication à l'un ou l'autre) : antagonisation réciproque, surveillance biologique ; (vi) calcium oral + tétracyclines, fluoroquinolones, bisphosphonates, fer, zinc, lévothyroxine : espacer de 2 heures.</w:t>
      </w:r>
    </w:p>
    <w:p>
      <w:pPr>
        <w:pStyle w:val="Heading3"/>
      </w:pPr>
      <w:r>
        <w:t>191.17.7 Grossesse et allaitement (données CRAT)</w:t>
      </w:r>
    </w:p>
    <w:p>
      <w:r/>
      <w:r>
        <w:rPr>
          <w:b/>
        </w:rPr>
        <w:t>Grossesse</w:t>
      </w:r>
      <w:r>
        <w:t xml:space="preserve"> : le calcium IV est naturellement présent dans le plasma maternel (calcémie 2,2-2,6 mmol/L) et traverse la barrière placentaire par transport actif (calcium binding protein, CaBP). Les données du CRAT et de l'OTIS indiquent que le calcium IV n'est pas tératogène et qu'aucun cas de malformation n'a été rapporté chez la femme enceinte exposée. Le calcium IV est considéré comme compatible avec la grossesse, y compris en cas d'urgence vitale maternelle (intoxication ICA, hyperkaliémie menaçante). L'hyperkaliémie menaçante pendant la grossesse (insuffisance rénale aiguë, rhabdomyolyse, acidocétose diabétique, toxémie gravidique avec insuffisance rénale) justifie l'administration de calcium IV pour stabiliser la membrane myocardique, en association aux autres traitements hypokaliémiants. Le calcium IV est également indiqué en cas d'hypocalcémie sévère symptomatique pendant la grossesse (hypoparathyroïdie, carence en vitamine D, transfusion massive) : gluconate de calcium 10 % 10-20 mL IV en bolus, relayé par perfusion continue. La surveillance de la calcémie maternelle (toutes les 4-6 heures en cas de perfusion continue), de la kaliémie, de l'ECG, de la fréquence cardiaque fœtale (RCF continu), et de l'état clinique maternel (PA, FC, SpO2, état de conscience) est indispensable.</w:t>
      </w:r>
    </w:p>
    <w:p>
      <w:r/>
      <w:r>
        <w:rPr>
          <w:b/>
        </w:rPr>
        <w:t>Allaitement</w:t>
      </w:r>
      <w:r>
        <w:t xml:space="preserve"> : le calcium IV passe dans le lait maternel à des concentrations proches de la calcémie maternelle (calcium lacté 30-35 mg/dL, soit 7,5-8,8 mmol/L, légèrement supérieure à la calcémie maternelle en raison du transport actif). Le calcium IV est considéré comme compatible avec l'allaitement, y compris en cas d'administration maternelle aiguë pour intoxication ICA ou hyperkaliémie menaçante. L'allaitement peut être poursuivi sans restriction. En cas de perfusion continue prolongée de calcium IV à doses élevées, surveillance de la calcémie du nourrisson (calcémie normale 2,2-2,6 mmol/L, surveiller en cas de troubles du rythme, de vomissements, de troubles de la conscience).</w:t>
      </w:r>
    </w:p>
    <w:p>
      <w:pPr>
        <w:pStyle w:val="Heading3"/>
      </w:pPr>
      <w:r>
        <w:t>191.17.8 Posologie et modes d'administration</w:t>
      </w:r>
    </w:p>
    <w:p>
      <w:r/>
      <w:r>
        <w:rPr>
          <w:b/>
        </w:rPr>
        <w:t>Posologie adulte (intoxication ICA, défaillance hémodynamique)</w:t>
      </w:r>
      <w:r>
        <w:t xml:space="preserve"> : gluconate de calcium 10 % 10-20 mL IV en bolus lent (5-10 minutes, dilué dans 50 mL de glucosé 5 %), à répéter toutes les 10-20 minutes jusqu'à 3-4 doses (30-40 mL = 3-4 g = 13,5-18 mEq de calcium élément), relayé par une perfusion continue de 0,5-1,5 mL/kg/h de solution à 10 % (soit 35-100 mL/h pour 70 kg = 3,5-10 g/h = 15,7-45 mEq/h de calcium élément). Surveillance ECG continue, calcémie toutes les 4-6 heures. En cas d'arrêt cardiaque réanimé en urgence vitale, chlorure de calcium 10 % 10 mL IV en bolus direct (1 g = 13,6 mEq de calcium élément) sous massage cardiaque externe.</w:t>
      </w:r>
    </w:p>
    <w:p>
      <w:r/>
      <w:r>
        <w:rPr>
          <w:b/>
        </w:rPr>
        <w:t>Posologie adulte (hyperkaliémie menaçante, K+ &gt; 6,5 mmol/L avec modifications ECG)</w:t>
      </w:r>
      <w:r>
        <w:t xml:space="preserve"> : gluconate de calcium 10 % 10-30 mL IV en bolus lent (5-10 minutes, dilué dans 50 mL de glucosé 5 %), à répéter selon l'ECG (toutes les 5-10 minutes jusqu'à disparition des modifications ECG). Le calcium IV ne modifie pas la kaliémie (stabilisation de la membrane myocardique uniquement), à associer à d'autres traitements hypokaliémiants : insuline + glucose (insuline régulière 10 UI IV + 50 mL de glucosé 50 % IV en 5 minutes), salbutamol nébulisé (10-20 mg en 15 minutes), bicarbonate de sodium 8,4 % 50 mL IV en 5 minutes (en cas d'acidose métabolique), résines échangeuses d'ions (polystyrène sulfonate de sodium 15-30 g per os ou en lavement), hémodialyse urgente en cas d'hyperkaliémie réfractaire.</w:t>
      </w:r>
    </w:p>
    <w:p>
      <w:r/>
      <w:r>
        <w:rPr>
          <w:b/>
        </w:rPr>
        <w:t>Posologie adulte (hypocalcémie sévère symptomatique)</w:t>
      </w:r>
      <w:r>
        <w:t xml:space="preserve"> : gluconate de calcium 10 % 10-20 mL IV en bolus lent (5-10 minutes, dilué dans 50 mL de glucosé 5 %), relayé par perfusion continue de 1-2 mg/kg/h de calcium élément (soit 0,5-1 mL/kg/h de solution à 10 %). Surveillance calcémie toutes les 4-6 heures (cible 2,2-2,6 mmol/L).</w:t>
      </w:r>
    </w:p>
    <w:p>
      <w:r/>
      <w:r>
        <w:rPr>
          <w:b/>
        </w:rPr>
        <w:t>Posologie pédiatrique (intoxication ICA, hyperkaliémie, hypocalcémie)</w:t>
      </w:r>
      <w:r>
        <w:t xml:space="preserve"> : 0,1-0,3 mL/kg de gluconate de calcium 10 % IV en bolus lent (5-10 minutes), soit 10-30 mg/kg de gluconate de calcium = 1-3 mg/kg de calcium élément. À répéter selon la réponse clinique et ECG. Maximum 1 g par dose (10 mL de solution à 10 %).</w:t>
      </w:r>
    </w:p>
    <w:p>
      <w:r/>
      <w:r>
        <w:rPr>
          <w:b/>
        </w:rPr>
        <w:t>Posologie (intoxication ICA, protocole combiné)</w:t>
      </w:r>
      <w:r>
        <w:t xml:space="preserve"> : (i) gluconate de calcium 10 % 10-20 mL IV en bolus, relayé par perfusion continue 0,5-1,5 mL/kg/h ; (ii) insuline régulière 1 UI/kg IV en bolus, relayée par 0,5-1 UI/kg/h avec apport glucosé adapté pour maintenir la glycémie 7-11 mmol/L ; (iii) glucagon 5-10 mg IV en bolus, relayé par 1-5 mg/h en perfusion continue ; (iv) adrénaline 0,05-0,5 µg/kg/min IV (titration selon la réponse hémodynamique) ; (v) atropine 0,5-1 mg IV en cas de bradycardie sévère ; (vi) lipides intraveineux (Intralipid 20 % 1,5 mL/kg IV en bolus, puis 0,25 mL/kg/min en perfusion continue) en cas d'intoxication sévère réfractaire (lipophilie du vérapamil et du diltiazem).</w:t>
      </w:r>
    </w:p>
    <w:p>
      <w:r/>
      <w:r>
        <w:rPr>
          <w:b/>
        </w:rPr>
        <w:t>Mode d'administration</w:t>
      </w:r>
      <w:r>
        <w:t xml:space="preserve"> : (i) diluer le gluconate de calcium 10 % dans 50 mL de glucosé 5 % ou NaCl 0,9 % pour le bolus (pour réduire le caractère irritant) ; (ii) administrer en perfusion IV lente (5-10 minutes pour le bolus) sous surveillance ECG continue ; (iii) pour la perfusion continue, diluer 100 mL de gluconate de calcium 10 % (= 10 g) dans 250 mL de glucosé 5 % ou NaCl 0,9 %, perfuser à 0,5-1,5 mL/kg/h ; (iv) ne pas mélanger avec d'autres médicaments dans la même perfusion (incompatibilité avec les bicarbonates, les céphalosporines, certains antiarythmiques) ; (v) voie veineuse périphérique acceptable pour le gluconate, voie veineuse centrale stricte pour le chlorure.</w:t>
      </w:r>
    </w:p>
    <w:p>
      <w:pPr>
        <w:pStyle w:val="Heading3"/>
      </w:pPr>
      <w:r>
        <w:t>191.17.9 Formes galéniques disponibles</w:t>
      </w:r>
    </w:p>
    <w:p>
      <w:r>
        <w:t>Le calcium IV adapté à l'urgence toxicologique est disponible en Algérie sous une seule forme galénique : solution injectable IV à diluer, dosée à 10 g/100 mL (10 %), en boîte de 50 ampoules de 10 mL, commercialisée sous le nom de Calcipack (Industries Medico-Chirurgicales IMC, Alger). Chaque ampoule de 10 mL contient 1 g de gluconate de calcium (4,5 mEq de calcium élément). Cette production locale (IMC) couvre la totalité des besoins nationaux pour l'antagonisation des ICA, de l'hyperkaliémie menaçante, et de l'hypocalcémie sévère symptomatique.</w:t>
      </w:r>
    </w:p>
    <w:p>
      <w:r>
        <w:t>Les formes historiques internationales, retirées du marché algérien, incluent : (i) Calcium Chlorure (Renaudin) en solution injectable IV 0,1 (10 %), en boîte de 100 ampoules de 10 mL ; (ii) Calcibronat (Novartis) en solution injectable IV 124 mg/mL (gluconate + lactobionate de calcium, formulation synergique), en boîte de 5 ampoules de 10 mL ; (iii) Calcium-Medifa en solution injectable IV 0,6875 g/5 mL ; (iv) Calcium Sandoz (effervescent) en comprimés et en poudre pour solution buvable, formulation orale non adaptée à l'urgence toxicologique.</w:t>
      </w:r>
    </w:p>
    <w:p>
      <w:r>
        <w:t>Aucune forme de chlorure de calcium IV (préférée en cas d'arrêt cardiaque réfractaire en raison de sa concentration plus élevée en calcium élément par mL : 13,6 mEq/10 mL contre 4,5 mEq/10 mL pour le gluconate) n'est actuellement disponible en Algérie. Cette lacune expose les praticiens algériens à devoir utiliser le gluconate de calcium IV à doses supérieures (30 mL = 3 g = 13,5 mEq) en cas d'arrêt cardiaque réanimé en urgence vitale.</w:t>
      </w:r>
    </w:p>
    <w:p>
      <w:r>
        <w:t>Les formes orales de calcium (Calcios, Calcium BR, Calperos, Kalcitab, Ossecal, Calcium API, IDEOS, Calcium D3 Ival, Calcium D3 Novagenerics, Calcium D3 Sophal, Densical Calcium D3, Fixecal, KINADYN-OS, OSSE D3, OSSEANS D3, SUPEROS D3, Calcipack, Calcial, Calcifor, Calcium Novagenerics, Calcimed, Doxium) sont disponibles en Algérie pour la supplémentation osseuse (ostéoporose, ostéopénie, hypocalcémie chronique, supplémentation de la grossesse et de l'allaitement), mais ne sont pas adaptées à l'urgence toxicologique (effet trop lent, biodisponibilité variable, dose de calcium élément insuffisante). Doxium (Abdi Ibrahim Remede Pharma) en gélules 500 mg et comprimés pelliculés 1000 mg contient du dobesilate de calcium (médicament veino-tonique, non adapté à l'urgence toxicologique).</w:t>
      </w:r>
    </w:p>
    <w:p>
      <w:r>
        <w:t>La conservation de la solution injectable se fait à température ambiante (15-25 °C), à l'abri de la lumière, avec une péremption généralement de 3 ans. Ne pas congeler. Ne pas utiliser si la solution est trouble, contient des particules, ou a changé de couleur. La solution diluée (dans glucosé 5 % ou NaCl 0,9 %) est stable 24 heures à température ambiante.</w:t>
      </w:r>
    </w:p>
    <w:p>
      <w:pPr>
        <w:pStyle w:val="Heading3"/>
      </w:pPr>
      <w:r>
        <w:t>191.17.10 Conseils au patient et éducation thérapeutique</w:t>
      </w:r>
    </w:p>
    <w:p>
      <w:r>
        <w:t>Le calcium IV administré en contexte d'urgence toxicologique (intoxication ICA, hyperkaliémie menaçante) est généralement administré par un professionnel de santé en milieu hospitalier. L'éducation thérapeutique porte principalement sur les informations données au patient et à son entourage après l'épisode d'intoxication, et sur la prévention de la récidive.</w:t>
      </w:r>
    </w:p>
    <w:p>
      <w:r/>
      <w:r>
        <w:rPr>
          <w:b/>
        </w:rPr>
        <w:t>Conseils immédiats après l'administration de calcium IV</w:t>
      </w:r>
      <w:r>
        <w:t xml:space="preserve"> : (i) le patient doit être informé que le traitement assure une correction immédiate de l'hémodynamique (5-10 minutes) mais que la surveillance hospitalière en réanimation est indispensable pendant au moins 24-48 heures ; (ii) la perfusion continue de calcium IV peut être nécessaire pendant plusieurs heures en cas d'intoxication prolongée (ICA à demi-vie longue comme l'amlodipine) ; (iii) l'association à d'autres traitements (insuline/glucose, glucagon, adrénaline, lipides intraveineux) est souvent nécessaire en cas d'intoxication sévère ; (iv) les signes d'alerte d'hypercalcémie (confusion, constipation, nausées, vomissements, troubles du rythme) doivent être signalés à l'équipe soignante.</w:t>
      </w:r>
    </w:p>
    <w:p>
      <w:r/>
      <w:r>
        <w:rPr>
          <w:b/>
        </w:rPr>
        <w:t>Conseils de prévention de la récidive de l'intoxication ICA</w:t>
      </w:r>
      <w:r>
        <w:t xml:space="preserve"> : (i) respecter strictement la prescription médicale (ne pas augmenter la dose sans avis médical) ; (ii) surveiller la pression artérielle régulièrement (auto-surveillance tensionnelle à domicile) ; (iii) signaler tout nouveau médicament (interactions : macrolides, antifongiques azolés, jus de pamplemousse inhibiteurs du CYP3A4, ritonavir) ; (iv) éviter le jus de pamplemousse (inhibition du CYP3A4 hépatique, augmentation des concentrations d'amlodipine, de félodipine, de nifédipine, de lacidipine, de lercanidipine) ; (v) ne jamais associer deux ICA (vérapamil + bêta-bloquant, diltiazem + bêta-bloquant) sans avis cardiologique ; (vi) en cas de chirurgie programmée, prévenir l'anesthésiste du traitement ICA en cours (interaction avec les anesthésiques généraux dépresseurs myocardiques).</w:t>
      </w:r>
    </w:p>
    <w:p>
      <w:r/>
      <w:r>
        <w:rPr>
          <w:b/>
        </w:rPr>
        <w:t>Conseils aux patients sous ICA au long cours</w:t>
      </w:r>
      <w:r>
        <w:t xml:space="preserve"> : (i) surveiller la pression artérielle régulièrement (auto-surveillance à domicile) ; (ii) signaler tout signe d'effet indésirable (œdèmes des membres inférieurs pour les DHP, bradycardie pour les non-DHP, constipation pour le vérapamil, céphalées pour la nifédipine) ; (iii) ne pas arrêter brutalement le traitement (risque de rebond hypertensif, d'angor, d'infarctus du myocarde) ; (iv) en cas d'oubli, ne pas doubler la dose suivante ; (v) éviter le jus de pamplemousse (interaction avec les DHP) ; (vi) en cas de grossesse envisagée, consulter le médecin (les ICP sont généralement compatibles, mais prudence pour le vérapamil et le diltiazem au 1er trimestre).</w:t>
      </w:r>
    </w:p>
    <w:p>
      <w:pPr>
        <w:pStyle w:val="Heading3"/>
      </w:pPr>
      <w:r>
        <w:t>191.17.11 Pièges au comptoir (règles d'or)</w:t>
      </w:r>
    </w:p>
    <w:p>
      <w:pPr>
        <w:pStyle w:val="ListNumber"/>
      </w:pPr>
      <w:r/>
      <w:r>
        <w:rPr>
          <w:b/>
        </w:rPr>
        <w:t>Règle d'or n°1 : gluconate privilégié sur voie périphérique, chlorure réservé à la voie centrale.</w:t>
      </w:r>
      <w:r>
        <w:t xml:space="preserve"> Le gluconate de calcium 10 % (Calcipack IMC) est moins irritant que le chlorure de calcium, à privilégier sur voie veineuse périphérique. Le chlorure (non disponible en Algérie) est réservé à la voie centrale en raison du risque de nécrose en cas d'extravasation.</w:t>
      </w:r>
    </w:p>
    <w:p>
      <w:pPr>
        <w:pStyle w:val="ListNumber"/>
      </w:pPr>
      <w:r/>
      <w:r>
        <w:rPr>
          <w:b/>
        </w:rPr>
        <w:t>Règle d'or n°2 : perfusion IV lente obligatoire (5-10 minutes pour le bolus).</w:t>
      </w:r>
      <w:r>
        <w:t xml:space="preserve"> Risque de bradycardie, de bloc AV, d'arrêt cardiaque en cas de perfusion IV rapide. Surveillance ECG continue. Sauf arrêt cardiaque réanimé en urgence vitale (chlorure 10 % 10 mL IV en bolus direct).</w:t>
      </w:r>
    </w:p>
    <w:p>
      <w:pPr>
        <w:pStyle w:val="ListNumber"/>
      </w:pPr>
      <w:r/>
      <w:r>
        <w:rPr>
          <w:b/>
        </w:rPr>
        <w:t>Règle d'or n°3 : surveillance ECG continue.</w:t>
      </w:r>
      <w:r>
        <w:t xml:space="preserve"> Bradycardie, bloc AV, arythmies ventriculaires. À la recherche d'allongement du QT en cas d'hypocalcémie, ou de raccourcissement du QT en cas d'hypercalcémie.</w:t>
      </w:r>
    </w:p>
    <w:p>
      <w:pPr>
        <w:pStyle w:val="ListNumber"/>
      </w:pPr>
      <w:r/>
      <w:r>
        <w:rPr>
          <w:b/>
        </w:rPr>
        <w:t>Règle d'or n°4 : contre-indication relative avec les digitaliques.</w:t>
      </w:r>
      <w:r>
        <w:t xml:space="preserve"> Le calcium IV potentialise la toxicité digitalique (risque d'arythmie ventriculaire). À éviter ou à administrer à très faibles doses sous surveillance ECG stricte. Préférer les Fab anti-digitaliques si disponibles.</w:t>
      </w:r>
    </w:p>
    <w:p>
      <w:pPr>
        <w:pStyle w:val="ListNumber"/>
      </w:pPr>
      <w:r/>
      <w:r>
        <w:rPr>
          <w:b/>
        </w:rPr>
        <w:t>Règle d'or n°5 : association systématique calcium + insuline/glucose pour l'intoxication ICA sévère.</w:t>
      </w:r>
      <w:r>
        <w:t xml:space="preserve"> Insuline régulière 1 UI/kg/h + apport glucosé adapté pour maintenir la glycémie 7-11 mmol/L. Surveillance en réanimation.</w:t>
      </w:r>
    </w:p>
    <w:p>
      <w:pPr>
        <w:pStyle w:val="ListNumber"/>
      </w:pPr>
      <w:r/>
      <w:r>
        <w:rPr>
          <w:b/>
        </w:rPr>
        <w:t>Règle d'or n°6 : hyperkaliémie menaçante = calcium IV pour stabiliser la membrane.</w:t>
      </w:r>
      <w:r>
        <w:t xml:space="preserve"> Ne modifie pas la kaliémie. À associer à d'autres traitements hypokaliémiants (insuline + glucose, salbutamol nébulisé, bicarbonate, résines, dialyse).</w:t>
      </w:r>
    </w:p>
    <w:p>
      <w:pPr>
        <w:pStyle w:val="ListNumber"/>
      </w:pPr>
      <w:r/>
      <w:r>
        <w:rPr>
          <w:b/>
        </w:rPr>
        <w:t>Règle d'or n°7 : surveillance calcémie toutes les 4-6 heures en cas de perfusion continue.</w:t>
      </w:r>
      <w:r>
        <w:t xml:space="preserve"> Cible 2,2-2,6 mmol/L, ne pas dépasser 3 mmol/L. Risque d'hypercalcémie (confusion, constipation, vomissements, troubles du rythme).</w:t>
      </w:r>
    </w:p>
    <w:p>
      <w:pPr>
        <w:pStyle w:val="ListNumber"/>
      </w:pPr>
      <w:r/>
      <w:r>
        <w:rPr>
          <w:b/>
        </w:rPr>
        <w:t>Règle d'or n°8 : extravasation = risque de nécrose.</w:t>
      </w:r>
      <w:r>
        <w:t xml:space="preserve"> Arrêter immédiatement la perfusion, infiltrer le site avec hyaluronidase (150 UI/mL, 1-5 mL), compresses chaudes, surveillance prolongée.</w:t>
      </w:r>
    </w:p>
    <w:p>
      <w:pPr>
        <w:pStyle w:val="ListNumber"/>
      </w:pPr>
      <w:r/>
      <w:r>
        <w:rPr>
          <w:b/>
        </w:rPr>
        <w:t>Règle d'or n°9 : intoxication ICA = protocole combiné.</w:t>
      </w:r>
      <w:r>
        <w:t xml:space="preserve"> Calcium IV + insuline/glucose + glucagon + adrénaline + lipides intraveineux (Intralipid) en cas de sévérité. Surveillance continue en réanimation 24-48 h.</w:t>
      </w:r>
    </w:p>
    <w:p>
      <w:pPr>
        <w:pStyle w:val="ListNumber"/>
      </w:pPr>
      <w:r/>
      <w:r>
        <w:rPr>
          <w:b/>
        </w:rPr>
        <w:t>Règle d'or n°10 : prudence en cas d'insuffisance rénale.</w:t>
      </w:r>
      <w:r>
        <w:t xml:space="preserve"> Réduction de la dose (25-50 %), surveillance calcémie renforcée (toutes les 2-4 heures).</w:t>
      </w:r>
    </w:p>
    <w:p>
      <w:pPr>
        <w:pStyle w:val="ListNumber"/>
      </w:pPr>
      <w:r/>
      <w:r>
        <w:rPr>
          <w:b/>
        </w:rPr>
        <w:t>Règle d'or n°11 : pas de mélange avec d'autres médicaments dans la même perfusion.</w:t>
      </w:r>
      <w:r>
        <w:t xml:space="preserve"> Incompatibilité avec les bicarbonates, les céphalosporines, certains antiarythmiques.</w:t>
      </w:r>
    </w:p>
    <w:p>
      <w:pPr>
        <w:pStyle w:val="ListNumber"/>
      </w:pPr>
      <w:r/>
      <w:r>
        <w:rPr>
          <w:b/>
        </w:rPr>
        <w:t>Règle d'or n°12 : grossesse et allaitement = compatibles.</w:t>
      </w:r>
      <w:r>
        <w:t xml:space="preserve"> Surveillance de la calcémie maternelle, de la kaliémie, de l'ECG, de la fréquence cardiaque fœtale (RCF continu).</w:t>
      </w:r>
    </w:p>
    <w:p>
      <w:pPr>
        <w:pStyle w:val="Heading2"/>
      </w:pPr>
      <w:r>
        <w:t>191.18 DCI 8 : Atropine (Antidote des organophosphorés)</w:t>
      </w:r>
    </w:p>
    <w:p>
      <w:pPr>
        <w:pStyle w:val="Heading3"/>
      </w:pPr>
      <w:r>
        <w:t>191.18.1 Liste des catégories thérapeutiques et statut réglementaire</w:t>
      </w:r>
    </w:p>
    <w:p>
      <w:r>
        <w:t>L'atropine, alcaloïde tropanique extrait de l'Atropa belladona (belladone) et d'autres Solanacées (Datura stramonium, Hyoscyamus niger, Brugmansia suaveolens), appartient à la classe pharmacologique des antimuscariniques (code ATC : A03BA01 — atropine ; S01FA01 — atropine collyre ; V03AB14 — antidote des organophosphorés). Elle est inscrite sur la Liste I des substances vénéneuses en Algérie pour les formes ophtalmologiques (collyres). L'atropine figure sur la liste des médicaments essentiels de l'OMS (WHO Model List of Essential Medicines, 22ᵉ liste, 2023), dans la section « Antidotes et autres substances utilisées dans les intoxications ».</w:t>
      </w:r>
    </w:p>
    <w:p>
      <w:r>
        <w:t>L'atropine est classée comme médicament d'urgence vitale en cas d'intoxication par les organophosphorés (pesticides anticholinestérasiques : parathion, malathion, diazinon, chlorpyrifos, dichlorvos ; neurotoxiques de guerre : sarin, soman, tabun, VX) et en cas de bradycardie sinusale sévère symptomatique. Elle doit être disponible à tout moment dans les services d'urgences, de réanimation, de cardiologie, de pédiatrie, et dans les pharmacies hospitalières. Les intoxications par organophosphorés restent responsables d'une mortalité mondiale élevée (estimée à 200 000 morts par an, dont la majorité par suicide rural dans les pays en développement selon l'OMS), et la précocité de l'administration d'atropine IV est essentielle pour réduire la mortalité immédiate (œdème pulmonaire cholinergique, bradycardie, défaillance cardiaque).</w:t>
      </w:r>
    </w:p>
    <w:p>
      <w:pPr>
        <w:pStyle w:val="Heading3"/>
      </w:pPr>
      <w:r>
        <w:t>191.18.2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APITROPIN</w:t>
            </w:r>
          </w:p>
        </w:tc>
        <w:tc>
          <w:tcPr>
            <w:tcW w:type="dxa" w:w="1559"/>
          </w:tcPr>
          <w:p>
            <w:r>
              <w:rPr>
                <w:sz w:val="20"/>
              </w:rPr>
              <w:t>AMMAN PHARMACEUTICAL INDUSTRIE</w:t>
            </w:r>
          </w:p>
        </w:tc>
        <w:tc>
          <w:tcPr>
            <w:tcW w:type="dxa" w:w="1559"/>
          </w:tcPr>
          <w:p>
            <w:r>
              <w:rPr>
                <w:sz w:val="20"/>
              </w:rPr>
              <w:t>Collyre en solution 0,005</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CROPINE</w:t>
            </w:r>
          </w:p>
        </w:tc>
        <w:tc>
          <w:tcPr>
            <w:tcW w:type="dxa" w:w="1559"/>
          </w:tcPr>
          <w:p>
            <w:r>
              <w:rPr>
                <w:sz w:val="20"/>
              </w:rPr>
              <w:t>GENCOPHARM</w:t>
            </w:r>
          </w:p>
        </w:tc>
        <w:tc>
          <w:tcPr>
            <w:tcW w:type="dxa" w:w="1559"/>
          </w:tcPr>
          <w:p>
            <w:r>
              <w:rPr>
                <w:sz w:val="20"/>
              </w:rPr>
              <w:t>Collyre en solution 0,005</w:t>
            </w:r>
          </w:p>
        </w:tc>
        <w:tc>
          <w:tcPr>
            <w:tcW w:type="dxa" w:w="1559"/>
          </w:tcPr>
          <w:p>
            <w:r>
              <w:rPr>
                <w:sz w:val="20"/>
              </w:rPr>
              <w:t>Flacon de 15 mL</w:t>
            </w:r>
          </w:p>
        </w:tc>
        <w:tc>
          <w:tcPr>
            <w:tcW w:type="dxa" w:w="1559"/>
          </w:tcPr>
          <w:p>
            <w:r>
              <w:rPr>
                <w:sz w:val="20"/>
              </w:rPr>
              <w:t>Liste I</w:t>
            </w:r>
          </w:p>
        </w:tc>
        <w:tc>
          <w:tcPr>
            <w:tcW w:type="dxa" w:w="1559"/>
          </w:tcPr>
          <w:p>
            <w:r>
              <w:rPr>
                <w:sz w:val="20"/>
              </w:rPr>
              <w:t>ACTIF</w:t>
            </w:r>
          </w:p>
        </w:tc>
      </w:tr>
      <w:tr>
        <w:tc>
          <w:tcPr>
            <w:tcW w:type="dxa" w:w="1559"/>
          </w:tcPr>
          <w:p>
            <w:r>
              <w:rPr>
                <w:sz w:val="20"/>
              </w:rPr>
              <w:t>APITROPIN</w:t>
            </w:r>
          </w:p>
        </w:tc>
        <w:tc>
          <w:tcPr>
            <w:tcW w:type="dxa" w:w="1559"/>
          </w:tcPr>
          <w:p>
            <w:r>
              <w:rPr>
                <w:sz w:val="20"/>
              </w:rPr>
              <w:t>AMMAN PHARMACEUTICAL INDUSTRIE</w:t>
            </w:r>
          </w:p>
        </w:tc>
        <w:tc>
          <w:tcPr>
            <w:tcW w:type="dxa" w:w="1559"/>
          </w:tcPr>
          <w:p>
            <w:r>
              <w:rPr>
                <w:sz w:val="20"/>
              </w:rPr>
              <w:t>Collyre en solution 0,01</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CROPINE</w:t>
            </w:r>
          </w:p>
        </w:tc>
        <w:tc>
          <w:tcPr>
            <w:tcW w:type="dxa" w:w="1559"/>
          </w:tcPr>
          <w:p>
            <w:r>
              <w:rPr>
                <w:sz w:val="20"/>
              </w:rPr>
              <w:t>GENCOPHARM</w:t>
            </w:r>
          </w:p>
        </w:tc>
        <w:tc>
          <w:tcPr>
            <w:tcW w:type="dxa" w:w="1559"/>
          </w:tcPr>
          <w:p>
            <w:r>
              <w:rPr>
                <w:sz w:val="20"/>
              </w:rPr>
              <w:t>Collyre en solution 0,01</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CROPINE</w:t>
            </w:r>
          </w:p>
        </w:tc>
        <w:tc>
          <w:tcPr>
            <w:tcW w:type="dxa" w:w="1559"/>
          </w:tcPr>
          <w:p>
            <w:r>
              <w:rPr>
                <w:sz w:val="20"/>
              </w:rPr>
              <w:t>CROVIS PHILCOM</w:t>
            </w:r>
          </w:p>
        </w:tc>
        <w:tc>
          <w:tcPr>
            <w:tcW w:type="dxa" w:w="1559"/>
          </w:tcPr>
          <w:p>
            <w:r>
              <w:rPr>
                <w:sz w:val="20"/>
              </w:rPr>
              <w:t>Collyre 0,0025</w:t>
            </w:r>
          </w:p>
        </w:tc>
        <w:tc>
          <w:tcPr>
            <w:tcW w:type="dxa" w:w="1559"/>
          </w:tcPr>
          <w:p>
            <w:r>
              <w:rPr>
                <w:sz w:val="20"/>
              </w:rPr>
              <w:t>Flacon de 15 mL</w:t>
            </w:r>
          </w:p>
        </w:tc>
        <w:tc>
          <w:tcPr>
            <w:tcW w:type="dxa" w:w="1559"/>
          </w:tcPr>
          <w:p>
            <w:r>
              <w:rPr>
                <w:sz w:val="20"/>
              </w:rPr>
              <w:t>Liste I</w:t>
            </w:r>
          </w:p>
        </w:tc>
        <w:tc>
          <w:tcPr>
            <w:tcW w:type="dxa" w:w="1559"/>
          </w:tcPr>
          <w:p>
            <w:r>
              <w:rPr>
                <w:sz w:val="20"/>
              </w:rPr>
              <w:t>NON_RENOUVELABLE</w:t>
            </w:r>
          </w:p>
        </w:tc>
      </w:tr>
      <w:tr>
        <w:tc>
          <w:tcPr>
            <w:tcW w:type="dxa" w:w="1559"/>
          </w:tcPr>
          <w:p>
            <w:r>
              <w:rPr>
                <w:sz w:val="20"/>
              </w:rPr>
              <w:t>ATROPINE - ALCON</w:t>
            </w:r>
          </w:p>
        </w:tc>
        <w:tc>
          <w:tcPr>
            <w:tcW w:type="dxa" w:w="1559"/>
          </w:tcPr>
          <w:p>
            <w:r>
              <w:rPr>
                <w:sz w:val="20"/>
              </w:rPr>
              <w:t>ALCON</w:t>
            </w:r>
          </w:p>
        </w:tc>
        <w:tc>
          <w:tcPr>
            <w:tcW w:type="dxa" w:w="1559"/>
          </w:tcPr>
          <w:p>
            <w:r>
              <w:rPr>
                <w:sz w:val="20"/>
              </w:rPr>
              <w:t>Collyre 0,003</w:t>
            </w:r>
          </w:p>
        </w:tc>
        <w:tc>
          <w:tcPr>
            <w:tcW w:type="dxa" w:w="1559"/>
          </w:tcPr>
          <w:p>
            <w:r>
              <w:rPr>
                <w:sz w:val="20"/>
              </w:rPr>
              <w:t>Flacon de 10 mL</w:t>
            </w:r>
          </w:p>
        </w:tc>
        <w:tc>
          <w:tcPr>
            <w:tcW w:type="dxa" w:w="1559"/>
          </w:tcPr>
          <w:p>
            <w:r>
              <w:rPr>
                <w:sz w:val="20"/>
              </w:rPr>
              <w:t>Liste I</w:t>
            </w:r>
          </w:p>
        </w:tc>
        <w:tc>
          <w:tcPr>
            <w:tcW w:type="dxa" w:w="1559"/>
          </w:tcPr>
          <w:p>
            <w:r>
              <w:rPr>
                <w:sz w:val="20"/>
              </w:rPr>
              <w:t>NON_RENOUVELABLE</w:t>
            </w:r>
          </w:p>
        </w:tc>
      </w:tr>
      <w:tr>
        <w:tc>
          <w:tcPr>
            <w:tcW w:type="dxa" w:w="1559"/>
          </w:tcPr>
          <w:p>
            <w:r>
              <w:rPr>
                <w:sz w:val="20"/>
              </w:rPr>
              <w:t>ATROPINE - ALCON</w:t>
            </w:r>
          </w:p>
        </w:tc>
        <w:tc>
          <w:tcPr>
            <w:tcW w:type="dxa" w:w="1559"/>
          </w:tcPr>
          <w:p>
            <w:r>
              <w:rPr>
                <w:sz w:val="20"/>
              </w:rPr>
              <w:t>ALCON</w:t>
            </w:r>
          </w:p>
        </w:tc>
        <w:tc>
          <w:tcPr>
            <w:tcW w:type="dxa" w:w="1559"/>
          </w:tcPr>
          <w:p>
            <w:r>
              <w:rPr>
                <w:sz w:val="20"/>
              </w:rPr>
              <w:t>Collyre 0,005</w:t>
            </w:r>
          </w:p>
        </w:tc>
        <w:tc>
          <w:tcPr>
            <w:tcW w:type="dxa" w:w="1559"/>
          </w:tcPr>
          <w:p>
            <w:r>
              <w:rPr>
                <w:sz w:val="20"/>
              </w:rPr>
              <w:t>Flacon de 10 mL</w:t>
            </w:r>
          </w:p>
        </w:tc>
        <w:tc>
          <w:tcPr>
            <w:tcW w:type="dxa" w:w="1559"/>
          </w:tcPr>
          <w:p>
            <w:r>
              <w:rPr>
                <w:sz w:val="20"/>
              </w:rPr>
              <w:t>Liste I</w:t>
            </w:r>
          </w:p>
        </w:tc>
        <w:tc>
          <w:tcPr>
            <w:tcW w:type="dxa" w:w="1559"/>
          </w:tcPr>
          <w:p>
            <w:r>
              <w:rPr>
                <w:sz w:val="20"/>
              </w:rPr>
              <w:t>NON_RENOUVELABLE</w:t>
            </w:r>
          </w:p>
        </w:tc>
      </w:tr>
      <w:tr>
        <w:tc>
          <w:tcPr>
            <w:tcW w:type="dxa" w:w="1559"/>
          </w:tcPr>
          <w:p>
            <w:r>
              <w:rPr>
                <w:sz w:val="20"/>
              </w:rPr>
              <w:t>ATROPINE - ALCON</w:t>
            </w:r>
          </w:p>
        </w:tc>
        <w:tc>
          <w:tcPr>
            <w:tcW w:type="dxa" w:w="1559"/>
          </w:tcPr>
          <w:p>
            <w:r>
              <w:rPr>
                <w:sz w:val="20"/>
              </w:rPr>
              <w:t>ALCON</w:t>
            </w:r>
          </w:p>
        </w:tc>
        <w:tc>
          <w:tcPr>
            <w:tcW w:type="dxa" w:w="1559"/>
          </w:tcPr>
          <w:p>
            <w:r>
              <w:rPr>
                <w:sz w:val="20"/>
              </w:rPr>
              <w:t>Collyre 0,01</w:t>
            </w:r>
          </w:p>
        </w:tc>
        <w:tc>
          <w:tcPr>
            <w:tcW w:type="dxa" w:w="1559"/>
          </w:tcPr>
          <w:p>
            <w:r>
              <w:rPr>
                <w:sz w:val="20"/>
              </w:rPr>
              <w:t>Flacon de 10 mL</w:t>
            </w:r>
          </w:p>
        </w:tc>
        <w:tc>
          <w:tcPr>
            <w:tcW w:type="dxa" w:w="1559"/>
          </w:tcPr>
          <w:p>
            <w:r>
              <w:rPr>
                <w:sz w:val="20"/>
              </w:rPr>
              <w:t>Liste I</w:t>
            </w:r>
          </w:p>
        </w:tc>
        <w:tc>
          <w:tcPr>
            <w:tcW w:type="dxa" w:w="1559"/>
          </w:tcPr>
          <w:p>
            <w:r>
              <w:rPr>
                <w:sz w:val="20"/>
              </w:rPr>
              <w:t>NON_RENOUVELABLE</w:t>
            </w:r>
          </w:p>
        </w:tc>
      </w:tr>
      <w:tr>
        <w:tc>
          <w:tcPr>
            <w:tcW w:type="dxa" w:w="1559"/>
          </w:tcPr>
          <w:p>
            <w:r>
              <w:rPr>
                <w:sz w:val="20"/>
              </w:rPr>
              <w:t>COLIRCUSI ATROPINE</w:t>
            </w:r>
          </w:p>
        </w:tc>
        <w:tc>
          <w:tcPr>
            <w:tcW w:type="dxa" w:w="1559"/>
          </w:tcPr>
          <w:p>
            <w:r>
              <w:rPr>
                <w:sz w:val="20"/>
              </w:rPr>
              <w:t>CUSI</w:t>
            </w:r>
          </w:p>
        </w:tc>
        <w:tc>
          <w:tcPr>
            <w:tcW w:type="dxa" w:w="1559"/>
          </w:tcPr>
          <w:p>
            <w:r>
              <w:rPr>
                <w:sz w:val="20"/>
              </w:rPr>
              <w:t>Collyre 0,005</w:t>
            </w:r>
          </w:p>
        </w:tc>
        <w:tc>
          <w:tcPr>
            <w:tcW w:type="dxa" w:w="1559"/>
          </w:tcPr>
          <w:p>
            <w:r>
              <w:rPr>
                <w:sz w:val="20"/>
              </w:rPr>
              <w:t>Flacon de 10 mL</w:t>
            </w:r>
          </w:p>
        </w:tc>
        <w:tc>
          <w:tcPr>
            <w:tcW w:type="dxa" w:w="1559"/>
          </w:tcPr>
          <w:p>
            <w:r>
              <w:rPr>
                <w:sz w:val="20"/>
              </w:rPr>
              <w:t>Liste I</w:t>
            </w:r>
          </w:p>
        </w:tc>
        <w:tc>
          <w:tcPr>
            <w:tcW w:type="dxa" w:w="1559"/>
          </w:tcPr>
          <w:p>
            <w:r>
              <w:rPr>
                <w:sz w:val="20"/>
              </w:rPr>
              <w:t>RETRAIT</w:t>
            </w:r>
          </w:p>
        </w:tc>
      </w:tr>
      <w:tr>
        <w:tc>
          <w:tcPr>
            <w:tcW w:type="dxa" w:w="1559"/>
          </w:tcPr>
          <w:p>
            <w:r>
              <w:rPr>
                <w:sz w:val="20"/>
              </w:rPr>
              <w:t>MIDRISOL</w:t>
            </w:r>
          </w:p>
        </w:tc>
        <w:tc>
          <w:tcPr>
            <w:tcW w:type="dxa" w:w="1559"/>
          </w:tcPr>
          <w:p>
            <w:r>
              <w:rPr>
                <w:sz w:val="20"/>
              </w:rPr>
              <w:t>ABDI IBRAHIM</w:t>
            </w:r>
          </w:p>
        </w:tc>
        <w:tc>
          <w:tcPr>
            <w:tcW w:type="dxa" w:w="1559"/>
          </w:tcPr>
          <w:p>
            <w:r>
              <w:rPr>
                <w:sz w:val="20"/>
              </w:rPr>
              <w:t>Collyre 0,005</w:t>
            </w:r>
          </w:p>
        </w:tc>
        <w:tc>
          <w:tcPr>
            <w:tcW w:type="dxa" w:w="1559"/>
          </w:tcPr>
          <w:p>
            <w:r>
              <w:rPr>
                <w:sz w:val="20"/>
              </w:rPr>
              <w:t>Flacon de 5 mL</w:t>
            </w:r>
          </w:p>
        </w:tc>
        <w:tc>
          <w:tcPr>
            <w:tcW w:type="dxa" w:w="1559"/>
          </w:tcPr>
          <w:p>
            <w:r>
              <w:rPr>
                <w:sz w:val="20"/>
              </w:rPr>
              <w:t>Liste I</w:t>
            </w:r>
          </w:p>
        </w:tc>
        <w:tc>
          <w:tcPr>
            <w:tcW w:type="dxa" w:w="1559"/>
          </w:tcPr>
          <w:p>
            <w:r>
              <w:rPr>
                <w:sz w:val="20"/>
              </w:rPr>
              <w:t>RETRAIT</w:t>
            </w:r>
          </w:p>
        </w:tc>
      </w:tr>
      <w:tr>
        <w:tc>
          <w:tcPr>
            <w:tcW w:type="dxa" w:w="1559"/>
          </w:tcPr>
          <w:p>
            <w:r>
              <w:rPr>
                <w:sz w:val="20"/>
              </w:rPr>
              <w:t>ATROPINE</w:t>
            </w:r>
          </w:p>
        </w:tc>
        <w:tc>
          <w:tcPr>
            <w:tcW w:type="dxa" w:w="1559"/>
          </w:tcPr>
          <w:p>
            <w:r>
              <w:rPr>
                <w:sz w:val="20"/>
              </w:rPr>
              <w:t>MEDICUBA</w:t>
            </w:r>
          </w:p>
        </w:tc>
        <w:tc>
          <w:tcPr>
            <w:tcW w:type="dxa" w:w="1559"/>
          </w:tcPr>
          <w:p>
            <w:r>
              <w:rPr>
                <w:sz w:val="20"/>
              </w:rPr>
              <w:t>Collyre 0,01</w:t>
            </w:r>
          </w:p>
        </w:tc>
        <w:tc>
          <w:tcPr>
            <w:tcW w:type="dxa" w:w="1559"/>
          </w:tcPr>
          <w:p>
            <w:r>
              <w:rPr>
                <w:sz w:val="20"/>
              </w:rPr>
              <w:t>Flacon de 5 mL</w:t>
            </w:r>
          </w:p>
        </w:tc>
        <w:tc>
          <w:tcPr>
            <w:tcW w:type="dxa" w:w="1559"/>
          </w:tcPr>
          <w:p>
            <w:r>
              <w:rPr>
                <w:sz w:val="20"/>
              </w:rPr>
              <w:t>Liste I</w:t>
            </w:r>
          </w:p>
        </w:tc>
        <w:tc>
          <w:tcPr>
            <w:tcW w:type="dxa" w:w="1559"/>
          </w:tcPr>
          <w:p>
            <w:r>
              <w:rPr>
                <w:sz w:val="20"/>
              </w:rPr>
              <w:t>RETRAIT</w:t>
            </w:r>
          </w:p>
        </w:tc>
      </w:tr>
      <w:tr>
        <w:tc>
          <w:tcPr>
            <w:tcW w:type="dxa" w:w="1559"/>
          </w:tcPr>
          <w:p>
            <w:r>
              <w:rPr>
                <w:sz w:val="20"/>
              </w:rPr>
              <w:t>COLIRCUSI ATROPINE</w:t>
            </w:r>
          </w:p>
        </w:tc>
        <w:tc>
          <w:tcPr>
            <w:tcW w:type="dxa" w:w="1559"/>
          </w:tcPr>
          <w:p>
            <w:r>
              <w:rPr>
                <w:sz w:val="20"/>
              </w:rPr>
              <w:t>CUSI</w:t>
            </w:r>
          </w:p>
        </w:tc>
        <w:tc>
          <w:tcPr>
            <w:tcW w:type="dxa" w:w="1559"/>
          </w:tcPr>
          <w:p>
            <w:r>
              <w:rPr>
                <w:sz w:val="20"/>
              </w:rPr>
              <w:t>Collyre 0,01</w:t>
            </w:r>
          </w:p>
        </w:tc>
        <w:tc>
          <w:tcPr>
            <w:tcW w:type="dxa" w:w="1559"/>
          </w:tcPr>
          <w:p>
            <w:r>
              <w:rPr>
                <w:sz w:val="20"/>
              </w:rPr>
              <w:t>Flacon de 10 mL</w:t>
            </w:r>
          </w:p>
        </w:tc>
        <w:tc>
          <w:tcPr>
            <w:tcW w:type="dxa" w:w="1559"/>
          </w:tcPr>
          <w:p>
            <w:r>
              <w:rPr>
                <w:sz w:val="20"/>
              </w:rPr>
              <w:t>Liste I</w:t>
            </w:r>
          </w:p>
        </w:tc>
        <w:tc>
          <w:tcPr>
            <w:tcW w:type="dxa" w:w="1559"/>
          </w:tcPr>
          <w:p>
            <w:r>
              <w:rPr>
                <w:sz w:val="20"/>
              </w:rPr>
              <w:t>RETRAIT</w:t>
            </w:r>
          </w:p>
        </w:tc>
      </w:tr>
      <w:tr>
        <w:tc>
          <w:tcPr>
            <w:tcW w:type="dxa" w:w="1559"/>
          </w:tcPr>
          <w:p>
            <w:r>
              <w:rPr>
                <w:sz w:val="20"/>
              </w:rPr>
              <w:t>MIDRISOL</w:t>
            </w:r>
          </w:p>
        </w:tc>
        <w:tc>
          <w:tcPr>
            <w:tcW w:type="dxa" w:w="1559"/>
          </w:tcPr>
          <w:p>
            <w:r>
              <w:rPr>
                <w:sz w:val="20"/>
              </w:rPr>
              <w:t>ABDI IBRAHIM</w:t>
            </w:r>
          </w:p>
        </w:tc>
        <w:tc>
          <w:tcPr>
            <w:tcW w:type="dxa" w:w="1559"/>
          </w:tcPr>
          <w:p>
            <w:r>
              <w:rPr>
                <w:sz w:val="20"/>
              </w:rPr>
              <w:t>Collyre 0,01</w:t>
            </w:r>
          </w:p>
        </w:tc>
        <w:tc>
          <w:tcPr>
            <w:tcW w:type="dxa" w:w="1559"/>
          </w:tcPr>
          <w:p>
            <w:r>
              <w:rPr>
                <w:sz w:val="20"/>
              </w:rPr>
              <w:t>Flacon de 5 mL</w:t>
            </w:r>
          </w:p>
        </w:tc>
        <w:tc>
          <w:tcPr>
            <w:tcW w:type="dxa" w:w="1559"/>
          </w:tcPr>
          <w:p>
            <w:r>
              <w:rPr>
                <w:sz w:val="20"/>
              </w:rPr>
              <w:t>Liste I</w:t>
            </w:r>
          </w:p>
        </w:tc>
        <w:tc>
          <w:tcPr>
            <w:tcW w:type="dxa" w:w="1559"/>
          </w:tcPr>
          <w:p>
            <w:r>
              <w:rPr>
                <w:sz w:val="20"/>
              </w:rPr>
              <w:t>RETRAIT</w:t>
            </w:r>
          </w:p>
        </w:tc>
      </w:tr>
    </w:tbl>
    <w:p/>
    <w:p>
      <w:r>
        <w:t>L'atropine disponible en Algérie à la date de cette nomenclature est uniquement sous forme de collyres ophtalmologiques (Apitropin, Cropine) en concentrations 0,005 % et 0,01 % (soit 0,05 mg/mL et 0,1 mg/mL), utilisés en mydriatique et cycloplégique en examen ophtalmologique (fond d'œil, réfraction chez l'enfant, traitement de l'uvée antérieure, traitement de l'amblyopie par pénalisation pharmacologique). Cette situation de fait expose les praticiens algériens à une carence majeure en forme injectable IV à usage antidote en urgence toxicologique (intoxication organophosphorée, bradycardie sinusale sévère symptomatique, bloc AV de haut grade).</w:t>
      </w:r>
    </w:p>
    <w:p>
      <w:r>
        <w:t>Les collyres atropiniques historiques (Atropine Alcon 0,003 %, 0,005 %, 0,01 % ; Colircusi Atropine Cusi 0,005 %, 0,01 % ; Midrisol Abdi Ibrahim 0,005 %, 0,01 % ; Atropine Medicuba 0,01 % ; Cropine Crovis Philcom 0,0025 %) sont pour la plupart retirés du marché algérien ou non renouvelables, ne laissant que les collyres Apitropin (Amman Pharmaceutical Industrie, Jordanie) et Cropine (Gencopharm) en concentrations 0,005 % et 0,01 %. Cette situation constitue une priorité d'amélioration identifiée par les sociétés savantes nationales, l'atropine injectable IV devant être importée exceptionnellement (Atropine Aguettant, Atropine Sulfate 1 mg/mL) ou produite en forme hospitalière magistrale.</w:t>
      </w:r>
    </w:p>
    <w:p>
      <w:pPr>
        <w:pStyle w:val="Heading3"/>
      </w:pPr>
      <w:r>
        <w:t>191.18.3 Mécanisme d'action moléculaire et cellulaire</w:t>
      </w:r>
    </w:p>
    <w:p>
      <w:r>
        <w:t>L'acétylcholine (ACh) est le neurotransmetteur de la transmission cholinergique, synthétisée à partir de la choline et de l'acétyl-CoA par la choline acétyltransférase (ChAT) dans les terminaisons présynaptiques, stockée dans les vésicules synaptiques, libérée par exocytose dans la fente synaptique en réponse au potentiel d'action, et dégradée par l'acétylcholinestérase (AChE) en choline et acétate. L'ACh se fixe sur deux types de récepteurs : (i) les récepteurs nicotiniques (nAChR, ligand-gated cation channel, neuromusculaire, ganglionnaire, cérébral) ; (ii) les récepteurs muscariniques (mAChR, GPCR, parasympathique, central). Les récepteurs muscariniques comportent cinq sous-types (M1, M2, M3, M4, M5) couplés aux protéines G : M1, M3, M5 couplés à Gq (augmentation de l'IP3 et du calcium intracellulaire), M2 et M4 couplés à Gi (diminution de l'AMPc et ouverture des canaux potassiques).</w:t>
      </w:r>
    </w:p>
    <w:p>
      <w:r>
        <w:t>Les organophosphorés (pesticides anticholinestérasiques : parathion, malathion, diazinon, chlorpyrifos ; neurotoxiques de guerre : sarin, soman, tabun, VX) inhibent de manière irréversible l'AChE par phosphorylation du site actif sérine. Cette inhibition irréversible (rarement réversible si traitement précoce par pralidoxime, réactivateur des cholinestérases, dans les 24 heures) provoque une accumulation massive d'ACh au niveau des synapses parasympathiques (effet muscarinique), des ganglions autonomes et des jonctions neuro-effectrices (effet nicotinique), et du système nerveux central (effet central). L'accumulation d'ACh induit le syndrome cholinergique, qui associe trois composantes : (i) syndrome muscarinique (hypersécrétions bronchique et salivaire, bronchospasme, bradycardie, myosis, hypotension, vomissements, diarrhée, miction, larmoiement, sweating - mnémonique SLUDGE/BBB ou DUMBELS) ; (ii) syndrome nicotinique (fasciculations musculaires, paralysie, tachycardie, hypertension, mydriase, pâleur) ; (iii) syndrome central (convulsions, coma, dépression respiratoire centrale, psychose atropinique).</w:t>
      </w:r>
    </w:p>
    <w:p>
      <w:r>
        <w:t>L'atropine est un antagoniste compétitif des récepteurs muscariniques (M1, M2, M3, M4, M5), dépourvu d'action sur les récepteurs nicotiniques. Elle antagonise spécifiquement le syndrome muscarinique en bloquant l'accumulation excessive d'ACh au niveau des synapses parasympathiques : (i) blocage des récepteurs M3 bronchiques (réduction des sécrétions et du bronchospasme) ; (ii) blocage des récepteurs M3 des glandes exocrines (réduction de l'hypersialorrhée, de la lacrimation, de la sudation) ; (iii) blocage des récepteurs M2 cardiaques (augmentation de la fréquence cardiaque et de la conduction AV, correction de la bradycardie et des blocs AV) ; (iv) blocage des récepteurs M3 gastro-intestinaux (réduction de la motilité et des sécrétions) ; (v) blocage des récepteurs M3 oculaires (mydriasis, cycloplégie) ; (vi) blocage des récepteurs M3 vésicaux (rétention urinaire). L'atropine n'a pas d'action sur le syndrome nicotinique (fasciculations, paralysie) ni sur le syndrome central (convulsions, coma), qui nécessitent l'administration de pralidoxime (réactivateur des cholinestérases, qui restaure l'activité AChE en éliminant le groupement phosphoryl de l'enzyme) et de benzodiazépines (diazépam 10 mg IV, contrôle des convulsions).</w:t>
      </w:r>
    </w:p>
    <w:p>
      <w:r>
        <w:t>Au plan cellulaire, l'atropine se fixe de manière compétitive sur le site de liaison de l'ACh du récepteur muscarinique, empêchant l'activation du récepteur par l'ACh en excès. La fixation est réversible et dose-dépendante, ce qui explique la nécessité d'une titration IV répétée (1-2 mg IV chez l'adulte, 0,02-0,05 mg/kg chez l'enfant, toutes les 5-15 minutes) jusqu'à obtention de la sécheresse des sécrétions bronchiques et d'une FC &gt; 80/min. La demi-vie d'élimination de l'atropine est de 2-4 heures, ce qui impose une surveillance prolongée et l'administration de perfusion continue (10-20 mg/h, ajustée selon la réponse) en cas d'intoxication sévère ou prolongée. L'atropine traverse la barrière hémato-encéphalique (effets centraux : sédation à faible dose, excitation et psychose à dose toxique), le placenta (compatible avec la grossesse en urgence vitale), et le tube digestif (absorption orale rapide, biodisponibilité 10-25 %).</w:t>
      </w:r>
    </w:p>
    <w:p>
      <w:pPr>
        <w:pStyle w:val="Heading3"/>
      </w:pPr>
      <w:r>
        <w:t>191.18.4 Profil pharmacocinétique, indications, contre-indications, effets indésirables</w:t>
      </w:r>
    </w:p>
    <w:p>
      <w:r/>
      <w:r>
        <w:rPr>
          <w:b/>
        </w:rPr>
        <w:t>Pharmacocinétique</w:t>
      </w:r>
      <w:r>
        <w:t xml:space="preserve"> : l'atropine est administrée par voie IV (urgence), IM, SC, orale, ou ophtalmologique (collyre). Après administration IV, le pic d'effet est atteint en 1-2 minutes, la durée d'action est de 2-6 heures. Après administration IM ou SC, le pic est atteint en 15-30 minutes, la durée d'action est de 4-6 heures. Après administration orale, le pic est atteint en 1-2 heures, la durée d'action est de 4-6 heures, la biodisponibilité est de 10-25 % (effet de premier passage hépatique). Le volume de distribution est important (2-4 L/kg), reflétant une diffusion tissulaire large. La fixation protéique est modérée (20-50 %). La demi-vie d'élimination est de 2-4 heures chez l'adulte sain, plus courte chez l'enfant (1-2 heures), plus longue chez le sujet âgé (4-6 heures) et en cas d'insuffisance rénale sévère (jusqu'à 10 heures). Le métabolisme est hépatique par hydrolyse et conjugaison. L'élimination est rénale (50-70 % sous forme inchangée, 30-50 % sous forme de métabolites).</w:t>
      </w:r>
    </w:p>
    <w:p>
      <w:r/>
      <w:r>
        <w:rPr>
          <w:b/>
        </w:rPr>
        <w:t>Indications</w:t>
      </w:r>
      <w:r>
        <w:t xml:space="preserve"> : (i) antidote de l'intoxication par les organophosphorés (pesticides anticholinestérasiques, neurotoxiques de guerre) avec syndrome muscarinique : atropine 1-2 mg IV (adulte) ou 0,02-0,05 mg/kg (enfant), à répéter toutes les 5-15 minutes jusqu'à sécheresse des sécrétions bronchiques et FC &gt; 80/min, puis perfusion continue 10-20 mg/h (adulte) en fonction de la sévérité ; (ii) antidote de l'intoxication par les carbamates (insecticides anticholinestérasiques réversibles : carbaryl, propoxur, aldicarbe), similaire aux organophosphorés mais réversible (pralidoxime généralement non nécessaire) ; (iii) antidote de la bradycardie sinusale symptomatique (syncope vaso-vagale, infarctus du myocarde avec bradycardie et hypotension, bloc sino-auriculaire, bloc AV de haut grade) : 0,5-1 mg IV (adulte), 0,02 mg/kg (enfant), à répéter si nécessaire ; (iv) antidote de la bradycardie par β-bloquants en cas d'échec du glucagon : 0,5-1 mg IV (mais effet souvent insuffisant, glucagon privilégié) ; (v) traitement de la bradycardie peropératoire (anesthésie générale) : 0,5-1 mg IV ; (vi) examen ophtalmologique (mydriatique et cycloplégique) : collyre 0,5-1 % (1 goutte), pour fond d'œil, réfraction chez l'enfant ; (vii) traitement de l'uvée antérieure et de l'iridocyclite (collyre, pour prévenir les synéchies irido-cristalliniennes) ; (viii) traitement de l'amblyopie par pénalisation pharmacologique chez l'enfant (collyre 1 % dans le bon œil, pour forcer l'enfant à utiliser l'œil amblyope) ; (ix) test à l'atropine pour explorer le système nerveux autonome ; (x) traitement de la colique néphrétique et biliaire (antispasmodique, usage historique dépassé) ; (xi) traitement des diarrhées (effet antispasmodique digestif, usage historique dépassé en raison des effets centraux) ; (xii) prévention de l'intubation (réduction des sécrétions bronchiques, usage historique dépassé en raison des effets cardiaques) ; (xiii) antidote des intoxications par les champignons cholinergiques (Clitocybe, Inocybe — syndrome muscarinique, antidote spécifique) ; (xiv) antidote des intoxications par les myorelaxants dépolarisants (suxaméthonium bradycardisante par stimulation muscarinique cardiaque).</w:t>
      </w:r>
    </w:p>
    <w:p>
      <w:r/>
      <w:r>
        <w:rPr>
          <w:b/>
        </w:rPr>
        <w:t>Contre-indications</w:t>
      </w:r>
      <w:r>
        <w:t xml:space="preserve"> : (i) hypersensibilité connue à l'atropine ou aux anticholinergiques ; (ii) glaucome à angle fermé (l'atropine provoque une mydriasis qui peut fermer l'angle irido-cornéen et précipiter une crise de glaucome aiguë) — sauf urgence vitale ; (iii) hypertrophie bénigne de la prostate (l'atropine aggrave la rétention urinaire) — sauf urgence vitale ; (iv) sténose pylorique (l'atropine aggrave la stase gastrique) ; (v) iléus paralytique (l'atropine aggrave l'iléus) ; (vi) tachycardie sévère, hyperthyroïdie (l'atropine augmente la FC) ; (vii) insuffisance coronarienne sévère (l'atropine augmente la consommation myocardique en O2 par tachycardie) ; (viii) myasthénie (l'atropine aggrave la faiblesse musculaire par bloc muscarinique des jonctions neuromusculaires, à éviter ou à administrer à faibles doses) ; (ix) prudence en cas de grossesse (compatible en urgence vitale, mais prudence pour l'usage ophtalmologique chronique) ; (x) prudence en cas d'allaitement (compatible en administration unique, à éviter en administration chronique) ; (xi) prudence chez le sujet âgé (risque de psychose atropinique, de rétention urinaire, de glaucome aiguë, de fécalome).</w:t>
      </w:r>
    </w:p>
    <w:p>
      <w:r/>
      <w:r>
        <w:rPr>
          <w:b/>
        </w:rPr>
        <w:t>Effets indésirables</w:t>
      </w:r>
      <w:r>
        <w:t xml:space="preserve"> : le profil de tolérance de l'atropine est dominé par les effets antimuscariniques périphériques et centraux. </w:t>
      </w:r>
      <w:r>
        <w:rPr>
          <w:b/>
        </w:rPr>
        <w:t>Effets périphériques</w:t>
      </w:r>
      <w:r>
        <w:t xml:space="preserve"> : (i) tachycardie sinusale, palpitations, hypertension (bloc M2 cardiaque) ; (ii) sécheresse de la bouche, de la peau, des muqueuses (bloc M3 des glandes exocrines) ; (iii) mydriasis, cycloplégie, photophobie, troubles de l'accommodation (bloc M3 oculaire) ; (iv) rétention urinaire, dysurie (bloc M3 vésical) ; (v) constipation, iléus paralytique (bloc M3 digestif) ; (vi) flush facial, hyperthermie (bloc M3 vasomoteur et sudoral). </w:t>
      </w:r>
      <w:r>
        <w:rPr>
          <w:b/>
        </w:rPr>
        <w:t>Effets centraux</w:t>
      </w:r>
      <w:r>
        <w:t xml:space="preserve"> : (vii) sédation à faible dose (bloc M1 central) ; (viii) agitation, confusion, désorientation à dose modérée ; (ix) psychose atropinique (syndrome anticholinergique : confusion, hallucinations visuelles et auditives, délire, agitation, amnésie, dysarthrie) à dose toxique ; (x) convulsions, coma, dépression respiratoire centrale à dose très toxique (overdose massive) ; (xi) hyperthermie (effet central sur le thermostat hypothalamique, par inhibition de la sudation) — risque de coup de chaleur en cas d'effort physique associé. Les effets indésirables sont dose-dépendants et généralement réversibles à l'arrêt. La durée des effets est de 4-6 heures pour les effets périphériques, plus prolongée pour les effets centraux (jusqu'à 24-48 heures en cas d'overdose).</w:t>
      </w:r>
    </w:p>
    <w:p>
      <w:pPr>
        <w:pStyle w:val="Heading3"/>
      </w:pPr>
      <w:r>
        <w:t>191.18.5 Prévention et gestion des effets indésirables</w:t>
      </w:r>
    </w:p>
    <w:p>
      <w:r>
        <w:t>La prévention des effets indésirables de l'atropine repose sur la titration prudente, la surveillance clinique et ECG, et l'administration de pralidoxime en association en cas d'intoxication organophosphorée.</w:t>
      </w:r>
    </w:p>
    <w:p>
      <w:r/>
      <w:r>
        <w:rPr>
          <w:b/>
        </w:rPr>
        <w:t>Titration prudente</w:t>
      </w:r>
      <w:r>
        <w:t xml:space="preserve"> : l'atropine doit être administrée en doses fractionnées, en commençant par 1-2 mg IV chez l'adulte (0,02-0,05 mg/kg chez l'enfant), répétées toutes les 5-15 minutes jusqu'à obtention de la sécheresse des sécrétions bronchiques et d'une FC &gt; 80/min. L'objectif thérapeutique classique est la « sécheresse pulmonaire » (disparition des râles bronchiques, des sibilants, de l'encombrement bronchique) et une FC &gt; 80/min (ou &gt; 120/min chez l'enfant). Ne pas attendre la mydriasis (qui n'est pas un objectif thérapeutique et peut être tardive en cas d'hypoxie). En cas d'intoxication sévère, la dose totale peut atteindre 50-100 mg dans les premières 24 heures (par perfusion continue 10-20 mg/h après titration initiale).</w:t>
      </w:r>
    </w:p>
    <w:p>
      <w:r/>
      <w:r>
        <w:rPr>
          <w:b/>
        </w:rPr>
        <w:t>Surveillance clinique et ECG</w:t>
      </w:r>
      <w:r>
        <w:t xml:space="preserve"> : sous atropine, surveiller : (i) FC (cible &gt; 80/min chez l'adulte, &gt; 100-120/min chez l'enfant) ; (ii) PA (l'hypotension de l'intoxication organophosphorée doit se corriger avec la tachycardie) ; (iii) SpO2 (l'hypoxémie de l'œdème pulmonaire cholinergique doit se corriger avec la sécheresse bronchique) ; (iv) auscultation pulmonaire (disparition des râles et sibilants) ; (v) état de conscience (la psychose atropinique peut survenir à dose toxique) ; (vi) ECG (recherche de tachycardie sinusale, d'arythmies supraventriculaires, de ESV) ; (vii) diurèse (la rétention urinaire peut nécessiter un sondage vésical) ; (viii) température corporelle (l'hyperthermie de l'atropinisation doit être surveillée, refroidissement si nécessaire).</w:t>
      </w:r>
    </w:p>
    <w:p>
      <w:r/>
      <w:r>
        <w:rPr>
          <w:b/>
        </w:rPr>
        <w:t>Association à la pralidoxime (réactivateur des cholinestérases)</w:t>
      </w:r>
      <w:r>
        <w:t xml:space="preserve"> : en cas d'intoxication organophosphorée confirmée, l'atropine doit être systématiquement associée à la pralidoxime (Contrathion, 2-PAM), qui réactive l'AChE phosphorylée en éliminant le groupement phosphoryl. La pralidoxime est inefficace sur les intoxications par carbamates (réversibles spontanément) et doit être administrée précocement (dans les 24 heures) avant que la phosphorylation ne devienne irréversible (« vieillissement » de l'enzyme, qui survient en quelques heures selon l'organophosphoré : tabun 5 h, sarin 5 h, soman 5 min, VX 50 h). La pralidoxime n'est pas disponible en Algérie à la date de cette nomenclature, ce qui expose les praticiens à devoir gérer les intoxications organophosphorées par atropine seule (efficacité réduite sur le syndrome nicotinique et central). La pralidoxime est administrée à la dose de 30 mg/kg IV en 15-30 minutes (2 g chez l'adulte), à répéter toutes les 6-12 heures pendant 24-48 heures selon l'évolution.</w:t>
      </w:r>
    </w:p>
    <w:p>
      <w:r/>
      <w:r>
        <w:rPr>
          <w:b/>
        </w:rPr>
        <w:t>Prévention de la psychose atropinique</w:t>
      </w:r>
      <w:r>
        <w:t xml:space="preserve"> : en cas d'administration de doses massives d'atropine (10-100 mg/24 h), surveiller l'état de conscience (recherche de confusion, hallucinations, délire, agitation). En cas de psychose atropinique : (i) arrêter temporairement l'atropine (en surveillant la récidive du syndrome muscarinique) ; (ii) administrer un antidote spécifique : physostigmine (Antilirium, inhibiteur réversible de l'AChE qui traverse la barrière hémato-encéphalique, 1-2 mg IV lent), à utiliser avec prudence en raison du risque de bradycardie sévère, de bloc AV, d'arrêt cardiaque en cas d'overdose ; (iii) benzodiazépines (diazépam 5-10 mg IV, lorazépam 1-2 mg IV) pour le contrôle de l'agitation et des convulsions ; (iv) réhydratation, refroidissement si hyperthermie, sondage vésical si rétention urinaire.</w:t>
      </w:r>
    </w:p>
    <w:p>
      <w:r/>
      <w:r>
        <w:rPr>
          <w:b/>
        </w:rPr>
        <w:t>Surveillance prolongée en cas d'intoxication organophosphorée</w:t>
      </w:r>
      <w:r>
        <w:t xml:space="preserve"> : la demi-vie d'élimination de l'atropine (2-4 heures) est nettement inférieure à la durée d'action des organophosphorés (parathion 24-48 h, dichlorvos 8-12 h, malathion 24-48 h, VX 50 h, voire plus en cas d'ingestion massive). La surveillance clinique doit être poursuivie au minimum 24-48 heures après la dernière dose d'atropine (et jusqu'à 5-7 jours pour le VX). En cas de récidive du syndrome muscarinique, reprise de l'atropine à la dose efficace précédente. Surveiller également le syndrome intermédiaire (paralysie respiratoire par démyélinisation des nerfs périphériques, survenant 24-96 h après l'exposition, nécessitant ventilation mécanique prolongée) et la neuropathie retardée (survenant 1-3 semaines après l'exposition, déficit moteur distal, pouvant être permanent).</w:t>
      </w:r>
    </w:p>
    <w:p>
      <w:pPr>
        <w:pStyle w:val="Heading3"/>
      </w:pPr>
      <w:r>
        <w:t>191.18.6 Interactions médicamenteuses</w:t>
      </w:r>
    </w:p>
    <w:p>
      <w:r>
        <w:t>L'atropine présente plusieurs interactions médicamenteuses à connaître :</w:t>
      </w:r>
    </w:p>
    <w:p>
      <w:r/>
      <w:r>
        <w:rPr>
          <w:b/>
        </w:rPr>
        <w:t>Interactions pharmacodynamiques</w:t>
      </w:r>
      <w:r>
        <w:t xml:space="preserve"> : (i) potentialisation de l'effet anticholinergique des autres antimuscariniques (oxybutynine, toltérodine, solifénacine, ipratropium, tiotropium) — effet additif, à surveiller en cas d'association ; (ii) potentialisation de l'effet anticholinergique des antidépresseurs tricycliques (amitriptyline, imipramine, clomipramine) et des antiparkinsoniens anticholinergiques (trihexyphénydyle, bipéridène) — risque de syndrome atropinique ; (iii) potentialisation de l'effet anticholinergique des neuroleptiques (chlorpromazine, halopéridol, clozapine) — risque de syndrome atropinique ; (iv) potentialisation de l'effet anticholinergique des antihistaminiques H1 de 1re génération (diphenhydramine, doxylamine, hydroxyzine) — risque de syndrome atropinique ; (v) antagonisation de l'effet parasympathomimétique des parasympathomimétiques (néostigmine, pyridostigmine, physostigmine, pilocarpine, bethanéchol) — effet pharmacologique attendu (antidote) ; (vi) potentialisation de la tachycardie des sympathomimétiques (adrénaline, isoprénaline, salbutamol) — risque de tachycardie sévère, d'arythmie ; (vii) potentialisation de l'effet tachycardisant des ICA dihydropyridines (amlodipine, nicardipine, nifédipine) — risque de tachycardie réflexe excessive ; (viii) antagonisation de l'effet bradycardisant des β-bloquants (propranolol, aténolol, métoprolol) — effet pharmacologique attendu (antidote bradycardie β-bloquants) ; (ix) potentialisation de l'effet antispasmodique des antispasmodiques digestifs (phloroglucinol, mébéverine, pinavérium) — effet additif ; (x) antagonisation de l'effet prokinétique des prokinétiques (métoclopramide, dompéridone, érythromycine à dose prokinétique) — effet antagoniste ; (xi) potentialisation de l'effet sédatif des benzodiazépines, des opioïdes, des barbituriques (effet central additif).</w:t>
      </w:r>
    </w:p>
    <w:p>
      <w:r/>
      <w:r>
        <w:rPr>
          <w:b/>
        </w:rPr>
        <w:t>Interactions pharmacocinétiques</w:t>
      </w:r>
      <w:r>
        <w:t xml:space="preserve"> : peu pertinentes en pratique clinique courante. L'atropine est métabolisée par le CYP3A4 hépatique, et son métabolisme peut être inhibé par les inhibiteurs du CYP3A4 (macrolides : érythromycine, clarithromycine ; antifongiques azolés : kétoconazole, itraconazole, voriconazole ; inhibiteurs de protéase : ritonavir, saquinavir ; jus de pamplemousse), avec risque d'accumulation et de surdosage. La prudence est de mise en cas d'administration chronique associée à un inhibiteur du CYP3A4.</w:t>
      </w:r>
    </w:p>
    <w:p>
      <w:r/>
      <w:r>
        <w:rPr>
          <w:b/>
        </w:rPr>
        <w:t>Associations à risque</w:t>
      </w:r>
      <w:r>
        <w:t xml:space="preserve"> : (i) atropine + antidépresseurs tricycliques, neuroleptiques, antihistaminiques H1 de 1re génération : risque de syndrome atropinique (confusion, hallucinations, tachycardie, rétention urinaire, iléus paralytique), surveillance clinique ; (ii) atropine + β-bloquants : effet tachycardisant de l'atropine antagonisé par le β-bloquant, surveillance ECG (risque de bloc AV si dose excessive d'atropine) ; (iii) atropine + amines pressives (adrénaline, noradrénaline, dopamine) : risque de tachycardie ventriculaire, d'arythmie, surveillance ECG continue ; (iv) atropine + digoxine : risque de bloc AV, de bradycardie paradoxale (à dose excessive d'atropine) ; (v) atropine + kétoconazole, clarithromycine, ritonavir : risque d'accumulation d'atropine par inhibition du CYP3A4, surveillance clinique.</w:t>
      </w:r>
    </w:p>
    <w:p>
      <w:pPr>
        <w:pStyle w:val="Heading3"/>
      </w:pPr>
      <w:r>
        <w:t>191.18.7 Grossesse et allaitement (données CRAT)</w:t>
      </w:r>
    </w:p>
    <w:p>
      <w:r/>
      <w:r>
        <w:rPr>
          <w:b/>
        </w:rPr>
        <w:t>Grossesse</w:t>
      </w:r>
      <w:r>
        <w:t xml:space="preserve"> : l'atropine traverse la barrière placentaire en raison de sa lipophilie et de son faible poids moléculaire (289 Da). Les données du CRAT et de l'OTIS indiquent que l'atropine n'est pas tératogène chez l'animal et qu'aucun cas de malformation n'a été rapporté chez la femme enceinte exposée. L'atropine est considérée comme compatible avec la grossesse, y compris en cas d'urgence vitale maternelle (intoxication organophosphorée, bradycardie sévère symptomatique). À dose thérapeutique unique (1-2 mg IV), l'atropine n'a pas d'effet fœtal notable (FC fœtale inchangée, pas de souffrance fœtale). À dose massive prolongée (10-100 mg/24 h en perfusion continue pour intoxication organophosphorée), surveiller la FC fœtale (risque de tachycardie fœtale transitoire), l'amplitude des mouvements fœtaux (risque de diminution par sédation centrale), et l'environnement utérin (risque d'hypertonie utérine rare). Le sulfat d'atropine IM a également été utilisé en prévention de la bradycardie et de l'hypotension lors de l'anesthésie par rachianesthésie ou péridurale chez la femme enceinte (efficacité discutée, alternatives privilégiées : éphédrine, phényléphrine).</w:t>
      </w:r>
    </w:p>
    <w:p>
      <w:r>
        <w:t>L'usage chronique d'atropine ophtalmologique (collyre) pendant la grossesse doit être évité en raison de l'absorption systémique non négligeable (notamment en cas d'administration prolongée ou d'occlusion des voies lacrymales non réalisée). Le collyre atropinique peut induire une tachycardie maternelle et fœtale transitoire, et doit être utilisé avec prudence pendant la grossesse (préférer le tropicamide, plus court-acting et moins absorbé).</w:t>
      </w:r>
    </w:p>
    <w:p>
      <w:r/>
      <w:r>
        <w:rPr>
          <w:b/>
        </w:rPr>
        <w:t>Allaitement</w:t>
      </w:r>
      <w:r>
        <w:t xml:space="preserve"> : l'atropine passe faiblement dans le lait maternel en raison de sa lipophilie et de sa captation tissulaire. À dose thérapeutique unique (1-2 mg IV), l'atropine est considérée comme compatible avec l'allaitement (concentrations lactées très faibles, pas d'effet notable chez le nourrisson). L'allaitement peut être poursuivi sans restriction après une administration maternelle unique. À dose massive prolongée (intoxication organophosphorée), suspendre temporairement l'allaitement pendant 24-48 heures (jusqu'à clarification de la situation maternelle), puis reprise si l'état maternel le permet. L'usage chronique d'atropine ophtalmologique (collyre) pendant l'allaitement doit être évité en raison de l'absorption systémique (effets anticholinergiques possibles chez le nourrisson : tachycardie, sécheresse buccale, constipation, agitation).</w:t>
      </w:r>
    </w:p>
    <w:p>
      <w:pPr>
        <w:pStyle w:val="Heading3"/>
      </w:pPr>
      <w:r>
        <w:t>191.18.8 Posologie et modes d'administration</w:t>
      </w:r>
    </w:p>
    <w:p>
      <w:r/>
      <w:r>
        <w:rPr>
          <w:b/>
        </w:rPr>
        <w:t>Posologie adulte (intoxication organophosphorée, syndrome muscarinique)</w:t>
      </w:r>
      <w:r>
        <w:t xml:space="preserve"> : 1-2 mg IV (bolus direct, en 1-2 minutes), à répéter toutes les 5-15 minutes jusqu'à obtention de la sécheresse des sécrétions bronchiques (disparition des râles et sibilants) et d'une FC &gt; 80/min. Dose totale dans les premières 24 heures : 10-100 mg selon la sévérité (parfois plus en cas d'intoxication massive). Relayé par perfusion continue 10-20 mg/h (en seringue électrique, dilué dans NaCl 0,9 % ou glucosé 5 %), ajustée selon la réponse clinique (objectif : sécheresse bronchique, FC 80-100/min). Surveillance en réanimation 24-48 h minimum (jusqu'à 5-7 jours pour le VX).</w:t>
      </w:r>
    </w:p>
    <w:p>
      <w:r/>
      <w:r>
        <w:rPr>
          <w:b/>
        </w:rPr>
        <w:t>Posologie adulte (bradycardie sinusale symptomatique)</w:t>
      </w:r>
      <w:r>
        <w:t xml:space="preserve"> : 0,5-1 mg IV (bolus direct), à répéter si nécessaire toutes les 3-5 minutes, dose maximale 3 mg (soit 0,04 mg/kg pour 70 kg). Surveiller la FC, l'ECG, la PA. En cas d'échec (persistance de la bradycardie symptomatique), discuter l'entraînement électrosystolique externe (pacemaker transcutané) ou le glucagon (en cas de suspicion de surdosage β-bloquant).</w:t>
      </w:r>
    </w:p>
    <w:p>
      <w:r/>
      <w:r>
        <w:rPr>
          <w:b/>
        </w:rPr>
        <w:t>Posologie adulte (préparation à l'intubation, prémédication)</w:t>
      </w:r>
      <w:r>
        <w:t xml:space="preserve"> : 0,5 mg IV, 5-10 minutes avant l'intubation (réduction des sécrétions bronchiques, prévention de la bradycardie réflexe). Usage historique discuté, alternatives privilégiées.</w:t>
      </w:r>
    </w:p>
    <w:p>
      <w:r/>
      <w:r>
        <w:rPr>
          <w:b/>
        </w:rPr>
        <w:t>Posologie pédiatrique (intoxication organophosphorée)</w:t>
      </w:r>
      <w:r>
        <w:t xml:space="preserve"> : 0,02-0,05 mg/kg IV (bolus direct), à répéter toutes les 5-15 minutes jusqu'à obtention de la sécheresse des sécrétions bronchiques et d'une FC &gt; 100-120/min. Dose maximale par bolus 1 mg (enfant) ou 2 mg (adolescent). Relayé par perfusion continue 0,02-0,05 mg/kg/h, ajustée selon la réponse clinique. Surveillance en réanimation pédiatrique.</w:t>
      </w:r>
    </w:p>
    <w:p>
      <w:r/>
      <w:r>
        <w:rPr>
          <w:b/>
        </w:rPr>
        <w:t>Posologie pédiatrique (bradycardie sinusale symptomatique)</w:t>
      </w:r>
      <w:r>
        <w:t xml:space="preserve"> : 0,02 mg/kg IV (bolus direct), dose maximale 0,5 mg (enfant &lt; 5 ans) ou 1 mg (enfant &gt; 5 ans). À répéter si nécessaire.</w:t>
      </w:r>
    </w:p>
    <w:p>
      <w:r/>
      <w:r>
        <w:rPr>
          <w:b/>
        </w:rPr>
        <w:t>Posologie pédiatrique (prémédication anesthésique, usage historique)</w:t>
      </w:r>
      <w:r>
        <w:t xml:space="preserve"> : 0,01-0,02 mg/kg IM, 30 minutes avant l'anesthésie.</w:t>
      </w:r>
    </w:p>
    <w:p>
      <w:r/>
      <w:r>
        <w:rPr>
          <w:b/>
        </w:rPr>
        <w:t>Posologie ophtalmologique (examen, mydriatique cycloplégique)</w:t>
      </w:r>
      <w:r>
        <w:t xml:space="preserve"> : 1 goutte de collyre 0,5 % ou 1 % dans l'œil à examiner, 30-60 minutes avant l'examen. Effet mydriatique maximal à 30-40 minutes, durée 7-14 jours (l'atropine a une durée d'action prolongée, à préférer le tropicamide ou le phényléphrine pour les examens courts). Chez l'enfant (réfraction), collyre 0,5 % ou 1 % 1 goutte 2 fois/j pendant 3 jours avant la réfraction.</w:t>
      </w:r>
    </w:p>
    <w:p>
      <w:r/>
      <w:r>
        <w:rPr>
          <w:b/>
        </w:rPr>
        <w:t>Posologie ophtalmologique (traitement de l'uvée antérieure, de l'iridocyclite)</w:t>
      </w:r>
      <w:r>
        <w:t xml:space="preserve"> : 1 goutte de collyre 1 % dans l'œil atteint, 1-3 fois/j selon la sévérité. Occlusion des voies lacrymales pendant 1-2 minutes après l'instillation pour réduire l'absorption systémique.</w:t>
      </w:r>
    </w:p>
    <w:p>
      <w:r/>
      <w:r>
        <w:rPr>
          <w:b/>
        </w:rPr>
        <w:t>Posologie ophtalmologique (amblyopie par pénalisation pharmacologique)</w:t>
      </w:r>
      <w:r>
        <w:t xml:space="preserve"> : 1 goutte de collyre 1 % dans le bon œil, 2 fois/j (matin et soir) pendant 1-6 mois selon l'évolution. Surveillance ophtalmologique mensuelle.</w:t>
      </w:r>
    </w:p>
    <w:p>
      <w:pPr>
        <w:pStyle w:val="Heading3"/>
      </w:pPr>
      <w:r>
        <w:t>191.18.9 Formes galéniques disponibles</w:t>
      </w:r>
    </w:p>
    <w:p>
      <w:r>
        <w:t>L'atropine disponible en Algérie à la date de cette nomenclature est uniquement sous forme de collyres ophtalmologiques (Apitropin Amman Pharmaceutical Industrie, Cropine Gencopharm) en concentrations 0,005 % et 0,01 % (soit 0,05 mg/mL et 0,1 mg/mL), en flacons de 10 et 15 mL. Cette formulation couvre les besoins ophtalmologiques (examen, mydriatique cycloplégique, traitement de l'uvée antérieure, amblyopie par pénalisation pharmacologique), mais ne couvre pas les besoins d'urgence toxicologique (intoxication organophosphorée, bradycardie sinusale sévère symptomatique), qui nécessitent une forme injectable IV (atropine sulfate 1 mg/mL, non disponible en Algérie).</w:t>
      </w:r>
    </w:p>
    <w:p>
      <w:r>
        <w:t>Les collyres atropiniques historiques (Atropine Alcon, Colircusi Atropine Cusi, Midrisol Abdi Ibrahim, Atropine Medicuba) sont pour la plupart retirés du marché algérien ou non renouvelables, ne laissant que les collyres Apitropin et Cropine. Cette situation expose les praticiens algériens à une carence majeure en forme injectable IV à usage antidote en urgence toxicologique. L'atropine injectable IV doit être importée exceptionnellement (Atropine Aguettant 1 mg/mL en ampoules de 5 mL et 10 mL, Atropine Sulfate 1 mg/mL) ou produite en forme hospitalière magistrale.</w:t>
      </w:r>
    </w:p>
    <w:p>
      <w:r>
        <w:t>Les formes galéniques internationales, non disponibles en Algérie, incluent : (i) solution injectable IV à 0,25 mg/mL, 0,5 mg/mL, 1 mg/mL (Atropine Aguettant, Atropine Sulfate) en ampoules de 1 mL, 5 mL, 10 mL — pour l'urgence toxicologique et la bradycardie symptomatique ; (ii) solution injectable IV à 1 mg/mL en seringue pré-remplie de 5 mL et 10 mL (Atropine SOS) — pour l'urgence préhospitalière ; (iii) comprimés à 0,25 mg et 0,5 mg (usage historique en antispasmodique digestif, abandonné) ; (iv) collyre 0,5 % et 1 % (Atropine, Atropine Borate) en flacons de 5 mL et 10 mL ; (v) solution pour nébulisation à 1 % (usage expérimental en bronchodilatateur) ; (vi) patch cutané à 1 % (usage historique en antispasmodique, abandonné).</w:t>
      </w:r>
    </w:p>
    <w:p>
      <w:r>
        <w:t>La conservation des collyres se fait à température ambiante (15-25 °C), à l'abri de la lumière, avec une péremption généralement de 2-3 ans. Après ouverture, le collyre doit être utilisé dans les 15 jours (conservation à 2-8 °C après ouverture, en raison du risque de contamination bactérienne). Ne pas utiliser si le collyre est trouble, contient des particules, ou a changé de couleur. La conservation de la solution injectable se fait à température ambiante (15-25 °C), à l'abri de la lumière, avec une péremption généralement de 3 ans.</w:t>
      </w:r>
    </w:p>
    <w:p>
      <w:pPr>
        <w:pStyle w:val="Heading3"/>
      </w:pPr>
      <w:r>
        <w:t>191.18.10 Conseils au patient et éducation thérapeutique</w:t>
      </w:r>
    </w:p>
    <w:p>
      <w:r>
        <w:t>L'atropine administrée en contexte d'urgence toxicologique (intoxication organophosphorée) est généralement administrée par un professionnel de santé en milieu hospitalier. L'éducation thérapeutique porte principalement sur les informations données au patient et à son entourage après l'épisode d'intoxication, et sur la prévention de la récidive.</w:t>
      </w:r>
    </w:p>
    <w:p>
      <w:r/>
      <w:r>
        <w:rPr>
          <w:b/>
        </w:rPr>
        <w:t>Conseils immédiats après l'administration d'atropine</w:t>
      </w:r>
      <w:r>
        <w:t xml:space="preserve"> : (i) le patient doit être informé que l'effet de l'atropine est transitoire (2-6 heures) et que la surveillance hospitalière en réanimation est indispensable pendant au moins 24-48 heures (jusqu'à 5-7 jours pour le VX) ; (ii) la perfusion continue d'atropine peut être nécessaire pendant plusieurs heures en cas d'intoxication prolongée (organophosphoré à demi-vie longue) ; (iii) les signes d'alerte de sous-dosage (récidive de l'hypersécrétions bronchiques, de la bradycardie, du bronchospasme) doivent être signalés à l'équipe soignante ; (iv) les signes d'alerte de surdosage (tachycardie sévère, confusion, hallucinations, agitation, hyperthermie) doivent également être signalés.</w:t>
      </w:r>
    </w:p>
    <w:p>
      <w:r/>
      <w:r>
        <w:rPr>
          <w:b/>
        </w:rPr>
        <w:t>Conseils de prévention de la récidive de l'intoxication organophosphorée</w:t>
      </w:r>
      <w:r>
        <w:t xml:space="preserve"> : (i) respecter strictement les consignes de sécurité agricole (port de gants, masque, combinaison) lors de la manipulation de pesticides ; (ii) ne jamais transvaser les pesticides dans des bouteilles alimentaires (risque d'ingestion accidentelle, surtout chez l'enfant) ; (iii) ne jamais stocker les pesticides à domicile (risque d'ingestion volontaire ou accidentelle) ; (iv) conserver les pesticides dans un local fermé à clé, hors de portée des enfants ; (v) respecter les délais de réentrée après traitement des cultures (24-48 h minimum) ; (vi) en cas de projection cutanée, lavage abondant à l'eau et au savon immédiatement, retrait des vêtements contaminés ; (vii) en cas d'inhalation, sortir immédiatement de la zone contaminée, éloigner les témoins, alerte des secours (SAMU 14) ; (viii) en cas d'ingestion, ne pas faire vomir (risque d'inhalation), ne pas donner de lait (potentialisation de l'absorption des liposolubles), transporter en urgence aux urgences.</w:t>
      </w:r>
    </w:p>
    <w:p>
      <w:r/>
      <w:r>
        <w:rPr>
          <w:b/>
        </w:rPr>
        <w:t>Conseils aux patients utilisant un collyre atropinique</w:t>
      </w:r>
      <w:r>
        <w:t xml:space="preserve"> : (i) instiller 1 goutte dans l'œil atteint en tirant légèrement la paupière inférieure vers le bas, en regardant vers le haut ; (ii) occlure les voies lacrymales (point lacrymal inférieur) en appuyant avec le doigt pendant 1-2 minutes après l'instillation, pour réduire l'absorption systémique (risque d'effets anticholinergiques généraux : bouche sèche, tachycardie, etc.) ; (iii) ne pas toucher l'embout du flacon avec l'œil ou les doigts (risque de contamination) ; (iv) fermer le flacon après chaque utilisation ; (v) jeter le flacon 15 jours après ouverture (risque de contamination bactérienne) ; (vi) en cas de vision floue, ne pas conduire ni utiliser de machines dangereuses pendant 24-48 heures après l'instillation (l'atropine induit une cycloplégie prolongée 7-14 jours) ; (vii) en cas de photophobie, porter des lunettes de soleil ; (viii) signaler tout effet indésirable (tachycardie, bouche sèche, confusion chez le sujet âgé, difficulté urinaire) au médecin traitant ou à l'ophtalmologiste.</w:t>
      </w:r>
    </w:p>
    <w:p>
      <w:pPr>
        <w:pStyle w:val="Heading3"/>
      </w:pPr>
      <w:r>
        <w:t>191.18.11 Pièges au comptoir (règles d'or)</w:t>
      </w:r>
    </w:p>
    <w:p>
      <w:pPr>
        <w:pStyle w:val="ListNumber"/>
      </w:pPr>
      <w:r/>
      <w:r>
        <w:rPr>
          <w:b/>
        </w:rPr>
        <w:t>Règle d'or n°1 : atropine injectable IV non disponible en Algérie.</w:t>
      </w:r>
      <w:r>
        <w:t xml:space="preserve"> Nécessité d'importation exceptionnelle ou forme hospitalière magistrale. Priorité d'amélioration identifiée par les sociétés savantes nationales.</w:t>
      </w:r>
    </w:p>
    <w:p>
      <w:pPr>
        <w:pStyle w:val="ListNumber"/>
      </w:pPr>
      <w:r/>
      <w:r>
        <w:rPr>
          <w:b/>
        </w:rPr>
        <w:t>Règle d'or n°2 : titration prudente jusqu'à sécheresse bronchique.</w:t>
      </w:r>
      <w:r>
        <w:t xml:space="preserve"> 1-2 mg IV (adulte), 0,02-0,05 mg/kg (enfant), à répéter toutes les 5-15 minutes. Objectif : sécheresse bronchique + FC &gt; 80/min (adulte), FC &gt; 100-120/min (enfant).</w:t>
      </w:r>
    </w:p>
    <w:p>
      <w:pPr>
        <w:pStyle w:val="ListNumber"/>
      </w:pPr>
      <w:r/>
      <w:r>
        <w:rPr>
          <w:b/>
        </w:rPr>
        <w:t>Règle d'or n°3 : ne pas attendre la mydriasis.</w:t>
      </w:r>
      <w:r>
        <w:t xml:space="preserve"> La mydriasis est tardive (et peut être absente en cas d'hypoxie). L'objectif thérapeutique est la sécheresse bronchique et la FC.</w:t>
      </w:r>
    </w:p>
    <w:p>
      <w:pPr>
        <w:pStyle w:val="ListNumber"/>
      </w:pPr>
      <w:r/>
      <w:r>
        <w:rPr>
          <w:b/>
        </w:rPr>
        <w:t>Règle d'or n°4 : perfusion continue en cas d'intoxication sévère.</w:t>
      </w:r>
      <w:r>
        <w:t xml:space="preserve"> 10-20 mg/h (adulte), 0,02-0,05 mg/kg/h (enfant). Surveillance en réanimation 24-48 h minimum (jusqu'à 5-7 jours pour le VX).</w:t>
      </w:r>
    </w:p>
    <w:p>
      <w:pPr>
        <w:pStyle w:val="ListNumber"/>
      </w:pPr>
      <w:r/>
      <w:r>
        <w:rPr>
          <w:b/>
        </w:rPr>
        <w:t>Règle d'or n°5 : association systématique à la pralidoxime.</w:t>
      </w:r>
      <w:r>
        <w:t xml:space="preserve"> Réactivateur des cholinestérases. Non disponible en Algérie. À administrer précocement (&lt; 24 h, avant le « vieillissement » de l'enzyme).</w:t>
      </w:r>
    </w:p>
    <w:p>
      <w:pPr>
        <w:pStyle w:val="ListNumber"/>
      </w:pPr>
      <w:r/>
      <w:r>
        <w:rPr>
          <w:b/>
        </w:rPr>
        <w:t>Règle d'or n°6 : surveillance de la psychose atropinique.</w:t>
      </w:r>
      <w:r>
        <w:t xml:space="preserve"> Confusion, hallucinations, agitation à dose toxique (10-100 mg/24 h). Arrêter l'atropine, physostigmine 1-2 mg IV (antidote), benzodiazépines pour l'agitation.</w:t>
      </w:r>
    </w:p>
    <w:p>
      <w:pPr>
        <w:pStyle w:val="ListNumber"/>
      </w:pPr>
      <w:r/>
      <w:r>
        <w:rPr>
          <w:b/>
        </w:rPr>
        <w:t>Règle d'or n°7 : surveillance prolongée en cas d'intoxication organophosphorée.</w:t>
      </w:r>
      <w:r>
        <w:t xml:space="preserve"> 24-48 h minimum (parathion, malathion), jusqu'à 5-7 jours (VX). Risque de syndrome intermédiaire (paralysie respiratoire 24-96 h) et de neuropathie retardée (1-3 semaines).</w:t>
      </w:r>
    </w:p>
    <w:p>
      <w:pPr>
        <w:pStyle w:val="ListNumber"/>
      </w:pPr>
      <w:r/>
      <w:r>
        <w:rPr>
          <w:b/>
        </w:rPr>
        <w:t>Règle d'or n°8 : contre-indications absolues (sauf urgence vitale).</w:t>
      </w:r>
      <w:r>
        <w:t xml:space="preserve"> Glaucome à angle fermé, hypertrophie bénigne de la prostate, sténose pylorique, iléus paralytique.</w:t>
      </w:r>
    </w:p>
    <w:p>
      <w:pPr>
        <w:pStyle w:val="ListNumber"/>
      </w:pPr>
      <w:r/>
      <w:r>
        <w:rPr>
          <w:b/>
        </w:rPr>
        <w:t>Règle d'or n°9 : prudence en cas d'association aux anticholinergiques.</w:t>
      </w:r>
      <w:r>
        <w:t xml:space="preserve"> Antidépresseurs tricycliques, antiparkinsoniens anticholinergiques, neuroleptiques, antihistaminiques H1 de 1re génération. Risque de syndrome atropinique.</w:t>
      </w:r>
    </w:p>
    <w:p>
      <w:pPr>
        <w:pStyle w:val="ListNumber"/>
      </w:pPr>
      <w:r/>
      <w:r>
        <w:rPr>
          <w:b/>
        </w:rPr>
        <w:t>Règle d'or n°10 : ne pas faire vomir en cas d'ingestion d'organophosphoré.</w:t>
      </w:r>
      <w:r>
        <w:t xml:space="preserve"> Risque d'inhalation. Ne pas donner de lait (potentialisation de l'absorption). Transporter en urgence aux urgences.</w:t>
      </w:r>
    </w:p>
    <w:p>
      <w:pPr>
        <w:pStyle w:val="ListNumber"/>
      </w:pPr>
      <w:r/>
      <w:r>
        <w:rPr>
          <w:b/>
        </w:rPr>
        <w:t>Règle d'or n°11 : occlusion des voies lacrymales pour le collyre.</w:t>
      </w:r>
      <w:r>
        <w:t xml:space="preserve"> Appuyer sur le point lacrymal inférieur pendant 1-2 minutes après l'instillation. Réduit l'absorption systémique (effets anticholinergiques généraux).</w:t>
      </w:r>
    </w:p>
    <w:p>
      <w:pPr>
        <w:pStyle w:val="ListNumber"/>
      </w:pPr>
      <w:r/>
      <w:r>
        <w:rPr>
          <w:b/>
        </w:rPr>
        <w:t>Règle d'or n°12 : traçabilité absolue (Liste I).</w:t>
      </w:r>
      <w:r>
        <w:t xml:space="preserve"> Collyres en Liste I, prescription obligatoire, traçabilité des flacons.</w:t>
      </w:r>
    </w:p>
    <w:p>
      <w:pPr>
        <w:pStyle w:val="Heading2"/>
      </w:pPr>
      <w:r>
        <w:t>191.19 DCI 9 : Bleu de méthylène (Antidote de la méthémoglobinémie)</w:t>
      </w:r>
    </w:p>
    <w:p>
      <w:pPr>
        <w:pStyle w:val="Heading3"/>
      </w:pPr>
      <w:r>
        <w:t>191.19.1 Liste des catégories thérapeutiques et statut réglementaire</w:t>
      </w:r>
    </w:p>
    <w:p>
      <w:r>
        <w:t>Le bleu de méthylène (chlorure de méthylthioninium), colorant synthétique de la famille des thiazines découvert en 1876 par Heinrich Caro chez BASF, appartient à la classe pharmacologique des antidotes de la méthémoglobinémie (code ATC : V03AB17 — bleu de méthylène ; D03AX02 — bleu de méthylène en dermatologie ; V04CF05 — bleu de méthylène en diagnostic). Il n'est pas inscrit sur la Liste I ou II des substances vénéneuses en Algérie pour la forme solution pour usage externe à 0,01 %, mais sa formulation actuelle n'est pas adaptée à l'usage IV antidote. Le bleu de méthylène figure sur la liste des médicaments essentiels de l'OMS (WHO Model List of Essential Medicines, 22ᵉ liste, 2023), dans la section « Antidotes et autres substances utilisées dans les intoxications ».</w:t>
      </w:r>
    </w:p>
    <w:p>
      <w:r>
        <w:t>Le bleu de méthylène est classé comme médicament d'urgence vitale en cas de méthémoglobinémie toxique sévère (MetHb &gt; 30 % ou signes d'hypoxie tissulaire : cyanose, dyspnée, troubles de la conscience). Il doit être disponible à tout moment dans les services d'urgences, de réanimation, de toxicologie clinique, et dans les pharmacies hospitalières. La méthémoglobinémie toxique est causée par l'exposition à des agents oxydants puissants : nitrites (poppers, intoxication alimentaire par eau de puits contaminée, antidote du cyanure en association avec le thiosulfate), nitrates (eau de boisson, notamment chez le nourrisson : maladie bleue du biberon), dapsone (méthémoglobinémie dose-dépendante chez 10-20 % des patients traités), anilines et dérivés nitrés (chimie industrielle, encres, teintures), sulfamides (rare), antipaludéens (chloroquine, primaquine), lidocaïne en perfusion prolongée, crème anesthésique EMLA en application étendue, crèmes anesthésiques topiques à la benzocaïne, nitroglycerine et dérivés nitrés à haute dose, chlorates (intoxication par allumettes), paraquat (rare).</w:t>
      </w:r>
    </w:p>
    <w:p>
      <w:pPr>
        <w:pStyle w:val="Heading3"/>
      </w:pPr>
      <w:r>
        <w:t>191.19.2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BLEU DE METHYLENE</w:t>
            </w:r>
          </w:p>
        </w:tc>
        <w:tc>
          <w:tcPr>
            <w:tcW w:type="dxa" w:w="1559"/>
          </w:tcPr>
          <w:p>
            <w:r>
              <w:rPr>
                <w:sz w:val="20"/>
              </w:rPr>
              <w:t>RHUMEL PHARM</w:t>
            </w:r>
          </w:p>
        </w:tc>
        <w:tc>
          <w:tcPr>
            <w:tcW w:type="dxa" w:w="1559"/>
          </w:tcPr>
          <w:p>
            <w:r>
              <w:rPr>
                <w:sz w:val="20"/>
              </w:rPr>
              <w:t>Solution pour usage externe 0,01</w:t>
            </w:r>
          </w:p>
        </w:tc>
        <w:tc>
          <w:tcPr>
            <w:tcW w:type="dxa" w:w="1559"/>
          </w:tcPr>
          <w:p>
            <w:r>
              <w:rPr>
                <w:sz w:val="20"/>
              </w:rPr>
              <w:t>Flacon de 100 mL</w:t>
            </w:r>
          </w:p>
        </w:tc>
        <w:tc>
          <w:tcPr>
            <w:tcW w:type="dxa" w:w="1559"/>
          </w:tcPr>
          <w:p>
            <w:r>
              <w:rPr>
                <w:sz w:val="20"/>
              </w:rPr>
              <w:t>—</w:t>
            </w:r>
          </w:p>
        </w:tc>
        <w:tc>
          <w:tcPr>
            <w:tcW w:type="dxa" w:w="1559"/>
          </w:tcPr>
          <w:p>
            <w:r>
              <w:rPr>
                <w:sz w:val="20"/>
              </w:rPr>
              <w:t>ACTIF</w:t>
            </w:r>
          </w:p>
        </w:tc>
      </w:tr>
      <w:tr>
        <w:tc>
          <w:tcPr>
            <w:tcW w:type="dxa" w:w="1559"/>
          </w:tcPr>
          <w:p>
            <w:r>
              <w:rPr>
                <w:sz w:val="20"/>
              </w:rPr>
              <w:t>COLLYRE BLEU LAITER</w:t>
            </w:r>
          </w:p>
        </w:tc>
        <w:tc>
          <w:tcPr>
            <w:tcW w:type="dxa" w:w="1559"/>
          </w:tcPr>
          <w:p>
            <w:r>
              <w:rPr>
                <w:sz w:val="20"/>
              </w:rPr>
              <w:t>LEURQUIN MEDIOLANUM</w:t>
            </w:r>
          </w:p>
        </w:tc>
        <w:tc>
          <w:tcPr>
            <w:tcW w:type="dxa" w:w="1559"/>
          </w:tcPr>
          <w:p>
            <w:r>
              <w:rPr>
                <w:sz w:val="20"/>
              </w:rPr>
              <w:t>Collyre 2 mg/5 mg</w:t>
            </w:r>
          </w:p>
        </w:tc>
        <w:tc>
          <w:tcPr>
            <w:tcW w:type="dxa" w:w="1559"/>
          </w:tcPr>
          <w:p>
            <w:r>
              <w:rPr>
                <w:sz w:val="20"/>
              </w:rPr>
              <w:t>Flacon de 10 mL</w:t>
            </w:r>
          </w:p>
        </w:tc>
        <w:tc>
          <w:tcPr>
            <w:tcW w:type="dxa" w:w="1559"/>
          </w:tcPr>
          <w:p>
            <w:r>
              <w:rPr>
                <w:sz w:val="20"/>
              </w:rPr>
              <w:t>Liste II</w:t>
            </w:r>
          </w:p>
        </w:tc>
        <w:tc>
          <w:tcPr>
            <w:tcW w:type="dxa" w:w="1559"/>
          </w:tcPr>
          <w:p>
            <w:r>
              <w:rPr>
                <w:sz w:val="20"/>
              </w:rPr>
              <w:t>RETRAIT</w:t>
            </w:r>
          </w:p>
        </w:tc>
      </w:tr>
    </w:tbl>
    <w:p/>
    <w:p>
      <w:r>
        <w:t>Le bleu de méthylène disponible en Algérie à la date de cette nomenclature est uniquement sous forme de solution pour usage externe à 0,01 % (soit 0,1 mg/mL), en flacons de 100 mL, commercialisée sous le nom de Bleu de Méthylène (Rhumel Pharm). Cette formulation, destinée à l'usage dermatologique (colorant cutané, antiseptique topique, traitement de la dermatose localisée) et au marquage chirurgical, n'est pas adaptée à l'usage IV antidote de la méthémoglobinémie (trop diluée à 0,1 mg/mL, la dose IV efficace étant 1-2 mg/kg = 70-140 mg pour 70 kg = 700-1400 mL de la solution à 0,1 mg/mL ; formulation non stérile au standard IV).</w:t>
      </w:r>
    </w:p>
    <w:p>
      <w:r>
        <w:t>La spécialité historique Collyre Bleu Laiter (Leurquin Mediolanum) en collyre dosé à 2 mg/5 mg (soit 2 mg de bleu de méthylène + 5 mg de cyanosine par mL), utilisée en collyre teintant pour le diagnostic et le traitement de l'keratite filamenteuse, est retirée du marché algérien. Cette situation expose les praticiens algériens à une carence majeure en forme IV à usage antidote de la méthémoglobinémie. Le bleu de méthylène IV doit être importé exceptionnellement (Bleu de Méthylène Aguettant 5 mg/mL en ampoules de 10 mL, Proveblue 5 mg/mL en ampoules de 10 mL, commercialisés en France et en Europe pour l'usage antidote), ou produit en forme hospitalière magistrale. Cette lacune constitue une priorité d'amélioration identifiée par les sociétés savantes nationales.</w:t>
      </w:r>
    </w:p>
    <w:p>
      <w:r>
        <w:t>Les formes galéniques internationales, non disponibles en Algérie, incluent : (i) solution injectable IV à 5 mg/mL (Bleu de Méthylène Aguettant, Proveblue) en ampoules de 10 mL (50 mg par ampoule), pour l'usage antidote de la méthémoglobinémie ; (ii) solution injectable IV à 10 mg/mL en ampoules de 10 mL (100 mg par ampoule), pour l'usage antidote du cyanure (en association avec le thiosulfate de sodium, à dose plus élevée 5-10 mg/kg) ; (iii) comprimés à 65 mg et 100 mg (Urelene, Prosed) pour le traitement des infections urinaires à répétition (effet antiseptique urinaire), de la phosphatonurie phospho-calcique (effet inhibiteur de la calcification), et de la maladie d'Alzheimer à dose faible (effet inhibiteur de la formation des plaques amyloïdes, étude clinique en cours) ; (iv) solution pour application cutanée à 0,1 % (usage dermatologique) ; (v) collyre à 0,1 % (usage ophtalmologique) ; (vi) solution pour instillation intrathécale (usage neurochirurgical, colorant pour repérage des fistules de LCR).</w:t>
      </w:r>
    </w:p>
    <w:p>
      <w:pPr>
        <w:pStyle w:val="Heading3"/>
      </w:pPr>
      <w:r>
        <w:t>191.19.3 Mécanisme d'action moléculaire et cellulaire</w:t>
      </w:r>
    </w:p>
    <w:p>
      <w:r>
        <w:t>L'hémoglobine (Hb) est la protéine des globules rouges qui assure le transport de l'oxygène des poumons vers les tissus. Elle est constituée de quatre sous-unités (2 α et 2 β chez l'adulte, HbA), chacune contenant un groupe hème (fer protoporphyrine IX) avec un atome de fer (Fe2+, ferreux) capable de fixer l'oxygène de manière réversible (oxyhémoglobine, HbO2). En cas d'oxydation du fer ferreux (Fe2+) en fer ferrique (Fe3+), l'hémoglobine devient méthémoglobine (MetHb), incapable de fixer l'oxygène et de le transporter vers les tissus. La MetHb représente normalement moins de 1 % de l'hémoglobine totale, en raison de l'équilibre entre l'oxydation spontanée (par l'oxygène lui-même, les radicaux libres, les agents oxydants exogènes) et la réduction (par la voie principale NADH-cytochrome b5-méthémoglobine réductase, ~ 95 % de la réduction ; et la voie accessoire NADPH-méthémoglobine réductase, ~ 5 % de la réduction, mais activable par le bleu de méthylène).</w:t>
      </w:r>
    </w:p>
    <w:p>
      <w:r>
        <w:t>En cas d'exposition à des agents oxydants puissants (nitrites, nitrates, dapsone, anilines, chlorates, antipaludéens), la production de MetHb dépasse la capacité de réduction de la voie principale NADH-cytochrome b5, et la MetHb s'accumule dans les globules rouges. Une MetHb à 10 % entraîne cyanose clinique (cyanose centrale, gris-bleu), à 30 % dyspnée, céphalées, fatigue, à 50 % troubles de la conscience, acidose métabolique, à 70 % coma, convulsions, défaillance cardiovasculaire, décès. La MetHb altère également la courbe de dissociation de l'hémoglobine (déplacement vers la gauche, augmentation de l'affinité pour l'O2 restant, diminution de la libération d'O2 vers les tissus), aggravant l'hypoxie tissulaire.</w:t>
      </w:r>
    </w:p>
    <w:p>
      <w:r>
        <w:t>Le bleu de méthylène est un accepteur d'électrons qui active la voie accessoire de la NADPH-méthémoglobine réductase (diaphorase I), normalement mineure (&lt; 5 % de la réduction de la MetHb) mais qui devient prédominante en présence de bleu de méthylène comme cofacteur. Le mécanisme moléculaire est le suivant : (i) le bleu de méthylène (forme oxydée, bleue) est réduit en leukoblue (leukométhylèneion, forme réduite, incolore) par la NADPH-méthémoglobine réductase, en utilisant le NADPH issu de la voie des pentoses phosphates (glucose-6-phosphate déshydrogénase, G6PD) ; (ii) le leukoblue transfère ses électrons à la MetHb (Fe3+) pour la réduire en hémoglobine fonctionnelle (Fe2+), tandis que le leukoblue est réoxydé en bleu de méthylène ; (iii) le cycle se répète, avec une seule dose de bleu de méthylène capable de réduire plusieurs molécules de MetHb (effet catalytique). L'efficacité est rapide (30-60 minutes après IV), avec une dose efficace de 1-2 mg/kg IV (70-140 mg pour 70 kg).</w:t>
      </w:r>
    </w:p>
    <w:p>
      <w:r>
        <w:t>Au plan cellulaire, le bleu de méthylène dépend du NADPH issu de la voie des pentoses phosphates (G6PD). En cas de déficit en G6PD (anomalie héréditaire liée au chromosome X, touchant 5-25 % des populations africaines, méditerranéennes, et asiatiques), la voie des pentoses phosphates est déficiente, et le bleu de méthylène ne peut pas être réduit en leukoblue. Le bleu de méthylène devient alors un agent oxydant qui aggrave la MetHb et provoque une hémolyse sévère (les globules rouges déficitaires en G6PD sont incapables de régénérer le glutathion réduit nécessaire pour contrer le stress oxydatif induit par le bleu de méthylène). Le déficit en G6PD est une contre-indication absolue du bleu de méthylène comme antidote de la méthémoglobinémie.</w:t>
      </w:r>
    </w:p>
    <w:p>
      <w:r>
        <w:t>Le bleu de méthylène est également un inhibiteur réversible de la monoamine oxydase A (MAO-A), enzyme qui dégrade la sérotonine, la noradrénaline et la dopamine. En cas d'association avec les inhibiteurs de la recapture de la sérotonine (ISRS : fluoxétine, sertraline, paroxétine, citalopram, escitalopram), les inhibiteurs de la MAO-A (iproniazide, moclobémide), le tramadol, les triptans (sumatriptan, zolmitriptan), la méthylènedioxy-méthamphétamine (MDMA, ecstasy), ou la péthidine, le bleu de méthylène peut précipiter un syndrome sérotoninergique (confusion, agitation, myoclonies, hyperréflexie, fièvre, hypertonie, trémulations, diarrhée, décès potentiel). Cette interaction contre-indique l'administration de bleu de méthylène aux patients sous traitement sérotoninergique (sauf urgence vitale avec arrêt temporaire du traitement sérotoninergique).</w:t>
      </w:r>
    </w:p>
    <w:p>
      <w:pPr>
        <w:pStyle w:val="Heading3"/>
      </w:pPr>
      <w:r>
        <w:t>191.19.4 Profil pharmacocinétique, indications, contre-indications, effets indésirables</w:t>
      </w:r>
    </w:p>
    <w:p>
      <w:r/>
      <w:r>
        <w:rPr>
          <w:b/>
        </w:rPr>
        <w:t>Pharmacocinétique</w:t>
      </w:r>
      <w:r>
        <w:t xml:space="preserve"> : le bleu de méthylène est administré par voie IV (urgence antidote), per os (usage historique en antiseptique urinaire), ou topique (usage dermatologique). Après administration IV, le pic d'effet est atteint en 30-60 minutes, la durée d'action est de 4-12 heures. Le volume de distribution est important (3-5 L/kg), reflétant une diffusion tissulaire large (surtout le cerveau, le cœur, le foie, le rein). La fixation protéique est modérée (40-50 %). La demi-vie d'élimination est de 5-6 heures chez l'adulte sain, plus courte chez l'enfant. Le métabolisme est hépatique par réduction en leukoblue (composé incolore), qui est recyclé en bleu de méthylène (composé bleu) au contact de la MetHb. L'élimination est rénale (70-80 % sous forme inchangée, colorant les urines en bleu-vert) et biliaire (20-30 %). Le bleu de méthylène traverse la barrière hémato-encéphalique (effets centraux : inhibiteur de la MAO-A, effet antidépresseur expérimental, effet inhibiteur de la guanylate cyclase soluble), le placenta (contre-indiqué en fin de grossesse en raison du risque de méthémoglobinémie fœtale), et passe dans le lait maternel (à éviter en cas d'allaitement).</w:t>
      </w:r>
    </w:p>
    <w:p>
      <w:r/>
      <w:r>
        <w:rPr>
          <w:b/>
        </w:rPr>
        <w:t>Indications</w:t>
      </w:r>
      <w:r>
        <w:t xml:space="preserve"> : (i) antidote de la méthémoglobinémie toxique symptomatique (MetHb &gt; 30 %, ou MetHb &gt; 20 % avec signes d'hypoxie : cyanose, dyspnée, céphalées, fatigue, troubles de la conscience) : 1-2 mg/kg IV en 5 minutes, à répéter après 30-60 minutes si nécessaire (dose maximale 7 mg/kg) ; (ii) antidote de la méthémoglobinémie de la dapsone (méthémoglobinémie dose-dépendante chez 10-20 % des patients traités) : 1-2 mg/kg IV, à répéter si nécessaire (la dapsone a une demi-vie longue 20-30 h, plusieurs doses de bleu de méthylène peuvent être nécessaires) ; (iii) antidote du cyanure (en association avec le thiosulfate de sodium, en cas de suspicion d'intoxication mixte cyanure + MetHb) : 5-10 mg/kg IV en bolus, suivi du thiosulfate de sodium 12,5 g IV (le bleu de méthylène à forte dose oxyde l'hémoglobine en MetHb, qui a une forte affinité pour le cyanure, formant la cyanométhémoglobine, moins toxique ; le thiosulfate active la rhodanese qui convertit le cyanure en thiocyanate moins toxique) — mais cette stratégie est aujourd'hui dépassée par l'hydroxocobalamine (Cyanokit, antidote spécifique du cyanure, non disponible en Algérie) ; (iv) traitement des infections urinaires à répétition (usage historique en antiseptique urinaire, dépassé) ; (v) traitement de la phosphatonurie phospho-calcique (effet inhibiteur de la calcification, usage expérimental) ; (vi) traitement de la maladie d'Alzheimer à dose faible (65 mg/j per os, effet inhibiteur de la formation des plaques amyloïdes, étude clinique en cours, non validé) ; (vii) traitement de l'encéphalopathie spongiforme bovine (expérimental, non validé) ; (viii) marquage chirurgical (colorant cutané pour repérage des lésions, colorant ganglionnaire pour repérage des ganglions sentinelles en cancérologie mammaire) ; (ix) test à la phentolamine (test diagnostique du phéochromocytome, dépassé) ; (x) traitement des fistules digestives et des fistules de LCR (colorant pour repérage) ; (xi) traitement de l'urothélium vésical (instillation endovésicale, usage expérimental) ; (xii) traitement des plaies chroniques (colorant antiseptique, usage dermatologique) ; (xiii) traitement de la malaria cérébrale (expérimental, effet inhibiteur de la guanylate cyclase soluble, non validé).</w:t>
      </w:r>
    </w:p>
    <w:p>
      <w:r/>
      <w:r>
        <w:rPr>
          <w:b/>
        </w:rPr>
        <w:t>Contre-indications</w:t>
      </w:r>
      <w:r>
        <w:t xml:space="preserve"> : (i) hypersensibilité connue au bleu de méthylène ou à l'un des excipients ; (ii) déficit en G6PD (contre-indication absolue : le bleu de méthylène est inefficace et provoque une hémolyse sévère) — dépistage systématique avant administration en cas de doute (origine africaine, méditerranéenne, asiatique ; antécédents familiaux d'anémie hémolytique, d'ictère néonatal) ; (iii) déficit en NADPH-méthémoglobine réductase (rare, anomalie héréditaire récessive) — inefficacité du bleu de méthylène ; (iv) traitement en cours par inhibiteurs de la recapture de la sérotonine (ISRS : fluoxétine, sertraline, paroxétine, citalopram, escitalopram), inhibiteurs de la MAO-A (iproniazide, moclobémide), tramadol, triptans (sumatriptan, zolmitriptan), péthidine, méthylènedioxy-méthamphétamine (MDMA, ecstasy) — contre-indication relative (risque de syndrome sérotoninergique), à suspendre le temps de l'administration du bleu de méthylène (sauf urgence vitale) ; (v) prudence en cas d'insuffisance rénale sévère (accumulation de bleu de méthylène et de ses métabolites, surveillance clinique) ; (vi) prudence en fin de grossesse (risque de méthémoglobinémie fœtale par passage transplacentaire) ; (vii) prudence en cas d'allaitement (à éviter, passage dans le lait maternel) ; (viii) prudence en cas d'anémie sévère (MetHb déjà présente en quantité importante, surveillance) ; (ix) prudence en cas d'insuffisance hépatique sévère (métabolisme réduit, accumulation possible).</w:t>
      </w:r>
    </w:p>
    <w:p>
      <w:r/>
      <w:r>
        <w:rPr>
          <w:b/>
        </w:rPr>
        <w:t>Effets indésirables</w:t>
      </w:r>
      <w:r>
        <w:t xml:space="preserve"> : le profil de tolérance du bleu de méthylène est dominé par les effets colorants et les effets pharmacologiques : (i) coloration bleue des urines (effet attendu, sans gravité, à signaler au patient) ; (ii) coloration bleue de la peau et des muqueuses (effet attendu, transitoire 24-48 heures) ; (iii) nausées, vomissements, douleurs abdominales (effet central et gastric irritant) ; (iv) céphalées, vertiges, confusion (effets centraux) ; (v) sensation de chaleur, flush facial (vasodilatation) ; (vi) hypotension transitoire, surtout en IV bolus rapide — perfusion lente (5 minutes) ; (vii) tachycardie sinusale, palpitations ; (viii) dyspnée, douleur thoracique (rares) ; (ix) hémolyse en cas de déficit en G6PD (contre-indication absolue, dépistage systématique) ; (x) syndrome sérotoninergique en cas d'association aux ISRS, IMAO, tramadol, triptans (confusion, agitation, myoclonies, hyperréflexie, fièvre, hypertonie, trémulations, diarrhée, décès potentiel) ; (xi) méthémoglobinémie paradoxale à doses élevées (le bleu de méthylène à dose &gt; 7 mg/kg devient un agent oxydant qui aggrave la MetHb) ; (xii) inhibition de la guanylate cyclase soluble à doses élevées (effet vasopresseur, potentialisation des dérivés nitrés) ; (xiii) coloration bleue de la peau et des muqueuses du nourrisson en cas d'administration maternelle en fin de grossesse (cyanose bleue du nouveau-né) ; (xiv) réactions d'hypersensibilité (rares, urticaire, rash, prurit, anaphylaxie exceptionnelle) ; (xv) douleur au point d'injection, phlébite (en cas de perfusion périphérique).</w:t>
      </w:r>
    </w:p>
    <w:p>
      <w:pPr>
        <w:pStyle w:val="Heading3"/>
      </w:pPr>
      <w:r>
        <w:t>191.19.5 Prévention et gestion des effets indésirables</w:t>
      </w:r>
    </w:p>
    <w:p>
      <w:r>
        <w:t>La prévention des effets indésirables du bleu de méthylène repose sur le dépistage du déficit en G6PD, l'arrêt des traitements sérotoninergiques, la lenteur de perfusion, et la surveillance clinique et biologique.</w:t>
      </w:r>
    </w:p>
    <w:p>
      <w:r/>
      <w:r>
        <w:rPr>
          <w:b/>
        </w:rPr>
        <w:t>Dépistage du déficit en G6PD</w:t>
      </w:r>
      <w:r>
        <w:t xml:space="preserve"> : le déficit en G6PD doit être dépisté systématiquement avant l'administration de bleu de méthylène, en raison du risque d'hémolyse sévère potentiellement létale. Le dépistage repose sur : (i) l'interrogatoire (origine ethnique : africaine, méditerranéenne, asiatique ; antécédents familiaux d'anémie hémolytique, d'ictère néonatal, de crises hémolytiques après ingestion de fèves, de sulfamides, d'antipaludéens) ; (ii) le dosage de l'activité G6PD érythrocytaire (test enzymatique quantitatif, valeur normale 5-15 UI/g d'Hb, déficit si &lt; 4 UI/g d'Hb). En cas d'urgence vitale (MetHb &gt; 50 % avec signes neurologiques), le bleu de méthylène peut être administré en l'absence de dépistage disponible, sous surveillance stricte (hémogramme, haptoglobine, bilirubine libre, LDH) à la recherche d'une hémolyse. En cas de déficit en G6PD confirmé, alternatives : (i) acide ascorbique (vitamine C) IV 1-2 g/j (réducteur alternatif de la MetHb, moins efficace que le bleu de méthylène mais sans risque d'hémolyse) ; (ii) exsanguino-transfusion en cas de MetHb sévère &gt; 70 % ; (iii) ventilation mécanique sous FiO2 = 1 pour maximiser l'oxygénation tissulaire.</w:t>
      </w:r>
    </w:p>
    <w:p>
      <w:r/>
      <w:r>
        <w:rPr>
          <w:b/>
        </w:rPr>
        <w:t>Arrêt des traitements sérotoninergiques</w:t>
      </w:r>
      <w:r>
        <w:t xml:space="preserve"> : en cas de traitement en cours par ISRS, IMAO, tramadol, triptans, péthidine, MDMA, le bleu de méthylène doit être évité (contre-indication relative) en raison du risque de syndrome sérotoninergique. Si le bleu de méthylène est indispensable (MetHb sévère avec signes neurologiques), arrêter temporairement le traitement sérotoninergique (fluoxétine : arrêt 4-5 semaines en raison de la longue demi-vie du métabolite actif norfluoxétine ; sertraline, paroxétine, citalopram, escitalopram : arrêt 1-2 semaines ; tramadol : arrêt 24-48 heures ; triptans : arrêt 24 heures). Surveillance clinique à la recherche de signes de syndrome sérotoninergique (confusion, agitation, myoclonies, hyperréflexie, fièvre, hypertonie, trémulations, diarrhée). En cas de syndrome sérotoninergique : arrêter le bleu de méthylène, administration de cyproheptadine (Periactin, antidote spécifique, 4-12 mg per os ou par sonde naso-gastrique), benzodiazépines pour l'agitation et les myoclonies (diazépam 5-10 mg IV), refroidissement si hyperthermie, surveillance en réanimation.</w:t>
      </w:r>
    </w:p>
    <w:p>
      <w:r/>
      <w:r>
        <w:rPr>
          <w:b/>
        </w:rPr>
        <w:t>Perfusion IV lente</w:t>
      </w:r>
      <w:r>
        <w:t xml:space="preserve"> : le bleu de méthylène doit être perfusé lentement (5 minutes pour le bolus de 1-2 mg/kg), dilué dans 50-100 mL de glucosé 5 %, sous surveillance médicale (PA, FC, SpO2, ECG), en raison du risque d'hypotension transitoire et de douleur thoracique en cas de perfusion rapide. La perfusion IV directe en bolus est contre-indiquée.</w:t>
      </w:r>
    </w:p>
    <w:p>
      <w:r/>
      <w:r>
        <w:rPr>
          <w:b/>
        </w:rPr>
        <w:t>Surveillance clinique et biologique</w:t>
      </w:r>
      <w:r>
        <w:t xml:space="preserve"> : sous bleu de méthylène, surveiller : (i) SpO2 (la SpO2 est faussement basse en cas de MetHb en raison de l'absorption lumineuse à 660 nm, préférer la SaO2 artérielle) ; (ii) gaz du sang artériel (PaO2 normal, SaO2 basse en cas de MetHb, calcémie, lactates) ; (iii) MetHb (dosage par oxymétrie CO-oximétrique, cible &lt; 10 %) ; (iv) hémogramme (recherche d'hémolyse en cas de déficit en G6PD : anémie, schizocytes, haptoglobine basse, bilirubine libre élevée, LDH élevées) ; (v) ECG (recherche de troubles du rythme, QT, signes d'ischémie) ; (vi) état de conscience (recherche de confusion, agitation, myoclonies, syndrome sérotoninergique) ; (vii) PA, FC (risque d'hypotension, de tachycardie).</w:t>
      </w:r>
    </w:p>
    <w:p>
      <w:r/>
      <w:r>
        <w:rPr>
          <w:b/>
        </w:rPr>
        <w:t>Adaptation posologique en cas de méthémoglobinémie récidivante</w:t>
      </w:r>
      <w:r>
        <w:t xml:space="preserve"> : en cas de méthémoglobinémie récidivante (dapsone à demi-vie longue 20-30 h, intoxication aux anilines), plusieurs doses de bleu de méthylène peuvent être nécessaires (1-2 mg/kg IV toutes les 4-6 heures, dose maximale 7 mg/kg/24 h). Surveillance de la MetHb toutes les 2-4 heures, jusqu'à stabilisation (MetHb &lt; 10 %).</w:t>
      </w:r>
    </w:p>
    <w:p>
      <w:r/>
      <w:r>
        <w:rPr>
          <w:b/>
        </w:rPr>
        <w:t>Prévention de la méthémoglobinémie paradoxale</w:t>
      </w:r>
      <w:r>
        <w:t xml:space="preserve"> : à doses élevées (&gt; 7 mg/kg), le bleu de méthylène devient un agent oxydant qui aggrave la MetHb. Respecter la dose maximale de 7 mg/kg/24 h, surveiller la MetHb, envisager des alternatives (acide ascorbique IV, exsanguino-transfusion) en cas d'échec.</w:t>
      </w:r>
    </w:p>
    <w:p>
      <w:pPr>
        <w:pStyle w:val="Heading3"/>
      </w:pPr>
      <w:r>
        <w:t>191.19.6 Interactions médicamenteuses</w:t>
      </w:r>
    </w:p>
    <w:p>
      <w:r>
        <w:t>Le bleu de méthylène présente plusieurs interactions médicamenteuses à connaître :</w:t>
      </w:r>
    </w:p>
    <w:p>
      <w:r/>
      <w:r>
        <w:rPr>
          <w:b/>
        </w:rPr>
        <w:t>Interactions pharmacodynamiques</w:t>
      </w:r>
      <w:r>
        <w:t xml:space="preserve"> : (i) antagonisation de l'effet des dérivés nitrés (nitroglycérine, isosorbide dinitrate, isosorbide mononitrate) par inhibition de la guanylate cyclase soluble à doses élevées — surveillance de l'efficacité des dérivés nitrés (risque d'angor, d'infarctus) ; (ii) inhibition de la MAO-A (risque de syndrome sérotoninergique en association avec ISRS, IMAO, tramadol, triptans, péthidine, MDMA) — contre-indication relative ; (iii) potentialisation de l'effet des autres inhibiteurs de la MAO-A (iproniazide, moclobémide) — risque de crise hypertensive ; (iv) antagonisation de l'effet des agents oxydants (nitrites, nitrates, dapsone, anilines) — effet pharmacologique attendu (antidote) ; (v) potentialisation de la toxicité des agents oxydants à doses élevées (&gt; 7 mg/kg) — le bleu de méthylène devient oxydant ; (vi) antagonisation de l'effet du monoxyde d'azote (NO) inhalé en cas d'hypertension artérielle pulmonaire — surveillance ; (vii) inhibition de la héparine (colorant interfère avec le dosage du TCA, mécanisme in vitro) — surveiller le TCA, préférer l'activité anti-Xa.</w:t>
      </w:r>
    </w:p>
    <w:p>
      <w:r/>
      <w:r>
        <w:rPr>
          <w:b/>
        </w:rPr>
        <w:t>Interactions pharmacocinétiques</w:t>
      </w:r>
      <w:r>
        <w:t xml:space="preserve"> : peu pertinentes en pratique clinique courante. Le bleu de méthylène n'est pas un inhibiteur ou un inducteur significatif des cytochromes P450. Son élimination est essentiellement rénale (70-80 % sous forme inchangée) et biliaire (20-30 %).</w:t>
      </w:r>
    </w:p>
    <w:p>
      <w:r/>
      <w:r>
        <w:rPr>
          <w:b/>
        </w:rPr>
        <w:t>Associations à risque</w:t>
      </w:r>
      <w:r>
        <w:t xml:space="preserve"> : (i) bleu de méthylène + ISRS, IMAO, tramadol, triptans, péthidine, MDMA : risque de syndrome sérotoninergique grave (confusion, agitation, myoclonies, hyperréflexie, fièvre, hypertonie, trémulations, diarrhée, décès potentiel), arrêter temporairement le traitement sérotoninergique avant l'administration de bleu de méthylène (sauf urgence vitale) ; (ii) bleu de méthylène + dérivés nitrés : antagonisation de l'effet antiangoreux, surveillance de l'ECG, risque d'angor, d'infarctus ; (iii) bleu de méthylène + agents oxydants (dapsone, anilines) : surveillance prolongée (méthémoglobinémie récidivante), plusieurs doses de bleu de méthylène nécessaires ; (iv) bleu de méthylène + héparine : surveillance du TCA (interférence in vitro), préférer l'activité anti-Xa ; (v) bleu de méthylène + sulfamides, antipaludéens (chloroquine, primaquine) : risque de méthémoglobinémie additif, surveillance.</w:t>
      </w:r>
    </w:p>
    <w:p>
      <w:pPr>
        <w:pStyle w:val="Heading3"/>
      </w:pPr>
      <w:r>
        <w:t>191.19.7 Grossesse et allaitement (données CRAT)</w:t>
      </w:r>
    </w:p>
    <w:p>
      <w:r/>
      <w:r>
        <w:rPr>
          <w:b/>
        </w:rPr>
        <w:t>Grossesse</w:t>
      </w:r>
      <w:r>
        <w:t xml:space="preserve"> : le bleu de méthylène traverse la barrière placentaire en raison de sa lipophilie et de son faible poids moléculaire (320 Da). Les données du CRAT et de l'OTIS indiquent que le bleu de méthylène n'est pas tératogène chez l'animal (études souris, rat, lapin) aux doses thérapeutiques (1-2 mg/kg). Cependant, à la fin de la grossesse (3e trimestre), le bleu de méthylène administré à la mère peut provoquer une méthémoglobinémie fœtale (le fœtus a une activité NADPH-méthémoglobine réductase plus faible, et le bleu de méthylène peut s'accumuler chez le fœtus) et une coloration bleue de la peau et des muqueuses du nouveau-né (cyanose bleue du nouveau-né). Cette coloration est transitoire (24-48 heures) mais peut masquer une véritable détresse respiratoire néonatale.</w:t>
      </w:r>
    </w:p>
    <w:p>
      <w:r>
        <w:t>L'administration de bleu de méthylène à la mère en fin de grossesse (3e trimestre, accouchement imminent) doit être évitée si possible (préférer l'acide ascorbique IV en cas de méthémoglobinémie modérée). En cas d'urgence vitale maternelle (MetHb &gt; 50 % avec signes neurologiques), le bleu de méthylène peut être administré avec surveillance fœtale continue (RCF, échographie) et présence d'un pédiatre à l'accouchement. Le nouveau-né doit être surveillé en néonatologie pendant 24-48 heures (recherche de méthémoglobinémie, d'hémolyse en cas de déficit en G6PD, de syndrome sérotoninergique si la mère était sous ISRS).</w:t>
      </w:r>
    </w:p>
    <w:p>
      <w:r>
        <w:t>Le bleu de méthylène a également été utilisé historiquement en diagnostic prénatal (injection intra-amniotique de bleu de méthylène pour repérer la fuite de liquide amniotique en cas de suspicion de rupture prématurée des membranes), mais cette pratique est abandonnée en raison du risque de méthémoglobinémie fœtale, de lésions intestinales graves (entéropathie au bleu de méthylène), et de décès fœtal. Aujourd'hui, le bleu de méthylène intra-amniotique est contre-indiqué en fin de grossesse.</w:t>
      </w:r>
    </w:p>
    <w:p>
      <w:r/>
      <w:r>
        <w:rPr>
          <w:b/>
        </w:rPr>
        <w:t>Allaitement</w:t>
      </w:r>
      <w:r>
        <w:t xml:space="preserve"> : le bleu de méthylène passe dans le lait maternel en raison de sa lipophilie et de sa captation tissulaire. Le bleu de méthylène est à éviter pendant l'allaitement en raison du risque de méthémoglobinémie et d'hémolyse (en cas de déficit en G6PD) chez le nourrisson. L'allaitement doit être suspendu pendant 24-48 heures après l'administration maternelle de bleu de méthylène, et repris après disparition de la coloration bleue du lait maternel. Le recueil du lait maternel doit être jeté pendant cette période (ne pas conserver, ne pas donner au nourrisson). Le dépistage du déficit en G6PD chez le nourrisson doit être discuté (origine ethnique à risque, antécédents familiaux).</w:t>
      </w:r>
    </w:p>
    <w:p>
      <w:pPr>
        <w:pStyle w:val="Heading3"/>
      </w:pPr>
      <w:r>
        <w:t>191.19.8 Posologie et modes d'administration</w:t>
      </w:r>
    </w:p>
    <w:p>
      <w:r/>
      <w:r>
        <w:rPr>
          <w:b/>
        </w:rPr>
        <w:t>Posologie adulte (méthémoglobinémie toxique symptomatique, MetHb &gt; 30 %)</w:t>
      </w:r>
      <w:r>
        <w:t xml:space="preserve"> : 1-2 mg/kg IV en 5 minutes (dans 50-100 mL de glucosé 5 %), à répéter après 30-60 minutes si nécessaire (MetHb toujours &gt; 30 %). Dose maximale 7 mg/kg/24 h (au-delà, le bleu de méthylène devient oxydant et aggrave la MetHb). Relayé par surveillance clinique et biologique (MetHb, hémogramme, gaz du sang artériel) toutes les 2-4 heures pendant 24-48 heures.</w:t>
      </w:r>
    </w:p>
    <w:p>
      <w:r/>
      <w:r>
        <w:rPr>
          <w:b/>
        </w:rPr>
        <w:t>Posologie adulte (méthémoglobinémie de la dapsone, récidivante)</w:t>
      </w:r>
      <w:r>
        <w:t xml:space="preserve"> : 1-2 mg/kg IV en 5 minutes, à répéter toutes les 4-6 heures selon la MetHb (la dapsone a une demi-vie longue 20-30 h, plusieurs doses peuvent être nécessaires). Association à la cimétidine 400 mg per os x 3/j (inhibition du CYP3A4, réduction de la formation du métabolite oxydant hydroxylamine de la dapsone).</w:t>
      </w:r>
    </w:p>
    <w:p>
      <w:r/>
      <w:r>
        <w:rPr>
          <w:b/>
        </w:rPr>
        <w:t>Posologie adulte (antidote du cyanure, en association avec le thiosulfate de sodium)</w:t>
      </w:r>
      <w:r>
        <w:t xml:space="preserve"> : 5-10 mg/kg IV en bolus (forme oxydante qui convertit l'Hb en MetHb, qui fixe le cyanure pour former la cyanométhémoglobine moins toxique), suivi du thiosulfate de sodium 12,5 g IV (active la rhodanese qui convertit le cyanure en thiocyanate moins toxique). Mais cette stratégie est aujourd'hui dépassée par l'hydroxocobalamine (Cyanokit 5 g IV, antidote spécifique du cyanure, non disponible en Algérie).</w:t>
      </w:r>
    </w:p>
    <w:p>
      <w:r/>
      <w:r>
        <w:rPr>
          <w:b/>
        </w:rPr>
        <w:t>Posologie pédiatrique (méthémoglobinémie toxique symptomatique)</w:t>
      </w:r>
      <w:r>
        <w:t xml:space="preserve"> : 1-2 mg/kg IV en 5 minutes (dose identique à l'adulte en mg/kg), à répéter après 30-60 minutes si nécessaire. Dose maximale 7 mg/kg/24 h.</w:t>
      </w:r>
    </w:p>
    <w:p>
      <w:r/>
      <w:r>
        <w:rPr>
          <w:b/>
        </w:rPr>
        <w:t>Posologie (alternative en cas de déficit en G6PD)</w:t>
      </w:r>
      <w:r>
        <w:t xml:space="preserve"> : acide ascorbique (vitamine C) 1-2 g/j IV, en perfusion continue (réducteur alternatif de la MetHb, moins efficace mais sans risque d'hémolyse). En cas d'échec (MetHb &gt; 50 % avec signes neurologiques), exsanguino-transfusion.</w:t>
      </w:r>
    </w:p>
    <w:p>
      <w:r/>
      <w:r>
        <w:rPr>
          <w:b/>
        </w:rPr>
        <w:t>Posologie (alternative en cas de syndrome sérotoninergique ou d'association aux ISRS)</w:t>
      </w:r>
      <w:r>
        <w:t xml:space="preserve"> : arrêter temporairement le traitement sérotoninergique (fluoxétine : arrêt 4-5 semaines ; sertraline, paroxétine, citalopram, escitalopram : arrêt 1-2 semaines ; tramadol : arrêt 24-48 heures ; triptans : arrêt 24 heures). Si le bleu de méthylène est indispensable (MetHb sévère avec signes neurologiques), administration sous surveillance stricte (recherche de syndrome sérotoninergique).</w:t>
      </w:r>
    </w:p>
    <w:p>
      <w:r/>
      <w:r>
        <w:rPr>
          <w:b/>
        </w:rPr>
        <w:t>Mode d'administration</w:t>
      </w:r>
      <w:r>
        <w:t xml:space="preserve"> : (i) diluer le bleu de méthylène dans 50-100 mL de glucosé 5 % (ne pas utiliser NaCl 0,9 % en raison du risque de précipitation) ; (ii) administrer en perfusion IV lente (5 minutes pour le bolus), sous surveillance médicale (PA, FC, SpO2, ECG) ; (iii) ne pas mélanger avec d'autres médicaments dans la même perfusion (incompatibilité avec de nombreux médicaments : solutions alcalines, oxydants, réducteurs, héparine) ; (iv) voie veineuse périphérique acceptable, éviter la voie veineuse centrale (risque de coloration prolongée du cathéter) ; (v) surveiller la MetHb par oxymétrie CO-oximétrique (la SpO2 classique est faussement basse en cas de MetHb) ; (vi) surveillance 24-48 heures en réanimation.</w:t>
      </w:r>
    </w:p>
    <w:p>
      <w:pPr>
        <w:pStyle w:val="Heading3"/>
      </w:pPr>
      <w:r>
        <w:t>191.19.9 Formes galéniques disponibles</w:t>
      </w:r>
    </w:p>
    <w:p>
      <w:r>
        <w:t>Le bleu de méthylène disponible en Algérie à la date de cette nomenclature est uniquement sous forme de solution pour usage externe à 0,01 % (soit 0,1 mg/mL), en flacons de 100 mL, commercialisée sous le nom de Bleu de Méthylène (Rhumel Pharm). Cette formulation couvre les besoins dermatologiques (colorant cutané, antiseptique topique, marquage chirurgical), mais ne couvre pas les besoins d'urgence toxicologique IV (méthémoglobinémie toxique), qui nécessitent une forme injectable IV à 5 mg/mL ou 10 mg/mL (concentration 50 à 100 fois supérieure). Cette carence expose les praticiens algériens à devoir importer exceptionnellement la forme IV (Bleu de Méthylène Aguettant 5 mg/mL en ampoules de 10 mL, Proveblue 5 mg/mL en ampoules de 10 mL), ou à produire en forme hospitalière magistrale (risque d'erreur de formulation, de contamination, de non-stérilité).</w:t>
      </w:r>
    </w:p>
    <w:p>
      <w:r>
        <w:t>La spécialité historique Collyre Bleu Laiter (Leurquin Mediolanum) en collyre dosé à 2 mg/5 mg (bleu de méthylène + cyanosine), utilisée en collyre teintant pour le diagnostic et le traitement de l'keratite filamenteuse, est retirée du marché algérien. Aucune forme orale (comprimés à 65 mg ou 100 mg pour l'usage antiseptique urinaire ou l'usage expérimental dans la maladie d'Alzheimer) n'est disponible en Algérie.</w:t>
      </w:r>
    </w:p>
    <w:p>
      <w:r>
        <w:t>La conservation de la solution pour usage externe se fait à température ambiante (15-25 °C), à l'abri de la lumière (le bleu de méthylène est photosensible, dégradation en leukoblue inactif), avec une péremption généralement de 3-5 ans. Ne pas congeler. Ne pas utiliser si la solution est trouble ou contient des particules. La solution reconstituée pour usage IV (diluée dans glucosé 5 %) doit être utilisée immédiatement (stabilité 4-6 heures à température ambiante, à l'abri de la lumière). La solution pour usage externe peut tacher les vêtements et la peau (lavage à l'eau et au savon, parfois nécessaire un solvant comme l'hypochlorite de sodium dilué pour les taches tenaces).</w:t>
      </w:r>
    </w:p>
    <w:p>
      <w:pPr>
        <w:pStyle w:val="Heading3"/>
      </w:pPr>
      <w:r>
        <w:t>191.19.10 Conseils au patient et éducation thérapeutique</w:t>
      </w:r>
    </w:p>
    <w:p>
      <w:r>
        <w:t>Le bleu de méthylène administré en contexte d'urgence toxicologique (méthémoglobinémie toxique) est généralement administré par un professionnel de santé en milieu hospitalier. L'éducation thérapeutique porte principalement sur les informations données au patient et à son entourage après l'épisode d'intoxication, et sur la prévention de la récidive.</w:t>
      </w:r>
    </w:p>
    <w:p>
      <w:r/>
      <w:r>
        <w:rPr>
          <w:b/>
        </w:rPr>
        <w:t>Conseils immédiats après l'administration de bleu de méthylène</w:t>
      </w:r>
      <w:r>
        <w:t xml:space="preserve"> : (i) le patient doit être informé que la coloration bleue des urines est attendue et sans gravité (durée 24-48 heures après la dernière administration) ; (ii) la coloration bleue de la peau et des muqueuses est également attendue et transitoire (24-48 heures) ; (iii) la surveillance hospitalière en réanimation est indispensable pendant 24-48 heures (recherche de récidive de la MetHb, d'hémolyse en cas de déficit en G6PD, de syndrome sérotoninergique en cas d'association aux ISRS) ; (iv) les signes d'alerte de récidive (cyanose, dyspnée, céphalées, fatigue, troubles de la conscience) doivent être signalés à l'équipe soignante.</w:t>
      </w:r>
    </w:p>
    <w:p>
      <w:r/>
      <w:r>
        <w:rPr>
          <w:b/>
        </w:rPr>
        <w:t>Conseils de prévention de la récidive de la méthémoglobinémie toxique</w:t>
      </w:r>
      <w:r>
        <w:t xml:space="preserve"> : (i) éviter l'exposition aux agents oxydants (nitrites, nitrates, anilines, chlorates, dapsone, antipaludéens, lidocaïne en perfusion prolongée, crème EMLA en application étendue, crèmes anesthésiques topiques à la benzocaïne) ; (ii) en cas de traitement par dapsone, surveillance de la MetHb toutes les 4-8 semaines pendant les premiers mois, ajustement posologique si MetHb &gt; 10 % ; (iii) en cas de déficit en G6PD connu, éviter les agents oxydants (fèves, sulfamides, antipaludéens, nitrites, dapsone) et signaler ce déficit à tout médecin prescripteur ; (iv) en cas de traitement par ISRS, IMAO, tramadol, triptans, signaler ce traitement à tout médecin (en raison du risque de syndrome sérotoninergique en cas d'administration de bleu de méthylène) ; (v) éviter l'ingestion d'eaux de puits non contrôlées (risque de contamination par nitrates, surtout chez le nourrisson : maladie bleue du biberon) ; (vi) éviter l'usage de poppers (nitrites alkylés, drogue récréative, risquant de provoquer une MetHb sévère) ; (vii) en cas de manipulation de pesticides (paraquat, nitrites), respecter les consignes de sécurité (gants, masque, combinaison).</w:t>
      </w:r>
    </w:p>
    <w:p>
      <w:r/>
      <w:r>
        <w:rPr>
          <w:b/>
        </w:rPr>
        <w:t>Conseils aux patients sous traitement sérotoninergique (ISRS, IMAO, tramadol, triptans)</w:t>
      </w:r>
      <w:r>
        <w:t xml:space="preserve"> : (i) signaler ce traitement à tout médecin (carte de traitement en portefeuille) ; (ii) éviter les associations médicamenteuses (tramadol + triptans, tramadol + ISRS, ISRS + IMAO) sans avis médical ; (iii) en cas de nécessité d'administration de bleu de méthylène (MetHb sévère), arrêter temporairement le traitement sérotoninergique (durée variable selon la molécule) ; (iv) surveiller les signes de syndrome sérotoninergique (confusion, agitation, myoclonies, hyperréflexie, fièvre, hypertonie, trémulations, diarrhée) et consulter en urgence si suspicion.</w:t>
      </w:r>
    </w:p>
    <w:p>
      <w:pPr>
        <w:pStyle w:val="Heading3"/>
      </w:pPr>
      <w:r>
        <w:t>191.19.11 Pièges au comptoir (règles d'or)</w:t>
      </w:r>
    </w:p>
    <w:p>
      <w:pPr>
        <w:pStyle w:val="ListNumber"/>
      </w:pPr>
      <w:r/>
      <w:r>
        <w:rPr>
          <w:b/>
        </w:rPr>
        <w:t>Règle d'or n°1 : bleu de méthylène IV non disponible en Algérie.</w:t>
      </w:r>
      <w:r>
        <w:t xml:space="preserve"> Forme solution pour usage externe 0,01 % disponible (Rhumel Pharm), mais non adaptée à l'usage IV (trop diluée, non stérile au standard IV). Nécessité d'importation exceptionnelle ou forme hospitalière magistrale. Priorité d'amélioration identifiée.</w:t>
      </w:r>
    </w:p>
    <w:p>
      <w:pPr>
        <w:pStyle w:val="ListNumber"/>
      </w:pPr>
      <w:r/>
      <w:r>
        <w:rPr>
          <w:b/>
        </w:rPr>
        <w:t>Règle d'or n°2 : dépistage systématique du déficit en G6PD.</w:t>
      </w:r>
      <w:r>
        <w:t xml:space="preserve"> Contre-indication absolue (risque d'hémolyse sévère). Origine africaine, méditerranéenne, asiatique ; antécédents familiaux d'anémie hémolytique, d'ictère néonatal, de crises hémolytiques après fèves, sulfamides, antipaludéens.</w:t>
      </w:r>
    </w:p>
    <w:p>
      <w:pPr>
        <w:pStyle w:val="ListNumber"/>
      </w:pPr>
      <w:r/>
      <w:r>
        <w:rPr>
          <w:b/>
        </w:rPr>
        <w:t>Règle d'or n°3 : contre-indication relative avec les traitements sérotoninergiques.</w:t>
      </w:r>
      <w:r>
        <w:t xml:space="preserve"> ISRS, IMAO, tramadol, triptans, péthidine, MDMA. Risque de syndrome sérotoninergique grave. Arrêter temporairement le traitement (sauf urgence vitale).</w:t>
      </w:r>
    </w:p>
    <w:p>
      <w:pPr>
        <w:pStyle w:val="ListNumber"/>
      </w:pPr>
      <w:r/>
      <w:r>
        <w:rPr>
          <w:b/>
        </w:rPr>
        <w:t>Règle d'or n°4 : perfusion IV lente (5 minutes pour le bolus de 1-2 mg/kg).</w:t>
      </w:r>
      <w:r>
        <w:t xml:space="preserve"> Dilué dans glucosé 5 %. Surveillance PA, FC, SpO2, ECG.</w:t>
      </w:r>
    </w:p>
    <w:p>
      <w:pPr>
        <w:pStyle w:val="ListNumber"/>
      </w:pPr>
      <w:r/>
      <w:r>
        <w:rPr>
          <w:b/>
        </w:rPr>
        <w:t>Règle d'or n°5 : dose maximale 7 mg/kg/24 h.</w:t>
      </w:r>
      <w:r>
        <w:t xml:space="preserve"> Au-delà, le bleu de méthylène devient oxydant et aggrave la MetHb.</w:t>
      </w:r>
    </w:p>
    <w:p>
      <w:pPr>
        <w:pStyle w:val="ListNumber"/>
      </w:pPr>
      <w:r/>
      <w:r>
        <w:rPr>
          <w:b/>
        </w:rPr>
        <w:t>Règle d'or n°6 : surveillance de la MetHb par oxymétrie CO-oximétrique.</w:t>
      </w:r>
      <w:r>
        <w:t xml:space="preserve"> La SpO2 classique est faussement basse en cas de MetHb (absorption lumineuse à 660 nm).</w:t>
      </w:r>
    </w:p>
    <w:p>
      <w:pPr>
        <w:pStyle w:val="ListNumber"/>
      </w:pPr>
      <w:r/>
      <w:r>
        <w:rPr>
          <w:b/>
        </w:rPr>
        <w:t>Règle d'or n°7 : coloration bleue des urines et de la peau attendue.</w:t>
      </w:r>
      <w:r>
        <w:t xml:space="preserve"> Sans gravité, transitoire 24-48 heures. Prévenir le patient.</w:t>
      </w:r>
    </w:p>
    <w:p>
      <w:pPr>
        <w:pStyle w:val="ListNumber"/>
      </w:pPr>
      <w:r/>
      <w:r>
        <w:rPr>
          <w:b/>
        </w:rPr>
        <w:t>Règle d'or n°8 : prudence en fin de grossesse.</w:t>
      </w:r>
      <w:r>
        <w:t xml:space="preserve"> Risque de méthémoglobinémie fœtale, de coloration bleue du nouveau-né. Préférer l'acide ascorbique IV si possible.</w:t>
      </w:r>
    </w:p>
    <w:p>
      <w:pPr>
        <w:pStyle w:val="ListNumber"/>
      </w:pPr>
      <w:r/>
      <w:r>
        <w:rPr>
          <w:b/>
        </w:rPr>
        <w:t>Règle d'or n°9 : éviter pendant l'allaitement.</w:t>
      </w:r>
      <w:r>
        <w:t xml:space="preserve"> Suspendre 24-48 heures, jeter le lait recueilli.</w:t>
      </w:r>
    </w:p>
    <w:p>
      <w:pPr>
        <w:pStyle w:val="ListNumber"/>
      </w:pPr>
      <w:r/>
      <w:r>
        <w:rPr>
          <w:b/>
        </w:rPr>
        <w:t>Règle d'or n°10 : alternatives en cas de déficit en G6PD.</w:t>
      </w:r>
      <w:r>
        <w:t xml:space="preserve"> Acide ascorbique (vitamine C) IV 1-2 g/j. Exsanguino-transfusion en cas de MetHb sévère &gt; 70 %.</w:t>
      </w:r>
    </w:p>
    <w:p>
      <w:pPr>
        <w:pStyle w:val="ListNumber"/>
      </w:pPr>
      <w:r/>
      <w:r>
        <w:rPr>
          <w:b/>
        </w:rPr>
        <w:t>Règle d'or n°11 : ne pas mélanger avec d'autres médicaments dans la même perfusion.</w:t>
      </w:r>
      <w:r>
        <w:t xml:space="preserve"> Incompatibilité avec les solutions alcalines, oxydants, réducteurs, héparine, NaCl 0,9 % (précipitation possible). Préférer le glucosé 5 %.</w:t>
      </w:r>
    </w:p>
    <w:p>
      <w:pPr>
        <w:pStyle w:val="ListNumber"/>
      </w:pPr>
      <w:r/>
      <w:r>
        <w:rPr>
          <w:b/>
        </w:rPr>
        <w:t>Règle d'or n°12 : antidote du cyanure = hydroxocobalamine (Cyanokit), non disponible en Algérie.</w:t>
      </w:r>
      <w:r>
        <w:t xml:space="preserve"> Le bleu de méthylène à dose élevée (5-10 mg/kg) en association avec le thiosulfate de sodium 12,5 g IV est une alternative historique, dépassée par l'hydroxocobalamine.</w:t>
      </w:r>
    </w:p>
    <w:p>
      <w:pPr>
        <w:pStyle w:val="Heading2"/>
      </w:pPr>
      <w:r>
        <w:t>191.20 DCI 10 : Oxygène médicamenteux (Antidote du monoxyde de carbone)</w:t>
      </w:r>
    </w:p>
    <w:p>
      <w:pPr>
        <w:pStyle w:val="Heading3"/>
      </w:pPr>
      <w:r>
        <w:t>191.20.1 Liste des catégories thérapeutiques et statut réglementaire</w:t>
      </w:r>
    </w:p>
    <w:p>
      <w:r>
        <w:t>L'oxygène médicamenteux appartient à la classe pharmacologique des gaz médicaux à usage thérapeutique (code ATC : V03AN01 — gaz médicinaux, oxygène). Il est inscrit sur la Liste I des substances vénéneuses en Algérie pour la majorité des conditionnements en bouteilles et citernes cryogéniques, ce qui impose prescription médicale obligatoire, délivrance exclusivement pharmaceutique, traçabilité des bouteilles et registre des sorties. L'oxygène figure également sur la liste des médicaments essentiels de l'OMS (WHO Model List of Essential Medicines, 22ᵉ liste, 2023) dans la section « Gaz médicaux » et constitue, selon l'OMS, l'un des quinze médicaments essentiels àmettre à disposition universelle pour atteindre les Objectifs de Développement Durable (ODD) de santé. L'oxygène est classé comme médicament d'urgence vitale et doit être disponible à tout moment dans les services d'urgences, de réanimation, de SMUR, d'anesthésie, d'obstétrique et dans tous les services d'hospitalisation.</w:t>
      </w:r>
    </w:p>
    <w:p>
      <w:r>
        <w:t>Au plan réglementaire international, l'oxygène médicamenteux est soumis aux monographies des pharmacopées européenne (Ph. Eur. 10.0, monographie 0417) et américaine (USP « Oxygen 99 % »), qui imposent une pureté minimale de 99,5 % en volume, un taux d'impuretés contrôlé (CO ≤ 5 ppm, CO2 ≤ 300 ppm, eau ≤ 67 ppm), et une traçabilité complète depuis la production gazeuse industrielle (distillation cryogénique de l'air atmosphérique) jusqu'à l'administration au patient. En Algérie, l'autorisation de mise sur le marché (AMM) des spécialités commerciales d'oxygène médicamenteux est délivrée par la Direction de la Pharmacie et des Médicaments (DPM) du Ministère de la Santé. L'oxygénothérapie hyperbare (OHB) est réglementée par arrêté spécifique et requiert un centre équipé d'un caisson hyperbare médical pressurisé à 2,5 ATA (atmosphères absolues) et un personnel médical formé (médecin hyperbariste, infirmier technicien). À la date de cette nomenclature (Avril 2026), aucun centre d'oxygénothérapie hyperbare publique n'est clairement répertorié comme centre de référence en Algérie, ce qui constitue une limite majeure à la prise en charge des intoxications graves au CO, des accidents de décompression et des gangrènes gazeuses.</w:t>
      </w:r>
    </w:p>
    <w:p>
      <w:pPr>
        <w:pStyle w:val="Heading3"/>
      </w:pPr>
      <w:r>
        <w:t>191.20.2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OXYGENE GAZEUX</w:t>
            </w:r>
          </w:p>
        </w:tc>
        <w:tc>
          <w:tcPr>
            <w:tcW w:type="dxa" w:w="1559"/>
          </w:tcPr>
          <w:p>
            <w:r>
              <w:rPr>
                <w:sz w:val="20"/>
              </w:rPr>
              <w:t>SARL AURES GAZ</w:t>
            </w:r>
          </w:p>
        </w:tc>
        <w:tc>
          <w:tcPr>
            <w:tcW w:type="dxa" w:w="1559"/>
          </w:tcPr>
          <w:p>
            <w:r>
              <w:rPr>
                <w:sz w:val="20"/>
              </w:rPr>
              <w:t>Gaz pour inhalation, pureté ≥ 99,50 %</w:t>
            </w:r>
          </w:p>
        </w:tc>
        <w:tc>
          <w:tcPr>
            <w:tcW w:type="dxa" w:w="1559"/>
          </w:tcPr>
          <w:p>
            <w:r>
              <w:rPr>
                <w:sz w:val="20"/>
              </w:rPr>
              <w:t>Bouteille de 50 L</w:t>
            </w:r>
          </w:p>
        </w:tc>
        <w:tc>
          <w:tcPr>
            <w:tcW w:type="dxa" w:w="1559"/>
          </w:tcPr>
          <w:p>
            <w:r>
              <w:rPr>
                <w:sz w:val="20"/>
              </w:rPr>
              <w:t>Liste I</w:t>
            </w:r>
          </w:p>
        </w:tc>
        <w:tc>
          <w:tcPr>
            <w:tcW w:type="dxa" w:w="1559"/>
          </w:tcPr>
          <w:p>
            <w:r>
              <w:rPr>
                <w:sz w:val="20"/>
              </w:rPr>
              <w:t>ACTIF</w:t>
            </w:r>
          </w:p>
        </w:tc>
      </w:tr>
      <w:tr>
        <w:tc>
          <w:tcPr>
            <w:tcW w:type="dxa" w:w="1559"/>
          </w:tcPr>
          <w:p>
            <w:r>
              <w:rPr>
                <w:sz w:val="20"/>
              </w:rPr>
              <w:t>OXYGENE MEDICINAL 200 BAR</w:t>
            </w:r>
          </w:p>
        </w:tc>
        <w:tc>
          <w:tcPr>
            <w:tcW w:type="dxa" w:w="1559"/>
          </w:tcPr>
          <w:p>
            <w:r>
              <w:rPr>
                <w:sz w:val="20"/>
              </w:rPr>
              <w:t>SIDAL SPA</w:t>
            </w:r>
          </w:p>
        </w:tc>
        <w:tc>
          <w:tcPr>
            <w:tcW w:type="dxa" w:w="1559"/>
          </w:tcPr>
          <w:p>
            <w:r>
              <w:rPr>
                <w:sz w:val="20"/>
              </w:rPr>
              <w:t>Gaz pour inhalation, pureté ≥ 99,50 %</w:t>
            </w:r>
          </w:p>
        </w:tc>
        <w:tc>
          <w:tcPr>
            <w:tcW w:type="dxa" w:w="1559"/>
          </w:tcPr>
          <w:p>
            <w:r>
              <w:rPr>
                <w:sz w:val="20"/>
              </w:rPr>
              <w:t>Bouteille de 5 L (robinet VIPR) / 5 L / 50 L</w:t>
            </w:r>
          </w:p>
        </w:tc>
        <w:tc>
          <w:tcPr>
            <w:tcW w:type="dxa" w:w="1559"/>
          </w:tcPr>
          <w:p>
            <w:r>
              <w:rPr>
                <w:sz w:val="20"/>
              </w:rPr>
              <w:t>—</w:t>
            </w:r>
          </w:p>
        </w:tc>
        <w:tc>
          <w:tcPr>
            <w:tcW w:type="dxa" w:w="1559"/>
          </w:tcPr>
          <w:p>
            <w:r>
              <w:rPr>
                <w:sz w:val="20"/>
              </w:rPr>
              <w:t>ACTIF</w:t>
            </w:r>
          </w:p>
        </w:tc>
      </w:tr>
      <w:tr>
        <w:tc>
          <w:tcPr>
            <w:tcW w:type="dxa" w:w="1559"/>
          </w:tcPr>
          <w:p>
            <w:r>
              <w:rPr>
                <w:sz w:val="20"/>
              </w:rPr>
              <w:t>OXYGENE MEDICINAL GAZEUX</w:t>
            </w:r>
          </w:p>
        </w:tc>
        <w:tc>
          <w:tcPr>
            <w:tcW w:type="dxa" w:w="1559"/>
          </w:tcPr>
          <w:p>
            <w:r>
              <w:rPr>
                <w:sz w:val="20"/>
              </w:rPr>
              <w:t>GAZ INDUSTRIELS SARL</w:t>
            </w:r>
          </w:p>
        </w:tc>
        <w:tc>
          <w:tcPr>
            <w:tcW w:type="dxa" w:w="1559"/>
          </w:tcPr>
          <w:p>
            <w:r>
              <w:rPr>
                <w:sz w:val="20"/>
              </w:rPr>
              <w:t>Gaz pour inhalation, pureté ≥ 99,50 %</w:t>
            </w:r>
          </w:p>
        </w:tc>
        <w:tc>
          <w:tcPr>
            <w:tcW w:type="dxa" w:w="1559"/>
          </w:tcPr>
          <w:p>
            <w:r>
              <w:rPr>
                <w:sz w:val="20"/>
              </w:rPr>
              <w:t>Bouteille B50</w:t>
            </w:r>
          </w:p>
        </w:tc>
        <w:tc>
          <w:tcPr>
            <w:tcW w:type="dxa" w:w="1559"/>
          </w:tcPr>
          <w:p>
            <w:r>
              <w:rPr>
                <w:sz w:val="20"/>
              </w:rPr>
              <w:t>Liste I</w:t>
            </w:r>
          </w:p>
        </w:tc>
        <w:tc>
          <w:tcPr>
            <w:tcW w:type="dxa" w:w="1559"/>
          </w:tcPr>
          <w:p>
            <w:r>
              <w:rPr>
                <w:sz w:val="20"/>
              </w:rPr>
              <w:t>ACTIF</w:t>
            </w:r>
          </w:p>
        </w:tc>
      </w:tr>
      <w:tr>
        <w:tc>
          <w:tcPr>
            <w:tcW w:type="dxa" w:w="1559"/>
          </w:tcPr>
          <w:p>
            <w:r>
              <w:rPr>
                <w:sz w:val="20"/>
              </w:rPr>
              <w:t>OXYGENE MEDICINAL GAZEUX LINDE</w:t>
            </w:r>
          </w:p>
        </w:tc>
        <w:tc>
          <w:tcPr>
            <w:tcW w:type="dxa" w:w="1559"/>
          </w:tcPr>
          <w:p>
            <w:r>
              <w:rPr>
                <w:sz w:val="20"/>
              </w:rPr>
              <w:t>LINDE GAS ALGERIE</w:t>
            </w:r>
          </w:p>
        </w:tc>
        <w:tc>
          <w:tcPr>
            <w:tcW w:type="dxa" w:w="1559"/>
          </w:tcPr>
          <w:p>
            <w:r>
              <w:rPr>
                <w:sz w:val="20"/>
              </w:rPr>
              <w:t>Gaz pour inhalation, pureté ≥ 99,50 %</w:t>
            </w:r>
          </w:p>
        </w:tc>
        <w:tc>
          <w:tcPr>
            <w:tcW w:type="dxa" w:w="1559"/>
          </w:tcPr>
          <w:p>
            <w:r>
              <w:rPr>
                <w:sz w:val="20"/>
              </w:rPr>
              <w:t>Bouteille en acier de 50 L</w:t>
            </w:r>
          </w:p>
        </w:tc>
        <w:tc>
          <w:tcPr>
            <w:tcW w:type="dxa" w:w="1559"/>
          </w:tcPr>
          <w:p>
            <w:r>
              <w:rPr>
                <w:sz w:val="20"/>
              </w:rPr>
              <w:t>Liste I</w:t>
            </w:r>
          </w:p>
        </w:tc>
        <w:tc>
          <w:tcPr>
            <w:tcW w:type="dxa" w:w="1559"/>
          </w:tcPr>
          <w:p>
            <w:r>
              <w:rPr>
                <w:sz w:val="20"/>
              </w:rPr>
              <w:t>ACTIF</w:t>
            </w:r>
          </w:p>
        </w:tc>
      </w:tr>
      <w:tr>
        <w:tc>
          <w:tcPr>
            <w:tcW w:type="dxa" w:w="1559"/>
          </w:tcPr>
          <w:p>
            <w:r>
              <w:rPr>
                <w:sz w:val="20"/>
              </w:rPr>
              <w:t>OXYGENE MEDICINAL LIQUIDE</w:t>
            </w:r>
          </w:p>
        </w:tc>
        <w:tc>
          <w:tcPr>
            <w:tcW w:type="dxa" w:w="1559"/>
          </w:tcPr>
          <w:p>
            <w:r>
              <w:rPr>
                <w:sz w:val="20"/>
              </w:rPr>
              <w:t>SIDAL SPA</w:t>
            </w:r>
          </w:p>
        </w:tc>
        <w:tc>
          <w:tcPr>
            <w:tcW w:type="dxa" w:w="1559"/>
          </w:tcPr>
          <w:p>
            <w:r>
              <w:rPr>
                <w:sz w:val="20"/>
              </w:rPr>
              <w:t>Gaz pour inhalation, pureté ≥ 99,50 %</w:t>
            </w:r>
          </w:p>
        </w:tc>
        <w:tc>
          <w:tcPr>
            <w:tcW w:type="dxa" w:w="1559"/>
          </w:tcPr>
          <w:p>
            <w:r>
              <w:rPr>
                <w:sz w:val="20"/>
              </w:rPr>
              <w:t>Récipient cryogénique mobile</w:t>
            </w:r>
          </w:p>
        </w:tc>
        <w:tc>
          <w:tcPr>
            <w:tcW w:type="dxa" w:w="1559"/>
          </w:tcPr>
          <w:p>
            <w:r>
              <w:rPr>
                <w:sz w:val="20"/>
              </w:rPr>
              <w:t>—</w:t>
            </w:r>
          </w:p>
        </w:tc>
        <w:tc>
          <w:tcPr>
            <w:tcW w:type="dxa" w:w="1559"/>
          </w:tcPr>
          <w:p>
            <w:r>
              <w:rPr>
                <w:sz w:val="20"/>
              </w:rPr>
              <w:t>ACTIF</w:t>
            </w:r>
          </w:p>
        </w:tc>
      </w:tr>
      <w:tr>
        <w:tc>
          <w:tcPr>
            <w:tcW w:type="dxa" w:w="1559"/>
          </w:tcPr>
          <w:p>
            <w:r>
              <w:rPr>
                <w:sz w:val="20"/>
              </w:rPr>
              <w:t>OXYGENE MEDICINAL LIQUIDE CALGAZ ALGERIE</w:t>
            </w:r>
          </w:p>
        </w:tc>
        <w:tc>
          <w:tcPr>
            <w:tcW w:type="dxa" w:w="1559"/>
          </w:tcPr>
          <w:p>
            <w:r>
              <w:rPr>
                <w:sz w:val="20"/>
              </w:rPr>
              <w:t>CALGAZ ALGERIE/EURL</w:t>
            </w:r>
          </w:p>
        </w:tc>
        <w:tc>
          <w:tcPr>
            <w:tcW w:type="dxa" w:w="1559"/>
          </w:tcPr>
          <w:p>
            <w:r>
              <w:rPr>
                <w:sz w:val="20"/>
              </w:rPr>
              <w:t>Gaz pour inhalation, pureté ≥ 99,50 %</w:t>
            </w:r>
          </w:p>
        </w:tc>
        <w:tc>
          <w:tcPr>
            <w:tcW w:type="dxa" w:w="1559"/>
          </w:tcPr>
          <w:p>
            <w:r>
              <w:rPr>
                <w:sz w:val="20"/>
              </w:rPr>
              <w:t>Récipient cryogénique mobile de 23 530 L</w:t>
            </w:r>
          </w:p>
        </w:tc>
        <w:tc>
          <w:tcPr>
            <w:tcW w:type="dxa" w:w="1559"/>
          </w:tcPr>
          <w:p>
            <w:r>
              <w:rPr>
                <w:sz w:val="20"/>
              </w:rPr>
              <w:t>—</w:t>
            </w:r>
          </w:p>
        </w:tc>
        <w:tc>
          <w:tcPr>
            <w:tcW w:type="dxa" w:w="1559"/>
          </w:tcPr>
          <w:p>
            <w:r>
              <w:rPr>
                <w:sz w:val="20"/>
              </w:rPr>
              <w:t>ACTIF</w:t>
            </w:r>
          </w:p>
        </w:tc>
      </w:tr>
      <w:tr>
        <w:tc>
          <w:tcPr>
            <w:tcW w:type="dxa" w:w="1559"/>
          </w:tcPr>
          <w:p>
            <w:r>
              <w:rPr>
                <w:sz w:val="20"/>
              </w:rPr>
              <w:t>RAYNOX GOX</w:t>
            </w:r>
          </w:p>
        </w:tc>
        <w:tc>
          <w:tcPr>
            <w:tcW w:type="dxa" w:w="1559"/>
          </w:tcPr>
          <w:p>
            <w:r>
              <w:rPr>
                <w:sz w:val="20"/>
              </w:rPr>
              <w:t>RAYANOX</w:t>
            </w:r>
          </w:p>
        </w:tc>
        <w:tc>
          <w:tcPr>
            <w:tcW w:type="dxa" w:w="1559"/>
          </w:tcPr>
          <w:p>
            <w:r>
              <w:rPr>
                <w:sz w:val="20"/>
              </w:rPr>
              <w:t>Gaz pour inhalation, pureté ≥ 99,50 %</w:t>
            </w:r>
          </w:p>
        </w:tc>
        <w:tc>
          <w:tcPr>
            <w:tcW w:type="dxa" w:w="1559"/>
          </w:tcPr>
          <w:p>
            <w:r>
              <w:rPr>
                <w:sz w:val="20"/>
              </w:rPr>
              <w:t>Bouteilles B10 et B50</w:t>
            </w:r>
          </w:p>
        </w:tc>
        <w:tc>
          <w:tcPr>
            <w:tcW w:type="dxa" w:w="1559"/>
          </w:tcPr>
          <w:p>
            <w:r>
              <w:rPr>
                <w:sz w:val="20"/>
              </w:rPr>
              <w:t>Liste I</w:t>
            </w:r>
          </w:p>
        </w:tc>
        <w:tc>
          <w:tcPr>
            <w:tcW w:type="dxa" w:w="1559"/>
          </w:tcPr>
          <w:p>
            <w:r>
              <w:rPr>
                <w:sz w:val="20"/>
              </w:rPr>
              <w:t>ACTIF</w:t>
            </w:r>
          </w:p>
        </w:tc>
      </w:tr>
      <w:tr>
        <w:tc>
          <w:tcPr>
            <w:tcW w:type="dxa" w:w="1559"/>
          </w:tcPr>
          <w:p>
            <w:r>
              <w:rPr>
                <w:sz w:val="20"/>
              </w:rPr>
              <w:t>OXYGENE MEDICINAL</w:t>
            </w:r>
          </w:p>
        </w:tc>
        <w:tc>
          <w:tcPr>
            <w:tcW w:type="dxa" w:w="1559"/>
          </w:tcPr>
          <w:p>
            <w:r>
              <w:rPr>
                <w:sz w:val="20"/>
              </w:rPr>
              <w:t>SARL AURES GAZ</w:t>
            </w:r>
          </w:p>
        </w:tc>
        <w:tc>
          <w:tcPr>
            <w:tcW w:type="dxa" w:w="1559"/>
          </w:tcPr>
          <w:p>
            <w:r>
              <w:rPr>
                <w:sz w:val="20"/>
              </w:rPr>
              <w:t>Gaz pour inhalation, pureté ≥ 99,95 %</w:t>
            </w:r>
          </w:p>
        </w:tc>
        <w:tc>
          <w:tcPr>
            <w:tcW w:type="dxa" w:w="1559"/>
          </w:tcPr>
          <w:p>
            <w:r>
              <w:rPr>
                <w:sz w:val="20"/>
              </w:rPr>
              <w:t>Citernes de 10 000 L</w:t>
            </w:r>
          </w:p>
        </w:tc>
        <w:tc>
          <w:tcPr>
            <w:tcW w:type="dxa" w:w="1559"/>
          </w:tcPr>
          <w:p>
            <w:r>
              <w:rPr>
                <w:sz w:val="20"/>
              </w:rPr>
              <w:t>Liste I</w:t>
            </w:r>
          </w:p>
        </w:tc>
        <w:tc>
          <w:tcPr>
            <w:tcW w:type="dxa" w:w="1559"/>
          </w:tcPr>
          <w:p>
            <w:r>
              <w:rPr>
                <w:sz w:val="20"/>
              </w:rPr>
              <w:t>ACTIF</w:t>
            </w:r>
          </w:p>
        </w:tc>
      </w:tr>
      <w:tr>
        <w:tc>
          <w:tcPr>
            <w:tcW w:type="dxa" w:w="1559"/>
          </w:tcPr>
          <w:p>
            <w:r>
              <w:rPr>
                <w:sz w:val="20"/>
              </w:rPr>
              <w:t>OXYGENE MEDICINAL LIQUIDE</w:t>
            </w:r>
          </w:p>
        </w:tc>
        <w:tc>
          <w:tcPr>
            <w:tcW w:type="dxa" w:w="1559"/>
          </w:tcPr>
          <w:p>
            <w:r>
              <w:rPr>
                <w:sz w:val="20"/>
              </w:rPr>
              <w:t>GI/LINDE-ALGERIE</w:t>
            </w:r>
          </w:p>
        </w:tc>
        <w:tc>
          <w:tcPr>
            <w:tcW w:type="dxa" w:w="1559"/>
          </w:tcPr>
          <w:p>
            <w:r>
              <w:rPr>
                <w:sz w:val="20"/>
              </w:rPr>
              <w:t>Gaz pour inhalation, pureté ≥ 99,50 %</w:t>
            </w:r>
          </w:p>
        </w:tc>
        <w:tc>
          <w:tcPr>
            <w:tcW w:type="dxa" w:w="1559"/>
          </w:tcPr>
          <w:p>
            <w:r>
              <w:rPr>
                <w:sz w:val="20"/>
              </w:rPr>
              <w:t>Récipient cryogénique mobile de 20 000 L</w:t>
            </w:r>
          </w:p>
        </w:tc>
        <w:tc>
          <w:tcPr>
            <w:tcW w:type="dxa" w:w="1559"/>
          </w:tcPr>
          <w:p>
            <w:r>
              <w:rPr>
                <w:sz w:val="20"/>
              </w:rPr>
              <w:t>Liste I</w:t>
            </w:r>
          </w:p>
        </w:tc>
        <w:tc>
          <w:tcPr>
            <w:tcW w:type="dxa" w:w="1559"/>
          </w:tcPr>
          <w:p>
            <w:r>
              <w:rPr>
                <w:sz w:val="20"/>
              </w:rPr>
              <w:t>ACTIF</w:t>
            </w:r>
          </w:p>
        </w:tc>
      </w:tr>
      <w:tr>
        <w:tc>
          <w:tcPr>
            <w:tcW w:type="dxa" w:w="1559"/>
          </w:tcPr>
          <w:p>
            <w:r>
              <w:rPr>
                <w:sz w:val="20"/>
              </w:rPr>
              <w:t>OXYGENE MEDICINAL LIQUIDE LINDE GAS ALGERIE</w:t>
            </w:r>
          </w:p>
        </w:tc>
        <w:tc>
          <w:tcPr>
            <w:tcW w:type="dxa" w:w="1559"/>
          </w:tcPr>
          <w:p>
            <w:r>
              <w:rPr>
                <w:sz w:val="20"/>
              </w:rPr>
              <w:t>LINDE GAZ ALGERIE</w:t>
            </w:r>
          </w:p>
        </w:tc>
        <w:tc>
          <w:tcPr>
            <w:tcW w:type="dxa" w:w="1559"/>
          </w:tcPr>
          <w:p>
            <w:r>
              <w:rPr>
                <w:sz w:val="20"/>
              </w:rPr>
              <w:t>Gaz pour inhalation, pureté ≥ 99,5 %</w:t>
            </w:r>
          </w:p>
        </w:tc>
        <w:tc>
          <w:tcPr>
            <w:tcW w:type="dxa" w:w="1559"/>
          </w:tcPr>
          <w:p>
            <w:r>
              <w:rPr>
                <w:sz w:val="20"/>
              </w:rPr>
              <w:t>Citernes de 7 000 L, 12 000 L, 26 000 L</w:t>
            </w:r>
          </w:p>
        </w:tc>
        <w:tc>
          <w:tcPr>
            <w:tcW w:type="dxa" w:w="1559"/>
          </w:tcPr>
          <w:p>
            <w:r>
              <w:rPr>
                <w:sz w:val="20"/>
              </w:rPr>
              <w:t>—</w:t>
            </w:r>
          </w:p>
        </w:tc>
        <w:tc>
          <w:tcPr>
            <w:tcW w:type="dxa" w:w="1559"/>
          </w:tcPr>
          <w:p>
            <w:r>
              <w:rPr>
                <w:sz w:val="20"/>
              </w:rPr>
              <w:t>ACTIF</w:t>
            </w:r>
          </w:p>
        </w:tc>
      </w:tr>
      <w:tr>
        <w:tc>
          <w:tcPr>
            <w:tcW w:type="dxa" w:w="1559"/>
          </w:tcPr>
          <w:p>
            <w:r>
              <w:rPr>
                <w:sz w:val="20"/>
              </w:rPr>
              <w:t>RAYANOX</w:t>
            </w:r>
          </w:p>
        </w:tc>
        <w:tc>
          <w:tcPr>
            <w:tcW w:type="dxa" w:w="1559"/>
          </w:tcPr>
          <w:p>
            <w:r>
              <w:rPr>
                <w:sz w:val="20"/>
              </w:rPr>
              <w:t>SARL RAYANOX</w:t>
            </w:r>
          </w:p>
        </w:tc>
        <w:tc>
          <w:tcPr>
            <w:tcW w:type="dxa" w:w="1559"/>
          </w:tcPr>
          <w:p>
            <w:r>
              <w:rPr>
                <w:sz w:val="20"/>
              </w:rPr>
              <w:t>Gaz pour inhalation, pureté ≥ 99,5 %</w:t>
            </w:r>
          </w:p>
        </w:tc>
        <w:tc>
          <w:tcPr>
            <w:tcW w:type="dxa" w:w="1559"/>
          </w:tcPr>
          <w:p>
            <w:r>
              <w:rPr>
                <w:sz w:val="20"/>
              </w:rPr>
              <w:t>Citernes de 20 000 L</w:t>
            </w:r>
          </w:p>
        </w:tc>
        <w:tc>
          <w:tcPr>
            <w:tcW w:type="dxa" w:w="1559"/>
          </w:tcPr>
          <w:p>
            <w:r>
              <w:rPr>
                <w:sz w:val="20"/>
              </w:rPr>
              <w:t>Liste I</w:t>
            </w:r>
          </w:p>
        </w:tc>
        <w:tc>
          <w:tcPr>
            <w:tcW w:type="dxa" w:w="1559"/>
          </w:tcPr>
          <w:p>
            <w:r>
              <w:rPr>
                <w:sz w:val="20"/>
              </w:rPr>
              <w:t>ACTIF</w:t>
            </w:r>
          </w:p>
        </w:tc>
      </w:tr>
    </w:tbl>
    <w:p/>
    <w:p>
      <w:r>
        <w:t>L'oxygène médicamenteux en Algérie se présente sous deux formes industrielles principales : (i) le gaz comprimé en bouteilles haute pression (200 bar) de petite contenance (5 L équivalent à environ 1 m³ d'O2 gazeux détendu) à moyenne (B10 ≈ 2 m³) et grande contenance (B50 ≈ 10 m³), adaptées au transport préhospitalier (SMUR, ambulances), à l'anesthésie mobile et aux petits services d'urgences ; (ii) l'oxygène liquide cryogénique stocké en récipients mobiles (de 7 000 L à 26 000 L) ou en citernes fixes (jusqu'à 26 000 L), vaporisé au point d'usage par des vaporiseurs-détendeurs, adapté aux grands consommateurs hospitaliers (blocs opératoires, réanimation, oxygénothérapie de masse, pandémie COVID-19). La diversité des fournisseurs algériens (SARL Aures Gaz, Sidal, Gaz Industriels SARL, Rayanox, Linde Gas Algerie, Calgaz Algerie) traduit la maturité du marché industriel des gaz médicaux, avec une souveraineté nationale majoritaire (quatre producteurs locaux sur six). Aucune forme conditionnée d'oxygène hyperbare (caisson pressurisé) n'est commercialisée en Algérie à la date de cette nomenclature.</w:t>
      </w:r>
    </w:p>
    <w:p>
      <w:pPr>
        <w:pStyle w:val="Heading3"/>
      </w:pPr>
      <w:r>
        <w:t>191.20.3 Mécanisme d'action moléculaire et cellulaire</w:t>
      </w:r>
    </w:p>
    <w:p>
      <w:r>
        <w:t>L'oxygène (O2) est le substrat métabolique terminal de la phosphorylation oxydative mitochondriale, accepteur final des électrons de la chaîne respiratoire (complexes I, III, IV), permettant la synthèse d'ATP par l'ATP-synthase mitochondriale. En contexte toxicologique, l'oxygène administré à forte concentration (FiO2 = 1) agit par trois mécanismes antidotiques complémentaires : (i) déplacement compétitif du CO de son site de fixation sur l'hémoglobine, (ii) accélération de la dissociation de la carboxyhémoglobine (COHb), (iii) augmentation de l'O2 dissous dans le plasma (oxygène libre non lié à l'hémoglobine).</w:t>
      </w:r>
    </w:p>
    <w:p>
      <w:r/>
      <w:r>
        <w:rPr>
          <w:b/>
        </w:rPr>
        <w:t>Déplacement compétitif du CO</w:t>
      </w:r>
      <w:r>
        <w:t xml:space="preserve"> : le monoxyde de carbone (CO) se fixe sur le site de liaison de l'O2 de l'hème de l'hémoglobine, mais avec une affinité 210 à 250 fois supérieure (constante de dissociation KD CO/Hb ≈ 0,05 μM vs O2/Hb ≈ 12 μM). Cette affinité préférentielle conduit à la formation de carboxyhémoglobine (COHb), incapable de transporter l'O2. À l'air ambiant (FiO2 = 0,21, pression partielle O2 ≈ 150 mmHg), la demi-vie de dissociation de la COHb est d'environ 320 minutes (5 heures 20 minutes), ce qui est trop lent pour prévenir les lésions hypoxiques cérébrales et cardiaques. L'administration d'O2 à 100 % à pression atmosphérique normale (normobare, FiO2 = 1, pression partielle O2 ≈ 760 mmHg) augmente considérablement la pression partielle d'O2 alvéolaire et accélère la dissociation de la COHb selon la loi d'action de masse : la demi-vie de la COHb diminue à environ 80 minutes (gain factoriel × 4). L'oxygénothérapie hyperbare (OHB) à 2,5 ATA (pression partielle O2 ≈ 1 900 mmHg) réduit la demi-vie de la COHb à 20-25 minutes (gain factoriel × 16 par rapport à l'air ambiant, × 4 par rapport à l'O2 normobare).</w:t>
      </w:r>
    </w:p>
    <w:p>
      <w:r/>
      <w:r>
        <w:rPr>
          <w:b/>
        </w:rPr>
        <w:t>Augmentation de l'O2 dissous</w:t>
      </w:r>
      <w:r>
        <w:t xml:space="preserve"> : selon la loi de Henry, la quantité d'O2 dissous dans le plasma est proportionnelle à la pression partielle d'O2 alvéolaire. À l'air ambiant, l'O2 dissous dans le plasma est d'environ 0,3 mL O2/dL (0,003 vol % par mmHg de PaO2, PaO2 ≈ 100 mmHg). À FiO2 = 1 normobare, l'O2 dissous atteint 2,0 mL O2/dL (PaO2 ≈ 660 mmHg). À 2,5 ATA en OHB, l'O2 dissous atteint 5,6-6,0 mL O2/dL (PaO2 ≈ 1 900 mmHg), quantité suffisante pour couvrir les besoins métaboliques de base des tissus (consommation O2 ≈ 250 mL/min, débit cardiaque ≈ 5 L/min, soit 5 mL O2/dL), indépendamment de l'hémoglobine fonctionnelle. Cette propriété est mise à profit dans les anémies sévères (en attendant la transfusion), les intoxications par les ligands de l'hémoglobine (CO, sulfure d'hydrogène H2S), et certaines intoxications mitochondriales (cyanure, en association avec les antidotes spécifiques).</w:t>
      </w:r>
    </w:p>
    <w:p>
      <w:r/>
      <w:r>
        <w:rPr>
          <w:b/>
        </w:rPr>
        <w:t>Autres mécanismes antidotiques</w:t>
      </w:r>
      <w:r>
        <w:t xml:space="preserve"> : (i) accélération de la dissociation des cytochromes oxydases mitochondriales (CO se fixe aussi sur la cytochrome-c oxydase mitochondriale, complexe IV, inhibant la phosphorylation oxydative) ; (ii) réduction de l'œdème cérébral post-hypoxique par vasoconstriction hypocapnique (l'O2 à 100 % induit une hyperventilation compensatoire qui diminue la PaCO2 et réduit le débit sanguin cérébral, abaissant la pression intracrânienne) ; (iii) accélération de la dissociation de la méthémoglobine (MetHb) en hémoglobine fonctionnelle, en potentialisant les voies de réduction NADH-cytochrome-b5 réductase et NADPH-MetHb réductase (effet modeste, complémentaire du bleu de méthylène) ; (iv) accélération de l'élimination des gaz inertes (azote N2) en cas de maladie de décompression (remplacement du N2 dissous par l'O2 métabolisé, réduction de la demi-vie de dé-saturation des tissus).</w:t>
      </w:r>
    </w:p>
    <w:p>
      <w:pPr>
        <w:pStyle w:val="Heading3"/>
      </w:pPr>
      <w:r>
        <w:t>191.20.4 Profil pharmacocinétique, indications, contre-indications, effets indésirables</w:t>
      </w:r>
    </w:p>
    <w:p>
      <w:r/>
      <w:r>
        <w:rPr>
          <w:b/>
        </w:rPr>
        <w:t>Pharmacocinétique</w:t>
      </w:r>
      <w:r>
        <w:t xml:space="preserve"> : l'oxygène est administré exclusivement par voie inhalée (pas de passage systémique). Après administration à FiO2 = 1, l'équilibre alvéolo-artériel est atteint en 2-5 minutes chez le sujet sain (capacité résiduelle fonctionnelle ≈ 3 L, ventilation minute 6-10 L/min). La PaO2 augmente de 90 mmHg (air ambiant) à 600-660 mmHg (O2 100 % normobare) et jusqu'à 1 800-2 000 mmHg (O2 100 % à 2,5 ATA en caisson hyperbare). L'O2 est transporté dans le sang sous deux formes : (i) lié à l'hémoglobine (oxyhémoglobine O2Hb, 1 g Hb fixe 1,34 mL O2 ; Hb 15 g/dL → 20 mL O2/dL), (ii) dissous dans le plasma (0,003 mL O2/dL/mmHg PaO2). La clairance métabolique de l'O2 correspond à la consommation tissulaire (≈ 250 mL/min chez l'adulte, soit 3-3,5 mL O2/kg/min), avec une marge de sécurité importante (extraction O2 tissulaire 25 %, soit 5 mL O2/dL artériel prélevé sur 20 mL disponibles). L'O2 ne subit pas de métabolisme hépatique et n'est pas éliminé rénalement. L'arrêt de l'oxygénothérapie s'accompagne d'un retour à la PaO2 à air ambiant en 5-10 minutes (élimination pulmonaire par ventilation).</w:t>
      </w:r>
    </w:p>
    <w:p>
      <w:r/>
      <w:r>
        <w:rPr>
          <w:b/>
        </w:rPr>
        <w:t>Indications toxicologiques</w:t>
      </w:r>
      <w:r>
        <w:t xml:space="preserve"> : (i) intoxication au monoxyde de carbone (CO) — indication princeps, à administrer le plus précocement possible (dès le préhospitalier, masque haute concentration 15 L/min) et à poursuivre jusqu'à COHb &lt; 5 % (adulte) ou &lt; 2 % (femme enceinte, enfant) ; (ii) intoxication par les cyanures (en association avec l'hydroxocobalamine Cyanokit 5 g IV, et le thiosulfate de sodium 12,5 g IV) — l'O2 accélère la dissociation cyanide-cytochrome oxydase et améliore la tolérance à l'hypoxie cellulaire ; (iii) intoxication par les sulfures d'hydrogène (H2S) et par les gaz lacrymogènes (CS, CN) ; (iv) intoxication par les methémoglobinisants (en association avec le bleu de méthylène) — l'O2 améliore l'oxygénation tissulaire en attendant la réduction de la MetHb ; (v) maladie de décompression et embolie gazeuse iatrogène (OHB à 2,5-6 ATA selon protocole US Navy) ; (vi) intoxication alcoolique aiguë (O2 adjuvant en cas de dépression respiratoire). Indications non toxicologiques : hypoxémie de toutes causes (IRC, BPCO décompensée, SDRA, asthme aigu grave, OAP), anesthésie, réanimation néonatale, détresse maternelle.</w:t>
      </w:r>
    </w:p>
    <w:p>
      <w:r/>
      <w:r>
        <w:rPr>
          <w:b/>
        </w:rPr>
        <w:t>Contre-indications</w:t>
      </w:r>
      <w:r>
        <w:t xml:space="preserve"> : (i) intoxication au paraquat (CI relative à l'O2 à forte concentration &gt; 30 %, qui aggrave la peroxydation lipidique pulmonaire médiée par les radicaux libres — l'O2 est à éviter sauf si hypoxémie sévère menaçante, préférer FiO2 &lt; 30 % ou air ambiant) ; (ii) bléomycine (CI relative, l'O2 à forte concentration potentialise la toxicité pulmonaire fibrosante de la bléomycine, FiO2 à maintenir ≤ 30 % en péri-opératoire) ; (iii) amiodarone (CI relative, toxicité pulmonaire potentialisée) ; (iv)-adriamycine/doxorubicine (CI relative) ; (v) bérylliose, fibrose pulmonaire idiopathique (CI relative) ; (vi) prématurité néonatale (risque de rétinopathie du prématuré si PaO2 prolongée &gt; 80 mmHg, surveillance continue obligatoire) ; (vii) BPCO hypercapnique sévère (risque de dépression respiratoire par levée du stimulus hypoxique — prudence mais non contre-indication absolue, surveiller la PaCO2, l'O2 doit être administré de façon ciblée sur SpO2 88-92 %).</w:t>
      </w:r>
    </w:p>
    <w:p>
      <w:r/>
      <w:r>
        <w:rPr>
          <w:b/>
        </w:rPr>
        <w:t>Effets indésirables</w:t>
      </w:r>
      <w:r>
        <w:t xml:space="preserve"> : (i) toxicité pulmonaire de l'O2 (lésions de peroxydation lipidique alvéolaire, syndrome de Lorrain-Smith, apparaissant après 24-48 heures d'O2 à FiO2 = 1, se manifestant par toux, dyspnée, désaturation, opacités alvéolo-interstitielles bilatérales, évolution vers la fibrose pulmonaire) — prévention : limiter la durée d'O2 à 100 % au strict nécessaire, descendre à FiO2 ≤ 60 % dès que possible, surveiller la SpO2 cible 92-96 % ; (ii) toxicité neurologique de l'O2 (crise convulsive, effet de Paul Bert, à PaO2 &gt; 1 500 mmHg, soit FiO2 = 1 à 3 ATA ou plus, prévention par l'utilisation de protocoles OHB encadrés) ; (iii) toxicité oculaire du prématuré (rétinopathie du prématuré, ROP, prolifération fibrovasculaire rétinienne par toxicité directe de l'O2 sur les cellules endothéliales en développement, PaO2 à maintenir 50-80 mmHg chez le nouveau-né &lt; 32 SA) ; (iv) atelectasie de résorption (à FiO2 = 1, l'O2 remplace l'azote alvéolaire, et l'O2 est absorbé rapidement par le sang, conduisant à la déplétion alvéolaire et au collapsus — prévention : PEP, ventilation prophylactique) ; (v) irritation des voies aériennes supérieures (sécheresse nasale, pharyngée, trachéale — prévention : humidification de l'O2 par humidificateur à bulleur ou nébuliseur) ; (vi) syndrome de sevrage de l'O2 (chez le BPCO dépendant à l'O2, arrêt brutal → hypoxémie aiguë, à éviter par décroissance progressive) ; (vii) incendie (l'O2 est comburant, augmente la combustibilité des matériaux, risque majeur en présence de flamme nue ou d'équipements électroniques) ; (viii) barotraumatisme (en OHB, risque d'otite barotraummatique, de surpression pulmonaire, de pneumothorax — prévention par manœuvres d'équilibration tubaire et ventilation contrôlée).</w:t>
      </w:r>
    </w:p>
    <w:p>
      <w:pPr>
        <w:pStyle w:val="Heading3"/>
      </w:pPr>
      <w:r>
        <w:t>191.20.5 Prévention et gestion des effets indésirables</w:t>
      </w:r>
    </w:p>
    <w:p>
      <w:r>
        <w:t>La prévention des effets indésirables de l'oxygène repose sur trois principes fondamentaux : administration ciblée et titrée, humidification systématique, surveillance prolongée.</w:t>
      </w:r>
    </w:p>
    <w:p>
      <w:r/>
      <w:r>
        <w:rPr>
          <w:b/>
        </w:rPr>
        <w:t>Principe d'administration ciblée et titrée</w:t>
      </w:r>
      <w:r>
        <w:t xml:space="preserve"> : l'oxygène est un médicament à part entière, avec une indication, une posologie, une cible thérapeutique et des effets indésirables dose-dépendants. L'administration empirique d'O2 à 100 % chez tout patient détresse n'est plus recommandée. Les recommandations de la Société de Réanimation de Langue Française (SRLF) et du British Thoracic Society (BTS 2017) distinguent : (i) patients à risque d'hypercapnie (BPCO sévère, mucoviscidose, hypoventilation alvéolaire centrale, obésité sévère, myopathies) : O2 à administrer de façon ciblée sur SpO2 88-92 %, contrôle des gaz du sang à 30-60 minutes, ventilation non invasive (VNI) précoce en cas d'acidose respiratoire (pH &lt; 7,35) ; (ii) patients non à risque d'hypercapnie (critique aigu, OAP, SDRA, choc, sepsis, traumatisme) : O2 à administrer pour cibler SpO2 94-98 % (ou 92-96 % en cas d'insuffisance respiratoire aiguë), à réduire dès que la cible atteinte ; (iii) arrêt cardiaque en réanimation : O2 à 100 % pendant la réanimation (RECOMMANDATION), puis réduction à SpO2 94-98 % après retour à la circulation spontanée (ROSC). En contexte toxicologique (CO, cyanure, H2S), la cible est SpO2 100 % (ou la plus élevée possible) pendant 6-12 heures, puis décroissance progressive selon la COHb.</w:t>
      </w:r>
    </w:p>
    <w:p>
      <w:r/>
      <w:r>
        <w:rPr>
          <w:b/>
        </w:rPr>
        <w:t>Principe d'humidification systématique</w:t>
      </w:r>
      <w:r>
        <w:t xml:space="preserve"> : l'oxygène médicamenteux délivré en bouteille est sec (point de rosée &lt; -50 °C, humidité relative 0 %), ce qui assèche les muqueuses respiratoires et altère la clairance mucociliaire. L'O2 doit être humidifié avant administration au patient : (i) pour les débits ≤ 4 L/min : humidificateur à bulleur (eau stérile, changement quotidien, température ambiante) ; (ii) pour les débits ≥ 5 L/min : humidificateur chauffant (37 °C, humidité relative 100 %, prévention de l'hypothermie et de l'obstruction nasale) ; (iii) en ventilation mécanique : humidificateur chauffant à plateau ou échangeur chaleur-humidité (HME). L'absence d'humidification provoque à court terme (24-48 heures) : sécheresse buccale, obstruction nasale, épistaxis, toux sèche, encombrement bronchique visqueux, atélectasies.</w:t>
      </w:r>
    </w:p>
    <w:p>
      <w:r/>
      <w:r>
        <w:rPr>
          <w:b/>
        </w:rPr>
        <w:t>Principe de surveillance prolongée</w:t>
      </w:r>
      <w:r>
        <w:t xml:space="preserve"> : la surveillance de l'oxygénothérapie repose sur : (i) oxymétrie de pouls continue (SpO2, cible selon l'indication) ; (ii) gaz du sang artériel à l'initiation (30-60 min) et après chaque modification de FiO2 (en cas de BPCO, de détresse respiratoire, d'encéphalopathie) ; (iii) CO-oxymétrie (si intoxication au CO, mesure de la COHb, de la MetHb) ; (iv) monitoring cardiologique (ECG continu en cas d'intoxication au CO, risque d'ischémie myocardique et de troubles du rythme) ; (v) examen neurologique répété (GCS, signes de souffrance cérébrale post-hypoxique) ; (vi) surveillance radiologique (radiographie thoracique à 24-48 heures, scanner cérébral à 12-24 heures en cas d'intoxication au CO sévère, IRM cérébrale en cas de troubles de conscience persistants à la recherche de lésions des noyaux gris centraux). En cas d'OHB, surveillance neurologique, otoscopique (barotraumatisme), pulmonaire (pneumothorax), et ECG continu. Prévention du sevrage : décroissance progressive par paliers de 1-2 L/min toutes les 2-4 heures (selon tolérance clinique et SpO2).</w:t>
      </w:r>
    </w:p>
    <w:p>
      <w:pPr>
        <w:pStyle w:val="Heading3"/>
      </w:pPr>
      <w:r>
        <w:t>191.20.6 Interactions médicamenteuses</w:t>
      </w:r>
    </w:p>
    <w:p>
      <w:r>
        <w:t>L'oxygène présente peu d'interactions pharmacocinétiques en raison de son élimination essentiellement métabolique (consommation tissulaire) et de son absence de métabolisme hépatique. Les interactions sont de nature pharmacodynamique et toxique.</w:t>
      </w:r>
    </w:p>
    <w:p>
      <w:r/>
      <w:r>
        <w:rPr>
          <w:b/>
        </w:rPr>
        <w:t>Interactions toxiques (à considérer comme contre-indications relatives)</w:t>
      </w:r>
      <w:r>
        <w:t xml:space="preserve"> : (i) paraquat : l'O2 à FiO2 &gt; 30 % aggrave la peroxydation lipidique alvéolaire médiée par les radicaux libres du paraquat, augmentant la mortalité par fibrose pulmonaire. Préférer FiO2 &lt; 30 % ou air ambiant, sauf hypoxémie vitale (intubation et FiO2 minimale nécessaire) ; (ii) bléomycine : l'O2 à FiO2 &gt; 30 % potentialise la toxicité pulmonaire fibrosante de la bléomycine (chélateur du fer, génération de radicaux libres). En péri-opératoire chez un patient sous bléomycine (cancer testiculaire, lymphome), maintenir FiO2 ≤ 30 %, surveillance respiratoire peropératoire stricte ; (iii) amiodarone : l'O2 à FiO2 &gt; 50 % potentialise la pneumopathie interstitielle à l'amiodarone. Surveillance et FiO2 minimale nécessaire ; (iv) doxorubicine (adriamycine) : cardiotoxicité potentialisée par l'O2 à forte concentration ; (v) cisplatine, nitrofurantoïne, sulfamides : toxicité pulmonaire potentialisée par l'O2.</w:t>
      </w:r>
    </w:p>
    <w:p>
      <w:r/>
      <w:r>
        <w:rPr>
          <w:b/>
        </w:rPr>
        <w:t>Interactions pharmacodynamiques</w:t>
      </w:r>
      <w:r>
        <w:t xml:space="preserve"> : (i) oxygène + dépresseurs respiratoires (opioïdes, benzodiazépines, anesthésiques généraux) : potentialisation de la dépression respiratoire (mais l'O2 est le traitement de l'hypoxémie induite) ; (ii) oxygène + adrénergiques (adrénaline, noradrénaline) : vasoconstriction systémique majorée par l'O2 (effet sympathicomimétique) ; (iii) oxygène + vasodilatateurs (nitroprussiate, nitroglycérine, dérivés nitrés) : effet vasodilatateur atténué par l'O2 (l'O2 antagonise les dérivés nitrés au niveau de la guanylate cyclase soluble) ; (iv) oxygène + bleomycin + radiothérapie thoracique : association hautement toxique pour le poumon (pneumopathie fibrosante), à éviter.</w:t>
      </w:r>
    </w:p>
    <w:p>
      <w:r/>
      <w:r>
        <w:rPr>
          <w:b/>
        </w:rPr>
        <w:t>Interactions avec les médicaments méthémoglobinisants</w:t>
      </w:r>
      <w:r>
        <w:t xml:space="preserve"> : (i) oxygène + dapsone, sulfamides, nitrites, anilines, chlorates, antipaludéens (primaquine, chloroquine) : l'O2 est adjuvant du bleu de méthylène, mais ne suffit pas seul à réduire la MetHb. Association systématique O2 + bleu de méthylène en cas de MetHb &gt; 30 % ou signes neurologiques.</w:t>
      </w:r>
    </w:p>
    <w:p>
      <w:r/>
      <w:r>
        <w:rPr>
          <w:b/>
        </w:rPr>
        <w:t>Interactions physiques</w:t>
      </w:r>
      <w:r>
        <w:t xml:space="preserve"> : (i) oxygène + corps gras (vaseline, paraffine, huiles) : risque d'explosion et de combustion spontanée en présence d'O2 à 100 % sous pression (interdiction absolue d'utiliser des pommades grasses au niveau du masque ou de la sonde nasale) ; (ii) oxygène + équipements électroniques (brosse à dents électrique, téléphones portables, briquets, cigarettes) : risque d'incendie en présence d'O2 à concentration supérieure à 25 % (la concentration atmosphérique normale est 21 %) ; (iii) oxygène + cathéters en PVC : risque de dégradation du PVC par l'O2 à long terme (plusieurs mois), préférer les cathéters en silicone pour l'oxygénothérapie prolongée.</w:t>
      </w:r>
    </w:p>
    <w:p>
      <w:pPr>
        <w:pStyle w:val="Heading3"/>
      </w:pPr>
      <w:r>
        <w:t>191.20.7 Grossesse et allaitement (données CRAT)</w:t>
      </w:r>
    </w:p>
    <w:p>
      <w:r/>
      <w:r>
        <w:rPr>
          <w:b/>
        </w:rPr>
        <w:t>Grossesse</w:t>
      </w:r>
      <w:r>
        <w:t xml:space="preserve"> : l'oxygène médicamenteux est compatible avec la grossesse à toutes les étapes (quel que soit le trimestre). Il traverse le placenta mais ne présente aucun effet tératogène (données animales et humaines massives, exposition de millions de femmes enceintes). Au contraire, l'hypoxémie maternelle est tératogène et fœtotoxique (retard de croissance intra-utérin, anomalies de fermeture du tube neural, mort fœtale in utero). L'oxygénothérapie maternelle est indiquée pour maintenir une SpO2 maternelle ≥ 95 % (ou PaO2 ≥ 80 mmHg), ce qui assure une PaO2 fœtale ombilicale ≥ 30 mmHg. En cas d'intoxication au CO pendant la grossesse, l'O2 normobare 100 % est poursuivi jusqu'à COHb maternelle &lt; 5 % (au moins 6-12 heures), en raison du risque d'hypoxie fœtale prolongée (le CO traverse le placenta et se concentre dans le fœtus, demi-vie COHb fœtale ≈ 4-5 × demi-vie maternelle).</w:t>
      </w:r>
    </w:p>
    <w:p>
      <w:r>
        <w:t>L'oxygénothérapie hyperbare (OHB) pendant la grossesse a été historiquement considérée comme contre-indiquée par prudence (risque théorique de fermeture du ductus arteriosus fœtal, de bradycardie fœtale). Cependant, plusieurs séries de cas publiées (Boutin et al., 2017 ; Wattel et al., 2020) et les recommandations de l'European Committee for Hyperbaric Medicine (ECHM) ont réévalué cette position : l'OHB à 2,5 ATA pendant ≤ 90 minutes est désormais considérée comme acceptable pendant la grossesse en cas d'intoxication au CO sévère (perte de connaissance maternelle, COHb &gt; 25 %, signes neurologiques, grossesse au-delà de 20 SA), en raison du bénéfice maternel et fœtal majeur (prévention du syndrome post-CO, prévention de la mort fœtale). La surveillance fœtale continue (RCF) pendant la séance d'OHB est indispensable. En cas de COHb maternelle &gt; 10 % pendant la grossesse, l'OHB est discutée au cas par cas avec un centre de référence hyperbare et un obstétricien.</w:t>
      </w:r>
    </w:p>
    <w:p>
      <w:r/>
      <w:r>
        <w:rPr>
          <w:b/>
        </w:rPr>
        <w:t>Allaitement</w:t>
      </w:r>
      <w:r>
        <w:t xml:space="preserve"> : l'oxygène ne passe pas dans le lait maternel en quantité significative. L'oxygénothérapie maternelle à quelque concentration et pression que ce soit (normobare ou hyperbare) est compatible avec l'allaitement. Aucune suspension d'allaitement n'est nécessaire. Le lait maternel peut être poursuivi ou repris immédiatement après la séance d'OHB. En cas d'intoxication au CO maternelle, l'allaitement peut être poursuivi dès que l'état maternel le permet (COHb maternelle &lt; 5 %), sans risque pour le nourrisson.</w:t>
      </w:r>
    </w:p>
    <w:p>
      <w:pPr>
        <w:pStyle w:val="Heading3"/>
      </w:pPr>
      <w:r>
        <w:t>191.20.8 Posologie et modes d'administration</w:t>
      </w:r>
    </w:p>
    <w:p>
      <w:r/>
      <w:r>
        <w:rPr>
          <w:b/>
        </w:rPr>
        <w:t>Posologie adulte en normobare</w:t>
      </w:r>
      <w:r>
        <w:t xml:space="preserve"> : la posologie de l'oxygène se définit par sa concentration (FiO2) et son débit (L/min). Les dispositifs d'administration et leur FiO2 correspondante sont : (i) sonde nasale (lunettes) 1-6 L/min : FiO2 24-44 % (augmentation de 4 % par L/min) ; (ii) masque simple à 5-10 L/min : FiO2 35-60 % ; (iii) masque à réservoir (masque haute concentration) à 10-15 L/min : FiO2 60-90 % ; (iv) masque Venturi à débit ajustable : FiO2 24-50 % par paliers (24, 28, 31, 35, 40, 50 %), indiqué en cas de BPCO hypercapnique ; (v) masque facial avec ballon réservoir non-ré inhalant (NRB) à 15 L/min : FiO2 90-100 %, indiqué en urgences toxicologiques (CO, cyanure) ; (vi) ventilation mécanique invasive (intubation) : FiO2 réglable 21-100 %.</w:t>
      </w:r>
    </w:p>
    <w:p>
      <w:pPr>
        <w:pStyle w:val="ListBullet"/>
      </w:pPr>
      <w:r/>
      <w:r>
        <w:rPr>
          <w:b/>
        </w:rPr>
        <w:t>Indication : intoxication au monoxyde de carbone (CO) suspectée ou confirmée</w:t>
      </w:r>
      <w:r>
        <w:t xml:space="preserve"> : O2 à 100 % (masque facial avec réservoir NRB à 15 L/min) le plus précocement possible (dès le préhospitalier, sur les lieux de l'intoxication), à poursuivre pendant 6-12 heures minimum, jusqu'à COHb maternelle &lt; 5 % (femme enceinte : COHb &lt; 2 %). Surveillance CO-oxymétrie continue. Discuter OHB si critères (cf. infra).</w:t>
      </w:r>
    </w:p>
    <w:p>
      <w:pPr>
        <w:pStyle w:val="ListBullet"/>
      </w:pPr>
      <w:r/>
      <w:r>
        <w:rPr>
          <w:b/>
        </w:rPr>
        <w:t>Indication : intoxication par cyanure</w:t>
      </w:r>
      <w:r>
        <w:t xml:space="preserve"> : O2 à 100 % (masque NRB à 15 L/min ou ventilation mécanique) en association avec l'hydroxocobalamine (Cyanokit 5 g IV en 30 minutes, à renouveler 5 g si persistance des signes) et le thiosulfate de sodium 12,5 g IV. L'O2 à 100 % accélère la dissociation cyanide-cytochrome oxydase.</w:t>
      </w:r>
    </w:p>
    <w:p>
      <w:pPr>
        <w:pStyle w:val="ListBullet"/>
      </w:pPr>
      <w:r/>
      <w:r>
        <w:rPr>
          <w:b/>
        </w:rPr>
        <w:t>Indication : intoxication par H2S, gaz lacrymogènes</w:t>
      </w:r>
      <w:r>
        <w:t xml:space="preserve"> : O2 à 100 % (masque NRB à 15 L/min) jusqu'à disparition des signes.</w:t>
      </w:r>
    </w:p>
    <w:p>
      <w:pPr>
        <w:pStyle w:val="ListBullet"/>
      </w:pPr>
      <w:r/>
      <w:r>
        <w:rPr>
          <w:b/>
        </w:rPr>
        <w:t>Indication : méthodeglobinémie toxique</w:t>
      </w:r>
      <w:r>
        <w:t xml:space="preserve"> : O2 à 100 % (masque NRB à 15 L/min) en association avec le bleu de méthylène 1-2 mg/kg IV. L'O2 améliore l'oxygénation tissulaire en attendant la réduction de la MetHb.</w:t>
      </w:r>
    </w:p>
    <w:p>
      <w:pPr>
        <w:pStyle w:val="ListBullet"/>
      </w:pPr>
      <w:r/>
      <w:r>
        <w:rPr>
          <w:b/>
        </w:rPr>
        <w:t>Indication : maladie de décompression, embolie gazeuse</w:t>
      </w:r>
      <w:r>
        <w:t xml:space="preserve"> : O2 à 100 % normobare en urgence (masque NRB à 15 L/min), puis transfert vers un centre hyperbare pour OHB.</w:t>
      </w:r>
    </w:p>
    <w:p>
      <w:r/>
      <w:r>
        <w:rPr>
          <w:b/>
        </w:rPr>
        <w:t>Posologie pédiatrique</w:t>
      </w:r>
      <w:r>
        <w:t xml:space="preserve"> : chez le nouveau-né et l'enfant, l'oxygène est administré en milieu hospitalier sous surveillance pédiatrique spécialisée.</w:t>
      </w:r>
    </w:p>
    <w:p>
      <w:pPr>
        <w:pStyle w:val="ListBullet"/>
      </w:pPr>
      <w:r/>
      <w:r>
        <w:rPr>
          <w:b/>
        </w:rPr>
        <w:t>Nouveau-né (&lt; 1 mois)</w:t>
      </w:r>
      <w:r>
        <w:t xml:space="preserve"> : O2 par incubateur ou sonde nasale (1-2 L/min), cible SpO2 91-95 % (prématuré &lt; 32 SA : SpO2 88-92 % pour prévenir la rétinopathie). Éviter PaO2 &gt; 80 mmHg (risque de ROP).</w:t>
      </w:r>
    </w:p>
    <w:p>
      <w:pPr>
        <w:pStyle w:val="ListBullet"/>
      </w:pPr>
      <w:r/>
      <w:r>
        <w:rPr>
          <w:b/>
        </w:rPr>
        <w:t>Nourrisson (1 mois-2 ans)</w:t>
      </w:r>
      <w:r>
        <w:t xml:space="preserve"> : O2 par masque pédiatrique ou Hood (tte-couvre-chef) à 5-10 L/min, FiO2 30-50 %.</w:t>
      </w:r>
    </w:p>
    <w:p>
      <w:pPr>
        <w:pStyle w:val="ListBullet"/>
      </w:pPr>
      <w:r/>
      <w:r>
        <w:rPr>
          <w:b/>
        </w:rPr>
        <w:t>Enfant (2-12 ans)</w:t>
      </w:r>
      <w:r>
        <w:t xml:space="preserve"> : O2 par masque pédiatrique à 6-10 L/min, FiO2 35-60 %.</w:t>
      </w:r>
    </w:p>
    <w:p>
      <w:pPr>
        <w:pStyle w:val="ListBullet"/>
      </w:pPr>
      <w:r/>
      <w:r>
        <w:rPr>
          <w:b/>
        </w:rPr>
        <w:t>Enfant en intoxication CO</w:t>
      </w:r>
      <w:r>
        <w:t xml:space="preserve"> : O2 à 100 % par masque facial avec réservoir à 12-15 L/min, COHb cible &lt; 2 %. OHB selon critères pédiatriques.</w:t>
      </w:r>
    </w:p>
    <w:p>
      <w:r/>
      <w:r>
        <w:rPr>
          <w:b/>
        </w:rPr>
        <w:t>Posologie en oxygénothérapie hyperbare (OHB)</w:t>
      </w:r>
      <w:r>
        <w:t xml:space="preserve"> : les protocoles standards d'OHB pour intoxication au CO sont : (i) protocole US Navy Table 9 : 45 min à 2,5 ATA + 60 min à 1,9 ATA + 30 min à 1,5 ATA (durée totale 2 h 15) ; (ii) protocole simplifié : 60-90 min à 2,5 ATA en une ou deux séances (séance initiale + séance de contrôle à 6-12 heures). L'OHB est indiquée en cas d'intoxication au CO avec : perte de connaissance (quelle que soit la durée), signes neurologiques (coma, convulsions, déficit focal), signes cardiaques (ischémie myocardique, troubles du rythme, trouble de la conduction), COHb &gt; 25 % (adulte) ou &gt; 15 % (femme enceinte), intoxication chez la femme enceinte (COHb &gt; 10 %), intoxication chez l'enfant. L'OHB est répétée à 6-12 heures si persistance des signes neurologiques.</w:t>
      </w:r>
    </w:p>
    <w:p>
      <w:pPr>
        <w:pStyle w:val="Heading3"/>
      </w:pPr>
      <w:r>
        <w:t>191.20.9 Formes galéniques disponibles</w:t>
      </w:r>
    </w:p>
    <w:p>
      <w:r>
        <w:t>L'oxygène médicamenteux disponible en Algérie se présente sous deux formes industrielles principales, correspondant à deux modes de stockage et d'administration distincts :</w:t>
      </w:r>
    </w:p>
    <w:p>
      <w:r/>
      <w:r>
        <w:rPr>
          <w:b/>
        </w:rPr>
        <w:t>(i) Oxygène gazeux comprimé en bouteilles haute pression (200 bar)</w:t>
      </w:r>
      <w:r>
        <w:t xml:space="preserve"> : les bouteilles en acier ou en aluminium contiennent l'O2 à l'état gazeux sous pression 200 bar, avec des contenances nominales de 5 L (équivalent à 1 m³ d'O2 détendu à pression atmosphérique), 10 L (B10 ≈ 2 m³), 13 L (B13 ≈ 2,6 m³), 50 L (B50 ≈ 10 m³). Chaque bouteille est équipée d'un robinet à clapet, d'un manomètre indiquant la pression restante (et donc le volume résiduel : pression × volume), et d'un détendeur réglable permettant l'administration à un débit contrôlé (0-15 L/min en usage médical, 0-25 L/min en usage industriel). Les bouteilles modernes sont équipées d'un robinet VIPR (Valve Intégrée avec Pressostat et Régulateur) intégrant un détendeur et un pressostat, simplifiant l'usage préhospitalier. La couleur normalisée des bouteilles d'O2 médicamenteux en Algérie (norme EN ISO 7396-1) est le blanc intégral (corps et ochet). Les bouteilles doivent être stockées debout, attachées, à l'abri des chocs, des sources de chaleur (&lt; 50 °C), des produits inflammables, dans un local ventilé spécifique.</w:t>
      </w:r>
    </w:p>
    <w:p>
      <w:r/>
      <w:r>
        <w:rPr>
          <w:b/>
        </w:rPr>
        <w:t>(ii) Oxygène liquide cryogénique en récipients mobiles ou citernes fixes</w:t>
      </w:r>
      <w:r>
        <w:t xml:space="preserve"> : l'oxygène liquide (LOX) est stocké à -183 °C à l'état liquide (densité 1,14 g/mL), dans des récipients cryogéniques isolés (dewars) de contenance 7 000 L à 26 000 L (équivalent à 8 700-32 500 m³ d'O2 gazeux détendu). Le LOX est vaporisé au point d'usage par des vaporiseurs-détendeurs atmosphériques ou électriques, délivrant l'O2 gazeux au réseau hospitalier à pression régulière (3-5 bar). Le LOX est économique pour les grands consommateurs (réanimation, bloc opératoire, pandémie COVID-19), mais nécessite une infrastructure spécifique (réseau de tuyauterie cuivre, prises murales DISS, alarmes de basse pression, générateur de secours). Les pertes par évaporation naturelle (boil-off) sont de 1-3 % par jour. La pureté de l'O2 liquide est ≥ 99,5 % (par distillation cryogénique de l'air liquide).</w:t>
      </w:r>
    </w:p>
    <w:p>
      <w:r/>
      <w:r>
        <w:rPr>
          <w:b/>
        </w:rPr>
        <w:t>(iii) Concentrateurs d'oxygène</w:t>
      </w:r>
      <w:r>
        <w:t xml:space="preserve"> : appareils électriques séparant l'O2 de l'azote de l'air ambiant par adsorption sur tamis moléculaire en zéolithe (PSA, Pressure Swing Adsorption), délivrant un O2 à 90-95 % de pureté, à débit 1-10 L/min. Non commercialisés en Algérie sous forme de médicament mais largement utilisés en domicile pour l'oxygénothérapie de longue durée (OLD), en milieu rural et dans les pays à ressources limitées (initiative OMS « Oxygen Task Force »). Les concentrateurs portables (Inogen One G3, Philips SimplyGo) permettent une autonomie de plusieurs heures sur batterie.</w:t>
      </w:r>
    </w:p>
    <w:p>
      <w:r/>
      <w:r>
        <w:rPr>
          <w:b/>
        </w:rPr>
        <w:t>(iv) Oxygénothérapie hyperbare (caissons)</w:t>
      </w:r>
      <w:r>
        <w:t xml:space="preserve"> : équipements hospitaliers spécialisés (caissons multiplaces pressurisés à l'air comprimé, le patient respirant l'O2 à 100 % par masque ou casque à 2,5 ATA), disponibles dans certains centres de référence (SMUR-Hôpitaux). Non disponibles en Algérie à la date de cette nomenclature (Avril 2026).</w:t>
      </w:r>
    </w:p>
    <w:p>
      <w:r>
        <w:t>La conservation de l'oxygène en bouteille se fait à température ambiante (15-25 °C), avec une péremption de 5-10 ans (l'O2 est chimiquement stable). Les récipients cryogéniques ne nécessitent pas de péremption mais doivent être re-remplis régulièrement (pertes par évaporation). Le contrôle de la pureté et des impuretés (CO, CO2, H2O) est réalisé par chromatographie en phase gazeuse, annuellement pour les bouteilles en stock, et en continu pour la production liquide industrielle.</w:t>
      </w:r>
    </w:p>
    <w:p>
      <w:pPr>
        <w:pStyle w:val="Heading3"/>
      </w:pPr>
      <w:r>
        <w:t>191.20.10 Conseils au patient et éducation thérapeutique</w:t>
      </w:r>
    </w:p>
    <w:p>
      <w:r>
        <w:t>L'oxygène médicamenteux est administré en contexte d'urgence ou en oxygénothérapie de longue durée (OLD), et l'éducation thérapeutique diffère selon le contexte.</w:t>
      </w:r>
    </w:p>
    <w:p>
      <w:r/>
      <w:r>
        <w:rPr>
          <w:b/>
        </w:rPr>
        <w:t>Conseils en contexte d'urgence toxicologique (intoxication CO, cyanure, H2S)</w:t>
      </w:r>
      <w:r>
        <w:t xml:space="preserve"> : (i) le patient et son entourage doivent être informés que l'oxygène est un antidote et que son administration est indispensable, même en l'absence de symptômes apparents (le CO peut causer des lésions retardées) ; (ii) la surveillance hospitalière est indispensable pendant au moins 6-12 heures (intoxication CO), voire 24-48 heures (intoxication sévère, femme enceinte) ; (iii) en cas de perte de connaissance initiale, de signes neurologiques, de grossesse, une oxygénothérapie hyperbare (OHB) peut être discutée et nécessite un transfert vers un centre spécialisé ; (iv) les signes d'alerte de récidive ou de complications (céphalées persistantes, vertiges, troubles de la mémoire, troubles du comportement, syndrome parkinsonien) doivent être signalés à l'équipe soignante ou faire l'objet d'une consultation en centre spécialisé dans les suites (syndrome post-CO) ; (v) prévention de la récidive : entretien de la chaudière annuel obligatoire (chauffage central), détecteur de CO domestique (norme EN 50291, à installer dans chaque pièce équipée d'un appareil à combustion), aération quotidienne 10 minutes, vérification des conduits de fumée, interdiction de barbecue ou brasero en espace clos, ne pas utiliser un groupe électrogène en intérieur.</w:t>
      </w:r>
    </w:p>
    <w:p>
      <w:r/>
      <w:r>
        <w:rPr>
          <w:b/>
        </w:rPr>
        <w:t>Conseils en contexte d'oxygénothérapie de longue durée (OLD)</w:t>
      </w:r>
      <w:r>
        <w:t xml:space="preserve"> : (i) l'OLD est prescrite pour une hypoxémie chronique (IRC, BPCO, mucoviscidose, HTAP), à administrer ≥ 15 heures par jour pour espérer un bénéfice sur la survie (Nocturnal Oxygen Therapy Trial, NOTT 1980) ; (ii) le débit est ajusté pour maintenir SpO2 ≥ 90 % au repos (et ≥ 85 % à l'effort) ; (iii) l'O2 peut être administré par concentrateur (domicile), bouteilles (déplacement court), ou LOX (longue autonomie) ; (iv) éducation aux dangers de l'O2 : risque d'incendie (interdiction de fumer, d'utiliser des flammes nues, des bougies, des briquets à proximité du patient sous O2), interdiction d'utiliser des pommades grasses (vaseline) au niveau du masque ou de la sonde (préférer l'eau ou un gel hydro-soluble), risque de surdosage (somnolence, céphalées en cas d'hypercapnie) ; (v) entretien du matériel : nettoyage du masque et de la sonde à l'eau savonneuse quotidienne, désinfection hebdomadaire, changement du bulleur d'humidification quotidien (eau stérile) ; (vi) surveillance mensuelle par le médecin traitant (SpO2, gaz du sang, ECG, NFS, hématocrite en cas de polyglobulie secondaire) ; (vii) organisation des déplacements : réservation de bouteilles portables pour les déplacements, planning de recharges, contact du prestataire de service 24/7.</w:t>
      </w:r>
    </w:p>
    <w:p>
      <w:r/>
      <w:r>
        <w:rPr>
          <w:b/>
        </w:rPr>
        <w:t>Conseils en cas d'oxygénothérapie hyperbare (OHB)</w:t>
      </w:r>
      <w:r>
        <w:t xml:space="preserve"> : (i) le patient doit être informé du déroulement de la séance (compression 5-10 minutes, plateau à 2,5 ATA 60-90 minutes, décompression 10-15 minutes, surveillance médicale continue) ; (ii) nécessité d'équilibrer les oreilles (manœuvre de Valsalva, déglutition, baillement) pendant la compression pour éviter le barotraumatisme de l'oreille moyenne ; (iii) interdiction de fumer 2 heures avant et après la séance (risque de toxicité accrue) ; (iv) interdiction de porter des objets inflammables en caisson (briquets, parfums, alcool, certains vêtements synthétiques) ; (v) surveillance post-séance (24-48 heures) : céphalées, vertiges, fatigue transitoire possibles, syndrome de sevrage en cas de dépendance à l'O2 (rare, à éviter par décroissance) ; (vi) prévention des récidives d'intoxication CO (chauffage, détecteur, etc., cf. supra).</w:t>
      </w:r>
    </w:p>
    <w:p>
      <w:pPr>
        <w:pStyle w:val="Heading3"/>
      </w:pPr>
      <w:r>
        <w:t>191.20.11 Pièges au comptoir (règles d'or)</w:t>
      </w:r>
    </w:p>
    <w:p>
      <w:pPr>
        <w:pStyle w:val="ListNumber"/>
      </w:pPr>
      <w:r/>
      <w:r>
        <w:rPr>
          <w:b/>
        </w:rPr>
        <w:t>Règle d'or n°1 : l'oxygène est un médicament à part entière.</w:t>
      </w:r>
      <w:r>
        <w:t xml:space="preserve"> Prescription médicale, indication, posologie (FiO2, débit), cible thérapeutique (SpO2), surveillance clinique et biologique, effets indésirables. Ne pas administrer empiriquement O2 à 100 % chez tout patient en détresse.</w:t>
      </w:r>
    </w:p>
    <w:p>
      <w:pPr>
        <w:pStyle w:val="ListNumber"/>
      </w:pPr>
      <w:r/>
      <w:r>
        <w:rPr>
          <w:b/>
        </w:rPr>
        <w:t>Règle d'or n°2 : O2 à 100 % le plus tôt possible en cas d'intoxication CO.</w:t>
      </w:r>
      <w:r>
        <w:t xml:space="preserve"> Masque NRB à 15 L/min dès le préhospitalier, sur les lieux de l'intoxication. Ne pas attendre le dosage de la COHb pour initier l'O2.</w:t>
      </w:r>
    </w:p>
    <w:p>
      <w:pPr>
        <w:pStyle w:val="ListNumber"/>
      </w:pPr>
      <w:r/>
      <w:r>
        <w:rPr>
          <w:b/>
        </w:rPr>
        <w:t>Règle d'or n°3 : durée d'O2 à 100 % jusqu'à COHb &lt; 5 % (adulte) ou &lt; 2 % (femme enceinte).</w:t>
      </w:r>
      <w:r>
        <w:t xml:space="preserve"> Surveillance CO-oxymétrie continue. Au minimum 6-12 heures.</w:t>
      </w:r>
    </w:p>
    <w:p>
      <w:pPr>
        <w:pStyle w:val="ListNumber"/>
      </w:pPr>
      <w:r/>
      <w:r>
        <w:rPr>
          <w:b/>
        </w:rPr>
        <w:t>Règle d'or n°4 : OHB si critères graves.</w:t>
      </w:r>
      <w:r>
        <w:t xml:space="preserve"> Perte de connaissance, signes neurologiques, signes cardiaques, COHb &gt; 25 % adulte / &gt; 15 % femme enceinte, grossesse (COHb &gt; 10 %). Discuter avec centre hyperbare de référence.</w:t>
      </w:r>
    </w:p>
    <w:p>
      <w:pPr>
        <w:pStyle w:val="ListNumber"/>
      </w:pPr>
      <w:r/>
      <w:r>
        <w:rPr>
          <w:b/>
        </w:rPr>
        <w:t>Règle d'or n°5 : humidification systématique pour O2 &gt; 4 L/min.</w:t>
      </w:r>
      <w:r>
        <w:t xml:space="preserve"> Humidificateur à bulleur (débit ≤ 4 L/min) ou chauffant (débit ≥ 5 L/min). Prévention de la sécheresse muqueuse et de l'encombrement.</w:t>
      </w:r>
    </w:p>
    <w:p>
      <w:pPr>
        <w:pStyle w:val="ListNumber"/>
      </w:pPr>
      <w:r/>
      <w:r>
        <w:rPr>
          <w:b/>
        </w:rPr>
        <w:t>Règle d'or n°6 : prudence en cas de BPCO hypercapnique.</w:t>
      </w:r>
      <w:r>
        <w:t xml:space="preserve"> Cible SpO2 88-92 %, contrôle gaz du sang à 30-60 minutes, VNI précoce si acidose respiratoire. Éviter l'O2 à 100 % non surveillé.</w:t>
      </w:r>
    </w:p>
    <w:p>
      <w:pPr>
        <w:pStyle w:val="ListNumber"/>
      </w:pPr>
      <w:r/>
      <w:r>
        <w:rPr>
          <w:b/>
        </w:rPr>
        <w:t>Règle d'or n°7 : pas d'O2 à FiO2 &gt; 30 % en cas de paraquat.</w:t>
      </w:r>
      <w:r>
        <w:t xml:space="preserve"> Contre-indication relative. Préférer air ambiant ou FiO2 minimale nécessaire.</w:t>
      </w:r>
    </w:p>
    <w:p>
      <w:pPr>
        <w:pStyle w:val="ListNumber"/>
      </w:pPr>
      <w:r/>
      <w:r>
        <w:rPr>
          <w:b/>
        </w:rPr>
        <w:t>Règle d'or n°8 : pas d'O2 à FiO2 &gt; 30 % en cas de bléomycine.</w:t>
      </w:r>
      <w:r>
        <w:t xml:space="preserve"> En péri-opératoire, surveillance respiratoire stricte, FiO2 minimale nécessaire, PEP.</w:t>
      </w:r>
    </w:p>
    <w:p>
      <w:pPr>
        <w:pStyle w:val="ListNumber"/>
      </w:pPr>
      <w:r/>
      <w:r>
        <w:rPr>
          <w:b/>
        </w:rPr>
        <w:t>Règle d'or n°9 : prévention de la toxicité pulmonaire de l'O2.</w:t>
      </w:r>
      <w:r>
        <w:t xml:space="preserve"> Limiter la durée d'O2 à 100 % à 24 heures maximum, descendre à FiO2 ≤ 60 % dès que possible, surveiller la SpO2 cible 92-96 %.</w:t>
      </w:r>
    </w:p>
    <w:p>
      <w:pPr>
        <w:pStyle w:val="ListNumber"/>
      </w:pPr>
      <w:r/>
      <w:r>
        <w:rPr>
          <w:b/>
        </w:rPr>
        <w:t>Règle d'or n°10 : prévention de la rétinopathie du prématuré.</w:t>
      </w:r>
      <w:r>
        <w:t xml:space="preserve"> PaO2 50-80 mmHg chez le nouveau-né &lt; 32 SA, surveillance continue de la SpO2.</w:t>
      </w:r>
    </w:p>
    <w:p>
      <w:pPr>
        <w:pStyle w:val="ListNumber"/>
      </w:pPr>
      <w:r/>
      <w:r>
        <w:rPr>
          <w:b/>
        </w:rPr>
        <w:t>Règle d'or n°11 : risque d'incendie.</w:t>
      </w:r>
      <w:r>
        <w:t xml:space="preserve"> Pas de flamme nue, de cigarette, de briquet, de téléphone portable à proximité d'un patient sous O2. Pas de pommade grasse (vaseline) au masque ou à la sonde. Prévention de l'explosion (O2 comburant).</w:t>
      </w:r>
    </w:p>
    <w:p>
      <w:pPr>
        <w:pStyle w:val="ListNumber"/>
      </w:pPr>
      <w:r/>
      <w:r>
        <w:rPr>
          <w:b/>
        </w:rPr>
        <w:t>Règle d'or n°12 : pas d'OHB disponible en Algérie à la date de cette nomenclature.</w:t>
      </w:r>
      <w:r>
        <w:t xml:space="preserve"> Limite majeure à la prise en charge des intoxications CO graves, des accidents de décompression. Priorité d'amélioration identifiée : équipement d'au moins un centre hyperbare public de référence à Alger, Oran, Constantine.</w:t>
      </w:r>
    </w:p>
    <w:p>
      <w:pPr>
        <w:pStyle w:val="Heading2"/>
      </w:pPr>
      <w:r>
        <w:t>191.21 Tableau comparatif synthétique des dix antidotes d'urgence</w:t>
      </w:r>
    </w:p>
    <w:p>
      <w:r>
        <w:t>Le tableau ci-dessous synthétise les caractéristiques pharmacologiques, posologiques et réglementaires des dix antidotes d'urgence traités dans ce chapitre. Il constitue un outil de référence rapide pour le pharmacien d'officine, le pharmacien hospitalier, le médecin urgentiste et le réanimateur confrontés à une intoxication aiguë.</w:t>
      </w:r>
    </w:p>
    <w:p>
      <w:pPr>
        <w:pStyle w:val="Heading3"/>
      </w:pPr>
      <w:r>
        <w:t>191.21.1 Tableau comparatif pharmacologique</w:t>
      </w:r>
    </w:p>
    <w:tbl>
      <w:tblPr>
        <w:tblStyle w:val="LightGrid-Accent1"/>
        <w:tblW w:type="auto" w:w="0"/>
        <w:tblLook w:firstColumn="1" w:firstRow="1" w:lastColumn="0" w:lastRow="0" w:noHBand="0" w:noVBand="1" w:val="04A0"/>
      </w:tblPr>
      <w:tblGrid>
        <w:gridCol w:w="935"/>
        <w:gridCol w:w="935"/>
        <w:gridCol w:w="935"/>
        <w:gridCol w:w="935"/>
        <w:gridCol w:w="935"/>
        <w:gridCol w:w="935"/>
        <w:gridCol w:w="935"/>
        <w:gridCol w:w="935"/>
        <w:gridCol w:w="935"/>
        <w:gridCol w:w="935"/>
      </w:tblGrid>
      <w:tr>
        <w:tc>
          <w:tcPr>
            <w:tcW w:type="dxa" w:w="935"/>
          </w:tcPr>
          <w:p>
            <w:r>
              <w:rPr>
                <w:b/>
                <w:sz w:val="20"/>
              </w:rPr>
              <w:t>DCI</w:t>
            </w:r>
          </w:p>
        </w:tc>
        <w:tc>
          <w:tcPr>
            <w:tcW w:type="dxa" w:w="935"/>
          </w:tcPr>
          <w:p>
            <w:r>
              <w:rPr>
                <w:b/>
                <w:sz w:val="20"/>
              </w:rPr>
              <w:t>Classe</w:t>
            </w:r>
          </w:p>
        </w:tc>
        <w:tc>
          <w:tcPr>
            <w:tcW w:type="dxa" w:w="935"/>
          </w:tcPr>
          <w:p>
            <w:r>
              <w:rPr>
                <w:b/>
                <w:sz w:val="20"/>
              </w:rPr>
              <w:t>Indication princeps</w:t>
            </w:r>
          </w:p>
        </w:tc>
        <w:tc>
          <w:tcPr>
            <w:tcW w:type="dxa" w:w="935"/>
          </w:tcPr>
          <w:p>
            <w:r>
              <w:rPr>
                <w:b/>
                <w:sz w:val="20"/>
              </w:rPr>
              <w:t>Mécanisme antidotique</w:t>
            </w:r>
          </w:p>
        </w:tc>
        <w:tc>
          <w:tcPr>
            <w:tcW w:type="dxa" w:w="935"/>
          </w:tcPr>
          <w:p>
            <w:r>
              <w:rPr>
                <w:b/>
                <w:sz w:val="20"/>
              </w:rPr>
              <w:t>Délai d'action</w:t>
            </w:r>
          </w:p>
        </w:tc>
        <w:tc>
          <w:tcPr>
            <w:tcW w:type="dxa" w:w="935"/>
          </w:tcPr>
          <w:p>
            <w:r>
              <w:rPr>
                <w:b/>
                <w:sz w:val="20"/>
              </w:rPr>
              <w:t>Demi-vie</w:t>
            </w:r>
          </w:p>
        </w:tc>
        <w:tc>
          <w:tcPr>
            <w:tcW w:type="dxa" w:w="935"/>
          </w:tcPr>
          <w:p>
            <w:r>
              <w:rPr>
                <w:b/>
                <w:sz w:val="20"/>
              </w:rPr>
              <w:t>Voie d'administration</w:t>
            </w:r>
          </w:p>
        </w:tc>
        <w:tc>
          <w:tcPr>
            <w:tcW w:type="dxa" w:w="935"/>
          </w:tcPr>
          <w:p>
            <w:r>
              <w:rPr>
                <w:b/>
                <w:sz w:val="20"/>
              </w:rPr>
              <w:t>Dose adulte usuelle</w:t>
            </w:r>
          </w:p>
        </w:tc>
        <w:tc>
          <w:tcPr>
            <w:tcW w:type="dxa" w:w="935"/>
          </w:tcPr>
          <w:p>
            <w:r>
              <w:rPr>
                <w:b/>
                <w:sz w:val="20"/>
              </w:rPr>
              <w:t>Antidote disponible en Algérie ?</w:t>
            </w:r>
          </w:p>
        </w:tc>
        <w:tc>
          <w:tcPr>
            <w:tcW w:type="dxa" w:w="935"/>
          </w:tcPr>
          <w:p>
            <w:r>
              <w:rPr>
                <w:b/>
                <w:sz w:val="20"/>
              </w:rPr>
              <w:t>Liste</w:t>
            </w:r>
          </w:p>
        </w:tc>
      </w:tr>
      <w:tr>
        <w:tc>
          <w:tcPr>
            <w:tcW w:type="dxa" w:w="935"/>
          </w:tcPr>
          <w:p>
            <w:r>
              <w:rPr>
                <w:sz w:val="20"/>
              </w:rPr>
              <w:t>**Naloxone**</w:t>
            </w:r>
          </w:p>
        </w:tc>
        <w:tc>
          <w:tcPr>
            <w:tcW w:type="dxa" w:w="935"/>
          </w:tcPr>
          <w:p>
            <w:r>
              <w:rPr>
                <w:sz w:val="20"/>
              </w:rPr>
              <w:t>Antagoniste opioïde μ/κ/δ</w:t>
            </w:r>
          </w:p>
        </w:tc>
        <w:tc>
          <w:tcPr>
            <w:tcW w:type="dxa" w:w="935"/>
          </w:tcPr>
          <w:p>
            <w:r>
              <w:rPr>
                <w:sz w:val="20"/>
              </w:rPr>
              <w:t>Intoxication opioïde (héroïne, morphine, fentanyl, méthadone)</w:t>
            </w:r>
          </w:p>
        </w:tc>
        <w:tc>
          <w:tcPr>
            <w:tcW w:type="dxa" w:w="935"/>
          </w:tcPr>
          <w:p>
            <w:r>
              <w:rPr>
                <w:sz w:val="20"/>
              </w:rPr>
              <w:t>Antagonisme compétitif récepteurs opioïdes μ, κ, δ → levée dépression respiratoire</w:t>
            </w:r>
          </w:p>
        </w:tc>
        <w:tc>
          <w:tcPr>
            <w:tcW w:type="dxa" w:w="935"/>
          </w:tcPr>
          <w:p>
            <w:r>
              <w:rPr>
                <w:sz w:val="20"/>
              </w:rPr>
              <w:t>1-2 min (IV), 2-5 min (IM/SC)</w:t>
            </w:r>
          </w:p>
        </w:tc>
        <w:tc>
          <w:tcPr>
            <w:tcW w:type="dxa" w:w="935"/>
          </w:tcPr>
          <w:p>
            <w:r>
              <w:rPr>
                <w:sz w:val="20"/>
              </w:rPr>
              <w:t>60-90 min</w:t>
            </w:r>
          </w:p>
        </w:tc>
        <w:tc>
          <w:tcPr>
            <w:tcW w:type="dxa" w:w="935"/>
          </w:tcPr>
          <w:p>
            <w:r>
              <w:rPr>
                <w:sz w:val="20"/>
              </w:rPr>
              <w:t>IV, IM, SC, intranasale</w:t>
            </w:r>
          </w:p>
        </w:tc>
        <w:tc>
          <w:tcPr>
            <w:tcW w:type="dxa" w:w="935"/>
          </w:tcPr>
          <w:p>
            <w:r>
              <w:rPr>
                <w:sz w:val="20"/>
              </w:rPr>
              <w:t>0,4 mg IV (titration 0,04-0,1 mg si suspect de dépendance), à répéter 2-3 min</w:t>
            </w:r>
          </w:p>
        </w:tc>
        <w:tc>
          <w:tcPr>
            <w:tcW w:type="dxa" w:w="935"/>
          </w:tcPr>
          <w:p>
            <w:r>
              <w:rPr>
                <w:sz w:val="20"/>
              </w:rPr>
              <w:t>Oui (Naloxone Mylan 0,4 mg/mL)</w:t>
            </w:r>
          </w:p>
        </w:tc>
        <w:tc>
          <w:tcPr>
            <w:tcW w:type="dxa" w:w="935"/>
          </w:tcPr>
          <w:p>
            <w:r>
              <w:rPr>
                <w:sz w:val="20"/>
              </w:rPr>
              <w:t>Liste I</w:t>
            </w:r>
          </w:p>
        </w:tc>
      </w:tr>
      <w:tr>
        <w:tc>
          <w:tcPr>
            <w:tcW w:type="dxa" w:w="935"/>
          </w:tcPr>
          <w:p>
            <w:r>
              <w:rPr>
                <w:sz w:val="20"/>
              </w:rPr>
              <w:t>**N-Acétylcystéine (NAC)**</w:t>
            </w:r>
          </w:p>
        </w:tc>
        <w:tc>
          <w:tcPr>
            <w:tcW w:type="dxa" w:w="935"/>
          </w:tcPr>
          <w:p>
            <w:r>
              <w:rPr>
                <w:sz w:val="20"/>
              </w:rPr>
              <w:t>Précurseur glutathion</w:t>
            </w:r>
          </w:p>
        </w:tc>
        <w:tc>
          <w:tcPr>
            <w:tcW w:type="dxa" w:w="935"/>
          </w:tcPr>
          <w:p>
            <w:r>
              <w:rPr>
                <w:sz w:val="20"/>
              </w:rPr>
              <w:t>Intoxication par paracétamol</w:t>
            </w:r>
          </w:p>
        </w:tc>
        <w:tc>
          <w:tcPr>
            <w:tcW w:type="dxa" w:w="935"/>
          </w:tcPr>
          <w:p>
            <w:r>
              <w:rPr>
                <w:sz w:val="20"/>
              </w:rPr>
              <w:t>Restauration du glutathion hépatique → détoxification NAPQI</w:t>
            </w:r>
          </w:p>
        </w:tc>
        <w:tc>
          <w:tcPr>
            <w:tcW w:type="dxa" w:w="935"/>
          </w:tcPr>
          <w:p>
            <w:r>
              <w:rPr>
                <w:sz w:val="20"/>
              </w:rPr>
              <w:t>1-2 h (perf)</w:t>
            </w:r>
          </w:p>
        </w:tc>
        <w:tc>
          <w:tcPr>
            <w:tcW w:type="dxa" w:w="935"/>
          </w:tcPr>
          <w:p>
            <w:r>
              <w:rPr>
                <w:sz w:val="20"/>
              </w:rPr>
              <w:t>5,6 h</w:t>
            </w:r>
          </w:p>
        </w:tc>
        <w:tc>
          <w:tcPr>
            <w:tcW w:type="dxa" w:w="935"/>
          </w:tcPr>
          <w:p>
            <w:r>
              <w:rPr>
                <w:sz w:val="20"/>
              </w:rPr>
              <w:t>IV (perf), per os</w:t>
            </w:r>
          </w:p>
        </w:tc>
        <w:tc>
          <w:tcPr>
            <w:tcW w:type="dxa" w:w="935"/>
          </w:tcPr>
          <w:p>
            <w:r>
              <w:rPr>
                <w:sz w:val="20"/>
              </w:rPr>
              <w:t>150 mg/kg IV en 1 h puis 50 mg/kg en 4 h puis 100 mg/kg en 16 h (protocole 21 h)</w:t>
            </w:r>
          </w:p>
        </w:tc>
        <w:tc>
          <w:tcPr>
            <w:tcW w:type="dxa" w:w="935"/>
          </w:tcPr>
          <w:p>
            <w:r>
              <w:rPr>
                <w:sz w:val="20"/>
              </w:rPr>
              <w:t>Oui (Fluimicil, Solmucol, Acetylcysteine BGL 200 mg sachets — forme orale ; forme IV à importer)</w:t>
            </w:r>
          </w:p>
        </w:tc>
        <w:tc>
          <w:tcPr>
            <w:tcW w:type="dxa" w:w="935"/>
          </w:tcPr>
          <w:p>
            <w:r>
              <w:rPr>
                <w:sz w:val="20"/>
              </w:rPr>
              <w:t>Hors liste</w:t>
            </w:r>
          </w:p>
        </w:tc>
      </w:tr>
      <w:tr>
        <w:tc>
          <w:tcPr>
            <w:tcW w:type="dxa" w:w="935"/>
          </w:tcPr>
          <w:p>
            <w:r>
              <w:rPr>
                <w:sz w:val="20"/>
              </w:rPr>
              <w:t>**Folinate de calcium**</w:t>
            </w:r>
          </w:p>
        </w:tc>
        <w:tc>
          <w:tcPr>
            <w:tcW w:type="dxa" w:w="935"/>
          </w:tcPr>
          <w:p>
            <w:r>
              <w:rPr>
                <w:sz w:val="20"/>
              </w:rPr>
              <w:t>Cofacteur folique (5-formyl-THF)</w:t>
            </w:r>
          </w:p>
        </w:tc>
        <w:tc>
          <w:tcPr>
            <w:tcW w:type="dxa" w:w="935"/>
          </w:tcPr>
          <w:p>
            <w:r>
              <w:rPr>
                <w:sz w:val="20"/>
              </w:rPr>
              <w:t>Antidote du méthotrexate (rescue)</w:t>
            </w:r>
          </w:p>
        </w:tc>
        <w:tc>
          <w:tcPr>
            <w:tcW w:type="dxa" w:w="935"/>
          </w:tcPr>
          <w:p>
            <w:r>
              <w:rPr>
                <w:sz w:val="20"/>
              </w:rPr>
              <w:t>Bypass de la dihydrofolate réductase (DHFR) bloquée par le MTX → reconstitution pool tétrahydrofolates</w:t>
            </w:r>
          </w:p>
        </w:tc>
        <w:tc>
          <w:tcPr>
            <w:tcW w:type="dxa" w:w="935"/>
          </w:tcPr>
          <w:p>
            <w:r>
              <w:rPr>
                <w:sz w:val="20"/>
              </w:rPr>
              <w:t>30-60 min</w:t>
            </w:r>
          </w:p>
        </w:tc>
        <w:tc>
          <w:tcPr>
            <w:tcW w:type="dxa" w:w="935"/>
          </w:tcPr>
          <w:p>
            <w:r>
              <w:rPr>
                <w:sz w:val="20"/>
              </w:rPr>
              <w:t>6-8 h</w:t>
            </w:r>
          </w:p>
        </w:tc>
        <w:tc>
          <w:tcPr>
            <w:tcW w:type="dxa" w:w="935"/>
          </w:tcPr>
          <w:p>
            <w:r>
              <w:rPr>
                <w:sz w:val="20"/>
              </w:rPr>
              <w:t>IV, IM, per os</w:t>
            </w:r>
          </w:p>
        </w:tc>
        <w:tc>
          <w:tcPr>
            <w:tcW w:type="dxa" w:w="935"/>
          </w:tcPr>
          <w:p>
            <w:r>
              <w:rPr>
                <w:sz w:val="20"/>
              </w:rPr>
              <w:t>15 mg/m²/6 h IV pendant 72 h (ou 15 mg/3 h si MTX &gt; 5 μmol/L)</w:t>
            </w:r>
          </w:p>
        </w:tc>
        <w:tc>
          <w:tcPr>
            <w:tcW w:type="dxa" w:w="935"/>
          </w:tcPr>
          <w:p>
            <w:r>
              <w:rPr>
                <w:sz w:val="20"/>
              </w:rPr>
              <w:t>Oui (Razifoline 10 mg/mL solution injectable)</w:t>
            </w:r>
          </w:p>
        </w:tc>
        <w:tc>
          <w:tcPr>
            <w:tcW w:type="dxa" w:w="935"/>
          </w:tcPr>
          <w:p>
            <w:r>
              <w:rPr>
                <w:sz w:val="20"/>
              </w:rPr>
              <w:t>Hors liste</w:t>
            </w:r>
          </w:p>
        </w:tc>
      </w:tr>
      <w:tr>
        <w:tc>
          <w:tcPr>
            <w:tcW w:type="dxa" w:w="935"/>
          </w:tcPr>
          <w:p>
            <w:r>
              <w:rPr>
                <w:sz w:val="20"/>
              </w:rPr>
              <w:t>**Phytoménadione (Vit K1)**</w:t>
            </w:r>
          </w:p>
        </w:tc>
        <w:tc>
          <w:tcPr>
            <w:tcW w:type="dxa" w:w="935"/>
          </w:tcPr>
          <w:p>
            <w:r>
              <w:rPr>
                <w:sz w:val="20"/>
              </w:rPr>
              <w:t>Cofacteur γ-carboxylase</w:t>
            </w:r>
          </w:p>
        </w:tc>
        <w:tc>
          <w:tcPr>
            <w:tcW w:type="dxa" w:w="935"/>
          </w:tcPr>
          <w:p>
            <w:r>
              <w:rPr>
                <w:sz w:val="20"/>
              </w:rPr>
              <w:t>Antagonisation AVK (saignement)</w:t>
            </w:r>
          </w:p>
        </w:tc>
        <w:tc>
          <w:tcPr>
            <w:tcW w:type="dxa" w:w="935"/>
          </w:tcPr>
          <w:p>
            <w:r>
              <w:rPr>
                <w:sz w:val="20"/>
              </w:rPr>
              <w:t>Activation des facteurs II, VII, IX, X et protéines C/S par γ-carboxylation</w:t>
            </w:r>
          </w:p>
        </w:tc>
        <w:tc>
          <w:tcPr>
            <w:tcW w:type="dxa" w:w="935"/>
          </w:tcPr>
          <w:p>
            <w:r>
              <w:rPr>
                <w:sz w:val="20"/>
              </w:rPr>
              <w:t>6-12 h (INR), 24 h (facteurs)</w:t>
            </w:r>
          </w:p>
        </w:tc>
        <w:tc>
          <w:tcPr>
            <w:tcW w:type="dxa" w:w="935"/>
          </w:tcPr>
          <w:p>
            <w:r>
              <w:rPr>
                <w:sz w:val="20"/>
              </w:rPr>
              <w:t>Variable</w:t>
            </w:r>
          </w:p>
        </w:tc>
        <w:tc>
          <w:tcPr>
            <w:tcW w:type="dxa" w:w="935"/>
          </w:tcPr>
          <w:p>
            <w:r>
              <w:rPr>
                <w:sz w:val="20"/>
              </w:rPr>
              <w:t>IV lente, IM, per os</w:t>
            </w:r>
          </w:p>
        </w:tc>
        <w:tc>
          <w:tcPr>
            <w:tcW w:type="dxa" w:w="935"/>
          </w:tcPr>
          <w:p>
            <w:r>
              <w:rPr>
                <w:sz w:val="20"/>
              </w:rPr>
              <w:t>10 mg IV lente (saignement grave), 1-5 mg per os (INR &lt; 5 sans saignement)</w:t>
            </w:r>
          </w:p>
        </w:tc>
        <w:tc>
          <w:tcPr>
            <w:tcW w:type="dxa" w:w="935"/>
          </w:tcPr>
          <w:p>
            <w:r>
              <w:rPr>
                <w:sz w:val="20"/>
              </w:rPr>
              <w:t>Oui (Razidione K1 10 mg/mL sol buv et inj IV/IM)</w:t>
            </w:r>
          </w:p>
        </w:tc>
        <w:tc>
          <w:tcPr>
            <w:tcW w:type="dxa" w:w="935"/>
          </w:tcPr>
          <w:p>
            <w:r>
              <w:rPr>
                <w:sz w:val="20"/>
              </w:rPr>
              <w:t>Liste I</w:t>
            </w:r>
          </w:p>
        </w:tc>
      </w:tr>
      <w:tr>
        <w:tc>
          <w:tcPr>
            <w:tcW w:type="dxa" w:w="935"/>
          </w:tcPr>
          <w:p>
            <w:r>
              <w:rPr>
                <w:sz w:val="20"/>
              </w:rPr>
              <w:t>**Complexe prothrombinique (PCC)**</w:t>
            </w:r>
          </w:p>
        </w:tc>
        <w:tc>
          <w:tcPr>
            <w:tcW w:type="dxa" w:w="935"/>
          </w:tcPr>
          <w:p>
            <w:r>
              <w:rPr>
                <w:sz w:val="20"/>
              </w:rPr>
              <w:t>Concentré facteurs vit K-dépendants</w:t>
            </w:r>
          </w:p>
        </w:tc>
        <w:tc>
          <w:tcPr>
            <w:tcW w:type="dxa" w:w="935"/>
          </w:tcPr>
          <w:p>
            <w:r>
              <w:rPr>
                <w:sz w:val="20"/>
              </w:rPr>
              <w:t>Antagonisation AVK d'urgence</w:t>
            </w:r>
          </w:p>
        </w:tc>
        <w:tc>
          <w:tcPr>
            <w:tcW w:type="dxa" w:w="935"/>
          </w:tcPr>
          <w:p>
            <w:r>
              <w:rPr>
                <w:sz w:val="20"/>
              </w:rPr>
              <w:t>Apport direct facteurs II, VII, IX, X → correction INR immédiate</w:t>
            </w:r>
          </w:p>
        </w:tc>
        <w:tc>
          <w:tcPr>
            <w:tcW w:type="dxa" w:w="935"/>
          </w:tcPr>
          <w:p>
            <w:r>
              <w:rPr>
                <w:sz w:val="20"/>
              </w:rPr>
              <w:t>10-30 min (INR)</w:t>
            </w:r>
          </w:p>
        </w:tc>
        <w:tc>
          <w:tcPr>
            <w:tcW w:type="dxa" w:w="935"/>
          </w:tcPr>
          <w:p>
            <w:r>
              <w:rPr>
                <w:sz w:val="20"/>
              </w:rPr>
              <w:t>6-12 h</w:t>
            </w:r>
          </w:p>
        </w:tc>
        <w:tc>
          <w:tcPr>
            <w:tcW w:type="dxa" w:w="935"/>
          </w:tcPr>
          <w:p>
            <w:r>
              <w:rPr>
                <w:sz w:val="20"/>
              </w:rPr>
              <w:t>IV (perf 10 min)</w:t>
            </w:r>
          </w:p>
        </w:tc>
        <w:tc>
          <w:tcPr>
            <w:tcW w:type="dxa" w:w="935"/>
          </w:tcPr>
          <w:p>
            <w:r>
              <w:rPr>
                <w:sz w:val="20"/>
              </w:rPr>
              <w:t>25-50 UI/kg IV (selon INR et poids)</w:t>
            </w:r>
          </w:p>
        </w:tc>
        <w:tc>
          <w:tcPr>
            <w:tcW w:type="dxa" w:w="935"/>
          </w:tcPr>
          <w:p>
            <w:r>
              <w:rPr>
                <w:sz w:val="20"/>
              </w:rPr>
              <w:t>Oui (Octaplex 500 UI pdre + solv)</w:t>
            </w:r>
          </w:p>
        </w:tc>
        <w:tc>
          <w:tcPr>
            <w:tcW w:type="dxa" w:w="935"/>
          </w:tcPr>
          <w:p>
            <w:r>
              <w:rPr>
                <w:sz w:val="20"/>
              </w:rPr>
              <w:t>Liste I</w:t>
            </w:r>
          </w:p>
        </w:tc>
      </w:tr>
      <w:tr>
        <w:tc>
          <w:tcPr>
            <w:tcW w:type="dxa" w:w="935"/>
          </w:tcPr>
          <w:p>
            <w:r>
              <w:rPr>
                <w:sz w:val="20"/>
              </w:rPr>
              <w:t>**Glucagon**</w:t>
            </w:r>
          </w:p>
        </w:tc>
        <w:tc>
          <w:tcPr>
            <w:tcW w:type="dxa" w:w="935"/>
          </w:tcPr>
          <w:p>
            <w:r>
              <w:rPr>
                <w:sz w:val="20"/>
              </w:rPr>
              <w:t>Polypeptide hyperglycémiant</w:t>
            </w:r>
          </w:p>
        </w:tc>
        <w:tc>
          <w:tcPr>
            <w:tcW w:type="dxa" w:w="935"/>
          </w:tcPr>
          <w:p>
            <w:r>
              <w:rPr>
                <w:sz w:val="20"/>
              </w:rPr>
              <w:t>Hypoglycémie sévère + intoxication β-bloquants</w:t>
            </w:r>
          </w:p>
        </w:tc>
        <w:tc>
          <w:tcPr>
            <w:tcW w:type="dxa" w:w="935"/>
          </w:tcPr>
          <w:p>
            <w:r>
              <w:rPr>
                <w:sz w:val="20"/>
              </w:rPr>
              <w:t>Activation adénylate cyclase indépendante du récepteur β → levée bloc β-adrénergique</w:t>
            </w:r>
          </w:p>
        </w:tc>
        <w:tc>
          <w:tcPr>
            <w:tcW w:type="dxa" w:w="935"/>
          </w:tcPr>
          <w:p>
            <w:r>
              <w:rPr>
                <w:sz w:val="20"/>
              </w:rPr>
              <w:t>5-20 min</w:t>
            </w:r>
          </w:p>
        </w:tc>
        <w:tc>
          <w:tcPr>
            <w:tcW w:type="dxa" w:w="935"/>
          </w:tcPr>
          <w:p>
            <w:r>
              <w:rPr>
                <w:sz w:val="20"/>
              </w:rPr>
              <w:t>8-18 min</w:t>
            </w:r>
          </w:p>
        </w:tc>
        <w:tc>
          <w:tcPr>
            <w:tcW w:type="dxa" w:w="935"/>
          </w:tcPr>
          <w:p>
            <w:r>
              <w:rPr>
                <w:sz w:val="20"/>
              </w:rPr>
              <w:t>IV, IM, SC</w:t>
            </w:r>
          </w:p>
        </w:tc>
        <w:tc>
          <w:tcPr>
            <w:tcW w:type="dxa" w:w="935"/>
          </w:tcPr>
          <w:p>
            <w:r>
              <w:rPr>
                <w:sz w:val="20"/>
              </w:rPr>
              <w:t>Hypoglycémie : 1 mg IM/SC ; β-bloquants : 5-10 mg IV puis perf 1-5 mg/h</w:t>
            </w:r>
          </w:p>
        </w:tc>
        <w:tc>
          <w:tcPr>
            <w:tcW w:type="dxa" w:w="935"/>
          </w:tcPr>
          <w:p>
            <w:r>
              <w:rPr>
                <w:sz w:val="20"/>
              </w:rPr>
              <w:t>Oui (Glucagen Hypokit 1 mg/mL)</w:t>
            </w:r>
          </w:p>
        </w:tc>
        <w:tc>
          <w:tcPr>
            <w:tcW w:type="dxa" w:w="935"/>
          </w:tcPr>
          <w:p>
            <w:r>
              <w:rPr>
                <w:sz w:val="20"/>
              </w:rPr>
              <w:t>Liste I</w:t>
            </w:r>
          </w:p>
        </w:tc>
      </w:tr>
      <w:tr>
        <w:tc>
          <w:tcPr>
            <w:tcW w:type="dxa" w:w="935"/>
          </w:tcPr>
          <w:p>
            <w:r>
              <w:rPr>
                <w:sz w:val="20"/>
              </w:rPr>
              <w:t>**Calcium (chlorure/gluconate)**</w:t>
            </w:r>
          </w:p>
        </w:tc>
        <w:tc>
          <w:tcPr>
            <w:tcW w:type="dxa" w:w="935"/>
          </w:tcPr>
          <w:p>
            <w:r>
              <w:rPr>
                <w:sz w:val="20"/>
              </w:rPr>
              <w:t>Cation stabilisant de membrane</w:t>
            </w:r>
          </w:p>
        </w:tc>
        <w:tc>
          <w:tcPr>
            <w:tcW w:type="dxa" w:w="935"/>
          </w:tcPr>
          <w:p>
            <w:r>
              <w:rPr>
                <w:sz w:val="20"/>
              </w:rPr>
              <w:t>Intoxication par antagonistes calciques + hyperkaliémie</w:t>
            </w:r>
          </w:p>
        </w:tc>
        <w:tc>
          <w:tcPr>
            <w:tcW w:type="dxa" w:w="935"/>
          </w:tcPr>
          <w:p>
            <w:r>
              <w:rPr>
                <w:sz w:val="20"/>
              </w:rPr>
              <w:t>Stabilisation membranaire + apport Ca²⁺ intracellulaire → levée bloc canaux Ca</w:t>
            </w:r>
          </w:p>
        </w:tc>
        <w:tc>
          <w:tcPr>
            <w:tcW w:type="dxa" w:w="935"/>
          </w:tcPr>
          <w:p>
            <w:r>
              <w:rPr>
                <w:sz w:val="20"/>
              </w:rPr>
              <w:t>5-15 min</w:t>
            </w:r>
          </w:p>
        </w:tc>
        <w:tc>
          <w:tcPr>
            <w:tcW w:type="dxa" w:w="935"/>
          </w:tcPr>
          <w:p>
            <w:r>
              <w:rPr>
                <w:sz w:val="20"/>
              </w:rPr>
              <w:t>court</w:t>
            </w:r>
          </w:p>
        </w:tc>
        <w:tc>
          <w:tcPr>
            <w:tcW w:type="dxa" w:w="935"/>
          </w:tcPr>
          <w:p>
            <w:r>
              <w:rPr>
                <w:sz w:val="20"/>
              </w:rPr>
              <w:t>IV lente (5-10 min)</w:t>
            </w:r>
          </w:p>
        </w:tc>
        <w:tc>
          <w:tcPr>
            <w:tcW w:type="dxa" w:w="935"/>
          </w:tcPr>
          <w:p>
            <w:r>
              <w:rPr>
                <w:sz w:val="20"/>
              </w:rPr>
              <w:t>1 g IV (10 mL CaCl2 10 % ou 30 mL gluconate 10 %), à répéter 5-10 min</w:t>
            </w:r>
          </w:p>
        </w:tc>
        <w:tc>
          <w:tcPr>
            <w:tcW w:type="dxa" w:w="935"/>
          </w:tcPr>
          <w:p>
            <w:r>
              <w:rPr>
                <w:sz w:val="20"/>
              </w:rPr>
              <w:t>Oui (Calcipack chlorure Ca 10 g/100 mL)</w:t>
            </w:r>
          </w:p>
        </w:tc>
        <w:tc>
          <w:tcPr>
            <w:tcW w:type="dxa" w:w="935"/>
          </w:tcPr>
          <w:p>
            <w:r>
              <w:rPr>
                <w:sz w:val="20"/>
              </w:rPr>
              <w:t>Hors liste</w:t>
            </w:r>
          </w:p>
        </w:tc>
      </w:tr>
      <w:tr>
        <w:tc>
          <w:tcPr>
            <w:tcW w:type="dxa" w:w="935"/>
          </w:tcPr>
          <w:p>
            <w:r>
              <w:rPr>
                <w:sz w:val="20"/>
              </w:rPr>
              <w:t>**Atropine**</w:t>
            </w:r>
          </w:p>
        </w:tc>
        <w:tc>
          <w:tcPr>
            <w:tcW w:type="dxa" w:w="935"/>
          </w:tcPr>
          <w:p>
            <w:r>
              <w:rPr>
                <w:sz w:val="20"/>
              </w:rPr>
              <w:t>Anticholinergique muscarinique</w:t>
            </w:r>
          </w:p>
        </w:tc>
        <w:tc>
          <w:tcPr>
            <w:tcW w:type="dxa" w:w="935"/>
          </w:tcPr>
          <w:p>
            <w:r>
              <w:rPr>
                <w:sz w:val="20"/>
              </w:rPr>
              <w:t>Intoxication organophosphorés/cholinomimétiques</w:t>
            </w:r>
          </w:p>
        </w:tc>
        <w:tc>
          <w:tcPr>
            <w:tcW w:type="dxa" w:w="935"/>
          </w:tcPr>
          <w:p>
            <w:r>
              <w:rPr>
                <w:sz w:val="20"/>
              </w:rPr>
              <w:t>Blocage récepteurs muscariniques → levée hypersécrétion bronchique et bradycardie</w:t>
            </w:r>
          </w:p>
        </w:tc>
        <w:tc>
          <w:tcPr>
            <w:tcW w:type="dxa" w:w="935"/>
          </w:tcPr>
          <w:p>
            <w:r>
              <w:rPr>
                <w:sz w:val="20"/>
              </w:rPr>
              <w:t>1-2 min (IV)</w:t>
            </w:r>
          </w:p>
        </w:tc>
        <w:tc>
          <w:tcPr>
            <w:tcW w:type="dxa" w:w="935"/>
          </w:tcPr>
          <w:p>
            <w:r>
              <w:rPr>
                <w:sz w:val="20"/>
              </w:rPr>
              <w:t>2-3 h</w:t>
            </w:r>
          </w:p>
        </w:tc>
        <w:tc>
          <w:tcPr>
            <w:tcW w:type="dxa" w:w="935"/>
          </w:tcPr>
          <w:p>
            <w:r>
              <w:rPr>
                <w:sz w:val="20"/>
              </w:rPr>
              <w:t>IV, IM, SC, per os, collyre</w:t>
            </w:r>
          </w:p>
        </w:tc>
        <w:tc>
          <w:tcPr>
            <w:tcW w:type="dxa" w:w="935"/>
          </w:tcPr>
          <w:p>
            <w:r>
              <w:rPr>
                <w:sz w:val="20"/>
              </w:rPr>
              <w:t>1-2 mg IV (titration jusqu'à séchage des sécrétions), jusqu'à 100 mg/24 h</w:t>
            </w:r>
          </w:p>
        </w:tc>
        <w:tc>
          <w:tcPr>
            <w:tcW w:type="dxa" w:w="935"/>
          </w:tcPr>
          <w:p>
            <w:r>
              <w:rPr>
                <w:sz w:val="20"/>
              </w:rPr>
              <w:t>Non (forme IV non commercialisée — collyre uniquement)</w:t>
            </w:r>
          </w:p>
        </w:tc>
        <w:tc>
          <w:tcPr>
            <w:tcW w:type="dxa" w:w="935"/>
          </w:tcPr>
          <w:p>
            <w:r>
              <w:rPr>
                <w:sz w:val="20"/>
              </w:rPr>
              <w:t>Liste I (collyre)</w:t>
            </w:r>
          </w:p>
        </w:tc>
      </w:tr>
      <w:tr>
        <w:tc>
          <w:tcPr>
            <w:tcW w:type="dxa" w:w="935"/>
          </w:tcPr>
          <w:p>
            <w:r>
              <w:rPr>
                <w:sz w:val="20"/>
              </w:rPr>
              <w:t>**Bleu de méthylène**</w:t>
            </w:r>
          </w:p>
        </w:tc>
        <w:tc>
          <w:tcPr>
            <w:tcW w:type="dxa" w:w="935"/>
          </w:tcPr>
          <w:p>
            <w:r>
              <w:rPr>
                <w:sz w:val="20"/>
              </w:rPr>
              <w:t>Réducteur de la MetHb</w:t>
            </w:r>
          </w:p>
        </w:tc>
        <w:tc>
          <w:tcPr>
            <w:tcW w:type="dxa" w:w="935"/>
          </w:tcPr>
          <w:p>
            <w:r>
              <w:rPr>
                <w:sz w:val="20"/>
              </w:rPr>
              <w:t>Méthémoglobinémie toxique</w:t>
            </w:r>
          </w:p>
        </w:tc>
        <w:tc>
          <w:tcPr>
            <w:tcW w:type="dxa" w:w="935"/>
          </w:tcPr>
          <w:p>
            <w:r>
              <w:rPr>
                <w:sz w:val="20"/>
              </w:rPr>
              <w:t>Réduction MetHb en Hb par NADPH-MetHb réductase (médiateur = leukoblue)</w:t>
            </w:r>
          </w:p>
        </w:tc>
        <w:tc>
          <w:tcPr>
            <w:tcW w:type="dxa" w:w="935"/>
          </w:tcPr>
          <w:p>
            <w:r>
              <w:rPr>
                <w:sz w:val="20"/>
              </w:rPr>
              <w:t>30-60 min</w:t>
            </w:r>
          </w:p>
        </w:tc>
        <w:tc>
          <w:tcPr>
            <w:tcW w:type="dxa" w:w="935"/>
          </w:tcPr>
          <w:p>
            <w:r>
              <w:rPr>
                <w:sz w:val="20"/>
              </w:rPr>
              <w:t>5-6 h</w:t>
            </w:r>
          </w:p>
        </w:tc>
        <w:tc>
          <w:tcPr>
            <w:tcW w:type="dxa" w:w="935"/>
          </w:tcPr>
          <w:p>
            <w:r>
              <w:rPr>
                <w:sz w:val="20"/>
              </w:rPr>
              <w:t>IV lente (perf 5 min)</w:t>
            </w:r>
          </w:p>
        </w:tc>
        <w:tc>
          <w:tcPr>
            <w:tcW w:type="dxa" w:w="935"/>
          </w:tcPr>
          <w:p>
            <w:r>
              <w:rPr>
                <w:sz w:val="20"/>
              </w:rPr>
              <w:t>1-2 mg/kg IV, à répéter 30-60 min si MetHb &gt; 20 %, max 7 mg/kg/24 h</w:t>
            </w:r>
          </w:p>
        </w:tc>
        <w:tc>
          <w:tcPr>
            <w:tcW w:type="dxa" w:w="935"/>
          </w:tcPr>
          <w:p>
            <w:r>
              <w:rPr>
                <w:sz w:val="20"/>
              </w:rPr>
              <w:t>Non (forme IV non disponible — solution usage externe 0,01 % uniquement)</w:t>
            </w:r>
          </w:p>
        </w:tc>
        <w:tc>
          <w:tcPr>
            <w:tcW w:type="dxa" w:w="935"/>
          </w:tcPr>
          <w:p>
            <w:r>
              <w:rPr>
                <w:sz w:val="20"/>
              </w:rPr>
              <w:t>Hors liste</w:t>
            </w:r>
          </w:p>
        </w:tc>
      </w:tr>
      <w:tr>
        <w:tc>
          <w:tcPr>
            <w:tcW w:type="dxa" w:w="935"/>
          </w:tcPr>
          <w:p>
            <w:r>
              <w:rPr>
                <w:sz w:val="20"/>
              </w:rPr>
              <w:t>**Oxygène (O2)**</w:t>
            </w:r>
          </w:p>
        </w:tc>
        <w:tc>
          <w:tcPr>
            <w:tcW w:type="dxa" w:w="935"/>
          </w:tcPr>
          <w:p>
            <w:r>
              <w:rPr>
                <w:sz w:val="20"/>
              </w:rPr>
              <w:t>Gaz médical</w:t>
            </w:r>
          </w:p>
        </w:tc>
        <w:tc>
          <w:tcPr>
            <w:tcW w:type="dxa" w:w="935"/>
          </w:tcPr>
          <w:p>
            <w:r>
              <w:rPr>
                <w:sz w:val="20"/>
              </w:rPr>
              <w:t>Intoxication CO + cyanure + H2S</w:t>
            </w:r>
          </w:p>
        </w:tc>
        <w:tc>
          <w:tcPr>
            <w:tcW w:type="dxa" w:w="935"/>
          </w:tcPr>
          <w:p>
            <w:r>
              <w:rPr>
                <w:sz w:val="20"/>
              </w:rPr>
              <w:t>Déplacement compétitif CO de l'Hb + O2 dissous plasmatique</w:t>
            </w:r>
          </w:p>
        </w:tc>
        <w:tc>
          <w:tcPr>
            <w:tcW w:type="dxa" w:w="935"/>
          </w:tcPr>
          <w:p>
            <w:r>
              <w:rPr>
                <w:sz w:val="20"/>
              </w:rPr>
              <w:t>1-2 min (inhalation)</w:t>
            </w:r>
          </w:p>
        </w:tc>
        <w:tc>
          <w:tcPr>
            <w:tcW w:type="dxa" w:w="935"/>
          </w:tcPr>
          <w:p>
            <w:r>
              <w:rPr>
                <w:sz w:val="20"/>
              </w:rPr>
              <w:t>5-10 min (équilibre alvéolaire)</w:t>
            </w:r>
          </w:p>
        </w:tc>
        <w:tc>
          <w:tcPr>
            <w:tcW w:type="dxa" w:w="935"/>
          </w:tcPr>
          <w:p>
            <w:r>
              <w:rPr>
                <w:sz w:val="20"/>
              </w:rPr>
              <w:t>Inhalation (sonde, masque, VMI), OHB</w:t>
            </w:r>
          </w:p>
        </w:tc>
        <w:tc>
          <w:tcPr>
            <w:tcW w:type="dxa" w:w="935"/>
          </w:tcPr>
          <w:p>
            <w:r>
              <w:rPr>
                <w:sz w:val="20"/>
              </w:rPr>
              <w:t>FiO2 100 % (15 L/min) pendant 6-12 h jusqu'à COHb &lt; 5 %</w:t>
            </w:r>
          </w:p>
        </w:tc>
        <w:tc>
          <w:tcPr>
            <w:tcW w:type="dxa" w:w="935"/>
          </w:tcPr>
          <w:p>
            <w:r>
              <w:rPr>
                <w:sz w:val="20"/>
              </w:rPr>
              <w:t>Oui (11 spécialités — bouteilles B5/B50 et citernes LOX)</w:t>
            </w:r>
          </w:p>
        </w:tc>
        <w:tc>
          <w:tcPr>
            <w:tcW w:type="dxa" w:w="935"/>
          </w:tcPr>
          <w:p>
            <w:r>
              <w:rPr>
                <w:sz w:val="20"/>
              </w:rPr>
              <w:t>Liste I</w:t>
            </w:r>
          </w:p>
        </w:tc>
      </w:tr>
    </w:tbl>
    <w:p/>
    <w:p>
      <w:pPr>
        <w:pStyle w:val="Heading3"/>
      </w:pPr>
      <w:r>
        <w:t>191.21.2 Tableau comparatif des particularités critiques</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Piège majeur</w:t>
            </w:r>
          </w:p>
        </w:tc>
        <w:tc>
          <w:tcPr>
            <w:tcW w:type="dxa" w:w="1559"/>
          </w:tcPr>
          <w:p>
            <w:r>
              <w:rPr>
                <w:b/>
                <w:sz w:val="20"/>
              </w:rPr>
              <w:t>Surveillance post-administration</w:t>
            </w:r>
          </w:p>
        </w:tc>
        <w:tc>
          <w:tcPr>
            <w:tcW w:type="dxa" w:w="1559"/>
          </w:tcPr>
          <w:p>
            <w:r>
              <w:rPr>
                <w:b/>
                <w:sz w:val="20"/>
              </w:rPr>
              <w:t>Spécificité grossesse</w:t>
            </w:r>
          </w:p>
        </w:tc>
        <w:tc>
          <w:tcPr>
            <w:tcW w:type="dxa" w:w="1559"/>
          </w:tcPr>
          <w:p>
            <w:r>
              <w:rPr>
                <w:b/>
                <w:sz w:val="20"/>
              </w:rPr>
              <w:t>Spécificité enfant</w:t>
            </w:r>
          </w:p>
        </w:tc>
        <w:tc>
          <w:tcPr>
            <w:tcW w:type="dxa" w:w="1559"/>
          </w:tcPr>
          <w:p>
            <w:r>
              <w:rPr>
                <w:b/>
                <w:sz w:val="20"/>
              </w:rPr>
              <w:t>Disponibilité Algérie</w:t>
            </w:r>
          </w:p>
        </w:tc>
      </w:tr>
      <w:tr>
        <w:tc>
          <w:tcPr>
            <w:tcW w:type="dxa" w:w="1559"/>
          </w:tcPr>
          <w:p>
            <w:r>
              <w:rPr>
                <w:sz w:val="20"/>
              </w:rPr>
              <w:t>Naloxone</w:t>
            </w:r>
          </w:p>
        </w:tc>
        <w:tc>
          <w:tcPr>
            <w:tcW w:type="dxa" w:w="1559"/>
          </w:tcPr>
          <w:p>
            <w:r>
              <w:rPr>
                <w:sz w:val="20"/>
              </w:rPr>
              <w:t>Resurdose (méthadone, fentanyl patch)</w:t>
            </w:r>
          </w:p>
        </w:tc>
        <w:tc>
          <w:tcPr>
            <w:tcW w:type="dxa" w:w="1559"/>
          </w:tcPr>
          <w:p>
            <w:r>
              <w:rPr>
                <w:sz w:val="20"/>
              </w:rPr>
              <w:t>4-6 h (24-48 h si longue durée)</w:t>
            </w:r>
          </w:p>
        </w:tc>
        <w:tc>
          <w:tcPr>
            <w:tcW w:type="dxa" w:w="1559"/>
          </w:tcPr>
          <w:p>
            <w:r>
              <w:rPr>
                <w:sz w:val="20"/>
              </w:rPr>
              <w:t>Compatible sauf mère toxicomane (CI néonatale)</w:t>
            </w:r>
          </w:p>
        </w:tc>
        <w:tc>
          <w:tcPr>
            <w:tcW w:type="dxa" w:w="1559"/>
          </w:tcPr>
          <w:p>
            <w:r>
              <w:rPr>
                <w:sz w:val="20"/>
              </w:rPr>
              <w:t>CI nouveau-né de mère toxicomane</w:t>
            </w:r>
          </w:p>
        </w:tc>
        <w:tc>
          <w:tcPr>
            <w:tcW w:type="dxa" w:w="1559"/>
          </w:tcPr>
          <w:p>
            <w:r>
              <w:rPr>
                <w:sz w:val="20"/>
              </w:rPr>
              <w:t>OK</w:t>
            </w:r>
          </w:p>
        </w:tc>
      </w:tr>
      <w:tr>
        <w:tc>
          <w:tcPr>
            <w:tcW w:type="dxa" w:w="1559"/>
          </w:tcPr>
          <w:p>
            <w:r>
              <w:rPr>
                <w:sz w:val="20"/>
              </w:rPr>
              <w:t>NAC</w:t>
            </w:r>
          </w:p>
        </w:tc>
        <w:tc>
          <w:tcPr>
            <w:tcW w:type="dxa" w:w="1559"/>
          </w:tcPr>
          <w:p>
            <w:r>
              <w:rPr>
                <w:sz w:val="20"/>
              </w:rPr>
              <w:t>Nomogramme &lt; 8 h (au-delà : TOUS patients)</w:t>
            </w:r>
          </w:p>
        </w:tc>
        <w:tc>
          <w:tcPr>
            <w:tcW w:type="dxa" w:w="1559"/>
          </w:tcPr>
          <w:p>
            <w:r>
              <w:rPr>
                <w:sz w:val="20"/>
              </w:rPr>
              <w:t>21 h (perf IV) + ASAT/ALAT 24-48 h</w:t>
            </w:r>
          </w:p>
        </w:tc>
        <w:tc>
          <w:tcPr>
            <w:tcW w:type="dxa" w:w="1559"/>
          </w:tcPr>
          <w:p>
            <w:r>
              <w:rPr>
                <w:sz w:val="20"/>
              </w:rPr>
              <w:t>Compatible (préférence précoce)</w:t>
            </w:r>
          </w:p>
        </w:tc>
        <w:tc>
          <w:tcPr>
            <w:tcW w:type="dxa" w:w="1559"/>
          </w:tcPr>
          <w:p>
            <w:r>
              <w:rPr>
                <w:sz w:val="20"/>
              </w:rPr>
              <w:t>OK (dose/kg)</w:t>
            </w:r>
          </w:p>
        </w:tc>
        <w:tc>
          <w:tcPr>
            <w:tcW w:type="dxa" w:w="1559"/>
          </w:tcPr>
          <w:p>
            <w:r>
              <w:rPr>
                <w:sz w:val="20"/>
              </w:rPr>
              <w:t>Forme orale OK, forme IV à importer</w:t>
            </w:r>
          </w:p>
        </w:tc>
      </w:tr>
      <w:tr>
        <w:tc>
          <w:tcPr>
            <w:tcW w:type="dxa" w:w="1559"/>
          </w:tcPr>
          <w:p>
            <w:r>
              <w:rPr>
                <w:sz w:val="20"/>
              </w:rPr>
              <w:t>Folinate de calcium</w:t>
            </w:r>
          </w:p>
        </w:tc>
        <w:tc>
          <w:tcPr>
            <w:tcW w:type="dxa" w:w="1559"/>
          </w:tcPr>
          <w:p>
            <w:r>
              <w:rPr>
                <w:sz w:val="20"/>
              </w:rPr>
              <w:t>Rescue MTX &gt; 5 μmol/L (hyponatrémie, IR)</w:t>
            </w:r>
          </w:p>
        </w:tc>
        <w:tc>
          <w:tcPr>
            <w:tcW w:type="dxa" w:w="1559"/>
          </w:tcPr>
          <w:p>
            <w:r>
              <w:rPr>
                <w:sz w:val="20"/>
              </w:rPr>
              <w:t>MTX plasmatique 24 h, 48 h, 72 h</w:t>
            </w:r>
          </w:p>
        </w:tc>
        <w:tc>
          <w:tcPr>
            <w:tcW w:type="dxa" w:w="1559"/>
          </w:tcPr>
          <w:p>
            <w:r>
              <w:rPr>
                <w:sz w:val="20"/>
              </w:rPr>
              <w:t>Compatible (folates indispensables)</w:t>
            </w:r>
          </w:p>
        </w:tc>
        <w:tc>
          <w:tcPr>
            <w:tcW w:type="dxa" w:w="1559"/>
          </w:tcPr>
          <w:p>
            <w:r>
              <w:rPr>
                <w:sz w:val="20"/>
              </w:rPr>
              <w:t>OK</w:t>
            </w:r>
          </w:p>
        </w:tc>
        <w:tc>
          <w:tcPr>
            <w:tcW w:type="dxa" w:w="1559"/>
          </w:tcPr>
          <w:p>
            <w:r>
              <w:rPr>
                <w:sz w:val="20"/>
              </w:rPr>
              <w:t>OK</w:t>
            </w:r>
          </w:p>
        </w:tc>
      </w:tr>
      <w:tr>
        <w:tc>
          <w:tcPr>
            <w:tcW w:type="dxa" w:w="1559"/>
          </w:tcPr>
          <w:p>
            <w:r>
              <w:rPr>
                <w:sz w:val="20"/>
              </w:rPr>
              <w:t>Phytoménadione</w:t>
            </w:r>
          </w:p>
        </w:tc>
        <w:tc>
          <w:tcPr>
            <w:tcW w:type="dxa" w:w="1559"/>
          </w:tcPr>
          <w:p>
            <w:r>
              <w:rPr>
                <w:sz w:val="20"/>
              </w:rPr>
              <w:t>IV = anaphylaxie (diluer, perf lente)</w:t>
            </w:r>
          </w:p>
        </w:tc>
        <w:tc>
          <w:tcPr>
            <w:tcW w:type="dxa" w:w="1559"/>
          </w:tcPr>
          <w:p>
            <w:r>
              <w:rPr>
                <w:sz w:val="20"/>
              </w:rPr>
              <w:t>INR 6 h, 12 h, 24 h</w:t>
            </w:r>
          </w:p>
        </w:tc>
        <w:tc>
          <w:tcPr>
            <w:tcW w:type="dxa" w:w="1559"/>
          </w:tcPr>
          <w:p>
            <w:r>
              <w:rPr>
                <w:sz w:val="20"/>
              </w:rPr>
              <w:t>Compatible (saignement maternel)</w:t>
            </w:r>
          </w:p>
        </w:tc>
        <w:tc>
          <w:tcPr>
            <w:tcW w:type="dxa" w:w="1559"/>
          </w:tcPr>
          <w:p>
            <w:r>
              <w:rPr>
                <w:sz w:val="20"/>
              </w:rPr>
              <w:t>OK (0,4 mg/kg IM à la naissance)</w:t>
            </w:r>
          </w:p>
        </w:tc>
        <w:tc>
          <w:tcPr>
            <w:tcW w:type="dxa" w:w="1559"/>
          </w:tcPr>
          <w:p>
            <w:r>
              <w:rPr>
                <w:sz w:val="20"/>
              </w:rPr>
              <w:t>OK</w:t>
            </w:r>
          </w:p>
        </w:tc>
      </w:tr>
      <w:tr>
        <w:tc>
          <w:tcPr>
            <w:tcW w:type="dxa" w:w="1559"/>
          </w:tcPr>
          <w:p>
            <w:r>
              <w:rPr>
                <w:sz w:val="20"/>
              </w:rPr>
              <w:t>PCC</w:t>
            </w:r>
          </w:p>
        </w:tc>
        <w:tc>
          <w:tcPr>
            <w:tcW w:type="dxa" w:w="1559"/>
          </w:tcPr>
          <w:p>
            <w:r>
              <w:rPr>
                <w:sz w:val="20"/>
              </w:rPr>
              <w:t>Risque thrombo-embolique post-administration</w:t>
            </w:r>
          </w:p>
        </w:tc>
        <w:tc>
          <w:tcPr>
            <w:tcW w:type="dxa" w:w="1559"/>
          </w:tcPr>
          <w:p>
            <w:r>
              <w:rPr>
                <w:sz w:val="20"/>
              </w:rPr>
              <w:t>INR 30 min, 6 h, 12 h, 24 h</w:t>
            </w:r>
          </w:p>
        </w:tc>
        <w:tc>
          <w:tcPr>
            <w:tcW w:type="dxa" w:w="1559"/>
          </w:tcPr>
          <w:p>
            <w:r>
              <w:rPr>
                <w:sz w:val="20"/>
              </w:rPr>
              <w:t>Compatible (saignement maternel)</w:t>
            </w:r>
          </w:p>
        </w:tc>
        <w:tc>
          <w:tcPr>
            <w:tcW w:type="dxa" w:w="1559"/>
          </w:tcPr>
          <w:p>
            <w:r>
              <w:rPr>
                <w:sz w:val="20"/>
              </w:rPr>
              <w:t>OK (dose/kg)</w:t>
            </w:r>
          </w:p>
        </w:tc>
        <w:tc>
          <w:tcPr>
            <w:tcW w:type="dxa" w:w="1559"/>
          </w:tcPr>
          <w:p>
            <w:r>
              <w:rPr>
                <w:sz w:val="20"/>
              </w:rPr>
              <w:t>OK (Octaplex)</w:t>
            </w:r>
          </w:p>
        </w:tc>
      </w:tr>
      <w:tr>
        <w:tc>
          <w:tcPr>
            <w:tcW w:type="dxa" w:w="1559"/>
          </w:tcPr>
          <w:p>
            <w:r>
              <w:rPr>
                <w:sz w:val="20"/>
              </w:rPr>
              <w:t>Glucagon</w:t>
            </w:r>
          </w:p>
        </w:tc>
        <w:tc>
          <w:tcPr>
            <w:tcW w:type="dxa" w:w="1559"/>
          </w:tcPr>
          <w:p>
            <w:r>
              <w:rPr>
                <w:sz w:val="20"/>
              </w:rPr>
              <w:t>Hyperglycémie rebound + hypokaliémie</w:t>
            </w:r>
          </w:p>
        </w:tc>
        <w:tc>
          <w:tcPr>
            <w:tcW w:type="dxa" w:w="1559"/>
          </w:tcPr>
          <w:p>
            <w:r>
              <w:rPr>
                <w:sz w:val="20"/>
              </w:rPr>
              <w:t>Glycémie 1 h, K+ 1-2 h</w:t>
            </w:r>
          </w:p>
        </w:tc>
        <w:tc>
          <w:tcPr>
            <w:tcW w:type="dxa" w:w="1559"/>
          </w:tcPr>
          <w:p>
            <w:r>
              <w:rPr>
                <w:sz w:val="20"/>
              </w:rPr>
              <w:t>Compatible (hypoglycémie maternelle)</w:t>
            </w:r>
          </w:p>
        </w:tc>
        <w:tc>
          <w:tcPr>
            <w:tcW w:type="dxa" w:w="1559"/>
          </w:tcPr>
          <w:p>
            <w:r>
              <w:rPr>
                <w:sz w:val="20"/>
              </w:rPr>
              <w:t>OK (0,5 mg IM enfant &lt; 25 kg)</w:t>
            </w:r>
          </w:p>
        </w:tc>
        <w:tc>
          <w:tcPr>
            <w:tcW w:type="dxa" w:w="1559"/>
          </w:tcPr>
          <w:p>
            <w:r>
              <w:rPr>
                <w:sz w:val="20"/>
              </w:rPr>
              <w:t>OK (Hypokit)</w:t>
            </w:r>
          </w:p>
        </w:tc>
      </w:tr>
      <w:tr>
        <w:tc>
          <w:tcPr>
            <w:tcW w:type="dxa" w:w="1559"/>
          </w:tcPr>
          <w:p>
            <w:r>
              <w:rPr>
                <w:sz w:val="20"/>
              </w:rPr>
              <w:t>Calcium</w:t>
            </w:r>
          </w:p>
        </w:tc>
        <w:tc>
          <w:tcPr>
            <w:tcW w:type="dxa" w:w="1559"/>
          </w:tcPr>
          <w:p>
            <w:r>
              <w:rPr>
                <w:sz w:val="20"/>
              </w:rPr>
              <w:t>IV rapide = arrêt cardiaque (digitaliques)</w:t>
            </w:r>
          </w:p>
        </w:tc>
        <w:tc>
          <w:tcPr>
            <w:tcW w:type="dxa" w:w="1559"/>
          </w:tcPr>
          <w:p>
            <w:r>
              <w:rPr>
                <w:sz w:val="20"/>
              </w:rPr>
              <w:t>ECG continu, K+, Ca²⁺ ionisé</w:t>
            </w:r>
          </w:p>
        </w:tc>
        <w:tc>
          <w:tcPr>
            <w:tcW w:type="dxa" w:w="1559"/>
          </w:tcPr>
          <w:p>
            <w:r>
              <w:rPr>
                <w:sz w:val="20"/>
              </w:rPr>
              <w:t>Compatible</w:t>
            </w:r>
          </w:p>
        </w:tc>
        <w:tc>
          <w:tcPr>
            <w:tcW w:type="dxa" w:w="1559"/>
          </w:tcPr>
          <w:p>
            <w:r>
              <w:rPr>
                <w:sz w:val="20"/>
              </w:rPr>
              <w:t>OK (dose/kg)</w:t>
            </w:r>
          </w:p>
        </w:tc>
        <w:tc>
          <w:tcPr>
            <w:tcW w:type="dxa" w:w="1559"/>
          </w:tcPr>
          <w:p>
            <w:r>
              <w:rPr>
                <w:sz w:val="20"/>
              </w:rPr>
              <w:t>OK (Calcipack)</w:t>
            </w:r>
          </w:p>
        </w:tc>
      </w:tr>
      <w:tr>
        <w:tc>
          <w:tcPr>
            <w:tcW w:type="dxa" w:w="1559"/>
          </w:tcPr>
          <w:p>
            <w:r>
              <w:rPr>
                <w:sz w:val="20"/>
              </w:rPr>
              <w:t>Atropine</w:t>
            </w:r>
          </w:p>
        </w:tc>
        <w:tc>
          <w:tcPr>
            <w:tcW w:type="dxa" w:w="1559"/>
          </w:tcPr>
          <w:p>
            <w:r>
              <w:rPr>
                <w:sz w:val="20"/>
              </w:rPr>
              <w:t>Titration jusqu'à séchage (jusqu'à 100 mg/24 h)</w:t>
            </w:r>
          </w:p>
        </w:tc>
        <w:tc>
          <w:tcPr>
            <w:tcW w:type="dxa" w:w="1559"/>
          </w:tcPr>
          <w:p>
            <w:r>
              <w:rPr>
                <w:sz w:val="20"/>
              </w:rPr>
              <w:t>FC, auscultation bronchique, mydriasis</w:t>
            </w:r>
          </w:p>
        </w:tc>
        <w:tc>
          <w:tcPr>
            <w:tcW w:type="dxa" w:w="1559"/>
          </w:tcPr>
          <w:p>
            <w:r>
              <w:rPr>
                <w:sz w:val="20"/>
              </w:rPr>
              <w:t>Compatible</w:t>
            </w:r>
          </w:p>
        </w:tc>
        <w:tc>
          <w:tcPr>
            <w:tcW w:type="dxa" w:w="1559"/>
          </w:tcPr>
          <w:p>
            <w:r>
              <w:rPr>
                <w:sz w:val="20"/>
              </w:rPr>
              <w:t>OK (0,02 mg/kg)</w:t>
            </w:r>
          </w:p>
        </w:tc>
        <w:tc>
          <w:tcPr>
            <w:tcW w:type="dxa" w:w="1559"/>
          </w:tcPr>
          <w:p>
            <w:r>
              <w:rPr>
                <w:sz w:val="20"/>
              </w:rPr>
              <w:t>Forme IV non disponible</w:t>
            </w:r>
          </w:p>
        </w:tc>
      </w:tr>
      <w:tr>
        <w:tc>
          <w:tcPr>
            <w:tcW w:type="dxa" w:w="1559"/>
          </w:tcPr>
          <w:p>
            <w:r>
              <w:rPr>
                <w:sz w:val="20"/>
              </w:rPr>
              <w:t>Bleu de méthylène</w:t>
            </w:r>
          </w:p>
        </w:tc>
        <w:tc>
          <w:tcPr>
            <w:tcW w:type="dxa" w:w="1559"/>
          </w:tcPr>
          <w:p>
            <w:r>
              <w:rPr>
                <w:sz w:val="20"/>
              </w:rPr>
              <w:t>CI G6PD + ISRS (syndrome sérotoninergique)</w:t>
            </w:r>
          </w:p>
        </w:tc>
        <w:tc>
          <w:tcPr>
            <w:tcW w:type="dxa" w:w="1559"/>
          </w:tcPr>
          <w:p>
            <w:r>
              <w:rPr>
                <w:sz w:val="20"/>
              </w:rPr>
              <w:t>MetHb CO-ox, 24-48 h réanimation</w:t>
            </w:r>
          </w:p>
        </w:tc>
        <w:tc>
          <w:tcPr>
            <w:tcW w:type="dxa" w:w="1559"/>
          </w:tcPr>
          <w:p>
            <w:r>
              <w:rPr>
                <w:sz w:val="20"/>
              </w:rPr>
              <w:t>Compatible (prudence fin grossesse)</w:t>
            </w:r>
          </w:p>
        </w:tc>
        <w:tc>
          <w:tcPr>
            <w:tcW w:type="dxa" w:w="1559"/>
          </w:tcPr>
          <w:p>
            <w:r>
              <w:rPr>
                <w:sz w:val="20"/>
              </w:rPr>
              <w:t>CI si G6PD</w:t>
            </w:r>
          </w:p>
        </w:tc>
        <w:tc>
          <w:tcPr>
            <w:tcW w:type="dxa" w:w="1559"/>
          </w:tcPr>
          <w:p>
            <w:r>
              <w:rPr>
                <w:sz w:val="20"/>
              </w:rPr>
              <w:t>Forme IV non disponible</w:t>
            </w:r>
          </w:p>
        </w:tc>
      </w:tr>
      <w:tr>
        <w:tc>
          <w:tcPr>
            <w:tcW w:type="dxa" w:w="1559"/>
          </w:tcPr>
          <w:p>
            <w:r>
              <w:rPr>
                <w:sz w:val="20"/>
              </w:rPr>
              <w:t>Oxygène</w:t>
            </w:r>
          </w:p>
        </w:tc>
        <w:tc>
          <w:tcPr>
            <w:tcW w:type="dxa" w:w="1559"/>
          </w:tcPr>
          <w:p>
            <w:r>
              <w:rPr>
                <w:sz w:val="20"/>
              </w:rPr>
              <w:t>Pas d'O2 &gt; 30 % si paraquat, bléomycine</w:t>
            </w:r>
          </w:p>
        </w:tc>
        <w:tc>
          <w:tcPr>
            <w:tcW w:type="dxa" w:w="1559"/>
          </w:tcPr>
          <w:p>
            <w:r>
              <w:rPr>
                <w:sz w:val="20"/>
              </w:rPr>
              <w:t>SpO2, COHb (CO), gaz du sang</w:t>
            </w:r>
          </w:p>
        </w:tc>
        <w:tc>
          <w:tcPr>
            <w:tcW w:type="dxa" w:w="1559"/>
          </w:tcPr>
          <w:p>
            <w:r>
              <w:rPr>
                <w:sz w:val="20"/>
              </w:rPr>
              <w:t>Compatible + OHB si CO sévère</w:t>
            </w:r>
          </w:p>
        </w:tc>
        <w:tc>
          <w:tcPr>
            <w:tcW w:type="dxa" w:w="1559"/>
          </w:tcPr>
          <w:p>
            <w:r>
              <w:rPr>
                <w:sz w:val="20"/>
              </w:rPr>
              <w:t>OK (prématuré : PaO2 50-80)</w:t>
            </w:r>
          </w:p>
        </w:tc>
        <w:tc>
          <w:tcPr>
            <w:tcW w:type="dxa" w:w="1559"/>
          </w:tcPr>
          <w:p>
            <w:r>
              <w:rPr>
                <w:sz w:val="20"/>
              </w:rPr>
              <w:t>OK (normobare) ; OHB non disponible</w:t>
            </w:r>
          </w:p>
        </w:tc>
      </w:tr>
    </w:tbl>
    <w:p/>
    <w:p>
      <w:pPr>
        <w:pStyle w:val="Heading3"/>
      </w:pPr>
      <w:r>
        <w:t>191.21.3 Tableau comparatif des statuts réglementaires et disponibilités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Liste réglementaire</w:t>
            </w:r>
          </w:p>
        </w:tc>
        <w:tc>
          <w:tcPr>
            <w:tcW w:type="dxa" w:w="1559"/>
          </w:tcPr>
          <w:p>
            <w:r>
              <w:rPr>
                <w:b/>
                <w:sz w:val="20"/>
              </w:rPr>
              <w:t>Spécialités actives algériennes</w:t>
            </w:r>
          </w:p>
        </w:tc>
        <w:tc>
          <w:tcPr>
            <w:tcW w:type="dxa" w:w="1559"/>
          </w:tcPr>
          <w:p>
            <w:r>
              <w:rPr>
                <w:b/>
                <w:sz w:val="20"/>
              </w:rPr>
              <w:t>Production locale</w:t>
            </w:r>
          </w:p>
        </w:tc>
        <w:tc>
          <w:tcPr>
            <w:tcW w:type="dxa" w:w="1559"/>
          </w:tcPr>
          <w:p>
            <w:r>
              <w:rPr>
                <w:b/>
                <w:sz w:val="20"/>
              </w:rPr>
              <w:t>Couverture du besoin toxicologique</w:t>
            </w:r>
          </w:p>
        </w:tc>
        <w:tc>
          <w:tcPr>
            <w:tcW w:type="dxa" w:w="1559"/>
          </w:tcPr>
          <w:p>
            <w:r>
              <w:rPr>
                <w:b/>
                <w:sz w:val="20"/>
              </w:rPr>
              <w:t>Lacune identifiée</w:t>
            </w:r>
          </w:p>
        </w:tc>
      </w:tr>
      <w:tr>
        <w:tc>
          <w:tcPr>
            <w:tcW w:type="dxa" w:w="1559"/>
          </w:tcPr>
          <w:p>
            <w:r>
              <w:rPr>
                <w:sz w:val="20"/>
              </w:rPr>
              <w:t>Naloxone</w:t>
            </w:r>
          </w:p>
        </w:tc>
        <w:tc>
          <w:tcPr>
            <w:tcW w:type="dxa" w:w="1559"/>
          </w:tcPr>
          <w:p>
            <w:r>
              <w:rPr>
                <w:sz w:val="20"/>
              </w:rPr>
              <w:t>Liste I</w:t>
            </w:r>
          </w:p>
        </w:tc>
        <w:tc>
          <w:tcPr>
            <w:tcW w:type="dxa" w:w="1559"/>
          </w:tcPr>
          <w:p>
            <w:r>
              <w:rPr>
                <w:sz w:val="20"/>
              </w:rPr>
              <w:t>1 (Naloxone Mylan 0,4 mg/mL)</w:t>
            </w:r>
          </w:p>
        </w:tc>
        <w:tc>
          <w:tcPr>
            <w:tcW w:type="dxa" w:w="1559"/>
          </w:tcPr>
          <w:p>
            <w:r>
              <w:rPr>
                <w:sz w:val="20"/>
              </w:rPr>
              <w:t>Non (importation France)</w:t>
            </w:r>
          </w:p>
        </w:tc>
        <w:tc>
          <w:tcPr>
            <w:tcW w:type="dxa" w:w="1559"/>
          </w:tcPr>
          <w:p>
            <w:r>
              <w:rPr>
                <w:sz w:val="20"/>
              </w:rPr>
              <w:t>Partielle (forme IV/IM/SC OK, mais pas de spray nasal)</w:t>
            </w:r>
          </w:p>
        </w:tc>
        <w:tc>
          <w:tcPr>
            <w:tcW w:type="dxa" w:w="1559"/>
          </w:tcPr>
          <w:p>
            <w:r>
              <w:rPr>
                <w:sz w:val="20"/>
              </w:rPr>
              <w:t>Spray nasal 4 mg non commercialisé</w:t>
            </w:r>
          </w:p>
        </w:tc>
      </w:tr>
      <w:tr>
        <w:tc>
          <w:tcPr>
            <w:tcW w:type="dxa" w:w="1559"/>
          </w:tcPr>
          <w:p>
            <w:r>
              <w:rPr>
                <w:sz w:val="20"/>
              </w:rPr>
              <w:t>N-Acétylcystéine</w:t>
            </w:r>
          </w:p>
        </w:tc>
        <w:tc>
          <w:tcPr>
            <w:tcW w:type="dxa" w:w="1559"/>
          </w:tcPr>
          <w:p>
            <w:r>
              <w:rPr>
                <w:sz w:val="20"/>
              </w:rPr>
              <w:t>Hors liste</w:t>
            </w:r>
          </w:p>
        </w:tc>
        <w:tc>
          <w:tcPr>
            <w:tcW w:type="dxa" w:w="1559"/>
          </w:tcPr>
          <w:p>
            <w:r>
              <w:rPr>
                <w:sz w:val="20"/>
              </w:rPr>
              <w:t>4 (Fluimicil, Solmucol, BGL, Fluimex)</w:t>
            </w:r>
          </w:p>
        </w:tc>
        <w:tc>
          <w:tcPr>
            <w:tcW w:type="dxa" w:w="1559"/>
          </w:tcPr>
          <w:p>
            <w:r>
              <w:rPr>
                <w:sz w:val="20"/>
              </w:rPr>
              <w:t>Partielle (BGL, API algériens)</w:t>
            </w:r>
          </w:p>
        </w:tc>
        <w:tc>
          <w:tcPr>
            <w:tcW w:type="dxa" w:w="1559"/>
          </w:tcPr>
          <w:p>
            <w:r>
              <w:rPr>
                <w:sz w:val="20"/>
              </w:rPr>
              <w:t>Insuffisante (formes orales mucolytiques 200 mg seulement, pas de forme IV 10 g)</w:t>
            </w:r>
          </w:p>
        </w:tc>
        <w:tc>
          <w:tcPr>
            <w:tcW w:type="dxa" w:w="1559"/>
          </w:tcPr>
          <w:p>
            <w:r>
              <w:rPr>
                <w:sz w:val="20"/>
              </w:rPr>
              <w:t>Forme IV 10 g antidotique non disponible</w:t>
            </w:r>
          </w:p>
        </w:tc>
      </w:tr>
      <w:tr>
        <w:tc>
          <w:tcPr>
            <w:tcW w:type="dxa" w:w="1559"/>
          </w:tcPr>
          <w:p>
            <w:r>
              <w:rPr>
                <w:sz w:val="20"/>
              </w:rPr>
              <w:t>Folinate de calcium</w:t>
            </w:r>
          </w:p>
        </w:tc>
        <w:tc>
          <w:tcPr>
            <w:tcW w:type="dxa" w:w="1559"/>
          </w:tcPr>
          <w:p>
            <w:r>
              <w:rPr>
                <w:sz w:val="20"/>
              </w:rPr>
              <w:t>Hors liste</w:t>
            </w:r>
          </w:p>
        </w:tc>
        <w:tc>
          <w:tcPr>
            <w:tcW w:type="dxa" w:w="1559"/>
          </w:tcPr>
          <w:p>
            <w:r>
              <w:rPr>
                <w:sz w:val="20"/>
              </w:rPr>
              <w:t>1 (Razifoline 10 mg/mL)</w:t>
            </w:r>
          </w:p>
        </w:tc>
        <w:tc>
          <w:tcPr>
            <w:tcW w:type="dxa" w:w="1559"/>
          </w:tcPr>
          <w:p>
            <w:r>
              <w:rPr>
                <w:sz w:val="20"/>
              </w:rPr>
              <w:t>Oui (Frater-Razes Algérie)</w:t>
            </w:r>
          </w:p>
        </w:tc>
        <w:tc>
          <w:tcPr>
            <w:tcW w:type="dxa" w:w="1559"/>
          </w:tcPr>
          <w:p>
            <w:r>
              <w:rPr>
                <w:sz w:val="20"/>
              </w:rPr>
              <w:t>Complète</w:t>
            </w:r>
          </w:p>
        </w:tc>
        <w:tc>
          <w:tcPr>
            <w:tcW w:type="dxa" w:w="1559"/>
          </w:tcPr>
          <w:p>
            <w:r>
              <w:rPr>
                <w:sz w:val="20"/>
              </w:rPr>
              <w:t>Aucune lacune majeure</w:t>
            </w:r>
          </w:p>
        </w:tc>
      </w:tr>
      <w:tr>
        <w:tc>
          <w:tcPr>
            <w:tcW w:type="dxa" w:w="1559"/>
          </w:tcPr>
          <w:p>
            <w:r>
              <w:rPr>
                <w:sz w:val="20"/>
              </w:rPr>
              <w:t>Phytoménadione</w:t>
            </w:r>
          </w:p>
        </w:tc>
        <w:tc>
          <w:tcPr>
            <w:tcW w:type="dxa" w:w="1559"/>
          </w:tcPr>
          <w:p>
            <w:r>
              <w:rPr>
                <w:sz w:val="20"/>
              </w:rPr>
              <w:t>Liste I</w:t>
            </w:r>
          </w:p>
        </w:tc>
        <w:tc>
          <w:tcPr>
            <w:tcW w:type="dxa" w:w="1559"/>
          </w:tcPr>
          <w:p>
            <w:r>
              <w:rPr>
                <w:sz w:val="20"/>
              </w:rPr>
              <w:t>1 (Razidione K1 10 mg/mL)</w:t>
            </w:r>
          </w:p>
        </w:tc>
        <w:tc>
          <w:tcPr>
            <w:tcW w:type="dxa" w:w="1559"/>
          </w:tcPr>
          <w:p>
            <w:r>
              <w:rPr>
                <w:sz w:val="20"/>
              </w:rPr>
              <w:t>Oui (Frater-Razes Algérie)</w:t>
            </w:r>
          </w:p>
        </w:tc>
        <w:tc>
          <w:tcPr>
            <w:tcW w:type="dxa" w:w="1559"/>
          </w:tcPr>
          <w:p>
            <w:r>
              <w:rPr>
                <w:sz w:val="20"/>
              </w:rPr>
              <w:t>Complète</w:t>
            </w:r>
          </w:p>
        </w:tc>
        <w:tc>
          <w:tcPr>
            <w:tcW w:type="dxa" w:w="1559"/>
          </w:tcPr>
          <w:p>
            <w:r>
              <w:rPr>
                <w:sz w:val="20"/>
              </w:rPr>
              <w:t>Aucune lacune majeure</w:t>
            </w:r>
          </w:p>
        </w:tc>
      </w:tr>
      <w:tr>
        <w:tc>
          <w:tcPr>
            <w:tcW w:type="dxa" w:w="1559"/>
          </w:tcPr>
          <w:p>
            <w:r>
              <w:rPr>
                <w:sz w:val="20"/>
              </w:rPr>
              <w:t>PCC</w:t>
            </w:r>
          </w:p>
        </w:tc>
        <w:tc>
          <w:tcPr>
            <w:tcW w:type="dxa" w:w="1559"/>
          </w:tcPr>
          <w:p>
            <w:r>
              <w:rPr>
                <w:sz w:val="20"/>
              </w:rPr>
              <w:t>Liste I</w:t>
            </w:r>
          </w:p>
        </w:tc>
        <w:tc>
          <w:tcPr>
            <w:tcW w:type="dxa" w:w="1559"/>
          </w:tcPr>
          <w:p>
            <w:r>
              <w:rPr>
                <w:sz w:val="20"/>
              </w:rPr>
              <w:t>1 (Octaplex 500 UI)</w:t>
            </w:r>
          </w:p>
        </w:tc>
        <w:tc>
          <w:tcPr>
            <w:tcW w:type="dxa" w:w="1559"/>
          </w:tcPr>
          <w:p>
            <w:r>
              <w:rPr>
                <w:sz w:val="20"/>
              </w:rPr>
              <w:t>Non (Octapharma Autriche)</w:t>
            </w:r>
          </w:p>
        </w:tc>
        <w:tc>
          <w:tcPr>
            <w:tcW w:type="dxa" w:w="1559"/>
          </w:tcPr>
          <w:p>
            <w:r>
              <w:rPr>
                <w:sz w:val="20"/>
              </w:rPr>
              <w:t>Complète mais dispendieuse (300-500 €/flacon)</w:t>
            </w:r>
          </w:p>
        </w:tc>
        <w:tc>
          <w:tcPr>
            <w:tcW w:type="dxa" w:w="1559"/>
          </w:tcPr>
          <w:p>
            <w:r>
              <w:rPr>
                <w:sz w:val="20"/>
              </w:rPr>
              <w:t>Coût élevé, nécessité de production locale</w:t>
            </w:r>
          </w:p>
        </w:tc>
      </w:tr>
      <w:tr>
        <w:tc>
          <w:tcPr>
            <w:tcW w:type="dxa" w:w="1559"/>
          </w:tcPr>
          <w:p>
            <w:r>
              <w:rPr>
                <w:sz w:val="20"/>
              </w:rPr>
              <w:t>Glucagon</w:t>
            </w:r>
          </w:p>
        </w:tc>
        <w:tc>
          <w:tcPr>
            <w:tcW w:type="dxa" w:w="1559"/>
          </w:tcPr>
          <w:p>
            <w:r>
              <w:rPr>
                <w:sz w:val="20"/>
              </w:rPr>
              <w:t>Liste I</w:t>
            </w:r>
          </w:p>
        </w:tc>
        <w:tc>
          <w:tcPr>
            <w:tcW w:type="dxa" w:w="1559"/>
          </w:tcPr>
          <w:p>
            <w:r>
              <w:rPr>
                <w:sz w:val="20"/>
              </w:rPr>
              <w:t>1 (Glucagen Hypokit 1 mg/mL)</w:t>
            </w:r>
          </w:p>
        </w:tc>
        <w:tc>
          <w:tcPr>
            <w:tcW w:type="dxa" w:w="1559"/>
          </w:tcPr>
          <w:p>
            <w:r>
              <w:rPr>
                <w:sz w:val="20"/>
              </w:rPr>
              <w:t>Non (Novo Nordisk Danemark)</w:t>
            </w:r>
          </w:p>
        </w:tc>
        <w:tc>
          <w:tcPr>
            <w:tcW w:type="dxa" w:w="1559"/>
          </w:tcPr>
          <w:p>
            <w:r>
              <w:rPr>
                <w:sz w:val="20"/>
              </w:rPr>
              <w:t>Complète</w:t>
            </w:r>
          </w:p>
        </w:tc>
        <w:tc>
          <w:tcPr>
            <w:tcW w:type="dxa" w:w="1559"/>
          </w:tcPr>
          <w:p>
            <w:r>
              <w:rPr>
                <w:sz w:val="20"/>
              </w:rPr>
              <w:t>Aucune lacune majeure</w:t>
            </w:r>
          </w:p>
        </w:tc>
      </w:tr>
      <w:tr>
        <w:tc>
          <w:tcPr>
            <w:tcW w:type="dxa" w:w="1559"/>
          </w:tcPr>
          <w:p>
            <w:r>
              <w:rPr>
                <w:sz w:val="20"/>
              </w:rPr>
              <w:t>Calcium (toxicologie)</w:t>
            </w:r>
          </w:p>
        </w:tc>
        <w:tc>
          <w:tcPr>
            <w:tcW w:type="dxa" w:w="1559"/>
          </w:tcPr>
          <w:p>
            <w:r>
              <w:rPr>
                <w:sz w:val="20"/>
              </w:rPr>
              <w:t>Hors liste</w:t>
            </w:r>
          </w:p>
        </w:tc>
        <w:tc>
          <w:tcPr>
            <w:tcW w:type="dxa" w:w="1559"/>
          </w:tcPr>
          <w:p>
            <w:r>
              <w:rPr>
                <w:sz w:val="20"/>
              </w:rPr>
              <w:t>1 (Calcipack chlorure Ca 10 g/100 mL)</w:t>
            </w:r>
          </w:p>
        </w:tc>
        <w:tc>
          <w:tcPr>
            <w:tcW w:type="dxa" w:w="1559"/>
          </w:tcPr>
          <w:p>
            <w:r>
              <w:rPr>
                <w:sz w:val="20"/>
              </w:rPr>
              <w:t>Oui (IMC Algérie)</w:t>
            </w:r>
          </w:p>
        </w:tc>
        <w:tc>
          <w:tcPr>
            <w:tcW w:type="dxa" w:w="1559"/>
          </w:tcPr>
          <w:p>
            <w:r>
              <w:rPr>
                <w:sz w:val="20"/>
              </w:rPr>
              <w:t>Complète</w:t>
            </w:r>
          </w:p>
        </w:tc>
        <w:tc>
          <w:tcPr>
            <w:tcW w:type="dxa" w:w="1559"/>
          </w:tcPr>
          <w:p>
            <w:r>
              <w:rPr>
                <w:sz w:val="20"/>
              </w:rPr>
              <w:t>Aucune lacune majeure</w:t>
            </w:r>
          </w:p>
        </w:tc>
      </w:tr>
      <w:tr>
        <w:tc>
          <w:tcPr>
            <w:tcW w:type="dxa" w:w="1559"/>
          </w:tcPr>
          <w:p>
            <w:r>
              <w:rPr>
                <w:sz w:val="20"/>
              </w:rPr>
              <w:t>Atropine</w:t>
            </w:r>
          </w:p>
        </w:tc>
        <w:tc>
          <w:tcPr>
            <w:tcW w:type="dxa" w:w="1559"/>
          </w:tcPr>
          <w:p>
            <w:r>
              <w:rPr>
                <w:sz w:val="20"/>
              </w:rPr>
              <w:t>Liste I (collyre)</w:t>
            </w:r>
          </w:p>
        </w:tc>
        <w:tc>
          <w:tcPr>
            <w:tcW w:type="dxa" w:w="1559"/>
          </w:tcPr>
          <w:p>
            <w:r>
              <w:rPr>
                <w:sz w:val="20"/>
              </w:rPr>
              <w:t>0 (forme IV) — collyre uniquement</w:t>
            </w:r>
          </w:p>
        </w:tc>
        <w:tc>
          <w:tcPr>
            <w:tcW w:type="dxa" w:w="1559"/>
          </w:tcPr>
          <w:p>
            <w:r>
              <w:rPr>
                <w:sz w:val="20"/>
              </w:rPr>
              <w:t>Non (collyre par Amman, Gencopharm Jordanie)</w:t>
            </w:r>
          </w:p>
        </w:tc>
        <w:tc>
          <w:tcPr>
            <w:tcW w:type="dxa" w:w="1559"/>
          </w:tcPr>
          <w:p>
            <w:r>
              <w:rPr>
                <w:sz w:val="20"/>
              </w:rPr>
              <w:t>Insuffisante (pas de forme IV 1 mg/mL antidotique)</w:t>
            </w:r>
          </w:p>
        </w:tc>
        <w:tc>
          <w:tcPr>
            <w:tcW w:type="dxa" w:w="1559"/>
          </w:tcPr>
          <w:p>
            <w:r>
              <w:rPr>
                <w:sz w:val="20"/>
              </w:rPr>
              <w:t>Forme IV 1 mg/mL antidotique à mettre à disposition</w:t>
            </w:r>
          </w:p>
        </w:tc>
      </w:tr>
      <w:tr>
        <w:tc>
          <w:tcPr>
            <w:tcW w:type="dxa" w:w="1559"/>
          </w:tcPr>
          <w:p>
            <w:r>
              <w:rPr>
                <w:sz w:val="20"/>
              </w:rPr>
              <w:t>Bleu de méthylène</w:t>
            </w:r>
          </w:p>
        </w:tc>
        <w:tc>
          <w:tcPr>
            <w:tcW w:type="dxa" w:w="1559"/>
          </w:tcPr>
          <w:p>
            <w:r>
              <w:rPr>
                <w:sz w:val="20"/>
              </w:rPr>
              <w:t>Hors liste</w:t>
            </w:r>
          </w:p>
        </w:tc>
        <w:tc>
          <w:tcPr>
            <w:tcW w:type="dxa" w:w="1559"/>
          </w:tcPr>
          <w:p>
            <w:r>
              <w:rPr>
                <w:sz w:val="20"/>
              </w:rPr>
              <w:t>1 (solution usage externe 0,01 %)</w:t>
            </w:r>
          </w:p>
        </w:tc>
        <w:tc>
          <w:tcPr>
            <w:tcW w:type="dxa" w:w="1559"/>
          </w:tcPr>
          <w:p>
            <w:r>
              <w:rPr>
                <w:sz w:val="20"/>
              </w:rPr>
              <w:t>Oui (Rhumel Pharm Algérie)</w:t>
            </w:r>
          </w:p>
        </w:tc>
        <w:tc>
          <w:tcPr>
            <w:tcW w:type="dxa" w:w="1559"/>
          </w:tcPr>
          <w:p>
            <w:r>
              <w:rPr>
                <w:sz w:val="20"/>
              </w:rPr>
              <w:t>Insuffisante (forme IV 5 mg/mL non disponible)</w:t>
            </w:r>
          </w:p>
        </w:tc>
        <w:tc>
          <w:tcPr>
            <w:tcW w:type="dxa" w:w="1559"/>
          </w:tcPr>
          <w:p>
            <w:r>
              <w:rPr>
                <w:sz w:val="20"/>
              </w:rPr>
              <w:t>Forme IV 5 mg/mL antidotique à mettre à disposition</w:t>
            </w:r>
          </w:p>
        </w:tc>
      </w:tr>
      <w:tr>
        <w:tc>
          <w:tcPr>
            <w:tcW w:type="dxa" w:w="1559"/>
          </w:tcPr>
          <w:p>
            <w:r>
              <w:rPr>
                <w:sz w:val="20"/>
              </w:rPr>
              <w:t>Oxygène</w:t>
            </w:r>
          </w:p>
        </w:tc>
        <w:tc>
          <w:tcPr>
            <w:tcW w:type="dxa" w:w="1559"/>
          </w:tcPr>
          <w:p>
            <w:r>
              <w:rPr>
                <w:sz w:val="20"/>
              </w:rPr>
              <w:t>Liste I</w:t>
            </w:r>
          </w:p>
        </w:tc>
        <w:tc>
          <w:tcPr>
            <w:tcW w:type="dxa" w:w="1559"/>
          </w:tcPr>
          <w:p>
            <w:r>
              <w:rPr>
                <w:sz w:val="20"/>
              </w:rPr>
              <w:t>11 spécialités (bouteilles B5/B50, citernes LOX)</w:t>
            </w:r>
          </w:p>
        </w:tc>
        <w:tc>
          <w:tcPr>
            <w:tcW w:type="dxa" w:w="1559"/>
          </w:tcPr>
          <w:p>
            <w:r>
              <w:rPr>
                <w:sz w:val="20"/>
              </w:rPr>
              <w:t>Oui majoritaire (Aures, Sidal, GI, Rayanox)</w:t>
            </w:r>
          </w:p>
        </w:tc>
        <w:tc>
          <w:tcPr>
            <w:tcW w:type="dxa" w:w="1559"/>
          </w:tcPr>
          <w:p>
            <w:r>
              <w:rPr>
                <w:sz w:val="20"/>
              </w:rPr>
              <w:t>Complète normobare ; OHB non disponible</w:t>
            </w:r>
          </w:p>
        </w:tc>
        <w:tc>
          <w:tcPr>
            <w:tcW w:type="dxa" w:w="1559"/>
          </w:tcPr>
          <w:p>
            <w:r>
              <w:rPr>
                <w:sz w:val="20"/>
              </w:rPr>
              <w:t>Centre hyperbare public à équiper</w:t>
            </w:r>
          </w:p>
        </w:tc>
      </w:tr>
    </w:tbl>
    <w:p/>
    <w:p>
      <w:pPr>
        <w:pStyle w:val="Heading2"/>
      </w:pPr>
      <w:r>
        <w:t>191.22 Synthèse transversale et conclusions pédagogiques</w:t>
      </w:r>
    </w:p>
    <w:p>
      <w:pPr>
        <w:pStyle w:val="Heading3"/>
      </w:pPr>
      <w:r>
        <w:t>191.22.1 Architecture commune des dix antidotes</w:t>
      </w:r>
    </w:p>
    <w:p>
      <w:r>
        <w:t>Les dix antidotes d'urgence traités dans ce chapitre 191 partagent une architecture pharmacologique commune qui structure la pensée toxicologique moderne. Chacun répond à un mécanisme antidotique distinct que l'on peut classer en cinq grandes catégories : (i) antagonisme compétitif récepteur-spécifique (naloxone → opioïdes, atropine → muscariniques, flumazénil → benzodiazépines) ; (ii) restauration d'un cofacteur enzymatique déficient (NAC → glutathion pour detoxifier NAPQI, folinate → tétrahydrofolates pour bypass DHFR bloquée par MTX, phytoménadione → γ-carboxylation des facteurs vit K-dépendants, calcium → stabilisation membranaire) ; (iii) apport substitutif d'un facteur déficient (PCC → facteurs II, VII, IX, X ; oxygène → O2 dissous) ; (iv) bypass d'un récepteur bloqué par activation alternative (glucagon → adénylate cyclase indépendante du récepteur β-bloqué) ; (v) transformation chimique d'un métabolite toxique (bleu de méthylène → réduction de la méthémoglobine en hémoglobine, oxygène → déplacement du CO de l'hémoglobine). Cette typologie permet à l'étudiant en pharmacie et au médecin prescripteur de raisonner selon un schéma standardisé face à une intoxication : identifier la cible moléculaire du toxique, choisir l'antidote qui restaure la fonction perturbée, administrer selon la pharmacocinétique spécifique, surveiller la réversibilité et prévenir la récidive.</w:t>
      </w:r>
    </w:p>
    <w:p>
      <w:pPr>
        <w:pStyle w:val="Heading3"/>
      </w:pPr>
      <w:r>
        <w:t>191.22.2 Hiérarchisation des antidotes selon l'urgence vitale</w:t>
      </w:r>
    </w:p>
    <w:p>
      <w:r>
        <w:t xml:space="preserve">Les dix antidotes peuvent être hiérarchisés selon trois niveaux d'urgence vitale. </w:t>
      </w:r>
      <w:r>
        <w:rPr>
          <w:b/>
        </w:rPr>
        <w:t>Niveau 1 — Antidotes de réanimation immédiate (administrer dans les 1-5 minutes)</w:t>
      </w:r>
      <w:r>
        <w:t xml:space="preserve"> : naloxone (apnée opioïde), atropine (bradycasystole organophosphorée), calcium (arrêt cardiaque par antagoniste calcique ou hyperkaliémie), oxygène à 100 % (intoxication CO). Ces antidotes doivent être disponibles immédiatement dans tout service d'urgences, de SMUR, de réanimation et d'anesthésie. </w:t>
      </w:r>
      <w:r>
        <w:rPr>
          <w:b/>
        </w:rPr>
        <w:t>Niveau 2 — Antidotes d'urgence différée (administrer dans les 30-120 minutes)</w:t>
      </w:r>
      <w:r>
        <w:t xml:space="preserve"> : NAC (intoxication paracétamol &lt; 8 h), PCC (hémorragie sous AVK), glucagon (β-bloquant mal supporté), bleu de méthylène (MetHb &gt; 30 %). Ces antidotes nécessitent une mise à disposition dans les 30-60 minutes, donc stockés en pharmacie à usage intérieur (PUI) et délivrés sur protocole. </w:t>
      </w:r>
      <w:r>
        <w:rPr>
          <w:b/>
        </w:rPr>
        <w:t>Niveau 3 — Antidotes de sauvetage secondaire (administrer dans les 6-24 heures)</w:t>
      </w:r>
      <w:r>
        <w:t xml:space="preserve"> : folinate de calcium (rescue MTX), phytoménadione per os (INR &lt; 5 sans saignement), oxygénothérapie prolongée (intoxication CO résiduelle). Ces antidotes peuvent être délivrés sur prescription médicale standard, avec délai de dispensation acceptable.</w:t>
      </w:r>
    </w:p>
    <w:p>
      <w:pPr>
        <w:pStyle w:val="Heading3"/>
      </w:pPr>
      <w:r>
        <w:t>191.22.3 Disponibilité et lacunes du marché algérien</w:t>
      </w:r>
    </w:p>
    <w:p>
      <w:r>
        <w:t>L'analyse des 11 spécialités algériennes actives (sur 60 entrées totales recensées dans la nomenclature Avril 2026) révèle un marché partiellement couvert, avec trois lacunes majeures à combler : (i) absence d'atropine injectable IV antidotique (1 mg/mL en ampoules de 5-10 mL), les collyres à 0,005 % et 0,01 % disponibles étant inadaptés à l'urgence toxicologique (la dose antidotique d'atropine en intoxication organophosphorée peut atteindre 100 mg/24 h, soit l'équivalent de 10 000 flacons de collyre à 0,01 %) ; (ii) absence de bleu de méthylène injectable IV antidotique (5 mg/mL en ampoules de 10 mL), la solution pour usage externe 0,01 % disponible étant 500 à 1 000 fois trop diluée pour l'usage IV ; (iii) absence de centre d'oxygénothérapie hyperbare (caisson multiplace) clairement répertorié comme centre public de référence en Algérie, alors que l'OHB à 2,5 ATA est le traitement de référence des intoxications au CO graves (perte de connaissance, signes neurologiques, grossesse, COHb &gt; 25 %), des accidents de décompression, des embolies gazeuses iatrogènes et de certaines gangrènes gazeuses. La correction de ces trois lacunes doit être une priorité de santé publique toxicologique, en particulier pour la naloxone (extension de la dispensation aux pharmaciens d'offine et aux associations de réduction des risques) et pour l'OHB (équipement d'au moins un centre hyperbare public à Alger, avec antennes à Oran et Constantine). Les autres antidotes (NAC, folinate, phytoménadione, PCC, glucagon, calcium, oxygène normobare) sont disponibles en Algérie à des niveaux de couverture acceptables, malgré des vulnérabilités d'approvisionnement international (Naloxone Mylan, Octaplex, Glucagen) qui plaident pour une production locale renforcée.</w:t>
      </w:r>
    </w:p>
    <w:p>
      <w:pPr>
        <w:pStyle w:val="Heading3"/>
      </w:pPr>
      <w:r>
        <w:t>191.22.4 Place de l'éducation thérapeutique et de la prévention</w:t>
      </w:r>
    </w:p>
    <w:p>
      <w:r>
        <w:t>L'éducation thérapeutique du patient et de son entourage occupe une place essentielle dans la prise en charge des intoxications, en complément de l'administration de l'antidote. Quatre axes prioritaires se dégagent : (i) prévention primaire (information sur les risques toxiques des produits domestiques, médicamenteux, industriels, agricoles ; entretien annuel des chaudières et des appareils à combustion ; détecteurs de CO ; stockage sécurisé des médicaments et des produits toxiques hors de portée des enfants) ; (ii) prévention secondaire (dépistage précoce des intoxications, formation des professionnels de santé à la reconnaissance des syndromes toxiques, protocoles de prise en charge préhospitalière) ; (iii) prévention tertiaire (suivi post-intoxication, dépistage des complications retardées comme le syndrome post-CO, l'insuffisance hépatique post-paracétamol, la neuropathie post-organophosphorés, la Parkinson post-CO, le syndrome post-réanimation) ; (iv) prévention de la récidive (adressage addictologique en cas de tentative de suicide, prise en charge psychiatrique, programmes de substitution opioïde, naloxone « take-home » en réduction des risques). L'implication du pharmacien d'offine comme premier recours en toxicologie domestique (conseils téléphoniques, orientation vers le centre antipoison, délivrance d'urgence de charbon activé) et comme acteur de la pharmacovigilance doit être renforcée, en particulier dans les zones rurales mal couvertes par les structures hospitalières.</w:t>
      </w:r>
    </w:p>
    <w:p>
      <w:pPr>
        <w:pStyle w:val="Heading3"/>
      </w:pPr>
      <w:r>
        <w:t>191.22.5 Références et sources bibliographiques</w:t>
      </w:r>
    </w:p>
    <w:p>
      <w:r>
        <w:t>Les sources utilisées pour la rédaction de ce chapitre 191 comprennent : (i) les références réglementaires algériennes (nomenclature des médicaments Avril 2026, Direction de la Pharmacie et des Médicaments du Ministère de la Santé) ; (ii) les bases de données pharmaceutiques internationales (VIDAL, Thériaque, RCP ANSM, Summary of Product Characteristics EMA, DailyMed FDA) ; (iii) les bases toxicologiques spécialisées (TOXINZ, Poisindex, Centres Antipoison français et belges) ; (iv) les recommandations des sociétés savantes (Société de Réanimation de Langue Française SRLF, Société Française de Toxicologie Analytique SFTA, Société de Toxicologie Clinique STC, European Association of Poisons Centres and Clinical Toxicologists EAPCCT, American Academy of Clinical Toxicology AACT) ; (v) les données CRAT (Centre de Renseignement sur les Agents Tératogènes, Hôpital Armand-Trousseau, Paris) pour la grossesse et l'allaitement ; (vi) les recommandations de l'OMS (WHO Model List of Essential Medicines 22ᵉ liste 2023, Guidelines for the Treatment of Paracetamol Overdose, Oxygen Task Force) ; (vii) les références classiques de toxicologie clinique (Goldfrank's Toxicologic Emergencies 11ᵉ édition 2019, Ellenhorn's Medical Toxicology 2ᵉ édition 1997, Shannon et al. Haddad and Winchester's Clinical Management of Poisoning and Drug Overdose 4ᵉ édition 2007, Mégarbane B. Réanimation des intoxications aiguës 3ᵉ édition 2017). Les protocoles d'oxygénothérapie hyperbare et de réanimation toxicologique s'appuient sur les recommandations de l'European Committee for Hyperbaric Medicine (ECHM) et de l'Undersea and Hyperbaric Medical Society (UHMS).</w:t>
      </w:r>
    </w:p>
    <w:p>
      <w:pPr>
        <w:pStyle w:val="Heading3"/>
      </w:pPr>
      <w:r>
        <w:t>191.22.6 Conclusion du chapitre 191</w:t>
      </w:r>
    </w:p>
    <w:p>
      <w:r>
        <w:t>Le chapitre 191 a présenté dix antidotes d'urgence qui constituent le socle pharmacologique de la toxicologie clinique moderne. Chaque molécule a été traitée selon une grille de lecture standardisée en onze sections, intégrant les spécificités réglementaires algériennes, les mécanismes moléculaires, les profils pharmacocinétiques, les indications et contre-indications, les effets indésirables et leur prévention, les interactions médicamenteuses, les données de grossesse et d'allaitement du CRAT, les posologies détaillées par indication, les formes galéniques disponibles, les conseils au patient et les pièges au comptoir regroupés en règles d'or pédagogiques. Le tableau comparatif synthétique permet une vision transversale des dix molécules, utile à la décision clinique en urgence. La synthèse transversale finale met en lumière les lacunes du marché algérien (atropine IV, bleu de méthylène IV, centre hyperbare public) qui doivent être comblées par une politique volontariste de santé publique toxicologique. L'étudiant en pharmacie trouvera dans ce chapitre la matière pour aborder l'épreuve de pharmacologie clinique et de toxicologie, et le médecin prescripteur un guide pratique pour la prise en charge des urgences toxiques au lit du patient.</w:t>
      </w:r>
    </w:p>
    <w:p>
      <w:pPr>
        <w:pStyle w:val="Heading1"/>
      </w:pPr>
      <w:r>
        <w:t>Chapitre 192 — Chélateurs de métaux lourds</w:t>
      </w:r>
    </w:p>
    <w:p>
      <w:pPr>
        <w:pStyle w:val="Heading2"/>
      </w:pPr>
      <w:r>
        <w:t>Fascicule XX — Toxicologie</w:t>
      </w:r>
    </w:p>
    <w:p>
      <w:pPr>
        <w:pStyle w:val="Heading2"/>
      </w:pPr>
      <w:r>
        <w:t>192.0 Introduction au chapitre 192</w:t>
      </w:r>
    </w:p>
    <w:p>
      <w:r>
        <w:t xml:space="preserve">Le chapitre 192 du Fascicule XX poursuit l'exploration de la pharmacologie toxicologique entamée au chapitre 191 (antidotes d'urgence) en abordant une classe thérapeutique particulière, à la croisée de la toxicologie aiguë et de la pharmacologie chronique : les </w:t>
      </w:r>
      <w:r>
        <w:rPr>
          <w:b/>
        </w:rPr>
        <w:t>chélateurs de métaux lourds</w:t>
      </w:r>
      <w:r>
        <w:t xml:space="preserve">. À la différence des antidotes réceptoriels (naloxone), enzymatiques (N-acétylcystéine), ou coagulants (vitamine K, PCC) traités au chapitre précédent, les chélateurs agissent non pas en antagonisant un poison au niveau d'une cible pharmacodynamique, mais en </w:t>
      </w:r>
      <w:r>
        <w:rPr>
          <w:b/>
        </w:rPr>
        <w:t>séquestrant physiquement</w:t>
      </w:r>
      <w:r>
        <w:t xml:space="preserve"> un ion métallique toxique au sein d'un complexe stable, inactif pharmacologiquement, et destiné à être excrété — principalement par voie rénale ou biliaire. Cette logique thérapeutique — la </w:t>
      </w:r>
      <w:r>
        <w:rPr>
          <w:b/>
        </w:rPr>
        <w:t>complexation chimique</w:t>
      </w:r>
      <w:r>
        <w:t xml:space="preserve"> d'un poison — représente un cas particulier de l'antagonisme toxicologique, où l'objectif n'est pas de neutraliser les effets du toxique sur l'organisme mais d'accélérer son élimination de l'organisme, en interrompant le cycle d'accumulation tissulaire qui sous-tend la toxicité chronique.</w:t>
      </w:r>
    </w:p>
    <w:p>
      <w:r>
        <w:t xml:space="preserve">Le concept de chélation trouve ses racines historiques dans les travaux du chimiste allemand Alfred Werner (Prix Nobel de chimie 1913) sur les complexes de coordination, puis dans les travaux de Georg Schwartzenbach (Zurich, années 1940) sur l'EDTA (acide éthylènediaminetéacétique) et les polyaminocarboxylates. La première application thérapeutique majeure a été le développement du </w:t>
      </w:r>
      <w:r>
        <w:rPr>
          <w:b/>
        </w:rPr>
        <w:t>dimercaprol (BAL, British Anti-Lewisite)</w:t>
      </w:r>
      <w:r>
        <w:t xml:space="preserve"> par les biochimistes britanniques Peters, Stocken et Thompson à Oxford en 1940, en réponse à la menace d'armes chimiques à base d'arsenic (lewisite, ypérite arsenicale) employées pendant la Seconde Guerre mondiale. Le dimercaprol, composé dithiol, a été conçu pour « capturer » l'arsenic par ses deux groupements -SH, formant un complexe stable et excrétable — premier chélateur moderne de l'arsenal thérapeutique. Par la suite, d'autres chélateurs ont été développés pour répondre à des besoins cliniques spécifiques : la </w:t>
      </w:r>
      <w:r>
        <w:rPr>
          <w:b/>
        </w:rPr>
        <w:t>déféroxamine</w:t>
      </w:r>
      <w:r>
        <w:t xml:space="preserve"> (isolée en 1960 par Bickel et coll. à partir de </w:t>
      </w:r>
      <w:r>
        <w:rPr>
          <w:i/>
        </w:rPr>
        <w:t>Streptomyces pilosus</w:t>
      </w:r>
      <w:r>
        <w:t xml:space="preserve">, un actinomycète du sol) pour traiter les surcharges martiales de l'hémochromatose post-transfusionnelle de la thalassémie majeure ; le </w:t>
      </w:r>
      <w:r>
        <w:rPr>
          <w:b/>
        </w:rPr>
        <w:t>déférasirox</w:t>
      </w:r>
      <w:r>
        <w:t xml:space="preserve"> (Novartis, 2005, première chélation orale du fer) et la </w:t>
      </w:r>
      <w:r>
        <w:rPr>
          <w:b/>
        </w:rPr>
        <w:t>défériprome</w:t>
      </w:r>
      <w:r>
        <w:t xml:space="preserve"> (Apotex, 1999) pour faciliter l'observance des chélateurs oraux dans les hémochromatoses chroniques.</w:t>
      </w:r>
    </w:p>
    <w:p>
      <w:r>
        <w:t xml:space="preserve">Sur le plan épidémiologique, les indications des chélateurs couvrent trois grandes catégories de pathologies. </w:t>
      </w:r>
      <w:r>
        <w:rPr>
          <w:b/>
        </w:rPr>
        <w:t>Premièrement</w:t>
      </w:r>
      <w:r>
        <w:t xml:space="preserve">, les intoxications aiguës par métaux lourds — empoisonnement arsenical (pesticides agricoles, contrefaçon d'alcool à base d'arsenic), intoxication mercurielle (vapeurs de mercure, composés organomercuriels), intoxication par le fer (surdosage médicamenteux accidentel pédiatrique) — relèvent de l'urgence toxicologique hospitalière (centre antipoison, réanimation). </w:t>
      </w:r>
      <w:r>
        <w:rPr>
          <w:b/>
        </w:rPr>
        <w:t>Deuxièmement</w:t>
      </w:r>
      <w:r>
        <w:t xml:space="preserve">, les surcharges chroniques en fer — thalassémies majeures (β-thalassémie homozygote, syndrome thalassémique intermédiaire), drépanocytose polytransfusée, myélodysplasies nécessitant un support transfusionnel chronique, hémochromatose génétique non traitée par saignée — représentent le volume d'utilisation le plus important des chélateurs, notamment en pédiatrie hémato-oncologique. </w:t>
      </w:r>
      <w:r>
        <w:rPr>
          <w:b/>
        </w:rPr>
        <w:t>Troisièmement</w:t>
      </w:r>
      <w:r>
        <w:t xml:space="preserve">, les surcharges en cuivre de la maladie de Wilson (déficit en céruléoplasmine), historiquement traitées par la </w:t>
      </w:r>
      <w:r>
        <w:rPr>
          <w:b/>
        </w:rPr>
        <w:t>pénicillamine</w:t>
      </w:r>
      <w:r>
        <w:t xml:space="preserve"> ou le </w:t>
      </w:r>
      <w:r>
        <w:rPr>
          <w:b/>
        </w:rPr>
        <w:t>trientine</w:t>
      </w:r>
      <w:r>
        <w:t xml:space="preserve"> (non disponibles en Algérie).</w:t>
      </w:r>
    </w:p>
    <w:p>
      <w:r/>
      <w:r>
        <w:rPr>
          <w:b/>
        </w:rPr>
        <w:t>Le marché algérien des chélateurs présente plusieurs particularités critiques</w:t>
      </w:r>
      <w:r>
        <w:t xml:space="preserve"> qu'il convient de signaler d'emblée au lecteur. </w:t>
      </w:r>
      <w:r>
        <w:rPr>
          <w:b/>
        </w:rPr>
        <w:t>(1) La déféroxamine</w:t>
      </w:r>
      <w:r>
        <w:t xml:space="preserve"> (DESFERAL, Novartis Pharma Schweiz AG) est disponible en poudre pour solution injectable 500 mg, en Liste I, avec un conditionnement boîte de 1 flacon + 1 ampoule de solvant. Une seconde spécialité, </w:t>
      </w:r>
      <w:r>
        <w:rPr>
          <w:b/>
        </w:rPr>
        <w:t>TALIFER</w:t>
      </w:r>
      <w:r>
        <w:t xml:space="preserve"> (Lemery SA de CV, Mexico), a été retirée du marché algérien. </w:t>
      </w:r>
      <w:r>
        <w:rPr>
          <w:b/>
        </w:rPr>
        <w:t>(2) Le déférasirox</w:t>
      </w:r>
      <w:r>
        <w:t xml:space="preserve"> (5 spécialités actives : CAPTAFER Inpha-Medis, DEFEROX Hikma Pharma Algeria, EXJADE Novartis, KAPTIRON Laboratoires Beker, KELOSIROX El Kendi) en comprimé orodispersible aux dosages 125 mg, 250 mg et 500 mg, Liste I, est l'illustration d'un marché algérien fortement concurrentiel avec production locale majoritaire (4 laboratoires sur 5 produisent en Algérie). </w:t>
      </w:r>
      <w:r>
        <w:rPr>
          <w:b/>
        </w:rPr>
        <w:t>(3) La défériprome</w:t>
      </w:r>
      <w:r>
        <w:t xml:space="preserve"> (KELFER-250 gélule et KELFER-500 comprimé enrobé, Cipla Limited, Inde) est disponible en importation. </w:t>
      </w:r>
      <w:r>
        <w:rPr>
          <w:b/>
        </w:rPr>
        <w:t>(4) Le dimercaprol (BAL)</w:t>
      </w:r>
      <w:r>
        <w:t xml:space="preserve"> est </w:t>
      </w:r>
      <w:r>
        <w:rPr>
          <w:b/>
        </w:rPr>
        <w:t>absent</w:t>
      </w:r>
      <w:r>
        <w:t xml:space="preserve"> de la nomenclature algérienne des médicaments à la date d'avril 2026. Cette absence est un fait clinique et réglementaire critique, qui contraint les praticiens algériens confrontés à une intoxication arsenicale ou mercurielle aiguë à recourir à des alternatives : le </w:t>
      </w:r>
      <w:r>
        <w:rPr>
          <w:b/>
        </w:rPr>
        <w:t>DMSA (acide dimercaptosuccinique, succimer)</w:t>
      </w:r>
      <w:r>
        <w:t xml:space="preserve"> et le </w:t>
      </w:r>
      <w:r>
        <w:rPr>
          <w:b/>
        </w:rPr>
        <w:t>DMPS (acide dimercaptopropanesulfonique, unithiol)</w:t>
      </w:r>
      <w:r>
        <w:t xml:space="preserve">, chélateurs modernes de l'arsenic et du mercure, sont également </w:t>
      </w:r>
      <w:r>
        <w:rPr>
          <w:b/>
        </w:rPr>
        <w:t>absents</w:t>
      </w:r>
      <w:r>
        <w:t xml:space="preserve"> du marché algérien. Cette pénurie d'arsenal impose le recours à la </w:t>
      </w:r>
      <w:r>
        <w:rPr>
          <w:b/>
        </w:rPr>
        <w:t>procédure d'autorisation temporaire d'utilisation (ATU)</w:t>
      </w:r>
      <w:r>
        <w:t>, à l'importation exceptionnelle de dimercaprol par les centres antipoison, ou à la prise en charge symptomatique et supportive.</w:t>
      </w:r>
    </w:p>
    <w:p>
      <w:pPr>
        <w:pStyle w:val="Heading2"/>
      </w:pPr>
      <w:r>
        <w:t>192.1 Sous-classe 1 — Chélateurs métaux lourds : Fer (voie parentérale)</w:t>
      </w:r>
    </w:p>
    <w:p>
      <w:pPr>
        <w:pStyle w:val="Heading3"/>
      </w:pPr>
      <w:r>
        <w:t>192.1.0 Introduction à la sous-classe des chélateurs parentéraux du fer</w:t>
      </w:r>
    </w:p>
    <w:p>
      <w:r>
        <w:t xml:space="preserve">Les chélateurs parentéraux du fer constituent la </w:t>
      </w:r>
      <w:r>
        <w:rPr>
          <w:b/>
        </w:rPr>
        <w:t>pierre angulaire historique</w:t>
      </w:r>
      <w:r>
        <w:t xml:space="preserve"> de la prise en charge des surcharges martiales sévères et de l'intoxication aiguë par le fer. Leur développement remonte à 1960, lorsque les chercheurs de la firme Ciba (aujourd'hui Novartis) ont isolé à partir d'un actinomycète du sol, </w:t>
      </w:r>
      <w:r>
        <w:rPr>
          <w:i/>
        </w:rPr>
        <w:t>Streptomyces pilosus</w:t>
      </w:r>
      <w:r>
        <w:t xml:space="preserve">, une molécule dotée d'une affinité exceptionnelle pour le fer ferrique (Fe3+) : la </w:t>
      </w:r>
      <w:r>
        <w:rPr>
          <w:b/>
        </w:rPr>
        <w:t>déféroxamine B</w:t>
      </w:r>
      <w:r>
        <w:t xml:space="preserve"> (DFO, DESFERAL). Cette découverte a transformé le pronostic de la β-thalassémie majeure — auparavant constamment létale à l'adolescence par cardiomyopathie siderotique — en une maladie chronique compatible avec une survie prolongée jusqu'à l'âge adulte et au-delà. La déféroxamine reste, plus de six décennies après sa mise sur le marché, le chélateur de référence dans deux indications critiques : (1) </w:t>
      </w:r>
      <w:r>
        <w:rPr>
          <w:b/>
        </w:rPr>
        <w:t>l'intoxication aiguë par le fer</w:t>
      </w:r>
      <w:r>
        <w:t xml:space="preserve"> (urgence pédiatrique vitale, en complément du lavage gastrique et de la réanimation) ; (2) la </w:t>
      </w:r>
      <w:r>
        <w:rPr>
          <w:b/>
        </w:rPr>
        <w:t>surcharge martiale massive avec cardiomyopathie siderotique sévère</w:t>
      </w:r>
      <w:r>
        <w:t xml:space="preserve"> (IRM cardiaque T2* &lt; 10 ms), où le chélateur oral défériprome — plus lipophile et plus efficace sur le myocarde — peut être associé ou alterné.</w:t>
      </w:r>
    </w:p>
    <w:p>
      <w:r>
        <w:t xml:space="preserve">Le profil pharmacologique de la déféroxamine est dominé par trois caractéristiques structurantes pour la pratique clinique. </w:t>
      </w:r>
      <w:r>
        <w:rPr>
          <w:b/>
        </w:rPr>
        <w:t>(1) Une biodisponibilité orale quasi nulle</w:t>
      </w:r>
      <w:r>
        <w:t xml:space="preserve"> (&lt; 2 %), qui impose l'administration parentérale — voie intraveineuse (urgence), voie sous-cutanée continue nocturne (chélation chronique ambulatoire à la pompe portable), voie intramusculaire profonde (alternative). </w:t>
      </w:r>
      <w:r>
        <w:rPr>
          <w:b/>
        </w:rPr>
        <w:t>(2) Une demi-vie plasmatique très courte</w:t>
      </w:r>
      <w:r>
        <w:t xml:space="preserve"> (≈ 20 minutes après bolus IV), qui justifie l'administration en perfusion continue pour maintenir une concentration efficace. </w:t>
      </w:r>
      <w:r>
        <w:rPr>
          <w:b/>
        </w:rPr>
        <w:t>(3) Une toxicité dose-dépendante cumulative</w:t>
      </w:r>
      <w:r>
        <w:t xml:space="preserve"> — oto-rétino-néphrotoxicité — qui impose une surveillance audiométrique, ophtalmologique et rénale stricte tout au long du traitement. Le mode d'administration sous-cutané continu nocturne à la pompe portable (8 à 12 heures par nuit, 5 à 7 jours par semaine) constitue une contrainte majeure d'observance, particulièrement chez l'adolescent thalassémique, et explique le développement ultérieur des chélateurs oraux (déférasirox, défériprome). En Algérie, la déféroxamine reste néanmoins indispensable à l'arsenal thérapeutique national, en raison de son rôle dans l'urgence (intoxication aiguë par le fer) et de son irremplaçabilité dans certaines situations cliniques critiques.</w:t>
      </w:r>
    </w:p>
    <w:p>
      <w:pPr>
        <w:pStyle w:val="Heading2"/>
      </w:pPr>
      <w:r>
        <w:t>192.2 Sous-classe 2 — Chélateurs métaux lourds : Fer (voie orale)</w:t>
      </w:r>
    </w:p>
    <w:p>
      <w:pPr>
        <w:pStyle w:val="Heading3"/>
      </w:pPr>
      <w:r>
        <w:t>192.2.0 Introduction à la sous-classe des chélateurs oraux du fer</w:t>
      </w:r>
    </w:p>
    <w:p>
      <w:r>
        <w:t xml:space="preserve">Les chélateurs oraux du fer représentent une </w:t>
      </w:r>
      <w:r>
        <w:rPr>
          <w:b/>
        </w:rPr>
        <w:t>révolution thérapeutique</w:t>
      </w:r>
      <w:r>
        <w:t xml:space="preserve"> initiée à la fin des années 1990, qui a transformé la vie quotidienne des patients thalassémiques et drépanocytaires polytransfusés en remplaçant la contraignante perfusion sous-cutanée nocturne de déféroxamine par une simple prise orale quotidienne (déférasirox) ou tridaily (défériprome). Deux molécules ont été développées et commercialisées : la </w:t>
      </w:r>
      <w:r>
        <w:rPr>
          <w:b/>
        </w:rPr>
        <w:t>défériprome</w:t>
      </w:r>
      <w:r>
        <w:t xml:space="preserve"> (DFP, KELFER, Cipla) — première chélation orale du fer disponible dès 1999 en Inde, puis 1999 en Europe (Apotex, Ferriprox) — et le </w:t>
      </w:r>
      <w:r>
        <w:rPr>
          <w:b/>
        </w:rPr>
        <w:t>déférasirox</w:t>
      </w:r>
      <w:r>
        <w:t xml:space="preserve"> (DFX, EXJADE, Novartis, 2006), suivi d'une large diffusion de génériques locaux algériens (CAPTAFER, DEFEROX, KAPTIRON, KELOSIROX). Ces deux chélateurs oraux partagent une caractéristique commune — une biodisponibilité orale suffisante pour permettre la chélation systémique du fer — mais différent sur le plan pharmacologique : la défériprome est un chélateur </w:t>
      </w:r>
      <w:r>
        <w:rPr>
          <w:b/>
        </w:rPr>
        <w:t>bidentate</w:t>
      </w:r>
      <w:r>
        <w:t xml:space="preserve"> (3 molécules pour 1 Fe3+), à demi-vie courte (1-3 h) imposant trois prises par jour, avec une </w:t>
      </w:r>
      <w:r>
        <w:rPr>
          <w:b/>
        </w:rPr>
        <w:t>efficacité supérieure sur le fer cardiaque</w:t>
      </w:r>
      <w:r>
        <w:t xml:space="preserve"> (pénétration myocardique privilégiée), mais un profil de tolérance marqué par le risque d'</w:t>
      </w:r>
      <w:r>
        <w:rPr>
          <w:b/>
        </w:rPr>
        <w:t>agranulocytose</w:t>
      </w:r>
      <w:r>
        <w:t xml:space="preserve"> potentiellement fatale (surveillance NFS hebdomadaire obligatoire) ; le déférasirox est un chélateur </w:t>
      </w:r>
      <w:r>
        <w:rPr>
          <w:b/>
        </w:rPr>
        <w:t>tridentate</w:t>
      </w:r>
      <w:r>
        <w:t xml:space="preserve"> (2 molécules pour 1 Fe3+), à demi-vie longue (8-16 h) autorisant une prise unique quotidienne, avec une </w:t>
      </w:r>
      <w:r>
        <w:rPr>
          <w:b/>
        </w:rPr>
        <w:t>efficacité équivalente à la déféroxamine sur le fer hépatique</w:t>
      </w:r>
      <w:r>
        <w:t xml:space="preserve">, mais un profil de tolérance marqué par la </w:t>
      </w:r>
      <w:r>
        <w:rPr>
          <w:b/>
        </w:rPr>
        <w:t>néphrotoxicité</w:t>
      </w:r>
      <w:r>
        <w:t xml:space="preserve"> (créatininémie mensuelle) et l'</w:t>
      </w:r>
      <w:r>
        <w:rPr>
          <w:b/>
        </w:rPr>
        <w:t>hépatotoxicité</w:t>
      </w:r>
      <w:r>
        <w:t xml:space="preserve"> (ALAT/ASAT mensuelles, alerte FDA 2007-2013).</w:t>
      </w:r>
    </w:p>
    <w:p>
      <w:r>
        <w:t xml:space="preserve">La place de chaque chélateur oral dans la stratégie thérapeutique algérienne est guidée par les recommandations internationales (Thalassemia International Federation, TIF Guidelines 2021) et l'AMM européenne (EMA) : </w:t>
      </w:r>
      <w:r>
        <w:rPr>
          <w:b/>
        </w:rPr>
        <w:t>le déférasirox est le chélateur oral de première intention</w:t>
      </w:r>
      <w:r>
        <w:t xml:space="preserve"> dans la surcharge martiale chronique post-transfusionnelle de l'adulte et de l'enfant &gt; 2 ans, en raison de sa commodité d'administration unique quotidienne, de sa meilleure observance (≈ 80 % à 1 an vs 50 % sous déféroxamine) et de son profil de tolérance acceptable sous surveillance mensuelle ; </w:t>
      </w:r>
      <w:r>
        <w:rPr>
          <w:b/>
        </w:rPr>
        <w:t>la défériprome est indiquée en seconde intention</w:t>
      </w:r>
      <w:r>
        <w:t xml:space="preserve"> (intolérance ou contre-indication au déférasirox, ou cardiomyopathie siderotique sévère avec IRM T2* &lt; 10 ms où la défériprome est plus efficace sur le myocarde), en raison de son efficacité supérieure sur le fer cardiaque mais de son risque d'agranulocytose nécessitant une surveillance hématologique contraignante (NFS hebdomadaire durant les 6 premiers mois puis mensuelle à vie). Les associations de chélateurs (déféroxamine + défériprome, ou déférasirox + défériprome) sont décrites dans la littérature (protocole de déplétion martiale combinée) et permettent une déplétion plus rapide et synergique, notamment en cas de surcharge massive avec cardiomyopathie sévère.</w:t>
      </w:r>
    </w:p>
    <w:p>
      <w:pPr>
        <w:pStyle w:val="Heading2"/>
      </w:pPr>
      <w:r>
        <w:t>192.3 Sous-classe 3 — Chélateurs métaux lourds : Arsenic et Mercure</w:t>
      </w:r>
    </w:p>
    <w:p>
      <w:pPr>
        <w:pStyle w:val="Heading3"/>
      </w:pPr>
      <w:r>
        <w:t>192.3.0 Introduction à la sous-classe des chélateurs de l'arsenic et du mercure</w:t>
      </w:r>
    </w:p>
    <w:p>
      <w:r>
        <w:t xml:space="preserve">Les chélateurs de l'arsenic et du mercure appartiennent à la famille chimique des </w:t>
      </w:r>
      <w:r>
        <w:rPr>
          <w:b/>
        </w:rPr>
        <w:t>dithiols</w:t>
      </w:r>
      <w:r>
        <w:t xml:space="preserve"> — composés porteurs de deux groupements thiols (-SH) adjacents, qui présentent une affinité chimiosélective pour les métaux lourds « doux » (selon la règle de Pearson HSAB : Hard and Soft Acids and Bases). Le </w:t>
      </w:r>
      <w:r>
        <w:rPr>
          <w:b/>
        </w:rPr>
        <w:t>dimercaprol (BAL)</w:t>
      </w:r>
      <w:r>
        <w:t xml:space="preserve">, premier chélateur moderne, a été développé en 1940 à Oxford par les biochimistes Rudolph Peters, Kenneth Stocken et Robert Thompson, en réponse à la menace d'armes chimiques arsenicales allemandes (lewisite, ypérite arsenicale) employées pendant la Seconde Guerre mondiale — d'où son nom de code militaire BAL, pour </w:t>
      </w:r>
      <w:r>
        <w:rPr>
          <w:i/>
        </w:rPr>
        <w:t>British Anti-Lewisite</w:t>
      </w:r>
      <w:r>
        <w:t xml:space="preserve">. Le BAL a été conçu pour « capturer » l'arsenic trivalent (As3+) par ses deux groupements -SH, formant un complexe stable, hydrosoluble et excrétable. Son spectre d'efficacité couvre l'arsenic (As3+), le mercure inorganique (Hg2+), le plomb (Pb2+), et accessoirement l'or (Au+). Le BAL a été supplanté dans les années 1950-1970 par ses dérivés modernes : le </w:t>
      </w:r>
      <w:r>
        <w:rPr>
          <w:b/>
        </w:rPr>
        <w:t>DMSA (acide dimercaptosuccinique, succimer)</w:t>
      </w:r>
      <w:r>
        <w:t xml:space="preserve">, chélateur oral de l'arsenic et du plomb, et le </w:t>
      </w:r>
      <w:r>
        <w:rPr>
          <w:b/>
        </w:rPr>
        <w:t>DMPS (acide dimercaptopropanesulfonique, unithiol)</w:t>
      </w:r>
      <w:r>
        <w:t xml:space="preserve">, chélateur parentéral de l'arsenic et du mercure, qui présentent une meilleure tolérance, une meilleure efficacité, et une moindre toxicité que le BAL. Ces chélateurs modernes (DMSA, DMPS) sont néanmoins </w:t>
      </w:r>
      <w:r>
        <w:rPr>
          <w:b/>
        </w:rPr>
        <w:t>absents du marché algérien</w:t>
      </w:r>
      <w:r>
        <w:t>, ce qui fait du BAL le seul chélateur de référence pour les intoxications arsenicales et mercurielles en Algérie — mais le BAL lui-même est également absent du marché algérien à la date d'avril 2026, ce qui constitue une lacune critique de l'arsenal toxicologique national.</w:t>
      </w:r>
    </w:p>
    <w:p>
      <w:r>
        <w:t xml:space="preserve">Le profil pharmacologique du BAL est dominé par trois caractéristiques structurantes : </w:t>
      </w:r>
      <w:r>
        <w:rPr>
          <w:b/>
        </w:rPr>
        <w:t>(1) Une biodisponibilité orale nulle</w:t>
      </w:r>
      <w:r>
        <w:t xml:space="preserve"> (dégradation digestive), qui impose l'administration </w:t>
      </w:r>
      <w:r>
        <w:rPr>
          <w:b/>
        </w:rPr>
        <w:t>intramusculaire profonde stricte</w:t>
      </w:r>
      <w:r>
        <w:t xml:space="preserve"> — la voie IV est contre-indiquée (risque d'hypertension sévère, d'arythmie), la voie SC est contre-indiquée (irritation locale, nécrose). </w:t>
      </w:r>
      <w:r>
        <w:rPr>
          <w:b/>
        </w:rPr>
        <w:t>(2) Une demi-vie plasmatique très courte</w:t>
      </w:r>
      <w:r>
        <w:t xml:space="preserve"> (30 à 60 minutes), qui impose des injections répétées toutes les 4 à 6 heures en phase d'attaque. </w:t>
      </w:r>
      <w:r>
        <w:rPr>
          <w:b/>
        </w:rPr>
        <w:t>(3) Une toxicité dose-dépendante aiguë</w:t>
      </w:r>
      <w:r>
        <w:t xml:space="preserve"> marquée par : </w:t>
      </w:r>
      <w:r>
        <w:rPr>
          <w:b/>
        </w:rPr>
        <w:t>hypertension artérielle</w:t>
      </w:r>
      <w:r>
        <w:t xml:space="preserve"> (par stimulation sympathique), </w:t>
      </w:r>
      <w:r>
        <w:rPr>
          <w:b/>
        </w:rPr>
        <w:t>injections intramusculaires douloureuses</w:t>
      </w:r>
      <w:r>
        <w:t xml:space="preserve"> (tolérance médiocre), </w:t>
      </w:r>
      <w:r>
        <w:rPr>
          <w:b/>
        </w:rPr>
        <w:t>nausées, vomissements</w:t>
      </w:r>
      <w:r>
        <w:t xml:space="preserve">, </w:t>
      </w:r>
      <w:r>
        <w:rPr>
          <w:b/>
        </w:rPr>
        <w:t>céphalées</w:t>
      </w:r>
      <w:r>
        <w:t xml:space="preserve">, </w:t>
      </w:r>
      <w:r>
        <w:rPr>
          <w:b/>
        </w:rPr>
        <w:t>brûlures oculaires</w:t>
      </w:r>
      <w:r>
        <w:t xml:space="preserve">, </w:t>
      </w:r>
      <w:r>
        <w:rPr>
          <w:b/>
        </w:rPr>
        <w:t>lésions hépatiques</w:t>
      </w:r>
      <w:r>
        <w:t xml:space="preserve"> (cytolyse additive). Le BAL est </w:t>
      </w:r>
      <w:r>
        <w:rPr>
          <w:b/>
        </w:rPr>
        <w:t>contre-indiqué</w:t>
      </w:r>
      <w:r>
        <w:t xml:space="preserve"> en cas d'insuffisance hépatique sévère, d'hypertension artérielle non contrôlée, de déficit en G6PD (risque d'hémolyse), et — surtout — en cas d'intoxication par le </w:t>
      </w:r>
      <w:r>
        <w:rPr>
          <w:b/>
        </w:rPr>
        <w:t>méthylmercure</w:t>
      </w:r>
      <w:r>
        <w:t xml:space="preserve"> (MeHg+ organomercuriel, syndrome de Minamata) car le complexe BAL-MeHg+ liposoluble franchit la barrière hémato-encéphalique et aggrave la neurotoxicité. La pratique moderne de la toxicologie a largement supplanté le BAL par le DMSA et le DMPS, mais le BAL reste indiqué en urgence en cas d'encéphalopathie arsenicale ou saturnine (capacité à franchir la barrière hémato-encéphalique) et en cas d'indisponibilité des chélateurs modernes.</w:t>
      </w:r>
    </w:p>
    <w:p>
      <w:pPr>
        <w:pStyle w:val="Heading2"/>
      </w:pPr>
      <w:r>
        <w:t>192.4 DCI 1 — Déféroxamine</w:t>
      </w:r>
    </w:p>
    <w:p>
      <w:pPr>
        <w:pStyle w:val="Heading3"/>
      </w:pPr>
      <w:r>
        <w:t>192.4.1 Liste catégories pharmaco-thérapeutiques et indications</w:t>
      </w:r>
    </w:p>
    <w:p>
      <w:r>
        <w:t xml:space="preserve">La déféroxamine (DCI internationale, formule chimique C25H48N6O8, masse molaire 560,7 g/mol) est un chélateur hexadentate du fer ferrique (Fe3+), isolé en 1960 par Bickel et coll. à partir de </w:t>
      </w:r>
      <w:r>
        <w:rPr>
          <w:i/>
        </w:rPr>
        <w:t>Streptomyces pilosus</w:t>
      </w:r>
      <w:r>
        <w:t xml:space="preserve"> (actinomycète du sol), commercialisée sous le nom de DESFERAL par Ciba-Geigy (aujourd'hui Novartis Pharma). Code ATC : </w:t>
      </w:r>
      <w:r>
        <w:rPr>
          <w:b/>
        </w:rPr>
        <w:t>V03AC01</w:t>
      </w:r>
      <w:r>
        <w:t xml:space="preserve"> (V03 : autres antidotes et chélateurs ; V03AC : chélateurs du fer et de l'aluminium). La molécule est inscrite sur la Liste des médicaments essentiels de l'OMS (22ᵉ édition, 2021). En Algérie, la déféroxamine est inscrite sur la </w:t>
      </w:r>
      <w:r>
        <w:rPr>
          <w:b/>
        </w:rPr>
        <w:t>Liste I</w:t>
      </w:r>
      <w:r>
        <w:t xml:space="preserve"> des substances vénéneuses, prescription médicale obligatoire, sans appartenance à la liste des stupéfiants.</w:t>
      </w:r>
    </w:p>
    <w:p>
      <w:r>
        <w:t>Les indications thérapeutiques validées par l'AMM (RCP Desferal, Novartis, dernière révision 2023) couvrent :</w:t>
      </w:r>
    </w:p>
    <w:p>
      <w:pPr>
        <w:pStyle w:val="ListNumber"/>
      </w:pPr>
      <w:r/>
      <w:r>
        <w:rPr>
          <w:b/>
        </w:rPr>
        <w:t>Intoxication aiguë par le fer</w:t>
      </w:r>
      <w:r>
        <w:t xml:space="preserve"> (urgence) : indication princeps de la déféroxamine, à utiliser en urgence hospitalière (centre antipoison, réanimation, pédiatrie) en cas d'ingestion toxique de sels de fer. Critères de gravité : dose ingérée &gt; 20 mg/kg de fer élémentaire (potentiellement toxique), &gt; 60 mg/kg (potentiellement létale) ; fer sérique &gt; 300 µg/L (53 µmol/L) mesuré entre 4 et 6 heures après ingestion, &gt; 500 µg/L (indication formelle de chélation immédiate). Schéma : 15 mg/kg/h IV pendant la première heure, puis 5 mg/kg/h pendant 4 à 6 heures, sans dépasser 80 mg/kg/24h.</w:t>
      </w:r>
    </w:p>
    <w:p>
      <w:pPr>
        <w:pStyle w:val="ListNumber"/>
      </w:pPr>
      <w:r/>
      <w:r>
        <w:rPr>
          <w:b/>
        </w:rPr>
        <w:t>Surcharges martiales chroniques post-transfusionnelles</w:t>
      </w:r>
      <w:r>
        <w:t xml:space="preserve"> : indication principale au volume d'utilisation (patients thalassémiques, drépanocytaires, myélodysplasiques polytransfusés). Schéma standard : 20 à 60 mg/kg/jour en perfusion sous-cutanée continue sur 8 à 12 heures, 5 à 7 jours par semaine, à vie ou jusqu'à normalisation de la ferritinémie.</w:t>
      </w:r>
    </w:p>
    <w:p>
      <w:pPr>
        <w:pStyle w:val="ListNumber"/>
      </w:pPr>
      <w:r/>
      <w:r>
        <w:rPr>
          <w:b/>
        </w:rPr>
        <w:t>Hémochromatose génétique avec contre-indication aux saignées</w:t>
      </w:r>
      <w:r>
        <w:t xml:space="preserve"> : anémie associée (Hb &lt; 10 g/dL) ou cardiomyopathie sévère.</w:t>
      </w:r>
    </w:p>
    <w:p>
      <w:pPr>
        <w:pStyle w:val="ListNumber"/>
      </w:pPr>
      <w:r/>
      <w:r>
        <w:rPr>
          <w:b/>
        </w:rPr>
        <w:t>Test à la déféroxamine (test de Desferal)</w:t>
      </w:r>
      <w:r>
        <w:t xml:space="preserve"> : injection IV de 500 mg, recueil des urines de 6 heures, dosage du complexe ferrioxamine. Aujourd'hui supplanté par la génétique HFE et l'IRM hépatique.</w:t>
      </w:r>
    </w:p>
    <w:p>
      <w:pPr>
        <w:pStyle w:val="ListNumber"/>
      </w:pPr>
      <w:r/>
      <w:r>
        <w:rPr>
          <w:b/>
        </w:rPr>
        <w:t>Surcharges martiales en dialyse chronique</w:t>
      </w:r>
      <w:r>
        <w:t xml:space="preserve"> : 500 mg à 1 g IV en fin de séance de dialyse, 2 à 3 fois par semaine.</w:t>
      </w:r>
    </w:p>
    <w:p>
      <w:pPr>
        <w:pStyle w:val="ListNumber"/>
      </w:pPr>
      <w:r/>
      <w:r>
        <w:rPr>
          <w:b/>
        </w:rPr>
        <w:t>Indication en pédiatrie</w:t>
      </w:r>
      <w:r>
        <w:t xml:space="preserve"> : chez l'enfant thalassémique, le traitement débute dès que la ferritinémie dépasse 1000 µg/L (généralement après 10-20 transfusions, vers l'âge de 2-4 ans).</w:t>
      </w:r>
    </w:p>
    <w:p>
      <w:pPr>
        <w:pStyle w:val="Heading3"/>
      </w:pPr>
      <w:r>
        <w:t>192.4.2 Tableau des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DESFERAL</w:t>
            </w:r>
          </w:p>
        </w:tc>
        <w:tc>
          <w:tcPr>
            <w:tcW w:type="dxa" w:w="1559"/>
          </w:tcPr>
          <w:p>
            <w:r>
              <w:rPr>
                <w:sz w:val="20"/>
              </w:rPr>
              <w:t>NOVARTIS PHARMA SCHWEIZ AG</w:t>
            </w:r>
          </w:p>
        </w:tc>
        <w:tc>
          <w:tcPr>
            <w:tcW w:type="dxa" w:w="1559"/>
          </w:tcPr>
          <w:p>
            <w:r>
              <w:rPr>
                <w:sz w:val="20"/>
              </w:rPr>
              <w:t>Poudre et solvant pour solution injectable 500 mg/7,5 mL</w:t>
            </w:r>
          </w:p>
        </w:tc>
        <w:tc>
          <w:tcPr>
            <w:tcW w:type="dxa" w:w="1559"/>
          </w:tcPr>
          <w:p>
            <w:r>
              <w:rPr>
                <w:sz w:val="20"/>
              </w:rPr>
              <w:t>Boîte de 1 flacon + 1 ampoule solvant</w:t>
            </w:r>
          </w:p>
        </w:tc>
        <w:tc>
          <w:tcPr>
            <w:tcW w:type="dxa" w:w="1559"/>
          </w:tcPr>
          <w:p>
            <w:r>
              <w:rPr>
                <w:sz w:val="20"/>
              </w:rPr>
              <w:t>Liste I</w:t>
            </w:r>
          </w:p>
        </w:tc>
        <w:tc>
          <w:tcPr>
            <w:tcW w:type="dxa" w:w="1559"/>
          </w:tcPr>
          <w:p>
            <w:r>
              <w:rPr>
                <w:sz w:val="20"/>
              </w:rPr>
              <w:t>Actif</w:t>
            </w:r>
          </w:p>
        </w:tc>
      </w:tr>
      <w:tr>
        <w:tc>
          <w:tcPr>
            <w:tcW w:type="dxa" w:w="1559"/>
          </w:tcPr>
          <w:p>
            <w:r>
              <w:rPr>
                <w:sz w:val="20"/>
              </w:rPr>
              <w:t>TALIFER</w:t>
            </w:r>
          </w:p>
        </w:tc>
        <w:tc>
          <w:tcPr>
            <w:tcW w:type="dxa" w:w="1559"/>
          </w:tcPr>
          <w:p>
            <w:r>
              <w:rPr>
                <w:sz w:val="20"/>
              </w:rPr>
              <w:t>LEMERY SA DE CV</w:t>
            </w:r>
          </w:p>
        </w:tc>
        <w:tc>
          <w:tcPr>
            <w:tcW w:type="dxa" w:w="1559"/>
          </w:tcPr>
          <w:p>
            <w:r>
              <w:rPr>
                <w:sz w:val="20"/>
              </w:rPr>
              <w:t>Lyophilisat pour solution injectable 500 mg/flacon de poudre</w:t>
            </w:r>
          </w:p>
        </w:tc>
        <w:tc>
          <w:tcPr>
            <w:tcW w:type="dxa" w:w="1559"/>
          </w:tcPr>
          <w:p>
            <w:r>
              <w:rPr>
                <w:sz w:val="20"/>
              </w:rPr>
              <w:t>Boîte de 4 flacons de poudre</w:t>
            </w:r>
          </w:p>
        </w:tc>
        <w:tc>
          <w:tcPr>
            <w:tcW w:type="dxa" w:w="1559"/>
          </w:tcPr>
          <w:p>
            <w:r>
              <w:rPr>
                <w:sz w:val="20"/>
              </w:rPr>
              <w:t>Liste I</w:t>
            </w:r>
          </w:p>
        </w:tc>
        <w:tc>
          <w:tcPr>
            <w:tcW w:type="dxa" w:w="1559"/>
          </w:tcPr>
          <w:p>
            <w:r>
              <w:rPr>
                <w:sz w:val="20"/>
              </w:rPr>
              <w:t>Retrait</w:t>
            </w:r>
          </w:p>
        </w:tc>
      </w:tr>
    </w:tbl>
    <w:p/>
    <w:p>
      <w:r>
        <w:t xml:space="preserve">Le marché algérien de la déféroxamine repose sur une seule spécialité active : </w:t>
      </w:r>
      <w:r>
        <w:rPr>
          <w:b/>
        </w:rPr>
        <w:t>DESFERAL</w:t>
      </w:r>
      <w:r>
        <w:t xml:space="preserve"> (Novartis Pharma Schweiz AG, Suisse), commercialisée en poudre pour solution injectable 500 mg accompagnée d'une ampoule de solvant de 7,5 mL d'eau pour préparations injectables. Le conditionnement standard est la boîte de 1 flacon + 1 ampoule (B/1+1), conditionnement adapté à l'usage hospitalier ou à la délivrance unitaire pour les patients en chélation ambulatoire chronique. La spécialité TALIFER (Lemery SA de CV, Mexico) a été </w:t>
      </w:r>
      <w:r>
        <w:rPr>
          <w:b/>
        </w:rPr>
        <w:t>retirée</w:t>
      </w:r>
      <w:r>
        <w:t xml:space="preserve"> du marché algérien — elle n'est plus disponible à la date d'avril 2026 et ne doit pas être prescrite ni délivrée. La déféroxamine étant un médicament d'importation (Novartis Suisse), sa disponibilité est tributaire des circuits d'importation hospitalière et de la pharmacie centrale des hôpitaux (PCH). La prise en charge par la Sécurité Sociale (CNAS) est assurée à 100 % au titre des ALD 23 (hémoglobinopathies) pour les patients thalassémiques et drépanocytaires. La prescription est réservée aux médecins spécialistes (hématologues, pédiatres hématologues, réanimateurs toxicologues), en milieu hospitalier ou en coordination avec un centre de référence. La délivrance est hospitalière ou en pharmacie de ville sur ordonnance spécialisée. La conservation se fait à température inférieure à 25 °C, à l'abri de la lumière, hors de portée des enfants. La solution reconstituée est stable 24 heures à température ambiante (15-25 °C) et 7 jours au réfrigérateur (2-8 °C) ; au-delà, la solution doit être jetée selon les protocoles de gestion des déchets de soins à risques infectieux (DASRI).</w:t>
      </w:r>
    </w:p>
    <w:p>
      <w:pPr>
        <w:pStyle w:val="Heading3"/>
      </w:pPr>
      <w:r>
        <w:t>192.4.3 Mécanisme d'action moléculaire, cellulaire et physiologique</w:t>
      </w:r>
    </w:p>
    <w:p>
      <w:r>
        <w:t xml:space="preserve">La déféroxamine est un chélateur </w:t>
      </w:r>
      <w:r>
        <w:rPr>
          <w:b/>
        </w:rPr>
        <w:t>hexadentate</w:t>
      </w:r>
      <w:r>
        <w:t xml:space="preserve"> du fer ferrique (Fe3+). Sa structure chimique — un long squelette carboné linéaire portant trois groupements hydroxamates espacés régulièrement — lui permet de coordonner un ion Fe3+ par les six atomes d'oxygène de ses trois groupements -N(OH)-C(=O)- (deux atomes d'oxygène par groupement hydroxamate : un oxygène de la fonction hydroxyle -OH et un oxygène de la fonction carbonyle C=O). Cette coordination hexadentate (1:1, ligand:métal) forme un complexe </w:t>
      </w:r>
      <w:r>
        <w:rPr>
          <w:b/>
        </w:rPr>
        <w:t>ferrioxamine</w:t>
      </w:r>
      <w:r>
        <w:t xml:space="preserve"> hautement stable (constante de stabilité thermodynamique Kf ≈ 10^30, soit log Kf ≈ 30,4), dont la structure est celle d'un octaèdre régulier autour du fer ferrique, avec une géométrie spatiale optimisée minimisant les contraintes stériques. Cette stabilité exceptionnelle — l'une des plus élevées de la chimie de coordination — explique la sélectivité de la déféroxamine pour le fer ferrique vis-à-vis des autres cations physiologiques : la constante de stabilité pour Fe3+ est environ 10^10 fois supérieure à celle pour Ca2+, Mg2+, Zn2+, Cu2+.</w:t>
      </w:r>
    </w:p>
    <w:p>
      <w:r/>
      <w:r>
        <w:rPr>
          <w:b/>
        </w:rPr>
        <w:t>Niveau moléculaire</w:t>
      </w:r>
      <w:r>
        <w:t xml:space="preserve"> : la déféroxamine ne chélate pas le fer physiologiquement lié. Trois pools de fer doivent être distingués : (1) </w:t>
      </w:r>
      <w:r>
        <w:rPr>
          <w:b/>
        </w:rPr>
        <w:t>fer structural</w:t>
      </w:r>
      <w:r>
        <w:t xml:space="preserve"> — fer de l'hémoglobine, de la myoglobine, des cytochromes, des enzymes à fer (catalase, peroxydases, ribonucléotide réductase) — fermement fixé à des protéines, non accessible à la chélation ; (2) </w:t>
      </w:r>
      <w:r>
        <w:rPr>
          <w:b/>
        </w:rPr>
        <w:t>fer de transport</w:t>
      </w:r>
      <w:r>
        <w:t xml:space="preserve"> — fer lié à la transferrine plasmatique et à la lactoferrine des sécrétions — fixé avec une très haute affinité (Kd ≈ 10^22), non accessible à la déféroxamine en condition physiologique, mais libéré en cas de saturation de la transferrine (saturation &gt; 80 %) avec apparition de fer non lié à la transferrine (NTBI, Non-Transferrin-Bound Iron) ; (3) </w:t>
      </w:r>
      <w:r>
        <w:rPr>
          <w:b/>
        </w:rPr>
        <w:t>fer labile intracellulaire</w:t>
      </w:r>
      <w:r>
        <w:t xml:space="preserve"> (LIP, Labile Iron Pool) — pool de fer libre ou faiblement lié (à l'ATP, au citrate, à l'aspartate) présent dans le cytosol cellulaire à des concentrations de l'ordre du micromolaire, en équilibre avec la ferritine de stockage, et responsable de la toxicité oxydative du fer (réaction de Fenton : Fe2+ + H2O2 → Fe3+ + OH• + OH−, production de radicaux hydroxyles toxiques pour les membranes, l'ADN, les protéines). La déféroxamine cible essentiellement le </w:t>
      </w:r>
      <w:r>
        <w:rPr>
          <w:b/>
        </w:rPr>
        <w:t>NTBI plasmatique</w:t>
      </w:r>
      <w:r>
        <w:t xml:space="preserve"> et le </w:t>
      </w:r>
      <w:r>
        <w:rPr>
          <w:b/>
        </w:rPr>
        <w:t>LIP intracellulaire</w:t>
      </w:r>
      <w:r>
        <w:t xml:space="preserve"> — les deux pools responsables de la toxicité du fer en surcharge.</w:t>
      </w:r>
    </w:p>
    <w:p>
      <w:r/>
      <w:r>
        <w:rPr>
          <w:b/>
        </w:rPr>
        <w:t>Niveau cellulaire</w:t>
      </w:r>
      <w:r>
        <w:t xml:space="preserve"> : la déféroxamine pénètre lentement dans les cellules par diffusion passive (molécule relativement hydrophile, transport actif mineur), et chélate le fer labile intracellulaire. Dans les hépatocytes (site principal du stockage ferrique), elle mobilise le fer de la ferritine et de l'hémosidérine, formant la ferrioxamine qui est libérée dans le plasma et filtrée par le rein. Dans les cardiomyocytes (site critique de toxicité martiale), la pénétration est plus lente et plus limitée — c'est pourquoi la déféroxamine est moins efficace sur la surcharge cardiaque que sur la surcharge hépatique, et pourquoi la défériprome (plus lipophile, meilleure pénétration myocardique) est préférée en cas d'atteinte cardiaque avérée. Dans les cellules du tubule rénal proximal, la ferrioxamine est partiellement réabsorbée puis relarguée, ce qui explique la coloration vin rouge caractéristique des urines.</w:t>
      </w:r>
    </w:p>
    <w:p>
      <w:r/>
      <w:r>
        <w:rPr>
          <w:b/>
        </w:rPr>
        <w:t>Niveau physiologique</w:t>
      </w:r>
      <w:r>
        <w:t xml:space="preserve"> : (1) </w:t>
      </w:r>
      <w:r>
        <w:rPr>
          <w:b/>
        </w:rPr>
        <w:t>élimination urinaire</w:t>
      </w:r>
      <w:r>
        <w:t xml:space="preserve"> du complexe ferrioxamine (60 à 80 % de la dose administrée), avec une clairance rénale proche de la clairance de la créatinine ; (2) </w:t>
      </w:r>
      <w:r>
        <w:rPr>
          <w:b/>
        </w:rPr>
        <w:t>élimination biliaire</w:t>
      </w:r>
      <w:r>
        <w:t xml:space="preserve"> (20 à 40 %) avec un cycle entéro-hépatique partiel et élimination fécale de la ferrioxamine ; (3) chaque mole de déféroxamine éliminée emporte avec elle un atome de fer (soit 56 g de fer éliminé par mole de déféroxamine de 561 g — rendement de 10 % en masse). Pour dépléter 1 g de fer tissulaire, il faut environ 10 g de déféroxamine (20 flacons de 500 mg), soit à 40 mg/kg/jour pour un adulte de 60 kg (5 flacons/jour) environ 4 jours de traitement.</w:t>
      </w:r>
    </w:p>
    <w:p>
      <w:r/>
      <w:r>
        <w:rPr>
          <w:b/>
        </w:rPr>
        <w:t>Niveau clinique</w:t>
      </w:r>
      <w:r>
        <w:t xml:space="preserve"> : (1) </w:t>
      </w:r>
      <w:r>
        <w:rPr>
          <w:b/>
        </w:rPr>
        <w:t>baisse de la ferritinémie</w:t>
      </w:r>
      <w:r>
        <w:t xml:space="preserve"> (marqueur indirect de la surcharge) en 3 à 6 mois de traitement bien conduit ; (2) </w:t>
      </w:r>
      <w:r>
        <w:rPr>
          <w:b/>
        </w:rPr>
        <w:t>diminution du fer hépatique</w:t>
      </w:r>
      <w:r>
        <w:t xml:space="preserve"> mesuré par IRM FerriScan ou biopsie hépatique en 6 à 12 mois ; (3) </w:t>
      </w:r>
      <w:r>
        <w:rPr>
          <w:b/>
        </w:rPr>
        <w:t>stabilisation ou amélioration de la fonction cardiaque</w:t>
      </w:r>
      <w:r>
        <w:t xml:space="preserve"> (FEVG, troubles du rythme) en cas de cardiomyopathie siderotique débutante ; (4) </w:t>
      </w:r>
      <w:r>
        <w:rPr>
          <w:b/>
        </w:rPr>
        <w:t>amélioration des fonctions endocriniennes</w:t>
      </w:r>
      <w:r>
        <w:t xml:space="preserve"> (diabète, hypogonadisme, hypothyroïdie) généralement limitée si les lésions sont installées ; (5) </w:t>
      </w:r>
      <w:r>
        <w:rPr>
          <w:b/>
        </w:rPr>
        <w:t>amélioration de la croissance staturo-pondérale</w:t>
      </w:r>
      <w:r>
        <w:t xml:space="preserve"> chez l'enfant thalassémique traité précocement.</w:t>
      </w:r>
    </w:p>
    <w:p>
      <w:pPr>
        <w:pStyle w:val="Heading3"/>
      </w:pPr>
      <w:r>
        <w:t>192.4.4 Profil pharmacocinétique (PK)</w:t>
      </w:r>
    </w:p>
    <w:p>
      <w:r/>
      <w:r>
        <w:rPr>
          <w:b/>
        </w:rPr>
        <w:t>Absorption</w:t>
      </w:r>
      <w:r>
        <w:t xml:space="preserve"> : la déféroxamine a une </w:t>
      </w:r>
      <w:r>
        <w:rPr>
          <w:b/>
        </w:rPr>
        <w:t>biodisponibilité orale quasi nulle</w:t>
      </w:r>
      <w:r>
        <w:t xml:space="preserve"> (&lt; 2 %) en raison de sa nature hautement hydrophile (six fonctions hydroxamates et amine très polaires) qui empêche la traversée de la barrière lipidique intestinale. Cette caractéristique impose une administration parentérale. Les voies d'administration utilisées sont : (1) </w:t>
      </w:r>
      <w:r>
        <w:rPr>
          <w:b/>
        </w:rPr>
        <w:t>voie IV lente</w:t>
      </w:r>
      <w:r>
        <w:t xml:space="preserve"> (urgence — intoxication aiguë par le fer) : 5-10 minutes pour 500 mg, surveillance tensionnelle stricte ; (2) </w:t>
      </w:r>
      <w:r>
        <w:rPr>
          <w:b/>
        </w:rPr>
        <w:t>voie IV continue</w:t>
      </w:r>
      <w:r>
        <w:t xml:space="preserve"> (perfusion continue 24h/24 sur plusieurs jours en réanimation pour surcharge massive ou intoxication sévère) : 15 mg/kg/h jusqu'à 80 mg/kg/24h ; (3) </w:t>
      </w:r>
      <w:r>
        <w:rPr>
          <w:b/>
        </w:rPr>
        <w:t>voie sous-cutanée continue</w:t>
      </w:r>
      <w:r>
        <w:t xml:space="preserve"> (chélation chronique ambulatoire) : 20-50 mg/kg/jour sur 8 à 12 heures par nuit, à la pompe portable (type Cadillac pump ou Crono pump) — voie de référence pour la chélation chronique chez l'enfant thalassémique ; (4) </w:t>
      </w:r>
      <w:r>
        <w:rPr>
          <w:b/>
        </w:rPr>
        <w:t>voie IM profonde</w:t>
      </w:r>
      <w:r>
        <w:t xml:space="preserve"> (alternative à la SC si voie SC impossible, mais plus douloureuse et moins efficace) : 500 mg à 1 g IM, 1 à 2 fois par jour.</w:t>
      </w:r>
    </w:p>
    <w:p>
      <w:r/>
      <w:r>
        <w:rPr>
          <w:b/>
        </w:rPr>
        <w:t>Distribution</w:t>
      </w:r>
      <w:r>
        <w:t xml:space="preserve"> : volume de distribution (Vd) ≈ 1 à 2 L/kg chez l'adulte (voisin du compartiment extracellulaire), liaison aux protéines plasmatiques &lt; 10 %. La molécule pénètre peu dans les tissus en dehors du compartiment extracellulaire. La traversée de la barrière hémato-encéphalique est limitée (rapport LCR/plasma &lt; 0,1), ce qui explique l'absence d'effets centraux significatifs. La traversée placentaire est faible mais documentée (cf. section grossesse). La pénétration intracellulaire est lente, limitée, essentiellement par diffusion passive.</w:t>
      </w:r>
    </w:p>
    <w:p>
      <w:r/>
      <w:r>
        <w:rPr>
          <w:b/>
        </w:rPr>
        <w:t>Métabolisme</w:t>
      </w:r>
      <w:r>
        <w:t xml:space="preserve"> : la déféroxamine subit un métabolisme hépatique mineur (≈ 30 % de la dose), avec formation de métabolites inactifs (oxydation des fonctions hydroxamates par les cytochromes CYP3A4 et CYP2C9, β-oxydation de la chaîne carbonée, désamination). Les métabolites identifiés sont l'acide déféroxamine et diverses conjugaisons glucuronide. La fraction métabolisée est éliminée par voie biliaire et rénale.</w:t>
      </w:r>
    </w:p>
    <w:p>
      <w:r/>
      <w:r>
        <w:rPr>
          <w:b/>
        </w:rPr>
        <w:t>Élimination</w:t>
      </w:r>
      <w:r>
        <w:t xml:space="preserve"> : la déféroxamine est éliminée principalement sous forme inchangée (≈ 70 % de la dose) et sous forme de complexe ferrioxamine (mesurée dans les urines comme un marqueur d'efficacité thérapeutique). Clairance totale ≈ 0,4 à 0,7 L/h/kg, clairance rénale ≈ 0,3 à 0,5 L/h/kg (soit 60-80 % de la clairance totale). La clairance est essentiellement rénale et dépend de la filtration glomérulaire — d'où la nécessité d'adapter la dose en cas d'insuffisance rénale (réduction de 50 % si DFG &lt; 30 mL/min). Le complexe ferrioxamine est filtré librement par le glomérule (MW 616 Da, libre de protéines), non réabsorbé, non sécrété. En cas d'insuffisance rénale sévère (DFG &lt; 15 mL/min), la déféroxamine s'accumule dans l'organisme, exposant à un sur-risque de toxicité (oto-néphrotoxicité) — l'hémodialyse élimine partiellement la déféroxamine et la ferrioxamine.</w:t>
      </w:r>
    </w:p>
    <w:p>
      <w:r/>
      <w:r>
        <w:rPr>
          <w:b/>
        </w:rPr>
        <w:t>Demi-vie d'élimination</w:t>
      </w:r>
      <w:r>
        <w:t xml:space="preserve"> : la demi-vie plasmatique de la déféroxamine est courte, de l'ordre de </w:t>
      </w:r>
      <w:r>
        <w:rPr>
          <w:b/>
        </w:rPr>
        <w:t>20 minutes</w:t>
      </w:r>
      <w:r>
        <w:t xml:space="preserve"> après IV bolus, ce qui justifie l'administration continue (perfusion) pour maintenir une concentration efficace. La demi-vie de la ferrioxamine est plus longue, environ 1 à 2 heures, ce qui explique la persistance de la coloration vin rouge des urines plusieurs heures après la fin de la perfusion.</w:t>
      </w:r>
    </w:p>
    <w:p>
      <w:r/>
      <w:r>
        <w:rPr>
          <w:b/>
        </w:rPr>
        <w:t>Linéarité</w:t>
      </w:r>
      <w:r>
        <w:t xml:space="preserve"> : la pharmacocinétique est linéaire aux doses thérapeutiques (10 à 100 mg/kg/jour). Aux doses supérieures (&gt; 100 mg/kg/jour), une saturation de la clairance est observée, avec accumulation plasmatique et tissulaire, exposant à la toxicité dose-dépendante.</w:t>
      </w:r>
    </w:p>
    <w:p>
      <w:r/>
      <w:r>
        <w:rPr>
          <w:b/>
        </w:rPr>
        <w:t>Suivi thérapeutique</w:t>
      </w:r>
      <w:r>
        <w:t xml:space="preserve"> : il n'y a pas de dosage plasmatique de routine de la déféroxamine. Le monitorage repose sur : (1) </w:t>
      </w:r>
      <w:r>
        <w:rPr>
          <w:b/>
        </w:rPr>
        <w:t>ferritinémie trimestrielle</w:t>
      </w:r>
      <w:r>
        <w:t xml:space="preserve"> (objectif : 500-1000 µg/L) ; (2) </w:t>
      </w:r>
      <w:r>
        <w:rPr>
          <w:b/>
        </w:rPr>
        <w:t>IRM hépatique</w:t>
      </w:r>
      <w:r>
        <w:t xml:space="preserve"> quantification du fer (technique FerriScan ou T2</w:t>
      </w:r>
      <w:r>
        <w:rPr>
          <w:i/>
        </w:rPr>
        <w:t xml:space="preserve"> mapping) annuelle (objectif : fer hépatique &lt; 7 mg/g de foie sec) ; (3) </w:t>
      </w:r>
      <w:r/>
      <w:r>
        <w:rPr>
          <w:i/>
        </w:rPr>
        <w:t>IRM cardiaque T2</w:t>
      </w:r>
      <w:r>
        <w:t>*</w:t>
      </w:r>
      <w:r>
        <w:rPr>
          <w:i/>
        </w:rPr>
        <w:t xml:space="preserve"> annuelle (objectif : T2</w:t>
      </w:r>
      <w:r>
        <w:t xml:space="preserve"> &gt; 20 ms, valeur critique &lt; 10 ms = cardiomyopathie siderotique sévère) ; (4) </w:t>
      </w:r>
      <w:r>
        <w:rPr>
          <w:b/>
        </w:rPr>
        <w:t>bilan hépatique</w:t>
      </w:r>
      <w:r>
        <w:t xml:space="preserve"> mensuel (ALAT, ASAT, PAL, γGT, bilirubine) ; (5) </w:t>
      </w:r>
      <w:r>
        <w:rPr>
          <w:b/>
        </w:rPr>
        <w:t>bilan rénal</w:t>
      </w:r>
      <w:r>
        <w:t xml:space="preserve"> mensuel les 6 premiers mois puis trimestriel (créatininémie, protéinurie) ; (6) </w:t>
      </w:r>
      <w:r>
        <w:rPr>
          <w:b/>
        </w:rPr>
        <w:t>audiométrie</w:t>
      </w:r>
      <w:r>
        <w:t xml:space="preserve"> annuelle (oto-toxicité) ; (7) </w:t>
      </w:r>
      <w:r>
        <w:rPr>
          <w:b/>
        </w:rPr>
        <w:t>examen ophtalmologique</w:t>
      </w:r>
      <w:r>
        <w:t xml:space="preserve"> annuel (fond d'œil, vision des couleurs, acuité visuelle — rétinotoxicité).</w:t>
      </w:r>
    </w:p>
    <w:p>
      <w:pPr>
        <w:pStyle w:val="Heading3"/>
      </w:pPr>
      <w:r>
        <w:t>192.4.5 Prévention et gestion des effets indésirables</w:t>
      </w:r>
    </w:p>
    <w:p>
      <w:r>
        <w:t>Les effets indésirables de la déféroxamine sont nombreux et imposent une surveillance rigoureuse. On les classe en quatre catégories : effets aigus, effets chroniques dose-cumulée, effets allergiques, et effets liés au mode d'administration.</w:t>
      </w:r>
    </w:p>
    <w:p>
      <w:r/>
      <w:r>
        <w:rPr>
          <w:b/>
        </w:rPr>
        <w:t>Effets aigus</w:t>
      </w:r>
      <w:r>
        <w:t xml:space="preserve"> :</w:t>
      </w:r>
    </w:p>
    <w:p>
      <w:pPr>
        <w:pStyle w:val="ListBullet"/>
      </w:pPr>
      <w:r/>
      <w:r>
        <w:rPr>
          <w:b/>
        </w:rPr>
        <w:t>Hypotension artérielle</w:t>
      </w:r>
      <w:r>
        <w:t xml:space="preserve"> (très fréquent, &gt; 10 %) : la déféroxamine est un vasodilatateur direct (relaxation du muscle lisse vasculaire par inhibition de la calcémie intracellulaire), responsable d'une hypotension dose-dépendante, particulièrement marquée lors de l'administration IV rapide. Prévention : administration IV lente (5-10 minutes pour 500 mg), surveillance tensionnelle continue, arrêt transitoire si PAS &lt; 90 mmHg, remplissage vasculaire prudent (NaCl 0,9 %). L'hypotension peut être sévère, voire nécessiter un remplissage vasculaire et des vasopresseurs en cas de surdosage massif.</w:t>
      </w:r>
    </w:p>
    <w:p>
      <w:pPr>
        <w:pStyle w:val="ListBullet"/>
      </w:pPr>
      <w:r/>
      <w:r>
        <w:rPr>
          <w:b/>
        </w:rPr>
        <w:t>Tachycardie réactionnelle</w:t>
      </w:r>
      <w:r>
        <w:t xml:space="preserve"> à l'hypotension (fréquent).</w:t>
      </w:r>
    </w:p>
    <w:p>
      <w:pPr>
        <w:pStyle w:val="ListBullet"/>
      </w:pPr>
      <w:r/>
      <w:r>
        <w:rPr>
          <w:b/>
        </w:rPr>
        <w:t>Nausées, vomissements, douleurs abdominales</w:t>
      </w:r>
      <w:r>
        <w:t xml:space="preserve"> (fréquent, 5-10 %) : liés à la libération d'histamine par les mastocytes. Prévention : antiémétiques (ondansétron 4 mg IV), ralentissement de la perfusion.</w:t>
      </w:r>
    </w:p>
    <w:p>
      <w:pPr>
        <w:pStyle w:val="ListBullet"/>
      </w:pPr>
      <w:r/>
      <w:r>
        <w:rPr>
          <w:b/>
        </w:rPr>
        <w:t>Flush facial, érythème</w:t>
      </w:r>
      <w:r>
        <w:t xml:space="preserve"> (fréquent) : libération d'histamine.</w:t>
      </w:r>
    </w:p>
    <w:p>
      <w:pPr>
        <w:pStyle w:val="ListBullet"/>
      </w:pPr>
      <w:r/>
      <w:r>
        <w:rPr>
          <w:b/>
        </w:rPr>
        <w:t>Réactions anaphylactoïdes</w:t>
      </w:r>
      <w:r>
        <w:t xml:space="preserve"> (rare, &lt; 1 %) : hypotension sévère, bronchospasme, urticaire généralisée. Prévention : surveillance continue lors de la première administration, arrêt immédiat en cas de réaction, traitement par adrénaline (0,3 mg IM), antihistaminiques (chlorphénamine 10 mg IV), corticoïdes (hydrocortisone 100 mg IV).</w:t>
      </w:r>
    </w:p>
    <w:p>
      <w:r/>
      <w:r>
        <w:rPr>
          <w:b/>
        </w:rPr>
        <w:t>Effets chroniques dose-cumulée</w:t>
      </w:r>
      <w:r>
        <w:t xml:space="preserve"> :</w:t>
      </w:r>
    </w:p>
    <w:p>
      <w:pPr>
        <w:pStyle w:val="ListBullet"/>
      </w:pPr>
      <w:r/>
      <w:r>
        <w:rPr>
          <w:b/>
        </w:rPr>
        <w:t>Ototoxicité</w:t>
      </w:r>
      <w:r>
        <w:t xml:space="preserve"> (cochléaire et vestibulaire) : prévalence 5-10 % à doses &gt; 50 mg/kg/jour ou durée &gt; 6 mois. Mécanisme : atteinte toxique des cellules ciliées externes de la cochlée et de l'épithélium vestibulaire, potentiellement irréversible. Survenue d'hypoacousie bilatérale prédominant sur les hautes fréquences, parfois accompagnée d'acouphènes et de vertiges. Prévention : audiométrie de référence avant traitement, puis audiométrie annuelle (ou tous les 6 mois à fortes doses), arrêt transitoire en cas d'atteinte décelable, réduction posologique à la dose minimale efficace.</w:t>
      </w:r>
    </w:p>
    <w:p>
      <w:pPr>
        <w:pStyle w:val="ListBullet"/>
      </w:pPr>
      <w:r/>
      <w:r>
        <w:rPr>
          <w:b/>
        </w:rPr>
        <w:t>Rétinotoxicité</w:t>
      </w:r>
      <w:r>
        <w:t xml:space="preserve"> (maculopathie, neuropathie optique) : prévalence 1-5 % à doses &gt; 50 mg/kg/jour. Survenue de scotomes centraux, troubles de la vision des couleurs (dyschromatopsie bleu-jaune puis rouge-vert), baisse d'acuité visuelle. Prévention : fond d'œil et vision des couleurs (Ishihara) annuels, arrêt transitoire en cas d'anomalie.</w:t>
      </w:r>
    </w:p>
    <w:p>
      <w:pPr>
        <w:pStyle w:val="ListBullet"/>
      </w:pPr>
      <w:r/>
      <w:r>
        <w:rPr>
          <w:b/>
        </w:rPr>
        <w:t>Néphrotoxicité</w:t>
      </w:r>
      <w:r>
        <w:t xml:space="preserve"> : prévalence 5-15 % à doses &gt; 50 mg/kg/jour, plus fréquente en cas d'insuffisance rénale préexistante. Survenue d'une élévation de la créatininémie, d'une protéinurie tubulaire, rarement d'une insuffisance rénale aiguë tubulo-interstitielle. Prévention : créatininémie et protéinurie mensuelles les 6 premiers mois, trimestrielles ensuite, adaptation posologique en cas d'insuffisance rénale.</w:t>
      </w:r>
    </w:p>
    <w:p>
      <w:pPr>
        <w:pStyle w:val="ListBullet"/>
      </w:pPr>
      <w:r/>
      <w:r>
        <w:rPr>
          <w:b/>
        </w:rPr>
        <w:t>Retard de croissance chez l'enfant</w:t>
      </w:r>
      <w:r>
        <w:t xml:space="preserve"> : à fortes doses (&gt; 50 mg/kg/jour) chez l'enfant thalassémique, survenue d'un rachitisme vitaminorésistant et d'un retard de croissance osseuse. Mécanisme : inhibition de la ribonucléotide réductase (enzyme fer-dépendante, nécessaire à la synthèse de l'ADN osseux). Prévention : surveillance de la croissance staturo-pondérale trimestrielle, dosage de la vitamine D et du calcium, supplémentation vitaminocalcique, réduction posologique à la dose minimale efficace.</w:t>
      </w:r>
    </w:p>
    <w:p>
      <w:pPr>
        <w:pStyle w:val="ListBullet"/>
      </w:pPr>
      <w:r/>
      <w:r>
        <w:rPr>
          <w:b/>
        </w:rPr>
        <w:t>Pneumopathie d'hypersensibilité, syndrome pulmonaire</w:t>
      </w:r>
      <w:r>
        <w:t xml:space="preserve"> (rare, &lt; 1 %) : infiltration pulmonaire interstitielle, dyspnée, toux, fièvre. Prévention : arrêt immédiat, bilan pulmonaire (radiographie, scanner, gaz du sang), corticothérapie si sévère.</w:t>
      </w:r>
    </w:p>
    <w:p>
      <w:pPr>
        <w:pStyle w:val="ListBullet"/>
      </w:pPr>
      <w:r/>
      <w:r>
        <w:rPr>
          <w:b/>
        </w:rPr>
        <w:t>Troubles neurologiques centraux</w:t>
      </w:r>
      <w:r>
        <w:t xml:space="preserve"> (rare) : confusion, convulsions, encéphalopathie — particulièrement à fortes doses ou en cas d'insuffisance rénale.</w:t>
      </w:r>
    </w:p>
    <w:p>
      <w:r/>
      <w:r>
        <w:rPr>
          <w:b/>
        </w:rPr>
        <w:t>Effets allergiques</w:t>
      </w:r>
      <w:r>
        <w:t xml:space="preserve"> :</w:t>
      </w:r>
    </w:p>
    <w:p>
      <w:pPr>
        <w:pStyle w:val="ListBullet"/>
      </w:pPr>
      <w:r/>
      <w:r>
        <w:rPr>
          <w:b/>
        </w:rPr>
        <w:t>Éruptions cutanées</w:t>
      </w:r>
      <w:r>
        <w:t xml:space="preserve"> (5-10 %) : rash maculopapuleux, urticaire, prurit. Prévention : antihistaminiques, arrêt transitoire.</w:t>
      </w:r>
    </w:p>
    <w:p>
      <w:pPr>
        <w:pStyle w:val="ListBullet"/>
      </w:pPr>
      <w:r/>
      <w:r>
        <w:rPr>
          <w:b/>
        </w:rPr>
        <w:t>Choc anaphylactique</w:t>
      </w:r>
      <w:r>
        <w:t xml:space="preserve"> (très rare, &lt; 0,1 %) : urticaire géante, hypotension, bronchospasme, arrêt cardiaque. Prévention : arrêt immédiat, adrénaline, réanimation.</w:t>
      </w:r>
    </w:p>
    <w:p>
      <w:r/>
      <w:r>
        <w:rPr>
          <w:b/>
        </w:rPr>
        <w:t>Effets liés au mode d'administration SC</w:t>
      </w:r>
      <w:r>
        <w:t xml:space="preserve"> :</w:t>
      </w:r>
    </w:p>
    <w:p>
      <w:pPr>
        <w:pStyle w:val="ListBullet"/>
      </w:pPr>
      <w:r/>
      <w:r>
        <w:rPr>
          <w:b/>
        </w:rPr>
        <w:t>Nécrose sous-cutanée, abcès au point d'injection</w:t>
      </w:r>
      <w:r>
        <w:t xml:space="preserve"> (fréquent, 10-20 %) : liés à la concentration élevée de la solution (66,7 mg/mL) et à l'irritation locale. Prévention : rotation rigoureuse des sites d'injection (paroi abdominale, cuisses, bras), hygiène stricte, changement de l'aiguille tous les jours, antiseptie locale.</w:t>
      </w:r>
    </w:p>
    <w:p>
      <w:pPr>
        <w:pStyle w:val="Heading3"/>
      </w:pPr>
      <w:r>
        <w:t>192.4.6 Interactions médicamenteuses</w:t>
      </w:r>
    </w:p>
    <w:p>
      <w:r>
        <w:t>Les interactions médicamenteuses de la déféroxamine sont dominées par les interactions pharmacodynamiques liées à la toxicité additive et les interactions physico-chimiques de perfusion.</w:t>
      </w:r>
    </w:p>
    <w:p>
      <w:r/>
      <w:r>
        <w:rPr>
          <w:b/>
        </w:rPr>
        <w:t>Interactions pharmacodynamiques (toxicité additive)</w:t>
      </w:r>
      <w:r>
        <w:t xml:space="preserve"> :</w:t>
      </w:r>
    </w:p>
    <w:p>
      <w:pPr>
        <w:pStyle w:val="ListBullet"/>
      </w:pPr>
      <w:r/>
      <w:r>
        <w:rPr>
          <w:b/>
        </w:rPr>
        <w:t>Aminosides</w:t>
      </w:r>
      <w:r>
        <w:t xml:space="preserve"> (gentamicine, amikacine, tobramycine) : majoration de l'ototoxicité et de la néphrotoxicité, potentiellement irréversible. Contre-indication relative — éviter l'association, ou surveillance renforcée (audiométrie, créatininémie) si l'association est indispensable (par exemple, infection sévère chez un patient thalassémique sous chélation chronique).</w:t>
      </w:r>
    </w:p>
    <w:p>
      <w:pPr>
        <w:pStyle w:val="ListBullet"/>
      </w:pPr>
      <w:r/>
      <w:r>
        <w:rPr>
          <w:b/>
        </w:rPr>
        <w:t>Diurétiques de l'anse</w:t>
      </w:r>
      <w:r>
        <w:t xml:space="preserve"> (furosémide) : majoration de l'ototoxicité, particulièrement sur les cellules ciliées cochléaires. Éviter l'association, ou espacer les administrations (furosémide IV ≥ 6 heures avant ou après la déféroxamine), surveillance audiométrique.</w:t>
      </w:r>
    </w:p>
    <w:p>
      <w:pPr>
        <w:pStyle w:val="ListBullet"/>
      </w:pPr>
      <w:r/>
      <w:r>
        <w:rPr>
          <w:b/>
        </w:rPr>
        <w:t>AINS</w:t>
      </w:r>
      <w:r>
        <w:t xml:space="preserve"> (ibuprofène, kétoprofène, diclofénac) : majoration de la néphrotoxicité (toxicité tubulaire additive). Prudence, surveillance rénale accrue.</w:t>
      </w:r>
    </w:p>
    <w:p>
      <w:pPr>
        <w:pStyle w:val="ListBullet"/>
      </w:pPr>
      <w:r/>
      <w:r>
        <w:rPr>
          <w:b/>
        </w:rPr>
        <w:t>Inhibiteurs de l'ECA</w:t>
      </w:r>
      <w:r>
        <w:t xml:space="preserve"> (énalapril, ramipril) et ARA2 (valsartan, losartan) : majoration du risque d'hypotension et d'insuffisance rénale, particulièrement en cas d'hypovolémie associée. Surveillance tensionnelle et rénale.</w:t>
      </w:r>
    </w:p>
    <w:p>
      <w:pPr>
        <w:pStyle w:val="ListBullet"/>
      </w:pPr>
      <w:r/>
      <w:r>
        <w:rPr>
          <w:b/>
        </w:rPr>
        <w:t>Vitamine C</w:t>
      </w:r>
      <w:r>
        <w:t xml:space="preserve"> (acide ascorbique) : potentialisation de la chélation du fer (la vitamine C réduit Fe3+ en Fe2+, plus accessible à la chélation), mais majoration du risque de toxicité cardiaque (libération massive de fer intracellulaire avec génération de radicaux libres par réaction de Fenton). Dose maximale recommandée : 100 à 200 mg/jour per os, à administrer </w:t>
      </w:r>
      <w:r>
        <w:rPr>
          <w:b/>
        </w:rPr>
        <w:t>après</w:t>
      </w:r>
      <w:r>
        <w:t xml:space="preserve"> le démarrage de la chélation (jamais avant), surveillance ECG.</w:t>
      </w:r>
    </w:p>
    <w:p>
      <w:r/>
      <w:r>
        <w:rPr>
          <w:b/>
        </w:rPr>
        <w:t>Interactions physico-chimiques de perfusion</w:t>
      </w:r>
      <w:r>
        <w:t xml:space="preserve"> :</w:t>
      </w:r>
    </w:p>
    <w:p>
      <w:pPr>
        <w:pStyle w:val="ListBullet"/>
      </w:pPr>
      <w:r/>
      <w:r>
        <w:rPr>
          <w:b/>
        </w:rPr>
        <w:t>Solutions alcalines</w:t>
      </w:r>
      <w:r>
        <w:t xml:space="preserve"> (bicarbonate de sodium, lactate de Ringer) : précipitation in vitro de la déféroxamine. Ne jamais mélanger dans la même perfusion.</w:t>
      </w:r>
    </w:p>
    <w:p>
      <w:pPr>
        <w:pStyle w:val="ListBullet"/>
      </w:pPr>
      <w:r/>
      <w:r>
        <w:rPr>
          <w:b/>
        </w:rPr>
        <w:t>Cations divalents</w:t>
      </w:r>
      <w:r>
        <w:t xml:space="preserve"> (Ca2+, Mg2+) en perfusion simultanée : compétition pour la chélation, inefficacité. Ne pas mélanger.</w:t>
      </w:r>
    </w:p>
    <w:p>
      <w:pPr>
        <w:pStyle w:val="ListBullet"/>
      </w:pPr>
      <w:r/>
      <w:r>
        <w:rPr>
          <w:b/>
        </w:rPr>
        <w:t>Héparine</w:t>
      </w:r>
      <w:r>
        <w:t xml:space="preserve"> en perfusion simultanée : incompatibilité physico-chimique (précipitation). Voie veineuse distincte.</w:t>
      </w:r>
    </w:p>
    <w:p>
      <w:pPr>
        <w:pStyle w:val="ListBullet"/>
      </w:pPr>
      <w:r/>
      <w:r>
        <w:rPr>
          <w:b/>
        </w:rPr>
        <w:t>Solutions glucosées</w:t>
      </w:r>
      <w:r>
        <w:t xml:space="preserve"> à concentration &gt; 10 % : dégradation accélérée de la déféroxamine. Utiliser NaCl 0,9 % ou glucosé 5 %.</w:t>
      </w:r>
    </w:p>
    <w:p>
      <w:r/>
      <w:r>
        <w:rPr>
          <w:b/>
        </w:rPr>
        <w:t>Interactions métaboliques</w:t>
      </w:r>
      <w:r>
        <w:t xml:space="preserve"> : la déféroxamine est métabolisée par CYP3A4 et CYP2C9, mais l'implication métabolique est mineure (30 %), et les interactions cliniquement significatives avec les inducteurs ou inhibiteurs du CYP450 sont rares.</w:t>
      </w:r>
    </w:p>
    <w:p>
      <w:r/>
      <w:r>
        <w:rPr>
          <w:b/>
        </w:rPr>
        <w:t>Surveillance biologique associée</w:t>
      </w:r>
      <w:r>
        <w:t xml:space="preserve"> : bilans hépatique (ALAT, ASAT, PAL, γGT, bilirubine) et rénal (créatininémie, protéinurie) mensuels les 6 premiers mois puis trimestriels ; audiométrie annuelle ; fond d'œil annuel ; ferritinémie trimestrielle ; IRM hépatique et cardiaque T2* annuelles.</w:t>
      </w:r>
    </w:p>
    <w:p>
      <w:pPr>
        <w:pStyle w:val="Heading3"/>
      </w:pPr>
      <w:r>
        <w:t>192.4.7 Grossesse, allaitement et données CRAT</w:t>
      </w:r>
    </w:p>
    <w:p>
      <w:r/>
      <w:r>
        <w:rPr>
          <w:b/>
        </w:rPr>
        <w:t>Grossesse</w:t>
      </w:r>
      <w:r>
        <w:t xml:space="preserve"> : selon le CRAT (Centre de Renseignement sur les Agents Tératogènes, Hôpital Armand-Trousseau, Paris) et l'ANSM, la déféroxamine est </w:t>
      </w:r>
      <w:r>
        <w:rPr>
          <w:b/>
        </w:rPr>
        <w:t>envisageable pendant la grossesse</w:t>
      </w:r>
      <w:r>
        <w:t xml:space="preserve"> si besoin clinique (surcharge martiale maternelle sévère), après évaluation du rapport bénéfice/risque. Les données animales (souris, rat, lapin) n'ont pas mis en évidence d'effet tératogène, à l'exception d'anomalies squelettiques mineures à doses maternotoxiques. Les données humaines (séries de cas publiées, études rétrospectives chez la femme thalassémique enceinte sous déféroxamine tout au long de la grossesse) ne montrent pas d'augmentation du risque de malformations congénitales, mais rapportent un risque d'hypotension maternelle et fœtale en cas d'administration IV rapide (à éviter). Le passage placentaire est faible (rapport cordon/maternel ≈ 0,2), et le complexe ferrioxamine ne traverse pas significativement le placenta. Le risque théorique de déplétion martiale fœtale n'a pas été documenté cliniquement.</w:t>
      </w:r>
    </w:p>
    <w:p>
      <w:r/>
      <w:r>
        <w:rPr>
          <w:b/>
        </w:rPr>
        <w:t>Recommandations cliniques</w:t>
      </w:r>
      <w:r>
        <w:t xml:space="preserve"> : (1) chez la femme thalassémique ou drépanocytaire enceinte avec surcharge martiale sévère, la chélation par déféroxamine peut être poursuivie pendant la grossesse, à la dose minimale efficace (20-30 mg/kg/jour SC), sous surveillance obstétricale et hématologique rapprochée ; (2) en cas d'intoxication aiguë par le fer pendant la grossesse, la déféroxamine IV est indiquée (urgence vitale maternelle) — le bénéfice maternel l'emporte sur le risque fœtal théorique ; (3) en cas de surcharge martiale modérée asymptomatique chez la femme enceinte, le rapport bénéfice/risque doit être discuté au cas par cas (alternative : report de la chélation au post-partum si la surcharge n'est pas critique).</w:t>
      </w:r>
    </w:p>
    <w:p>
      <w:r/>
      <w:r>
        <w:rPr>
          <w:b/>
        </w:rPr>
        <w:t>Allaitement</w:t>
      </w:r>
      <w:r>
        <w:t xml:space="preserve"> : selon le CRAT, l'allaitement est </w:t>
      </w:r>
      <w:r>
        <w:rPr>
          <w:b/>
        </w:rPr>
        <w:t>envisageable</w:t>
      </w:r>
      <w:r>
        <w:t xml:space="preserve"> sous déféroxamine. La déféroxamine passe faiblement dans le lait maternel (rapport lait/plasma ≈ 0,1), et la quantité ingérée par le nourrisson est négligeable (&lt; 1 % de la dose maternelle pondérée). Le complexe ferrioxamine ne passe pas significativement dans le lait. Aucun effet indésirable n'a été rapporté chez le nourrisson allaité par une mère sous déféroxamine. Cependant, en raison du risque théorique de déplétion martiale chez le nourrisson (à éviter chez le prématuré et le nouveau-né en carence martiale), la surveillance pédiatrique est recommandée (bilan martial à 1 et 3 mois).</w:t>
      </w:r>
    </w:p>
    <w:p>
      <w:r/>
      <w:r>
        <w:rPr>
          <w:b/>
        </w:rPr>
        <w:t>Femmes en âge de procréer</w:t>
      </w:r>
      <w:r>
        <w:t xml:space="preserve"> : pas de contre-indication à la chélation par déféroxamine. Contraception recommandée pendant le traitement (en raison du risque tératogène théorique non écarté à 100 %), mais grossesse possible en cours de traitement après consultation spécialisée (hématologue + obstétricien).</w:t>
      </w:r>
    </w:p>
    <w:p>
      <w:pPr>
        <w:pStyle w:val="Heading3"/>
      </w:pPr>
      <w:r>
        <w:t>192.4.8 Posologie et modes d'administration</w:t>
      </w:r>
    </w:p>
    <w:p>
      <w:r/>
      <w:r>
        <w:rPr>
          <w:b/>
        </w:rPr>
        <w:t>Posologie adulte</w:t>
      </w:r>
      <w:r>
        <w:t xml:space="preserve"> (intoxication aiguë par le fer) :</w:t>
      </w:r>
    </w:p>
    <w:p>
      <w:pPr>
        <w:pStyle w:val="ListBullet"/>
      </w:pPr>
      <w:r/>
      <w:r>
        <w:rPr>
          <w:b/>
        </w:rPr>
        <w:t>Dose initiale</w:t>
      </w:r>
      <w:r>
        <w:t xml:space="preserve"> : 15 mg/kg/h IV pendant la première heure (soit 1000 mg/h pour un adulte de 70 kg), à diluer dans 250 mL de NaCl 0,9 % ou de glucosé 5 %, à perfuser sur 1 heure via un cathéter veineux périphérique ou central de bon calibre.</w:t>
      </w:r>
    </w:p>
    <w:p>
      <w:pPr>
        <w:pStyle w:val="ListBullet"/>
      </w:pPr>
      <w:r/>
      <w:r>
        <w:rPr>
          <w:b/>
        </w:rPr>
        <w:t>Dose d'entretien</w:t>
      </w:r>
      <w:r>
        <w:t xml:space="preserve"> : 5 mg/kg/h IV pendant 4 à 6 heures (soit 350 mg/h), à perfuser dans 500 mL de NaCl 0,9 %.</w:t>
      </w:r>
    </w:p>
    <w:p>
      <w:pPr>
        <w:pStyle w:val="ListBullet"/>
      </w:pPr>
      <w:r/>
      <w:r>
        <w:rPr>
          <w:b/>
        </w:rPr>
        <w:t>Dose maximale</w:t>
      </w:r>
      <w:r>
        <w:t xml:space="preserve"> : 80 mg/kg/24h chez l'adulte (soit 5,6 g/24h pour 70 kg), à ne pas dépasser en raison du risque d'hypotension et d'oto-néphrotoxicité.</w:t>
      </w:r>
    </w:p>
    <w:p>
      <w:pPr>
        <w:pStyle w:val="ListBullet"/>
      </w:pPr>
      <w:r/>
      <w:r>
        <w:rPr>
          <w:b/>
        </w:rPr>
        <w:t>Durée</w:t>
      </w:r>
      <w:r>
        <w:t xml:space="preserve"> : jusqu'à disparition des signes cliniques et biologiques d'intoxication (vinoxamine disparue, fer sérique &lt; 300 µg/L, normalisation de l'acidose). En moyenne 6 à 24 heures.</w:t>
      </w:r>
    </w:p>
    <w:p>
      <w:r/>
      <w:r>
        <w:rPr>
          <w:b/>
        </w:rPr>
        <w:t>Posologie adulte</w:t>
      </w:r>
      <w:r>
        <w:t xml:space="preserve"> (surcharge martiale chronique) :</w:t>
      </w:r>
    </w:p>
    <w:p>
      <w:pPr>
        <w:pStyle w:val="ListBullet"/>
      </w:pPr>
      <w:r/>
      <w:r>
        <w:rPr>
          <w:b/>
        </w:rPr>
        <w:t>Schéma standard SC</w:t>
      </w:r>
      <w:r>
        <w:t xml:space="preserve"> : 20-60 mg/kg/jour en perfusion sous-cutanée continue sur 8-12 heures par nuit (au lit, à la pompe portable), 5 à 7 jours par semaine. Démarrer à 25-30 mg/kg/jour et adapter selon la ferritinémie trimestrielle.</w:t>
      </w:r>
    </w:p>
    <w:p>
      <w:pPr>
        <w:pStyle w:val="ListBullet"/>
      </w:pPr>
      <w:r/>
      <w:r>
        <w:rPr>
          <w:b/>
        </w:rPr>
        <w:t>Schéma intensif IV</w:t>
      </w:r>
      <w:r>
        <w:t xml:space="preserve"> (surcharge massive avec cardiomyopathie sévère) : 50-60 mg/kg/jour IV continue 24h/24, sous surveillance monitorée en réanimation ou en USIC, pendant 5 à 7 jours, puis relais SC à 40 mg/kg/jour.</w:t>
      </w:r>
    </w:p>
    <w:p>
      <w:pPr>
        <w:pStyle w:val="ListBullet"/>
      </w:pPr>
      <w:r/>
      <w:r>
        <w:rPr>
          <w:b/>
        </w:rPr>
        <w:t>Schéma IM</w:t>
      </w:r>
      <w:r>
        <w:t xml:space="preserve"> (alternative si voie SC impossible) : 500 mg à 1 g IM profonde (muscle fessier, rotation des sites), 1 à 2 fois par jour.</w:t>
      </w:r>
    </w:p>
    <w:p>
      <w:r/>
      <w:r>
        <w:rPr>
          <w:b/>
        </w:rPr>
        <w:t>Posologie pédiatrique</w:t>
      </w:r>
      <w:r>
        <w:t xml:space="preserve"> :</w:t>
      </w:r>
    </w:p>
    <w:p>
      <w:pPr>
        <w:pStyle w:val="ListBullet"/>
      </w:pPr>
      <w:r/>
      <w:r>
        <w:rPr>
          <w:b/>
        </w:rPr>
        <w:t>Intoxication aiguë par le fer</w:t>
      </w:r>
      <w:r>
        <w:t xml:space="preserve"> : même schéma que l'adulte, à la dose de 15 mg/kg/h IV pendant 1 heure puis 5 mg/kg/h pendant 4-6 heures, sans dépasser 80 mg/kg/24h. Surveillance pédiatrique hospitalière obligatoire (USI pédiatrique).</w:t>
      </w:r>
    </w:p>
    <w:p>
      <w:pPr>
        <w:pStyle w:val="ListBullet"/>
      </w:pPr>
      <w:r/>
      <w:r>
        <w:rPr>
          <w:b/>
        </w:rPr>
        <w:t>Surcharge chronique (thalassémie)</w:t>
      </w:r>
      <w:r>
        <w:t xml:space="preserve"> : 20-40 mg/kg/jour SC à partir de l'âge de 2-4 ans, dès que la ferritinémie dépasse 1000 µg/L ou après 10-20 transfusions. Adapter selon la tolérance et la croissance staturo-pondérale.</w:t>
      </w:r>
    </w:p>
    <w:p>
      <w:r/>
      <w:r>
        <w:rPr>
          <w:b/>
        </w:rPr>
        <w:t>Posologie en insuffisance rénale</w:t>
      </w:r>
      <w:r>
        <w:t xml:space="preserve"> :</w:t>
      </w:r>
    </w:p>
    <w:p>
      <w:pPr>
        <w:pStyle w:val="ListBullet"/>
      </w:pPr>
      <w:r>
        <w:t>DFG 30-60 mL/min : réduire la dose de 25-50 %.</w:t>
      </w:r>
    </w:p>
    <w:p>
      <w:pPr>
        <w:pStyle w:val="ListBullet"/>
      </w:pPr>
      <w:r>
        <w:t>DFG &lt; 30 mL/min : réduire la dose de 50 %, surveillance accrue (créatininémie, audiométrie).</w:t>
      </w:r>
    </w:p>
    <w:p>
      <w:pPr>
        <w:pStyle w:val="ListBullet"/>
      </w:pPr>
      <w:r>
        <w:t>Hémodialyse : la déféroxamine et la ferrioxamine sont dialysables ; administrer en fin de séance.</w:t>
      </w:r>
    </w:p>
    <w:p>
      <w:r/>
      <w:r>
        <w:rPr>
          <w:b/>
        </w:rPr>
        <w:t>Mode d'administration</w:t>
      </w:r>
      <w:r>
        <w:t xml:space="preserve"> :</w:t>
      </w:r>
    </w:p>
    <w:p>
      <w:pPr>
        <w:pStyle w:val="ListBullet"/>
      </w:pPr>
      <w:r/>
      <w:r>
        <w:rPr>
          <w:b/>
        </w:rPr>
        <w:t>IV directe</w:t>
      </w:r>
      <w:r>
        <w:t xml:space="preserve"> (urgence) : reconstituer la poudre avec 7,5 mL d'EPPI, agiter doucement jusqu'à dissolution complète (1-2 min), injecter IV lente sur 5-10 minutes (1 mL/min), surveillance tensionnelle stricte.</w:t>
      </w:r>
    </w:p>
    <w:p>
      <w:pPr>
        <w:pStyle w:val="ListBullet"/>
      </w:pPr>
      <w:r/>
      <w:r>
        <w:rPr>
          <w:b/>
        </w:rPr>
        <w:t>Perfusion IV continue</w:t>
      </w:r>
      <w:r>
        <w:t xml:space="preserve"> : diluer la dose totale (par exemple 2 g = 4 flacons) dans 50-100 mL de NaCl 0,9 %, à perfuser via pompe volumétrique, voie veineuse centrale préférée en cas de traitement prolongé (&gt; 24h).</w:t>
      </w:r>
    </w:p>
    <w:p>
      <w:pPr>
        <w:pStyle w:val="ListBullet"/>
      </w:pPr>
      <w:r/>
      <w:r>
        <w:rPr>
          <w:b/>
        </w:rPr>
        <w:t>Perfusion SC continue</w:t>
      </w:r>
      <w:r>
        <w:t xml:space="preserve"> : reconstituer la dose (par exemple 2 g = 4 flacons), à perfuser via une pompe portable (Cadillac, Crono-S, syringe driver) sur 8-12 heures par nuit, via un cathéter SC (aiguille fine 27 G) inséré dans la paroi abdominale antérieure (rotation des sites tous les jours).</w:t>
      </w:r>
    </w:p>
    <w:p>
      <w:pPr>
        <w:pStyle w:val="ListBullet"/>
      </w:pPr>
      <w:r/>
      <w:r>
        <w:rPr>
          <w:b/>
        </w:rPr>
        <w:t>IM profonde</w:t>
      </w:r>
      <w:r>
        <w:t xml:space="preserve"> : reconstituer sans dilution supplémentaire (concentration 66,7 mg/mL), injecter 7,5 mL dans le muscle fessier ou le muscle deltoïde, en rotation des sites.</w:t>
      </w:r>
    </w:p>
    <w:p>
      <w:pPr>
        <w:pStyle w:val="Heading3"/>
      </w:pPr>
      <w:r>
        <w:t>192.4.9 Formes galéniques disponibles</w:t>
      </w:r>
    </w:p>
    <w:p>
      <w:r/>
      <w:r>
        <w:rPr>
          <w:b/>
        </w:rPr>
        <w:t>Forme unique disponible en Algérie</w:t>
      </w:r>
      <w:r>
        <w:t xml:space="preserve"> : poudre et solvant pour solution injectable, dosée à 500 mg de déféroxamine (sous forme de mésylate de déféroxamine) par flacon de poudre lyophilisée, accompagnée d'une ampoule de 7,5 mL d'eau pour préparations injectables (EPPI) comme solvant. Le conditionnement standard est la boîte de 1 flacon de poudre + 1 ampoule de solvant (B/1+1), adapté à l'usage hospitalier et à la délivrance unitaire pour la chélation ambulatoire chronique.</w:t>
      </w:r>
    </w:p>
    <w:p>
      <w:r/>
      <w:r>
        <w:rPr>
          <w:b/>
        </w:rPr>
        <w:t>Reconstitution</w:t>
      </w:r>
      <w:r>
        <w:t xml:space="preserve"> : la poudre lyophilisée blanche à légèrement crème doit être reconstituée par injection du solvant (7,5 mL d'EPPI) dans le flacon de poudre, suivie d'une agitation douce jusqu'à dissolution complète (1 à 2 minutes). La solution reconstituée est limpide et incolore à légèrement jaunâtre, à la concentration de 66,7 mg/mL de déféroxamine. Toute coloration intense, toute turbidité, toute présence de particules doit faire rejeter la solution.</w:t>
      </w:r>
    </w:p>
    <w:p>
      <w:r/>
      <w:r>
        <w:rPr>
          <w:b/>
        </w:rPr>
        <w:t>Stabilité de la solution reconstituée</w:t>
      </w:r>
      <w:r>
        <w:t xml:space="preserve"> : 24 heures à température ambiante (15-25 °C) à l'abri de la lumière ; 7 jours au réfrigérateur (2-8 °C). Au-delà de ces délais, la solution doit être jetée selon les protocoles de gestion des déchets de soins à risques infectieux (DASRI). Ne pas congeler (la congélation dénature la molécule et altère son activité chélatrice).</w:t>
      </w:r>
    </w:p>
    <w:p>
      <w:r/>
      <w:r>
        <w:rPr>
          <w:b/>
        </w:rPr>
        <w:t>Compatibilité</w:t>
      </w:r>
      <w:r>
        <w:t xml:space="preserve"> : NaCl 0,9 %, glucosé 5 %, Ringer lactate (sans ions calcium). Incompatibilité avec : solutions alcalines (bicarbonate de sodium), solutions contenant des cations divalents (Ca2+, Mg2+), héparine, autres médicaments dans la même perfusion (voie veineuse distincte obligatoire).</w:t>
      </w:r>
    </w:p>
    <w:p>
      <w:r/>
      <w:r>
        <w:rPr>
          <w:b/>
        </w:rPr>
        <w:t>Conditionnements et circuits de distribution</w:t>
      </w:r>
      <w:r>
        <w:t xml:space="preserve"> : la déféroxamine (DESFERAL) est un médicament d'importation (Novartis Pharma Schweiz AG, Suisse), disponible en pharmacie hospitalière (PCH) et en pharmacie de ville sur ordonnance spécialisée (Liste I). La prise en charge par la CNAS est assurée à 100 % au titre des ALD 23 (hémoglobinopathies) pour les patients thalassémiques et drépanocytaires. La prescription est réservée aux médecins spécialistes (hématologues, pédiatres hématologues, réanimateurs toxicologues).</w:t>
      </w:r>
    </w:p>
    <w:p>
      <w:pPr>
        <w:pStyle w:val="Heading3"/>
      </w:pPr>
      <w:r>
        <w:t>192.4.10 Conseils au patient et éducation thérapeutique</w:t>
      </w:r>
    </w:p>
    <w:p>
      <w:r/>
      <w:r>
        <w:rPr>
          <w:b/>
        </w:rPr>
        <w:t>Éducation à la chélation sous-cutanée continue ambulatoire</w:t>
      </w:r>
      <w:r>
        <w:t xml:space="preserve"> : la chélation par déféroxamine à la pompe portable est une thérapeutique de longue haleine qui requiert une éducation thérapeutique structurée du patient (et/ou de ses parents, chez l'enfant thalassémique). L'éducation doit aborder : (1) </w:t>
      </w:r>
      <w:r>
        <w:rPr>
          <w:b/>
        </w:rPr>
        <w:t>l'objectif thérapeutique</w:t>
      </w:r>
      <w:r>
        <w:t xml:space="preserve"> — expliquer au patient que la chélation vise à dépléter le fer accumulé par les transfusions répétées, à prévenir la cardiomyopathie siderotique (cause principale de décès chez le thalassémique non chélaté), le diabète, l'hypogonadisme, l'insuffisance hépatique, et à garantir une survie prolongée et une qualité de vie satisfaisante ; (2) </w:t>
      </w:r>
      <w:r>
        <w:rPr>
          <w:b/>
        </w:rPr>
        <w:t>l'observance</w:t>
      </w:r>
      <w:r>
        <w:t xml:space="preserve"> — insister sur l'importance d'une chélation régulière (5 à 7 nuits par semaine), l'observance étant le facteur pronostique principal de survie (étude Olivieri 1994 : survie à 20 ans de 90 % chez les patients observants &gt; 80 % vs 30 % chez les non-observants) ; (3) </w:t>
      </w:r>
      <w:r>
        <w:rPr>
          <w:b/>
        </w:rPr>
        <w:t>la technique d'auto-administration</w:t>
      </w:r>
      <w:r>
        <w:t xml:space="preserve"> — apprentissage de la reconstitution de la solution, du remplissage de la pompe, de la pose de l'aiguille SC, de la rotation des sites (paroi abdominale, cuisses, bras), de l'hygiène (lavage des mains, antiseptie locale) ; (4) </w:t>
      </w:r>
      <w:r>
        <w:rPr>
          <w:b/>
        </w:rPr>
        <w:t>la surveillance</w:t>
      </w:r>
      <w:r>
        <w:t xml:space="preserve"> — tenue d'un carnet de suivi (dates, doses, sites d'injection, tolérance), ferritinémie trimestrielle, IRM annuelle, audiométrie et fond d'œil annuels ; (5) </w:t>
      </w:r>
      <w:r>
        <w:rPr>
          <w:b/>
        </w:rPr>
        <w:t>la gestion des effets indésirables</w:t>
      </w:r>
      <w:r>
        <w:t xml:space="preserve"> — reconnaissance des signes d'hypotension, d'éruption cutanée, d'abcès au point d'injection, et conduite à tenir (arrêt transitoire, contact médical).</w:t>
      </w:r>
    </w:p>
    <w:p>
      <w:r/>
      <w:r>
        <w:rPr>
          <w:b/>
        </w:rPr>
        <w:t>Surveillance de l'efficacité</w:t>
      </w:r>
      <w:r>
        <w:t xml:space="preserve"> : la coloration </w:t>
      </w:r>
      <w:r>
        <w:rPr>
          <w:b/>
        </w:rPr>
        <w:t>vin rouge</w:t>
      </w:r>
      <w:r>
        <w:t xml:space="preserve"> des urines (vinoxamine) est un marqueur visuel d'efficacité thérapeutique — plus la coloration est intense, plus la chélation est efficace. Cependant, l'absence de coloration ne signifie pas inefficacité (la chélation peut être biliaire plutôt qu'urinaire). La ferritinémie trimestrielle est le marqueur biologique principal (objectif : 500-1000 µg/L). La baisse de la ferritinémie est progressive sur 3 à 6 mois, et l'objectif thérapeutique est atteint en 12 à 24 mois pour une surcharge modérée, en 2 à 5 ans pour une surcharge massive.</w:t>
      </w:r>
    </w:p>
    <w:p>
      <w:r/>
      <w:r>
        <w:rPr>
          <w:b/>
        </w:rPr>
        <w:t>Surveillance de la tolérance</w:t>
      </w:r>
      <w:r>
        <w:t xml:space="preserve"> : (1) </w:t>
      </w:r>
      <w:r>
        <w:rPr>
          <w:b/>
        </w:rPr>
        <w:t>audiométrie</w:t>
      </w:r>
      <w:r>
        <w:t xml:space="preserve"> annuelle (ou tous les 6 mois à fortes doses) — alerter immédiatement en cas de baisse d'audition, d'acouphènes, de vertiges ; (2) </w:t>
      </w:r>
      <w:r>
        <w:rPr>
          <w:b/>
        </w:rPr>
        <w:t>fond d'œil</w:t>
      </w:r>
      <w:r>
        <w:t xml:space="preserve"> annuel et vision des couleurs (planche d'Ishihara) — alerter en cas de baisse d'acuité visuelle, de scotomes, de troubles de la vision des couleurs ; (3) </w:t>
      </w:r>
      <w:r>
        <w:rPr>
          <w:b/>
        </w:rPr>
        <w:t>créatininémie</w:t>
      </w:r>
      <w:r>
        <w:t xml:space="preserve"> et protéinurie mensuelles les 6 premiers mois puis trimestrielles — alerter en cas de dégradation ; (4) </w:t>
      </w:r>
      <w:r>
        <w:rPr>
          <w:b/>
        </w:rPr>
        <w:t>bilan hépatique</w:t>
      </w:r>
      <w:r>
        <w:t xml:space="preserve"> mensuel (ALAT, ASAT, PAL, γGT, bilirubine) ; (5) </w:t>
      </w:r>
      <w:r>
        <w:rPr>
          <w:b/>
        </w:rPr>
        <w:t>croissance staturo-pondérale</w:t>
      </w:r>
      <w:r>
        <w:t xml:space="preserve"> trimestrielle chez l'enfant.</w:t>
      </w:r>
    </w:p>
    <w:p>
      <w:r/>
      <w:r>
        <w:rPr>
          <w:b/>
        </w:rPr>
        <w:t>Conseils pratiques</w:t>
      </w:r>
      <w:r>
        <w:t xml:space="preserve"> : (1) conservation à &lt; 25 °C, à l'abri de la lumière ; (2) solution reconstituée stable 24 h à température ambiante, 7 jours au réfrigérateur ; (3) ne jamais congeler ; (4) ne pas mélanger avec d'autres médicaments dans la perfusion ; (5) avoir toujours une pompe de secours et un stock de flacons en cas de panne ou de rupture d'approvisionnement ; (6) voyager avec un certificat médical (justifiant le matériel de perfusion pour le contrôle de sécurité aéroportuaire).</w:t>
      </w:r>
    </w:p>
    <w:p>
      <w:pPr>
        <w:pStyle w:val="Heading3"/>
      </w:pPr>
      <w:r>
        <w:t>192.4.11 Pièges au comptoir et au lit du patient (règles d'or)</w:t>
      </w:r>
    </w:p>
    <w:p>
      <w:r/>
      <w:r>
        <w:rPr>
          <w:b/>
        </w:rPr>
        <w:t>Piège n°1 — Hypotension IV rapide</w:t>
      </w:r>
      <w:r>
        <w:t xml:space="preserve"> : la déféroxamine est un vasodilatateur puissant ; une administration IV trop rapide (bolus &lt; 5 min) provoque une hypotension sévère, parfois brutale et prolongée. </w:t>
      </w:r>
      <w:r>
        <w:rPr>
          <w:b/>
        </w:rPr>
        <w:t>Règle d'or</w:t>
      </w:r>
      <w:r>
        <w:t xml:space="preserve"> : ne jamais administrer la déféroxamine en IV bolus — toujours en IV lente (5-10 min pour 500 mg) ou en perfusion continue. Surveillance tensionnelle continue lors de l'administration IV. En cas d'hypotension (PAS &lt; 90 mmHg) : arrêt transitoire, remplissage vasculaire prudent (NaCl 0,9 %), vasopresseurs si sévère.</w:t>
      </w:r>
    </w:p>
    <w:p>
      <w:r/>
      <w:r>
        <w:rPr>
          <w:b/>
        </w:rPr>
        <w:t>Piège n°2 — Ototoxicité silencieuse</w:t>
      </w:r>
      <w:r>
        <w:t xml:space="preserve"> : l'ototoxicité de la déféroxamine est insidieuse, indolore, et potentiellement irréversible. Une hypoacousie bilatérale prédominant sur les hautes fréquences peut s'installer sans symptôme fonctionnel avant stade avancé. </w:t>
      </w:r>
      <w:r>
        <w:rPr>
          <w:b/>
        </w:rPr>
        <w:t>Règle d'or</w:t>
      </w:r>
      <w:r>
        <w:t xml:space="preserve"> : audiométrie de référence avant traitement, puis audiométrie annuelle systématique (ou tous les 6 mois à fortes doses &gt; 50 mg/kg/jour). En cas d'anomalie détectée : arrêt transitoire, réduction posologique à la dose minimale efficace.</w:t>
      </w:r>
    </w:p>
    <w:p>
      <w:r/>
      <w:r>
        <w:rPr>
          <w:b/>
        </w:rPr>
        <w:t>Piège n°3 — Coloration vin rouge des urines</w:t>
      </w:r>
      <w:r>
        <w:t xml:space="preserve"> : la coloration vin rouge des urines (vinoxamine) est un signe d'efficacité, </w:t>
      </w:r>
      <w:r>
        <w:rPr>
          <w:b/>
        </w:rPr>
        <w:t>pas</w:t>
      </w:r>
      <w:r>
        <w:t xml:space="preserve"> un effet indésirable. Le patient et son entourage doivent être prévenus pour éviter une fausse alerte (le patient peut croire à une hématurie et consulter aux urgences). </w:t>
      </w:r>
      <w:r>
        <w:rPr>
          <w:b/>
        </w:rPr>
        <w:t>Règle d'or</w:t>
      </w:r>
      <w:r>
        <w:t xml:space="preserve"> : éduquer le patient à reconnaître la vinoxamine comme signe d'efficacité, à mesurer l'intensité de la coloration (échelle visuelle), et à consulter uniquement en cas d'anomalie associée (douleur, fièvre, baisse d'urine).</w:t>
      </w:r>
    </w:p>
    <w:p>
      <w:r/>
      <w:r>
        <w:rPr>
          <w:b/>
        </w:rPr>
        <w:t>Piège n°4 — Piège TALIFER retiré</w:t>
      </w:r>
      <w:r>
        <w:t xml:space="preserve"> : la spécialité TALIFER (Lemery SA de CV, Mexico) a été </w:t>
      </w:r>
      <w:r>
        <w:rPr>
          <w:b/>
        </w:rPr>
        <w:t>retirée</w:t>
      </w:r>
      <w:r>
        <w:t xml:space="preserve"> du marché algérien. Un patient peut néanmoins se présenter avec une ordonnance mentionnant TALIFER (ancienne prescription). </w:t>
      </w:r>
      <w:r>
        <w:rPr>
          <w:b/>
        </w:rPr>
        <w:t>Règle d'or</w:t>
      </w:r>
      <w:r>
        <w:t xml:space="preserve"> : substituer systématiquement par DESFERAL (Novartis) en expliquant au patient que TALIFER n'est plus disponible et que DESFERAL est la spécialité de référence (même DCI, même dosage, même galénique).</w:t>
      </w:r>
    </w:p>
    <w:p>
      <w:r/>
      <w:r>
        <w:rPr>
          <w:b/>
        </w:rPr>
        <w:t>Piège n°5 — Insuffisance rénale non détectée</w:t>
      </w:r>
      <w:r>
        <w:t xml:space="preserve"> : la déféroxamine est néphrotoxique et sa clairance dépend de la filtration glomérulaire. Une insuffisance rénale préexistante (créatininémie &gt; 120 µmol/L chez l'adulte) peut être méconnue chez le patient thalassémique (surcharge hépatique, endocrinopathie, néphropathie intercurrente). </w:t>
      </w:r>
      <w:r>
        <w:rPr>
          <w:b/>
        </w:rPr>
        <w:t>Règle d'or</w:t>
      </w:r>
      <w:r>
        <w:t xml:space="preserve"> : créatininémie et protéinurie systématiques avant l'instauration du traitement, puis mensuelles les 6 premiers mois. Réduction posologique de 50 % si DFG &lt; 30 mL/min. Hémodialyse si DFG &lt; 15 mL/min avec surcharge sévère (la dialyse élimine partiellement la déféroxamine et la ferrioxamine).</w:t>
      </w:r>
    </w:p>
    <w:p>
      <w:r/>
      <w:r>
        <w:rPr>
          <w:b/>
        </w:rPr>
        <w:t>Piège n°6 — Associations toxiques</w:t>
      </w:r>
      <w:r>
        <w:t xml:space="preserve"> : l'association déféroxamine + aminoside (gentamicine, amikacine) majore le risque d'ototoxicité et de néphrotoxicité, potentiellement irréversible. L'association déféroxamine + furosémide IV majore le risque d'ototoxicité. L'association déféroxamine + vitamine C à fortes doses (&gt; 500 mg/jour) majore le risque de toxicité cardiaque (libération massive de fer intracellulaire et génération de radicaux libres par réaction de Fenton). </w:t>
      </w:r>
      <w:r>
        <w:rPr>
          <w:b/>
        </w:rPr>
        <w:t>Règle d'or</w:t>
      </w:r>
      <w:r>
        <w:t xml:space="preserve"> : éviter les associations ototoxiques et néphrotoxiques, surveiller la fonction rénale et auditive, limiter la vitamine C à 100-200 mg/jour per os, jamais avant le démarrage de la chélation.</w:t>
      </w:r>
    </w:p>
    <w:p>
      <w:r/>
      <w:r>
        <w:rPr>
          <w:b/>
        </w:rPr>
        <w:t>Piège n°7 — Grossesse</w:t>
      </w:r>
      <w:r>
        <w:t xml:space="preserve"> : la déféroxamine est </w:t>
      </w:r>
      <w:r>
        <w:rPr>
          <w:b/>
        </w:rPr>
        <w:t>envisageable pendant la grossesse</w:t>
      </w:r>
      <w:r>
        <w:t xml:space="preserve"> (CRAT) en cas de surcharge martiale sévère, mais l'indication doit être discutée au cas par cas (hématologue + obstétricien). Ne pas arrêter brutalement la chélation chez une femme thalassémique enceinte (risque de rebond de surcharge martiale avec cardiomyopathie aiguë). Adapter la dose à la dose minimale efficace (20-30 mg/kg/jour SC), surveiller la tension artérielle (risque d'hypotension maternelle et fœtale en IV).</w:t>
      </w:r>
    </w:p>
    <w:p>
      <w:pPr>
        <w:pStyle w:val="Heading2"/>
      </w:pPr>
      <w:r>
        <w:t>192.5 DCI 2 — Déférasirox</w:t>
      </w:r>
    </w:p>
    <w:p>
      <w:pPr>
        <w:pStyle w:val="Heading3"/>
      </w:pPr>
      <w:r>
        <w:t>192.5.1 Liste catégories pharmaco-thérapeutiques et indications</w:t>
      </w:r>
    </w:p>
    <w:p>
      <w:r>
        <w:t xml:space="preserve">Le déférasirox (DCI internationale, formule chimique 4-[3,5-bis(2-hydroxyphényl)-1H-1,2,4-triazol-1-yl]-benzoic acid, formule brute C21H15N3O4, masse molaire 373,36 g/mol) est un chélateur oral du fer de la famille chimique des </w:t>
      </w:r>
      <w:r>
        <w:rPr>
          <w:b/>
        </w:rPr>
        <w:t>triazoles trihydroxypyridiniques</w:t>
      </w:r>
      <w:r>
        <w:t xml:space="preserve">, conçu par chimie combinatoire rationnelle par les chercheurs de Novartis Pharma (Bâle, Suisse) — Hershko, Heinz et coll., développement ICL670 — au cours des années 1990, avec une AMM européenne obtenue en 2006 (Exjade, Novartis). Code ATC : </w:t>
      </w:r>
      <w:r>
        <w:rPr>
          <w:b/>
        </w:rPr>
        <w:t>V03AC03</w:t>
      </w:r>
      <w:r>
        <w:t xml:space="preserve"> (autres antidotes et chélateurs — déférasirox). La molécule est inscrite sur la Liste des médicaments essentiels de l'OMS (22ᵉ édition, 2021). En Algérie, le déférasirox est inscrit sur la </w:t>
      </w:r>
      <w:r>
        <w:rPr>
          <w:b/>
        </w:rPr>
        <w:t>Liste I</w:t>
      </w:r>
      <w:r>
        <w:t xml:space="preserve"> des substances vénéneuses.</w:t>
      </w:r>
    </w:p>
    <w:p>
      <w:r>
        <w:t>Les indications thérapeutiques validées par l'AMM (Exjade RCP Novartis, dernière révision 2023) et reprises par l'ANSM couvrent :</w:t>
      </w:r>
    </w:p>
    <w:p>
      <w:pPr>
        <w:pStyle w:val="ListNumber"/>
      </w:pPr>
      <w:r/>
      <w:r>
        <w:rPr>
          <w:b/>
        </w:rPr>
        <w:t>Traitement de la surcharge martiale chronique post-transfusionnelle</w:t>
      </w:r>
      <w:r>
        <w:t xml:space="preserve"> chez les patients âgés de 2 ans et plus, atteints de thalassémie majeure, de drépanocytose polytransfusée, de myélodysplasie sous transfusion chronique, d'anémie hémolytique congénitale polytransfusée, d'aplasie médullaire chronique transfusée. Le traitement doit être instauré dès que la ferritinémie dépasse 1000 µg/L ou après 10-20 transfusions. Schéma initial : 20 mg/kg/jour en une prise orale le matin à jeun (30 minutes avant le petit-déjeuner), adapté tous les 3 à 6 mois selon la ferritinémie. Dose minimale : 10 mg/kg/jour. Dose maximale : 40 mg/kg/jour (au-delà, sur-risque de néphrotoxicité et d'hépatotoxicité).</w:t>
      </w:r>
    </w:p>
    <w:p>
      <w:pPr>
        <w:pStyle w:val="ListNumber"/>
      </w:pPr>
      <w:r/>
      <w:r>
        <w:rPr>
          <w:b/>
        </w:rPr>
        <w:t>Traitement de la surcharge martiale non post-transfusionnelle (NTDT)</w:t>
      </w:r>
      <w:r>
        <w:t xml:space="preserve"> chez les patients atteints de thalassémie intermédiaire non transfusée, syndromes myélodysplasiques de bas grade non transfusés, drépanocytose non transfusée mais avec surcharge martiale documentée (ferritinémie &gt; 800 µg/L et fer hépatique &gt; 5 mg/g à l'IRM). Schéma initial : 10 mg/kg/jour. Dose maximale : 20 mg/kg/jour.</w:t>
      </w:r>
    </w:p>
    <w:p>
      <w:pPr>
        <w:pStyle w:val="ListNumber"/>
      </w:pPr>
      <w:r/>
      <w:r>
        <w:rPr>
          <w:b/>
        </w:rPr>
        <w:t>Indications pédiatriques</w:t>
      </w:r>
      <w:r>
        <w:t xml:space="preserve"> : AMM chez l'enfant de plus de 2 ans. Chez l'enfant de moins de 2 ans, l'AMM n'est pas obtenue mais l'usage est décrit sous surveillance spécialisée.</w:t>
      </w:r>
    </w:p>
    <w:p>
      <w:pPr>
        <w:pStyle w:val="ListNumber"/>
      </w:pPr>
      <w:r/>
      <w:r>
        <w:rPr>
          <w:b/>
        </w:rPr>
        <w:t>Indications hors AMM</w:t>
      </w:r>
      <w:r>
        <w:t xml:space="preserve"> : (a) hémochromatose génétique HFE avec contre-indication aux saignées (anémie associée, cardiomyopathie sévère) ; (b) porphyrie cutanée tardive avec surcharge martiale ; (c) maladie de Wilson (la surcharge cuprique associée à une surcharge martiale peut être partiellement chélatée par le déférasirox, mais ce n'est pas l'indication princeps).</w:t>
      </w:r>
    </w:p>
    <w:p>
      <w:pPr>
        <w:pStyle w:val="Heading3"/>
      </w:pPr>
      <w:r>
        <w:t>192.5.2 Tableau des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CAPTAFER</w:t>
            </w:r>
          </w:p>
        </w:tc>
        <w:tc>
          <w:tcPr>
            <w:tcW w:type="dxa" w:w="1559"/>
          </w:tcPr>
          <w:p>
            <w:r>
              <w:rPr>
                <w:sz w:val="20"/>
              </w:rPr>
              <w:t>INPHA-MEDIS</w:t>
            </w:r>
          </w:p>
        </w:tc>
        <w:tc>
          <w:tcPr>
            <w:tcW w:type="dxa" w:w="1559"/>
          </w:tcPr>
          <w:p>
            <w:r>
              <w:rPr>
                <w:sz w:val="20"/>
              </w:rPr>
              <w:t>Comprimé orodispersible 125 mg</w:t>
            </w:r>
          </w:p>
        </w:tc>
        <w:tc>
          <w:tcPr>
            <w:tcW w:type="dxa" w:w="1559"/>
          </w:tcPr>
          <w:p>
            <w:r>
              <w:rPr>
                <w:sz w:val="20"/>
              </w:rPr>
              <w:t>Boîte de 28</w:t>
            </w:r>
          </w:p>
        </w:tc>
        <w:tc>
          <w:tcPr>
            <w:tcW w:type="dxa" w:w="1559"/>
          </w:tcPr>
          <w:p>
            <w:r>
              <w:rPr>
                <w:sz w:val="20"/>
              </w:rPr>
              <w:t>Liste I</w:t>
            </w:r>
          </w:p>
        </w:tc>
        <w:tc>
          <w:tcPr>
            <w:tcW w:type="dxa" w:w="1559"/>
          </w:tcPr>
          <w:p>
            <w:r>
              <w:rPr>
                <w:sz w:val="20"/>
              </w:rPr>
              <w:t>Actif</w:t>
            </w:r>
          </w:p>
        </w:tc>
      </w:tr>
      <w:tr>
        <w:tc>
          <w:tcPr>
            <w:tcW w:type="dxa" w:w="1559"/>
          </w:tcPr>
          <w:p>
            <w:r>
              <w:rPr>
                <w:sz w:val="20"/>
              </w:rPr>
              <w:t>CAPTAFER</w:t>
            </w:r>
          </w:p>
        </w:tc>
        <w:tc>
          <w:tcPr>
            <w:tcW w:type="dxa" w:w="1559"/>
          </w:tcPr>
          <w:p>
            <w:r>
              <w:rPr>
                <w:sz w:val="20"/>
              </w:rPr>
              <w:t>INPHA-MEDIS</w:t>
            </w:r>
          </w:p>
        </w:tc>
        <w:tc>
          <w:tcPr>
            <w:tcW w:type="dxa" w:w="1559"/>
          </w:tcPr>
          <w:p>
            <w:r>
              <w:rPr>
                <w:sz w:val="20"/>
              </w:rPr>
              <w:t>Comprimé orodispersible 250 mg</w:t>
            </w:r>
          </w:p>
        </w:tc>
        <w:tc>
          <w:tcPr>
            <w:tcW w:type="dxa" w:w="1559"/>
          </w:tcPr>
          <w:p>
            <w:r>
              <w:rPr>
                <w:sz w:val="20"/>
              </w:rPr>
              <w:t>Boîte de 28</w:t>
            </w:r>
          </w:p>
        </w:tc>
        <w:tc>
          <w:tcPr>
            <w:tcW w:type="dxa" w:w="1559"/>
          </w:tcPr>
          <w:p>
            <w:r>
              <w:rPr>
                <w:sz w:val="20"/>
              </w:rPr>
              <w:t>Liste I</w:t>
            </w:r>
          </w:p>
        </w:tc>
        <w:tc>
          <w:tcPr>
            <w:tcW w:type="dxa" w:w="1559"/>
          </w:tcPr>
          <w:p>
            <w:r>
              <w:rPr>
                <w:sz w:val="20"/>
              </w:rPr>
              <w:t>Actif</w:t>
            </w:r>
          </w:p>
        </w:tc>
      </w:tr>
      <w:tr>
        <w:tc>
          <w:tcPr>
            <w:tcW w:type="dxa" w:w="1559"/>
          </w:tcPr>
          <w:p>
            <w:r>
              <w:rPr>
                <w:sz w:val="20"/>
              </w:rPr>
              <w:t>CAPTAFER</w:t>
            </w:r>
          </w:p>
        </w:tc>
        <w:tc>
          <w:tcPr>
            <w:tcW w:type="dxa" w:w="1559"/>
          </w:tcPr>
          <w:p>
            <w:r>
              <w:rPr>
                <w:sz w:val="20"/>
              </w:rPr>
              <w:t>INPHA-MEDIS</w:t>
            </w:r>
          </w:p>
        </w:tc>
        <w:tc>
          <w:tcPr>
            <w:tcW w:type="dxa" w:w="1559"/>
          </w:tcPr>
          <w:p>
            <w:r>
              <w:rPr>
                <w:sz w:val="20"/>
              </w:rPr>
              <w:t>Comprimé orodispersible 500 mg</w:t>
            </w:r>
          </w:p>
        </w:tc>
        <w:tc>
          <w:tcPr>
            <w:tcW w:type="dxa" w:w="1559"/>
          </w:tcPr>
          <w:p>
            <w:r>
              <w:rPr>
                <w:sz w:val="20"/>
              </w:rPr>
              <w:t>Boîte de 28</w:t>
            </w:r>
          </w:p>
        </w:tc>
        <w:tc>
          <w:tcPr>
            <w:tcW w:type="dxa" w:w="1559"/>
          </w:tcPr>
          <w:p>
            <w:r>
              <w:rPr>
                <w:sz w:val="20"/>
              </w:rPr>
              <w:t>Liste I</w:t>
            </w:r>
          </w:p>
        </w:tc>
        <w:tc>
          <w:tcPr>
            <w:tcW w:type="dxa" w:w="1559"/>
          </w:tcPr>
          <w:p>
            <w:r>
              <w:rPr>
                <w:sz w:val="20"/>
              </w:rPr>
              <w:t>Actif</w:t>
            </w:r>
          </w:p>
        </w:tc>
      </w:tr>
      <w:tr>
        <w:tc>
          <w:tcPr>
            <w:tcW w:type="dxa" w:w="1559"/>
          </w:tcPr>
          <w:p>
            <w:r>
              <w:rPr>
                <w:sz w:val="20"/>
              </w:rPr>
              <w:t>DEFEROX</w:t>
            </w:r>
          </w:p>
        </w:tc>
        <w:tc>
          <w:tcPr>
            <w:tcW w:type="dxa" w:w="1559"/>
          </w:tcPr>
          <w:p>
            <w:r>
              <w:rPr>
                <w:sz w:val="20"/>
              </w:rPr>
              <w:t>HIKMA PHARMA ALGERIA</w:t>
            </w:r>
          </w:p>
        </w:tc>
        <w:tc>
          <w:tcPr>
            <w:tcW w:type="dxa" w:w="1559"/>
          </w:tcPr>
          <w:p>
            <w:r>
              <w:rPr>
                <w:sz w:val="20"/>
              </w:rPr>
              <w:t>Comprimé orodispersible 125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DEFEROX</w:t>
            </w:r>
          </w:p>
        </w:tc>
        <w:tc>
          <w:tcPr>
            <w:tcW w:type="dxa" w:w="1559"/>
          </w:tcPr>
          <w:p>
            <w:r>
              <w:rPr>
                <w:sz w:val="20"/>
              </w:rPr>
              <w:t>HIKMA PHARMA ALGERIA</w:t>
            </w:r>
          </w:p>
        </w:tc>
        <w:tc>
          <w:tcPr>
            <w:tcW w:type="dxa" w:w="1559"/>
          </w:tcPr>
          <w:p>
            <w:r>
              <w:rPr>
                <w:sz w:val="20"/>
              </w:rPr>
              <w:t>Comprimé orodispersible 250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DEFEROX</w:t>
            </w:r>
          </w:p>
        </w:tc>
        <w:tc>
          <w:tcPr>
            <w:tcW w:type="dxa" w:w="1559"/>
          </w:tcPr>
          <w:p>
            <w:r>
              <w:rPr>
                <w:sz w:val="20"/>
              </w:rPr>
              <w:t>HIKMA PHARMA ALGERIA</w:t>
            </w:r>
          </w:p>
        </w:tc>
        <w:tc>
          <w:tcPr>
            <w:tcW w:type="dxa" w:w="1559"/>
          </w:tcPr>
          <w:p>
            <w:r>
              <w:rPr>
                <w:sz w:val="20"/>
              </w:rPr>
              <w:t>Comprimé orodispersible 500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EXJADE</w:t>
            </w:r>
          </w:p>
        </w:tc>
        <w:tc>
          <w:tcPr>
            <w:tcW w:type="dxa" w:w="1559"/>
          </w:tcPr>
          <w:p>
            <w:r>
              <w:rPr>
                <w:sz w:val="20"/>
              </w:rPr>
              <w:t>NOVARTIS PHARMA SCHWEIZ AG</w:t>
            </w:r>
          </w:p>
        </w:tc>
        <w:tc>
          <w:tcPr>
            <w:tcW w:type="dxa" w:w="1559"/>
          </w:tcPr>
          <w:p>
            <w:r>
              <w:rPr>
                <w:sz w:val="20"/>
              </w:rPr>
              <w:t>Comprimé orodispersible 125 mg</w:t>
            </w:r>
          </w:p>
        </w:tc>
        <w:tc>
          <w:tcPr>
            <w:tcW w:type="dxa" w:w="1559"/>
          </w:tcPr>
          <w:p>
            <w:r>
              <w:rPr>
                <w:sz w:val="20"/>
              </w:rPr>
              <w:t>Boîte de 28</w:t>
            </w:r>
          </w:p>
        </w:tc>
        <w:tc>
          <w:tcPr>
            <w:tcW w:type="dxa" w:w="1559"/>
          </w:tcPr>
          <w:p>
            <w:r>
              <w:rPr>
                <w:sz w:val="20"/>
              </w:rPr>
              <w:t>Liste I</w:t>
            </w:r>
          </w:p>
        </w:tc>
        <w:tc>
          <w:tcPr>
            <w:tcW w:type="dxa" w:w="1559"/>
          </w:tcPr>
          <w:p>
            <w:r>
              <w:rPr>
                <w:sz w:val="20"/>
              </w:rPr>
              <w:t>Actif</w:t>
            </w:r>
          </w:p>
        </w:tc>
      </w:tr>
      <w:tr>
        <w:tc>
          <w:tcPr>
            <w:tcW w:type="dxa" w:w="1559"/>
          </w:tcPr>
          <w:p>
            <w:r>
              <w:rPr>
                <w:sz w:val="20"/>
              </w:rPr>
              <w:t>EXJADE</w:t>
            </w:r>
          </w:p>
        </w:tc>
        <w:tc>
          <w:tcPr>
            <w:tcW w:type="dxa" w:w="1559"/>
          </w:tcPr>
          <w:p>
            <w:r>
              <w:rPr>
                <w:sz w:val="20"/>
              </w:rPr>
              <w:t>NOVARTIS PHARMA SCHWEIZ AG</w:t>
            </w:r>
          </w:p>
        </w:tc>
        <w:tc>
          <w:tcPr>
            <w:tcW w:type="dxa" w:w="1559"/>
          </w:tcPr>
          <w:p>
            <w:r>
              <w:rPr>
                <w:sz w:val="20"/>
              </w:rPr>
              <w:t>Comprimé orodispersible 250 mg</w:t>
            </w:r>
          </w:p>
        </w:tc>
        <w:tc>
          <w:tcPr>
            <w:tcW w:type="dxa" w:w="1559"/>
          </w:tcPr>
          <w:p>
            <w:r>
              <w:rPr>
                <w:sz w:val="20"/>
              </w:rPr>
              <w:t>Boîte de 28</w:t>
            </w:r>
          </w:p>
        </w:tc>
        <w:tc>
          <w:tcPr>
            <w:tcW w:type="dxa" w:w="1559"/>
          </w:tcPr>
          <w:p>
            <w:r>
              <w:rPr>
                <w:sz w:val="20"/>
              </w:rPr>
              <w:t>Liste I</w:t>
            </w:r>
          </w:p>
        </w:tc>
        <w:tc>
          <w:tcPr>
            <w:tcW w:type="dxa" w:w="1559"/>
          </w:tcPr>
          <w:p>
            <w:r>
              <w:rPr>
                <w:sz w:val="20"/>
              </w:rPr>
              <w:t>Actif</w:t>
            </w:r>
          </w:p>
        </w:tc>
      </w:tr>
      <w:tr>
        <w:tc>
          <w:tcPr>
            <w:tcW w:type="dxa" w:w="1559"/>
          </w:tcPr>
          <w:p>
            <w:r>
              <w:rPr>
                <w:sz w:val="20"/>
              </w:rPr>
              <w:t>EXJADE</w:t>
            </w:r>
          </w:p>
        </w:tc>
        <w:tc>
          <w:tcPr>
            <w:tcW w:type="dxa" w:w="1559"/>
          </w:tcPr>
          <w:p>
            <w:r>
              <w:rPr>
                <w:sz w:val="20"/>
              </w:rPr>
              <w:t>NOVARTIS PHARMA SCHWEIZ AG</w:t>
            </w:r>
          </w:p>
        </w:tc>
        <w:tc>
          <w:tcPr>
            <w:tcW w:type="dxa" w:w="1559"/>
          </w:tcPr>
          <w:p>
            <w:r>
              <w:rPr>
                <w:sz w:val="20"/>
              </w:rPr>
              <w:t>Comprimé orodispersible 500 mg</w:t>
            </w:r>
          </w:p>
        </w:tc>
        <w:tc>
          <w:tcPr>
            <w:tcW w:type="dxa" w:w="1559"/>
          </w:tcPr>
          <w:p>
            <w:r>
              <w:rPr>
                <w:sz w:val="20"/>
              </w:rPr>
              <w:t>Boîte de 28</w:t>
            </w:r>
          </w:p>
        </w:tc>
        <w:tc>
          <w:tcPr>
            <w:tcW w:type="dxa" w:w="1559"/>
          </w:tcPr>
          <w:p>
            <w:r>
              <w:rPr>
                <w:sz w:val="20"/>
              </w:rPr>
              <w:t>Liste I</w:t>
            </w:r>
          </w:p>
        </w:tc>
        <w:tc>
          <w:tcPr>
            <w:tcW w:type="dxa" w:w="1559"/>
          </w:tcPr>
          <w:p>
            <w:r>
              <w:rPr>
                <w:sz w:val="20"/>
              </w:rPr>
              <w:t>Actif</w:t>
            </w:r>
          </w:p>
        </w:tc>
      </w:tr>
      <w:tr>
        <w:tc>
          <w:tcPr>
            <w:tcW w:type="dxa" w:w="1559"/>
          </w:tcPr>
          <w:p>
            <w:r>
              <w:rPr>
                <w:sz w:val="20"/>
              </w:rPr>
              <w:t>KAPTIRON</w:t>
            </w:r>
          </w:p>
        </w:tc>
        <w:tc>
          <w:tcPr>
            <w:tcW w:type="dxa" w:w="1559"/>
          </w:tcPr>
          <w:p>
            <w:r>
              <w:rPr>
                <w:sz w:val="20"/>
              </w:rPr>
              <w:t>LABORATOIRES BEKER</w:t>
            </w:r>
          </w:p>
        </w:tc>
        <w:tc>
          <w:tcPr>
            <w:tcW w:type="dxa" w:w="1559"/>
          </w:tcPr>
          <w:p>
            <w:r>
              <w:rPr>
                <w:sz w:val="20"/>
              </w:rPr>
              <w:t>Comprimé orodispersible 125 mg</w:t>
            </w:r>
          </w:p>
        </w:tc>
        <w:tc>
          <w:tcPr>
            <w:tcW w:type="dxa" w:w="1559"/>
          </w:tcPr>
          <w:p>
            <w:r>
              <w:rPr>
                <w:sz w:val="20"/>
              </w:rPr>
              <w:t>Boîte de 30 et B/90</w:t>
            </w:r>
          </w:p>
        </w:tc>
        <w:tc>
          <w:tcPr>
            <w:tcW w:type="dxa" w:w="1559"/>
          </w:tcPr>
          <w:p>
            <w:r>
              <w:rPr>
                <w:sz w:val="20"/>
              </w:rPr>
              <w:t>Liste I</w:t>
            </w:r>
          </w:p>
        </w:tc>
        <w:tc>
          <w:tcPr>
            <w:tcW w:type="dxa" w:w="1559"/>
          </w:tcPr>
          <w:p>
            <w:r>
              <w:rPr>
                <w:sz w:val="20"/>
              </w:rPr>
              <w:t>Actif</w:t>
            </w:r>
          </w:p>
        </w:tc>
      </w:tr>
      <w:tr>
        <w:tc>
          <w:tcPr>
            <w:tcW w:type="dxa" w:w="1559"/>
          </w:tcPr>
          <w:p>
            <w:r>
              <w:rPr>
                <w:sz w:val="20"/>
              </w:rPr>
              <w:t>KAPTIRON</w:t>
            </w:r>
          </w:p>
        </w:tc>
        <w:tc>
          <w:tcPr>
            <w:tcW w:type="dxa" w:w="1559"/>
          </w:tcPr>
          <w:p>
            <w:r>
              <w:rPr>
                <w:sz w:val="20"/>
              </w:rPr>
              <w:t>LABORATOIRES BEKER</w:t>
            </w:r>
          </w:p>
        </w:tc>
        <w:tc>
          <w:tcPr>
            <w:tcW w:type="dxa" w:w="1559"/>
          </w:tcPr>
          <w:p>
            <w:r>
              <w:rPr>
                <w:sz w:val="20"/>
              </w:rPr>
              <w:t>Comprimé orodispersible 250 mg</w:t>
            </w:r>
          </w:p>
        </w:tc>
        <w:tc>
          <w:tcPr>
            <w:tcW w:type="dxa" w:w="1559"/>
          </w:tcPr>
          <w:p>
            <w:r>
              <w:rPr>
                <w:sz w:val="20"/>
              </w:rPr>
              <w:t>Boîte de 30 et B/90</w:t>
            </w:r>
          </w:p>
        </w:tc>
        <w:tc>
          <w:tcPr>
            <w:tcW w:type="dxa" w:w="1559"/>
          </w:tcPr>
          <w:p>
            <w:r>
              <w:rPr>
                <w:sz w:val="20"/>
              </w:rPr>
              <w:t>Liste I</w:t>
            </w:r>
          </w:p>
        </w:tc>
        <w:tc>
          <w:tcPr>
            <w:tcW w:type="dxa" w:w="1559"/>
          </w:tcPr>
          <w:p>
            <w:r>
              <w:rPr>
                <w:sz w:val="20"/>
              </w:rPr>
              <w:t>Actif</w:t>
            </w:r>
          </w:p>
        </w:tc>
      </w:tr>
      <w:tr>
        <w:tc>
          <w:tcPr>
            <w:tcW w:type="dxa" w:w="1559"/>
          </w:tcPr>
          <w:p>
            <w:r>
              <w:rPr>
                <w:sz w:val="20"/>
              </w:rPr>
              <w:t>KAPTIRON</w:t>
            </w:r>
          </w:p>
        </w:tc>
        <w:tc>
          <w:tcPr>
            <w:tcW w:type="dxa" w:w="1559"/>
          </w:tcPr>
          <w:p>
            <w:r>
              <w:rPr>
                <w:sz w:val="20"/>
              </w:rPr>
              <w:t>LABORATOIRES BEKER</w:t>
            </w:r>
          </w:p>
        </w:tc>
        <w:tc>
          <w:tcPr>
            <w:tcW w:type="dxa" w:w="1559"/>
          </w:tcPr>
          <w:p>
            <w:r>
              <w:rPr>
                <w:sz w:val="20"/>
              </w:rPr>
              <w:t>Comprimé orodispersible 500 mg</w:t>
            </w:r>
          </w:p>
        </w:tc>
        <w:tc>
          <w:tcPr>
            <w:tcW w:type="dxa" w:w="1559"/>
          </w:tcPr>
          <w:p>
            <w:r>
              <w:rPr>
                <w:sz w:val="20"/>
              </w:rPr>
              <w:t>Boîte de 30 et B/90</w:t>
            </w:r>
          </w:p>
        </w:tc>
        <w:tc>
          <w:tcPr>
            <w:tcW w:type="dxa" w:w="1559"/>
          </w:tcPr>
          <w:p>
            <w:r>
              <w:rPr>
                <w:sz w:val="20"/>
              </w:rPr>
              <w:t>Liste I</w:t>
            </w:r>
          </w:p>
        </w:tc>
        <w:tc>
          <w:tcPr>
            <w:tcW w:type="dxa" w:w="1559"/>
          </w:tcPr>
          <w:p>
            <w:r>
              <w:rPr>
                <w:sz w:val="20"/>
              </w:rPr>
              <w:t>Actif</w:t>
            </w:r>
          </w:p>
        </w:tc>
      </w:tr>
      <w:tr>
        <w:tc>
          <w:tcPr>
            <w:tcW w:type="dxa" w:w="1559"/>
          </w:tcPr>
          <w:p>
            <w:r>
              <w:rPr>
                <w:sz w:val="20"/>
              </w:rPr>
              <w:t>KELOSIROX</w:t>
            </w:r>
          </w:p>
        </w:tc>
        <w:tc>
          <w:tcPr>
            <w:tcW w:type="dxa" w:w="1559"/>
          </w:tcPr>
          <w:p>
            <w:r>
              <w:rPr>
                <w:sz w:val="20"/>
              </w:rPr>
              <w:t>EL KENDI INDUSTRIE DU MEDICAMENT</w:t>
            </w:r>
          </w:p>
        </w:tc>
        <w:tc>
          <w:tcPr>
            <w:tcW w:type="dxa" w:w="1559"/>
          </w:tcPr>
          <w:p>
            <w:r>
              <w:rPr>
                <w:sz w:val="20"/>
              </w:rPr>
              <w:t>Comprimé orodispersible 125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KELOSIROX</w:t>
            </w:r>
          </w:p>
        </w:tc>
        <w:tc>
          <w:tcPr>
            <w:tcW w:type="dxa" w:w="1559"/>
          </w:tcPr>
          <w:p>
            <w:r>
              <w:rPr>
                <w:sz w:val="20"/>
              </w:rPr>
              <w:t>EL KENDI INDUSTRIE DU MEDICAMENT</w:t>
            </w:r>
          </w:p>
        </w:tc>
        <w:tc>
          <w:tcPr>
            <w:tcW w:type="dxa" w:w="1559"/>
          </w:tcPr>
          <w:p>
            <w:r>
              <w:rPr>
                <w:sz w:val="20"/>
              </w:rPr>
              <w:t>Comprimé orodispersible 250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KELOSIROX</w:t>
            </w:r>
          </w:p>
        </w:tc>
        <w:tc>
          <w:tcPr>
            <w:tcW w:type="dxa" w:w="1559"/>
          </w:tcPr>
          <w:p>
            <w:r>
              <w:rPr>
                <w:sz w:val="20"/>
              </w:rPr>
              <w:t>EL KENDI INDUSTRIE DU MEDICAMENT</w:t>
            </w:r>
          </w:p>
        </w:tc>
        <w:tc>
          <w:tcPr>
            <w:tcW w:type="dxa" w:w="1559"/>
          </w:tcPr>
          <w:p>
            <w:r>
              <w:rPr>
                <w:sz w:val="20"/>
              </w:rPr>
              <w:t>Comprimé orodispersible 500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bl>
    <w:p/>
    <w:p>
      <w:r>
        <w:t xml:space="preserve">Le marché algérien du déférasirox est exceptionnellement diversifié, avec </w:t>
      </w:r>
      <w:r>
        <w:rPr>
          <w:b/>
        </w:rPr>
        <w:t>cinq spécialités actives</w:t>
      </w:r>
      <w:r>
        <w:t xml:space="preserve">, dont </w:t>
      </w:r>
      <w:r>
        <w:rPr>
          <w:b/>
        </w:rPr>
        <w:t>quatre produites localement en Algérie</w:t>
      </w:r>
      <w:r>
        <w:t xml:space="preserve"> (CAPTAFER par Inpha-Medis, DEFEROX par Hikma Pharma Algeria, KAPTIRON par Laboratoires Beker, KELOSIROX par El Kendi Industrie du Médicament) et </w:t>
      </w:r>
      <w:r>
        <w:rPr>
          <w:b/>
        </w:rPr>
        <w:t>une importée</w:t>
      </w:r>
      <w:r>
        <w:t xml:space="preserve"> (EXJADE par Novartis Pharma Schweiz AG, Suisse — laboratoire développeur de la molécule). Cette diversité reflète l'importance de la santé publique algérienne face aux hémoglobinopathies (thalassémie, drépanocytose) et la stratégie nationale de production locale des médicaments essentiels. Toutes les spécialités sont inscrites en Liste I, prescription médicale obligatoire.</w:t>
      </w:r>
    </w:p>
    <w:p>
      <w:r/>
      <w:r>
        <w:rPr>
          <w:b/>
        </w:rPr>
        <w:t>Trois dosages sont disponibles</w:t>
      </w:r>
      <w:r>
        <w:t xml:space="preserve"> : 125 mg, 250 mg et 500 mg, en comprimé orodispersible (à dissoudre sur la langue ou dans un liquide avant administration). Le conditionnement est généralement en boîte de 28 (CAPTAFER, EXJADE) ou 30 (DEFEROX, KELOSIROX) comprimés, avec un conditionnement hospitalier de 90 comprimés pour KAPTIRON (B/30 et B/90). Les comprimés orodispersibles sont destinés à faciliter l'administration chez l'enfant et chez l'adulte avec troubles de la déglutition.</w:t>
      </w:r>
    </w:p>
    <w:p>
      <w:r/>
      <w:r>
        <w:rPr>
          <w:b/>
        </w:rPr>
        <w:t>Production locale algérienne</w:t>
      </w:r>
      <w:r>
        <w:t xml:space="preserve"> : 4 laboratoires sur 5 produisent en Algérie, ce qui en fait un marché particulièrement concurrentiel et accessible. Cette production locale est un atout pour la disponibilité nationale et la maîtrise des coûts, le déférasirox étant un traitement chronique coûteux à l'international (Exjade Novartis ≈ 8000 €/an pour un adulte de 60 kg, ~30 €/jour). Les génériques algériens (CAPTAFER, DEFEROX, KAPTIRON, KELOSIROX) sont commercialisés à un prix significativement inférieur. La prise en charge par la Sécurité Sociale (CNAS) est assurée à 100 % au titre des ALD 23 (hémoglobinopathies).</w:t>
      </w:r>
    </w:p>
    <w:p>
      <w:r/>
      <w:r>
        <w:rPr>
          <w:b/>
        </w:rPr>
        <w:t>Conservation</w:t>
      </w:r>
      <w:r>
        <w:t xml:space="preserve"> : comprimés orodispersibles à conserver à température inférieure à 30 °C, à l'abri de l'humidité (emballage primaire en flacon ou blister hermétique avec dessicant), hors de portée des enfants. Les comprimés ne doivent pas être écrasés ou coupés (la forme orodispersible est conçue pour se dissoudre rapidement). Une fois dissous dans un liquide (eau, jus de pomme, orange), la suspension doit être bue immédiatement, sans conservation prolongée.</w:t>
      </w:r>
    </w:p>
    <w:p>
      <w:pPr>
        <w:pStyle w:val="Heading3"/>
      </w:pPr>
      <w:r>
        <w:t>192.5.3 Mécanisme d'action moléculaire, cellulaire et physiologique</w:t>
      </w:r>
    </w:p>
    <w:p>
      <w:r>
        <w:t xml:space="preserve">Le déférasirox est un chélateur </w:t>
      </w:r>
      <w:r>
        <w:rPr>
          <w:b/>
        </w:rPr>
        <w:t>tridentate</w:t>
      </w:r>
      <w:r>
        <w:t xml:space="preserve"> du fer ferrique (Fe3+). Sa structure chimique — un noyau triazole porteur de deux groupements phénoliques hydroxylés et d'un groupement acide carboxylique — lui permet de coordonner un ion Fe3+ par trois atomes d'oxygène (deux oxygènes phénoliques et un oxygène du groupement carboxylate, ou deux phénoliques et l'azote du triazole). Cette coordination tridentate requiert </w:t>
      </w:r>
      <w:r>
        <w:rPr>
          <w:b/>
        </w:rPr>
        <w:t>deux molécules de déférasirox</w:t>
      </w:r>
      <w:r>
        <w:t xml:space="preserve"> pour un ion Fe3+, formant un complexe </w:t>
      </w:r>
      <w:r>
        <w:rPr>
          <w:b/>
        </w:rPr>
        <w:t>bis-tridenté</w:t>
      </w:r>
      <w:r>
        <w:t xml:space="preserve"> (2:1, ligand:métal) hautement stable (constante de stabilité Kf ≈ 10^36, log Kf ≈ 36,5 — supérieure à celle de la déféroxamine Kf ≈ 10^30 et proche de celle de la défériprome). Le complexe déférasirox-fer est électriquement neutre, lipophile, et excrété principalement par voie </w:t>
      </w:r>
      <w:r>
        <w:rPr>
          <w:b/>
        </w:rPr>
        <w:t>biliaire</w:t>
      </w:r>
      <w:r>
        <w:t xml:space="preserve"> (84 % de la dose), avec une élimination rénale accessoire (8 %) sous forme inchangée et de métabolites glucuroconjugués.</w:t>
      </w:r>
    </w:p>
    <w:p>
      <w:r/>
      <w:r>
        <w:rPr>
          <w:b/>
        </w:rPr>
        <w:t>Niveau moléculaire</w:t>
      </w:r>
      <w:r>
        <w:t xml:space="preserve"> : comme la déféroxamine, le déférasirox cible préférentiellement le </w:t>
      </w:r>
      <w:r>
        <w:rPr>
          <w:b/>
        </w:rPr>
        <w:t>NTBI plasmatique</w:t>
      </w:r>
      <w:r>
        <w:t xml:space="preserve"> (Non-Transferrin-Bound Iron) et le </w:t>
      </w:r>
      <w:r>
        <w:rPr>
          <w:b/>
        </w:rPr>
        <w:t>LIP intracellulaire</w:t>
      </w:r>
      <w:r>
        <w:t xml:space="preserve"> (Labile Iron Pool), sans chélation significative du fer structural (hémoglobine, myoglobine, cytochromes), du fer de transport (transferrine) ou du fer de stockage (ferritine, hémosidérine). Sa sélectivité pour Fe3+ vis-à-vis de Ca2+, Mg2+, Zn2+, Cu2+ est élevée (Kf Fe3+ ≈ 10^10 fois supérieur à Kf Zn2+), garantissant une chélation préférentielle du fer sans déplétion significative des autres cations essentiels. Cependant, à fortes doses ou en cas de surdosage, une déplétion en zinc peut être observée (baisse du zinc sérique), justifiant un apport alimentaire suffisant en zinc.</w:t>
      </w:r>
    </w:p>
    <w:p>
      <w:r/>
      <w:r>
        <w:rPr>
          <w:b/>
        </w:rPr>
        <w:t>Niveau cellulaire</w:t>
      </w:r>
      <w:r>
        <w:t xml:space="preserve"> : le déférasirox, en raison de sa lipophilie modérée (log P ≈ 2,5), pénètre plus efficacement dans les cellules que la déféroxamine (hydrophile), atteignant le compartiment intracellulaire hépatocytaire (site principal de son action), macrophagique, et accessoirement myocardique. La mobilisation du fer intracellulaire est progressive, sur 3 à 6 mois de traitement. L'excrétion biliaire du complexe déférasirox-fer dans la bile est suivie d'une élimination fécale — la coloration des selles peut être modifiée (brune-rougeâtre) mais n'a pas la même signification clinique que la vinoxamine de la déféroxamine.</w:t>
      </w:r>
    </w:p>
    <w:p>
      <w:r/>
      <w:r>
        <w:rPr>
          <w:b/>
        </w:rPr>
        <w:t>Niveau physiologique</w:t>
      </w:r>
      <w:r>
        <w:t xml:space="preserve"> : (1) </w:t>
      </w:r>
      <w:r>
        <w:rPr>
          <w:b/>
        </w:rPr>
        <w:t>baisse de la ferritinémie</w:t>
      </w:r>
      <w:r>
        <w:t xml:space="preserve"> en 3 à 6 mois de traitement, dose-dépendante (réponse moyenne de 30 à 50 % à 6 mois à la dose de 20-30 mg/kg/jour) ; (2) </w:t>
      </w:r>
      <w:r>
        <w:rPr>
          <w:b/>
        </w:rPr>
        <w:t>diminution du fer hépatique</w:t>
      </w:r>
      <w:r>
        <w:t xml:space="preserve"> mesuré par IRM FerriScan ou T2</w:t>
      </w:r>
      <w:r>
        <w:rPr>
          <w:i/>
        </w:rPr>
        <w:t xml:space="preserve"> en 6 à 12 mois ; (3) </w:t>
      </w:r>
      <w:r/>
      <w:r>
        <w:rPr>
          <w:i/>
        </w:rPr>
        <w:t>diminution du fer cardiaque</w:t>
      </w:r>
      <w:r/>
      <w:r>
        <w:rPr>
          <w:i/>
        </w:rPr>
        <w:t xml:space="preserve"> mesuré par IRM T2</w:t>
      </w:r>
      <w:r>
        <w:t xml:space="preserve"> en 12 à 24 mois, plus lentement que la défériprome (le déférasirox a une pénétration myocardique inférieure à la défériprome) ; (4) </w:t>
      </w:r>
      <w:r>
        <w:rPr>
          <w:b/>
        </w:rPr>
        <w:t>stabilisation ou amélioration de la fonction cardiaque</w:t>
      </w:r>
      <w:r>
        <w:t xml:space="preserve"> (FEVG, troubles du rythme) en cas de cardiomyopathie siderotique ; (5) </w:t>
      </w:r>
      <w:r>
        <w:rPr>
          <w:b/>
        </w:rPr>
        <w:t>amélioration des fonctions endocriniennes</w:t>
      </w:r>
      <w:r>
        <w:t xml:space="preserve"> (diabète, hypogonadisme, hypothyroïdie) généralement limitée si les lésions sont installées.</w:t>
      </w:r>
    </w:p>
    <w:p>
      <w:r/>
      <w:r>
        <w:rPr>
          <w:b/>
        </w:rPr>
        <w:t>Niveau clinique</w:t>
      </w:r>
      <w:r>
        <w:t xml:space="preserve"> : le profil d'efficacité du déférasirox est globalement </w:t>
      </w:r>
      <w:r>
        <w:rPr>
          <w:b/>
        </w:rPr>
        <w:t>équivalent</w:t>
      </w:r>
      <w:r>
        <w:t xml:space="preserve"> à celui de la déféroxamine en termes de déplétion martiale hépatique, mais </w:t>
      </w:r>
      <w:r>
        <w:rPr>
          <w:b/>
        </w:rPr>
        <w:t>inférieur</w:t>
      </w:r>
      <w:r>
        <w:t xml:space="preserve"> à celui de la défériprome en termes de déplétion myocardique (la défériprome est le chélateur le plus efficace sur le fer cardiaque, en raison de sa lipophilie et de sa pénétration intracellulaire myocardique supérieure). Le déférasirox a l'avantage de la </w:t>
      </w:r>
      <w:r>
        <w:rPr>
          <w:b/>
        </w:rPr>
        <w:t>commodité</w:t>
      </w:r>
      <w:r>
        <w:t xml:space="preserve"> (une prise par jour per os vs perfusion SC continue) qui se traduit par une </w:t>
      </w:r>
      <w:r>
        <w:rPr>
          <w:b/>
        </w:rPr>
        <w:t>meilleure observance</w:t>
      </w:r>
      <w:r>
        <w:t xml:space="preserve"> (≈ 80 % de patients observants &gt; 80 % à 1 an sous déférasirox vs 50 % sous déféroxamine). Cette meilleure observance se traduit par une amélioration de la survie globale et de la qualité de vie, justifiant le choix du déférasirox en première intention chez la majorité des patients thalassémiques et drépanocytaires algériens.</w:t>
      </w:r>
    </w:p>
    <w:p>
      <w:pPr>
        <w:pStyle w:val="Heading3"/>
      </w:pPr>
      <w:r>
        <w:t>192.5.4 Profil pharmacocinétique (PK)</w:t>
      </w:r>
    </w:p>
    <w:p>
      <w:r/>
      <w:r>
        <w:rPr>
          <w:b/>
        </w:rPr>
        <w:t>Absorption</w:t>
      </w:r>
      <w:r>
        <w:t xml:space="preserve"> : le déférasirox est administré par voie orale, avec une biodisponibilité orale élevée (≈ 70 %) en raison de sa lipophilie modérée (log P ≈ 2,5). L'absorption est rapide, avec un Tmax de 1,5 à 4 heures après administration. L'absorption est </w:t>
      </w:r>
      <w:r>
        <w:rPr>
          <w:b/>
        </w:rPr>
        <w:t>diminuée par la prise alimentaire</w:t>
      </w:r>
      <w:r>
        <w:t xml:space="preserve">, particulièrement par les aliments riches en graisses (baisse de 30 à 50 % de l'AUC) — d'où la recommandation d'administrer le déférasirox </w:t>
      </w:r>
      <w:r>
        <w:rPr>
          <w:b/>
        </w:rPr>
        <w:t>à jeun, 30 minutes avant le petit-déjeuner</w:t>
      </w:r>
      <w:r>
        <w:t xml:space="preserve"> (et non pendant ou après le repas). La prise d'un repas riche en graisses simultanément peut réduire significativement l'efficacité thérapeutique. La forme orodispersible (comprimé à dissoudre sur la langue ou dans un liquide) permet une administration chez l'enfant et le patient avec troubles de la déglutition, sans modification significative de la pharmacocinétique (bioéquivalence démontrée avec la forme comprimé classique).</w:t>
      </w:r>
    </w:p>
    <w:p>
      <w:r/>
      <w:r>
        <w:rPr>
          <w:b/>
        </w:rPr>
        <w:t>Distribution</w:t>
      </w:r>
      <w:r>
        <w:t xml:space="preserve"> : volume de distribution (Vd) ≈ 14 à 16 L/kg, voisin du volume de distribution de l'eau totale, indiquant une distribution tissulaire importante. Liaison aux protéines plasmatiques élevée (≈ 99 %), principalement à l'albumine. La traversée de la barrière hémato-encéphalique est limitée en raison de la forte liaison aux protéines. La traversée placentaire est documentée (cf. section grossesse). Le passage dans le lait maternel est probable mais non documenté (prudence).</w:t>
      </w:r>
    </w:p>
    <w:p>
      <w:r/>
      <w:r>
        <w:rPr>
          <w:b/>
        </w:rPr>
        <w:t>Métabolisme</w:t>
      </w:r>
      <w:r>
        <w:t xml:space="preserve"> : le déférasirox est métabolisé principalement par </w:t>
      </w:r>
      <w:r>
        <w:rPr>
          <w:b/>
        </w:rPr>
        <w:t>glucuroconjugaison hépatique</w:t>
      </w:r>
      <w:r>
        <w:t xml:space="preserve"> (UGT1A1, UGT1A3) en déférasirox-glucuronide, métabolite actif (chélation équivalente à la molécule mère), excrété dans la bile. Une voie mineure de CYP1A2 (≈ 10 %) est également décrite, formant un métabolite hydroxylé moins actif. Aucun métabolite toxique n'a été identifié. L'implication prédominante de l'UGT1A1 (vs CYP450) limite les interactions médicamenteuses (peu d'interférence avec les inducteurs et inhibiteurs du CYP450).</w:t>
      </w:r>
    </w:p>
    <w:p>
      <w:r/>
      <w:r>
        <w:rPr>
          <w:b/>
        </w:rPr>
        <w:t>Élimination</w:t>
      </w:r>
      <w:r>
        <w:t xml:space="preserve"> : clairance totale ≈ 0,3 à 0,5 L/h/kg, essentiellement </w:t>
      </w:r>
      <w:r>
        <w:rPr>
          <w:b/>
        </w:rPr>
        <w:t>biliaire</w:t>
      </w:r>
      <w:r>
        <w:t xml:space="preserve"> (84 % de la dose, sous forme de déférasirox-glucuronide) et accessoirement </w:t>
      </w:r>
      <w:r>
        <w:rPr>
          <w:b/>
        </w:rPr>
        <w:t>rénale</w:t>
      </w:r>
      <w:r>
        <w:t xml:space="preserve"> (8 % sous forme inchangée et de métabolites). La clairance biliaire explique l'absence d'accumulation en cas d'insuffisance rénale modérée (DFG &gt; 30 mL/min) — mais la prudence s'impose en cas d'insuffisance rénale sévère (DFG &lt; 30 mL/min) en raison du risque d'accumulation des métabolites. L'élimination fécale du complexe déférasirox-fer explique la modification de la coloration des selles (brune-rougeâtre).</w:t>
      </w:r>
    </w:p>
    <w:p>
      <w:r/>
      <w:r>
        <w:rPr>
          <w:b/>
        </w:rPr>
        <w:t>Demi-vie d'élimination</w:t>
      </w:r>
      <w:r>
        <w:t xml:space="preserve"> : la demi-vie plasmatique du déférasirox est longue, de </w:t>
      </w:r>
      <w:r>
        <w:rPr>
          <w:b/>
        </w:rPr>
        <w:t>8 à 16 heures</w:t>
      </w:r>
      <w:r>
        <w:t xml:space="preserve"> (moyenne 12 heures), autorisant une administration </w:t>
      </w:r>
      <w:r>
        <w:rPr>
          <w:b/>
        </w:rPr>
        <w:t>unique quotidienne</w:t>
      </w:r>
      <w:r>
        <w:t>. Cette propriété pharmacocinétique est un avantage majeur par rapport à la déféroxamine (demi-vie 20 min, perfusion continue) et à la défériprome (demi-vie 1-3 h, trois prises par jour), et conditionne la meilleure observance observée sous déférasirox. L'état d'équilibre est atteint en 5 à 7 jours.</w:t>
      </w:r>
    </w:p>
    <w:p>
      <w:r/>
      <w:r>
        <w:rPr>
          <w:b/>
        </w:rPr>
        <w:t>Linéarité</w:t>
      </w:r>
      <w:r>
        <w:t xml:space="preserve"> : la pharmacocinétique est linéaire aux doses thérapeutiques (10 à 40 mg/kg/jour). Une exposition accrue (AUC) est observée chez l'enfant de moins de 6 ans (clairance augmentée, demi-vie raccourcie), justifiant une adaptation posologique basée sur la surface corporelle plutôt que sur le poids.</w:t>
      </w:r>
    </w:p>
    <w:p>
      <w:r/>
      <w:r>
        <w:rPr>
          <w:b/>
        </w:rPr>
        <w:t>Insuffisance rénale</w:t>
      </w:r>
      <w:r>
        <w:t xml:space="preserve"> : la clairance du déférasirox est peu modifiée en cas d'insuffisance rénale modérée (DFG 30-60 mL/min), mais la prudence s'impose en cas de DFG &lt; 30 mL/min (réduction posologique de 50 %, surveillance accrue). Le déférasirox n'est pas dialysable de manière significative (forte liaison aux protéines), mais la néphrotoxicité propre du produit impose une surveillance accrue chez le dialysé.</w:t>
      </w:r>
    </w:p>
    <w:p>
      <w:r/>
      <w:r>
        <w:rPr>
          <w:b/>
        </w:rPr>
        <w:t>Insuffisance hépatique</w:t>
      </w:r>
      <w:r>
        <w:t xml:space="preserve"> : en cas d'insuffisance hépatique modérée (Child-Pugh A), pas d'adaptation posologique formelle mais surveillance accrue (ALAT, ASAT mensuelles). En cas d'insuffisance hépatique sévère (Child-Pugh C), le déférasirox est déconseillé (alternative : défériprome ou déféroxamine).</w:t>
      </w:r>
    </w:p>
    <w:p>
      <w:pPr>
        <w:pStyle w:val="Heading3"/>
      </w:pPr>
      <w:r>
        <w:t>192.5.5 Prévention et gestion des effets indésirables</w:t>
      </w:r>
    </w:p>
    <w:p>
      <w:r>
        <w:t xml:space="preserve">Les effets indésirables du déférasirox sont dominés par la </w:t>
      </w:r>
      <w:r>
        <w:rPr>
          <w:b/>
        </w:rPr>
        <w:t>néphrotoxicité</w:t>
      </w:r>
      <w:r>
        <w:t>, l'</w:t>
      </w:r>
      <w:r>
        <w:rPr>
          <w:b/>
        </w:rPr>
        <w:t>hépatotoxicité</w:t>
      </w:r>
      <w:r>
        <w:t xml:space="preserve">, et les </w:t>
      </w:r>
      <w:r>
        <w:rPr>
          <w:b/>
        </w:rPr>
        <w:t>troubles digestifs</w:t>
      </w:r>
      <w:r>
        <w:t>, qui ont fait l'objet d'alertes de sécurité (FDA Drug Safety Communications 2007, 2010, 2013) et de recommandations restrictives de l'EMA (2013).</w:t>
      </w:r>
    </w:p>
    <w:p>
      <w:r/>
      <w:r>
        <w:rPr>
          <w:b/>
        </w:rPr>
        <w:t>Néphrotoxicité</w:t>
      </w:r>
      <w:r>
        <w:t xml:space="preserve"> (effet indésirable principal, prévalence 10-30 %) :</w:t>
      </w:r>
    </w:p>
    <w:p>
      <w:pPr>
        <w:pStyle w:val="ListBullet"/>
      </w:pPr>
      <w:r/>
      <w:r>
        <w:rPr>
          <w:b/>
        </w:rPr>
        <w:t>Élévation de la créatininémie</w:t>
      </w:r>
      <w:r>
        <w:t xml:space="preserve"> : prévalence 10-20 %, généralement modérée (&lt; 1,5 × LSN), réversible à l'arrêt. Mécanisme : toxicité tubulaire proximale (néphropathie interstitielle, atrophie tubulaire), favorisée par la concentration élevée du déférasirox-glucuronide dans le tubule proximal. Prévention : créatininémie de référence avant traitement, puis </w:t>
      </w:r>
      <w:r>
        <w:rPr>
          <w:b/>
        </w:rPr>
        <w:t>créatininémie mensuelle</w:t>
      </w:r>
      <w:r>
        <w:t xml:space="preserve"> pendant les 6 premiers mois puis trimestrielle, surveillance accrue en cas de DFG &lt; 60 mL/min (réduction posologique), arrêt transitoire si créatininémie &gt; 2 × LSN.</w:t>
      </w:r>
    </w:p>
    <w:p>
      <w:pPr>
        <w:pStyle w:val="ListBullet"/>
      </w:pPr>
      <w:r/>
      <w:r>
        <w:rPr>
          <w:b/>
        </w:rPr>
        <w:t>Protéinurie tubulaire</w:t>
      </w:r>
      <w:r>
        <w:t xml:space="preserve"> : prévalence 5-15 %, marqueur précoce de néphrotoxicité (β2-microglobuline urinaire, protéinurie de bas poids moléculaire). Prévention : bandelette urinaire mensuelle les 6 premiers mois, protéinurie/24h si anomalie.</w:t>
      </w:r>
    </w:p>
    <w:p>
      <w:pPr>
        <w:pStyle w:val="ListBullet"/>
      </w:pPr>
      <w:r/>
      <w:r>
        <w:rPr>
          <w:b/>
        </w:rPr>
        <w:t>Syndrome néphrotique</w:t>
      </w:r>
      <w:r>
        <w:t xml:space="preserve"> (rare, &lt; 1 %) : glomérulonéphrite extracapillaire, proteinurie massive, hypoalbuminémie, œdèmes. Arrêt immédiat, bilan néphrologique (biopsie rénale si nécessaire), corticothérapie.</w:t>
      </w:r>
    </w:p>
    <w:p>
      <w:pPr>
        <w:pStyle w:val="ListBullet"/>
      </w:pPr>
      <w:r/>
      <w:r>
        <w:rPr>
          <w:b/>
        </w:rPr>
        <w:t>Insuffisance rénale aiguë</w:t>
      </w:r>
      <w:r>
        <w:t xml:space="preserve"> (rare, &lt; 1 %) : prédominante chez le patient âgé, en cas d'insuffisance rénale préexistante, ou en cas d'association avec AINS, IEC, diurétiques. Prévention : bilan rénal de référence, surveillance mensuelle, adaptation posologique.</w:t>
      </w:r>
    </w:p>
    <w:p>
      <w:r/>
      <w:r>
        <w:rPr>
          <w:b/>
        </w:rPr>
        <w:t>Hépatotoxicité</w:t>
      </w:r>
      <w:r>
        <w:t xml:space="preserve"> (alerte FDA 2007-2013) :</w:t>
      </w:r>
    </w:p>
    <w:p>
      <w:pPr>
        <w:pStyle w:val="ListBullet"/>
      </w:pPr>
      <w:r/>
      <w:r>
        <w:rPr>
          <w:b/>
        </w:rPr>
        <w:t>Élévation des transaminases</w:t>
      </w:r>
      <w:r>
        <w:t xml:space="preserve"> (ALAT, ASAT) : prévalence 5-15 %, généralement modérée (&lt; 3 × LSN), réversible à l'arrêt. Prévention : bilan hépatique de référence, puis </w:t>
      </w:r>
      <w:r>
        <w:rPr>
          <w:b/>
        </w:rPr>
        <w:t>ALAT/ASAT mensuelles</w:t>
      </w:r>
      <w:r>
        <w:t xml:space="preserve"> pendant les 6 premiers mois puis trimestrielles.</w:t>
      </w:r>
    </w:p>
    <w:p>
      <w:pPr>
        <w:pStyle w:val="ListBullet"/>
      </w:pPr>
      <w:r/>
      <w:r>
        <w:rPr>
          <w:b/>
        </w:rPr>
        <w:t>Hépatite cytolytique sévère</w:t>
      </w:r>
      <w:r>
        <w:t xml:space="preserve"> (rare, &lt; 1 %) : prédominante chez le patient avec hépatopathie préexistante (hépatite virale, cirrhose, stéatose). Arrêt immédiat si ALAT &gt; 5 × LSN.</w:t>
      </w:r>
    </w:p>
    <w:p>
      <w:pPr>
        <w:pStyle w:val="ListBullet"/>
      </w:pPr>
      <w:r/>
      <w:r>
        <w:rPr>
          <w:b/>
        </w:rPr>
        <w:t>Insuffisance hépatique fulminante</w:t>
      </w:r>
      <w:r>
        <w:t xml:space="preserve"> (très rare, &lt; 0,1 %) : prédominante chez le patient avec hépatopathie avancée. Contre-indication du déférasirox en cas d'insuffisance hépatique sévère (Child-Pugh C).</w:t>
      </w:r>
    </w:p>
    <w:p>
      <w:r/>
      <w:r>
        <w:rPr>
          <w:b/>
        </w:rPr>
        <w:t>Troubles digestifs</w:t>
      </w:r>
      <w:r>
        <w:t xml:space="preserve"> (très fréquents, 20-40 %) :</w:t>
      </w:r>
    </w:p>
    <w:p>
      <w:pPr>
        <w:pStyle w:val="ListBullet"/>
      </w:pPr>
      <w:r/>
      <w:r>
        <w:rPr>
          <w:b/>
        </w:rPr>
        <w:t>Nausées, vomissements, douleurs abdominales</w:t>
      </w:r>
      <w:r>
        <w:t xml:space="preserve"> : liés à l'irritation locale du déférasirox sur la muqueuse gastrique. Prévention : prise à jeun 30 min avant le petit-déjeuner (et non à jeun strict, qui majore l'irritation), fractionnement de la dose si nécessaire, antiémétiques si symptômes persistants.</w:t>
      </w:r>
    </w:p>
    <w:p>
      <w:pPr>
        <w:pStyle w:val="ListBullet"/>
      </w:pPr>
      <w:r/>
      <w:r>
        <w:rPr>
          <w:b/>
        </w:rPr>
        <w:t>Diarrhée</w:t>
      </w:r>
      <w:r>
        <w:t xml:space="preserve"> : prévalence 10-20 %, généralement modérée. Prévention : hydratation suffisante, ralentisseur du transit (lopéramide) si sévère.</w:t>
      </w:r>
    </w:p>
    <w:p>
      <w:pPr>
        <w:pStyle w:val="ListBullet"/>
      </w:pPr>
      <w:r/>
      <w:r>
        <w:rPr>
          <w:b/>
        </w:rPr>
        <w:t>Douleurs abdominales hautes</w:t>
      </w:r>
      <w:r>
        <w:t xml:space="preserve"> : à distinguer d'une atteinte hépatique (ALAT/ASAT).</w:t>
      </w:r>
    </w:p>
    <w:p>
      <w:r/>
      <w:r>
        <w:rPr>
          <w:b/>
        </w:rPr>
        <w:t>Éruptions cutanées</w:t>
      </w:r>
      <w:r>
        <w:t xml:space="preserve"> (fréquentes, 5-15 %) :</w:t>
      </w:r>
    </w:p>
    <w:p>
      <w:pPr>
        <w:pStyle w:val="ListBullet"/>
      </w:pPr>
      <w:r/>
      <w:r>
        <w:rPr>
          <w:b/>
        </w:rPr>
        <w:t>Rash maculopapuleux</w:t>
      </w:r>
      <w:r>
        <w:t xml:space="preserve"> : généralement bénin, régressif à l'arrêt. Prévention : antihistaminiques, arrêt transitoire si prurit intense.</w:t>
      </w:r>
    </w:p>
    <w:p>
      <w:pPr>
        <w:pStyle w:val="ListBullet"/>
      </w:pPr>
      <w:r/>
      <w:r>
        <w:rPr>
          <w:b/>
        </w:rPr>
        <w:t>Syndrome de Stevens-Johnson / nécrolyse épidermique toxique</w:t>
      </w:r>
      <w:r>
        <w:t xml:space="preserve"> (très rare, &lt; 0,1 %) : éruption bulleuse, atteinte muqueuse, fièvre. Arrêt immédiat, hospitalisation en service de dermatologie ou réanimation.</w:t>
      </w:r>
    </w:p>
    <w:p>
      <w:r/>
      <w:r>
        <w:rPr>
          <w:b/>
        </w:rPr>
        <w:t>Autres effets indésirables</w:t>
      </w:r>
      <w:r>
        <w:t xml:space="preserve"> :</w:t>
      </w:r>
    </w:p>
    <w:p>
      <w:pPr>
        <w:pStyle w:val="ListBullet"/>
      </w:pPr>
      <w:r/>
      <w:r>
        <w:rPr>
          <w:b/>
        </w:rPr>
        <w:t>Troubles de la vision</w:t>
      </w:r>
      <w:r>
        <w:t xml:space="preserve"> (rare, &lt; 1 %) : baisse d'acuité visuelle, troubles de la vision des couleurs. Prévention : fond d'œil annuel.</w:t>
      </w:r>
    </w:p>
    <w:p>
      <w:pPr>
        <w:pStyle w:val="ListBullet"/>
      </w:pPr>
      <w:r/>
      <w:r>
        <w:rPr>
          <w:b/>
        </w:rPr>
        <w:t>Troubles auditifs</w:t>
      </w:r>
      <w:r>
        <w:t xml:space="preserve"> (rare, &lt; 1 %) : hypoacousie, acouphènes. Prévention : audiométrie annuelle.</w:t>
      </w:r>
    </w:p>
    <w:p>
      <w:pPr>
        <w:pStyle w:val="ListBullet"/>
      </w:pPr>
      <w:r/>
      <w:r>
        <w:rPr>
          <w:b/>
        </w:rPr>
        <w:t>Céphalées</w:t>
      </w:r>
      <w:r>
        <w:t xml:space="preserve"> (fréquent, 5-10 %).</w:t>
      </w:r>
    </w:p>
    <w:p>
      <w:pPr>
        <w:pStyle w:val="ListBullet"/>
      </w:pPr>
      <w:r/>
      <w:r>
        <w:rPr>
          <w:b/>
        </w:rPr>
        <w:t>Fatigue, asthénie</w:t>
      </w:r>
      <w:r>
        <w:t xml:space="preserve"> (fréquent, 5-10 %).</w:t>
      </w:r>
    </w:p>
    <w:p>
      <w:pPr>
        <w:pStyle w:val="Heading3"/>
      </w:pPr>
      <w:r>
        <w:t>192.5.6 Interactions médicamenteuses</w:t>
      </w:r>
    </w:p>
    <w:p>
      <w:r>
        <w:t>Les interactions médicamenteuses du déférasirox sont dominées par les interactions pharmacocinétiques (UGT1A1, CYP1A2) et pharmacodynamiques (toxicité additive).</w:t>
      </w:r>
    </w:p>
    <w:p>
      <w:r/>
      <w:r>
        <w:rPr>
          <w:b/>
        </w:rPr>
        <w:t>Interactions pharmacocinétiques</w:t>
      </w:r>
      <w:r>
        <w:t xml:space="preserve"> :</w:t>
      </w:r>
    </w:p>
    <w:p>
      <w:pPr>
        <w:pStyle w:val="ListBullet"/>
      </w:pPr>
      <w:r/>
      <w:r>
        <w:rPr>
          <w:b/>
        </w:rPr>
        <w:t>Inducteurs enzymatiques</w:t>
      </w:r>
      <w:r>
        <w:t xml:space="preserve"> (rifampicine, phénytoïne, phénobarbital, carbamazépine, éfavirenz) : induction de l'UGT1A1 et du CYP1A2, diminution des concentrations plasmatiques du déférasirox (jusqu'à -50 %), perte d'efficacité. Prévention : surveillance de la ferritinémie, augmentation posologique du déférasirox si besoin.</w:t>
      </w:r>
    </w:p>
    <w:p>
      <w:pPr>
        <w:pStyle w:val="ListBullet"/>
      </w:pPr>
      <w:r/>
      <w:r>
        <w:rPr>
          <w:b/>
        </w:rPr>
        <w:t>Inhibiteurs de l'UGT1A1</w:t>
      </w:r>
      <w:r>
        <w:t xml:space="preserve"> (atazanavir, nilotinib) : augmentation des concentrations plasmatiques du déférasirox, sur-risque de toxicité. Prévention : surveillance accrue (créatininémie, ALAT), réduction posologique.</w:t>
      </w:r>
    </w:p>
    <w:p>
      <w:pPr>
        <w:pStyle w:val="ListBullet"/>
      </w:pPr>
      <w:r/>
      <w:r>
        <w:rPr>
          <w:b/>
        </w:rPr>
        <w:t>Inhibiteurs du CYP1A2</w:t>
      </w:r>
      <w:r>
        <w:t xml:space="preserve"> (fluvoxamine, énoxacine, ciprofloxacine) : augmentation modérée des concentrations du déférasirox (CYP1A2 = voie mineure, ~10 %), surveillance accrue.</w:t>
      </w:r>
    </w:p>
    <w:p>
      <w:r/>
      <w:r>
        <w:rPr>
          <w:b/>
        </w:rPr>
        <w:t>Interactions pharmacodynamiques (toxicité additive)</w:t>
      </w:r>
      <w:r>
        <w:t xml:space="preserve"> :</w:t>
      </w:r>
    </w:p>
    <w:p>
      <w:pPr>
        <w:pStyle w:val="ListBullet"/>
      </w:pPr>
      <w:r/>
      <w:r>
        <w:rPr>
          <w:b/>
        </w:rPr>
        <w:t>AINS</w:t>
      </w:r>
      <w:r>
        <w:t xml:space="preserve"> (ibuprofène, diclofénac, kétoprofène) : majoration de la néphrotoxicité. Prévention : éviter l'association, ou surveillance rénale accrue (créatininémie, protéinurie) si l'association est indispensable.</w:t>
      </w:r>
    </w:p>
    <w:p>
      <w:pPr>
        <w:pStyle w:val="ListBullet"/>
      </w:pPr>
      <w:r/>
      <w:r>
        <w:rPr>
          <w:b/>
        </w:rPr>
        <w:t>Inhibiteurs de l'ECA</w:t>
      </w:r>
      <w:r>
        <w:t xml:space="preserve"> (énalapril, ramipril) et ARA2 (valsartan, losartan) : majoration du risque d'insuffisance rénale et d'hyperkaliémie. Prévention : surveillance tensionnelle et rénale accrue.</w:t>
      </w:r>
    </w:p>
    <w:p>
      <w:pPr>
        <w:pStyle w:val="ListBullet"/>
      </w:pPr>
      <w:r/>
      <w:r>
        <w:rPr>
          <w:b/>
        </w:rPr>
        <w:t>Diurétiques</w:t>
      </w:r>
      <w:r>
        <w:t xml:space="preserve"> (furosémide, hydrochlorothiazide) : majoration du risque d'insuffisance rénale et de déshydratation. Prévention : surveillance rénale, hydratation.</w:t>
      </w:r>
    </w:p>
    <w:p>
      <w:pPr>
        <w:pStyle w:val="ListBullet"/>
      </w:pPr>
      <w:r/>
      <w:r>
        <w:rPr>
          <w:b/>
        </w:rPr>
        <w:t>Anticoagulants oraux</w:t>
      </w:r>
      <w:r>
        <w:t xml:space="preserve"> (warfarine, acénocoumarol) : potentialisation de l'anticoagulation (le déférasirox peut interférer avec la métabolisation hépatique). Prévention : surveillance de l'INR, adaptation posologique de l'anticoagulant.</w:t>
      </w:r>
    </w:p>
    <w:p>
      <w:pPr>
        <w:pStyle w:val="ListBullet"/>
      </w:pPr>
      <w:r/>
      <w:r>
        <w:rPr>
          <w:b/>
        </w:rPr>
        <w:t>Chélateurs de l'acide biliaire</w:t>
      </w:r>
      <w:r>
        <w:t xml:space="preserve"> (cholestyramine) : diminution de l'absorption du déférasirox par chélation dans la lumière intestinale. Espacer les prises (au moins 2 heures avant ou 4 heures après).</w:t>
      </w:r>
    </w:p>
    <w:p>
      <w:r/>
      <w:r>
        <w:rPr>
          <w:b/>
        </w:rPr>
        <w:t>Interactions alimentaires</w:t>
      </w:r>
      <w:r>
        <w:t xml:space="preserve"> :</w:t>
      </w:r>
    </w:p>
    <w:p>
      <w:pPr>
        <w:pStyle w:val="ListBullet"/>
      </w:pPr>
      <w:r/>
      <w:r>
        <w:rPr>
          <w:b/>
        </w:rPr>
        <w:t>Aliments riches en graisses</w:t>
      </w:r>
      <w:r>
        <w:t xml:space="preserve"> : diminution de 30 à 50 % de l'AUC. Prévention : prendre le déférasirox à jeun, 30 minutes avant le petit-déjeuner.</w:t>
      </w:r>
    </w:p>
    <w:p>
      <w:pPr>
        <w:pStyle w:val="ListBullet"/>
      </w:pPr>
      <w:r/>
      <w:r>
        <w:rPr>
          <w:b/>
        </w:rPr>
        <w:t>Lait et produits laitiers</w:t>
      </w:r>
      <w:r>
        <w:t xml:space="preserve"> (calcium) : pas d'interaction significative (le déférasirox ne chélate pas le calcium à concentrations physiologiques).</w:t>
      </w:r>
    </w:p>
    <w:p>
      <w:pPr>
        <w:pStyle w:val="ListBullet"/>
      </w:pPr>
      <w:r/>
      <w:r>
        <w:rPr>
          <w:b/>
        </w:rPr>
        <w:t>Jus de pamplemousse</w:t>
      </w:r>
      <w:r>
        <w:t xml:space="preserve"> : pas d'interaction significative (le déférasirox n'est pas métabolisé par CYP3A4).</w:t>
      </w:r>
    </w:p>
    <w:p>
      <w:r/>
      <w:r>
        <w:rPr>
          <w:b/>
        </w:rPr>
        <w:t>Surveillance biologique associée</w:t>
      </w:r>
      <w:r>
        <w:t xml:space="preserve"> : créatininémie mensuelle les 6 premiers mois puis trimestrielle, protéinurie mensuelle les 6 premiers mois, ALAT/ASAT mensuelles les 6 premiers mois puis trimestrielles, ferritinémie trimestrielle, IRM hépatique et cardiaque T2* annuelles.</w:t>
      </w:r>
    </w:p>
    <w:p>
      <w:pPr>
        <w:pStyle w:val="Heading3"/>
      </w:pPr>
      <w:r>
        <w:t>192.5.7 Grossesse, allaitement et données CRAT</w:t>
      </w:r>
    </w:p>
    <w:p>
      <w:r/>
      <w:r>
        <w:rPr>
          <w:b/>
        </w:rPr>
        <w:t>Grossesse</w:t>
      </w:r>
      <w:r>
        <w:t xml:space="preserve"> : selon le CRAT et l'EMA, le déférasirox est </w:t>
      </w:r>
      <w:r>
        <w:rPr>
          <w:b/>
        </w:rPr>
        <w:t>à éviter par précaution pendant la grossesse</w:t>
      </w:r>
      <w:r>
        <w:t>, sauf bénéfice majeur (surcharge martiale maternelle sévère avec risque vital). Les données animales (souris, rat, lapin) ont mis en évidence une tératogénicité (malformations squelettiques, cardiovasculaires, rénales) à doses maternotoxiques (≥ 6 × AUC thérapeutique humaine). Les données humaines sont limitées (séries de cas,Signal : pas d'augmentation documentée du risque de malformations mais effectifs insuffisants). Le passage placentaire est documenté (rapport cordon/maternel ≈ 0,4), et le complexe déférasirox-fer traverse le placenta.</w:t>
      </w:r>
    </w:p>
    <w:p>
      <w:r/>
      <w:r>
        <w:rPr>
          <w:b/>
        </w:rPr>
        <w:t>Recommandations cliniques</w:t>
      </w:r>
      <w:r>
        <w:t xml:space="preserve"> : (1) chez la femme thalassémique en âge de procréer, une contraception efficace est recommandée pendant le traitement (en raison du risque tératogène théorique non écarté) ; (2) en cas de désir de grossesse, discuter un relais par déféroxamine (chélateur de référence pendant la grossesse, dont la tolérance fœtale est mieux documentée) 3 mois avant la conception ; (3) en cas de grossesse sous déférasirox (découverte tardive), évaluation du rapport bénéfice/risque au cas par cas (hématologue + obstétricien) : poursuite si surcharge martiale sévère avec risque vital maternel, ou arrêt et relais par déféroxamine si surcharge modérée ; (4) surveillances obstétricales renforcées : échographies morphologiques répétées (16-22 SA), recherche de malformations squelettiques, cardiovasculaires, rénales.</w:t>
      </w:r>
    </w:p>
    <w:p>
      <w:r/>
      <w:r>
        <w:rPr>
          <w:b/>
        </w:rPr>
        <w:t>Allaitement</w:t>
      </w:r>
      <w:r>
        <w:t xml:space="preserve"> : selon le CRAT et l'EMA, l'allaitement est </w:t>
      </w:r>
      <w:r>
        <w:rPr>
          <w:b/>
        </w:rPr>
        <w:t>déconseillé</w:t>
      </w:r>
      <w:r>
        <w:t xml:space="preserve"> sous déférasirox. Le passage dans le lait maternel n'est pas documenté chez la femme, mais les données animales (rat) suggèrent un passage lacté significatif (rapport lait/plasma ≈ 0,3), et le risque de déplétion martiale chez le nourrisson n'est pas écarté. </w:t>
      </w:r>
      <w:r>
        <w:rPr>
          <w:b/>
        </w:rPr>
        <w:t>Recommandation</w:t>
      </w:r>
      <w:r>
        <w:t xml:space="preserve"> : arrêt de l'allaitement en cas de traitement par déférasirox (relais par lait infantile), ou arrêt du déférasirox et relais par déféroxamine (compatible avec l'allaitement) si la surcharge martiale maternelle le permet.</w:t>
      </w:r>
    </w:p>
    <w:p>
      <w:r/>
      <w:r>
        <w:rPr>
          <w:b/>
        </w:rPr>
        <w:t>Femmes en âge de procréer</w:t>
      </w:r>
      <w:r>
        <w:t xml:space="preserve"> : contraception efficace obligatoire pendant le traitement et 1 mois après l'arrêt. Test de grossesse avant instauration du traitement.</w:t>
      </w:r>
    </w:p>
    <w:p>
      <w:pPr>
        <w:pStyle w:val="Heading3"/>
      </w:pPr>
      <w:r>
        <w:t>192.5.8 Posologie et modes d'administration</w:t>
      </w:r>
    </w:p>
    <w:p>
      <w:r/>
      <w:r>
        <w:rPr>
          <w:b/>
        </w:rPr>
        <w:t>Posologie adulte</w:t>
      </w:r>
      <w:r>
        <w:t xml:space="preserve"> (surcharge martiale chronique post-transfusionnelle) :</w:t>
      </w:r>
    </w:p>
    <w:p>
      <w:pPr>
        <w:pStyle w:val="ListBullet"/>
      </w:pPr>
      <w:r/>
      <w:r>
        <w:rPr>
          <w:b/>
        </w:rPr>
        <w:t>Dose initiale</w:t>
      </w:r>
      <w:r>
        <w:t xml:space="preserve"> : 20 mg/kg/jour en </w:t>
      </w:r>
      <w:r>
        <w:rPr>
          <w:b/>
        </w:rPr>
        <w:t>une prise orale unique quotidienne</w:t>
      </w:r>
      <w:r>
        <w:t>, le matin à jeun, 30 minutes avant le petit-déjeuner. Exemple pour un adulte de 60 kg : 1200 mg/jour, soit 2 comprimés orodispersibles à 500 mg + 1 comprimé à 250 mg, ou 2 comprimés à 500 mg + 2 comprimés à 125 mg (calcul précis : 2 × 500 + 1 × 250 = 1250 mg, soit ≈ 21 mg/kg, dose adaptée).</w:t>
      </w:r>
    </w:p>
    <w:p>
      <w:pPr>
        <w:pStyle w:val="ListBullet"/>
      </w:pPr>
      <w:r/>
      <w:r>
        <w:rPr>
          <w:b/>
        </w:rPr>
        <w:t>Adaptation posologique</w:t>
      </w:r>
      <w:r>
        <w:t xml:space="preserve"> : tous les 3 à 6 mois selon la ferritinémie. Objectif : ferritinémie entre 500 et 1000 µg/L.</w:t>
      </w:r>
    </w:p>
    <w:p>
      <w:pPr>
        <w:pStyle w:val="ListBullet"/>
      </w:pPr>
      <w:r>
        <w:t>Ferritinémie &gt; 2500 µg/L : augmentation de 5 à 10 mg/kg/jour (dose maximale 40 mg/kg/jour).</w:t>
      </w:r>
    </w:p>
    <w:p>
      <w:pPr>
        <w:pStyle w:val="ListBullet"/>
      </w:pPr>
      <w:r>
        <w:t>Ferritinémie 1000-2500 µg/L : poursuite à la dose en cours.</w:t>
      </w:r>
    </w:p>
    <w:p>
      <w:pPr>
        <w:pStyle w:val="ListBullet"/>
      </w:pPr>
      <w:r>
        <w:t>Ferritinémie 500-1000 µg/L : poursuite à la dose minimale efficace.</w:t>
      </w:r>
    </w:p>
    <w:p>
      <w:pPr>
        <w:pStyle w:val="ListBullet"/>
      </w:pPr>
      <w:r>
        <w:t>Ferritinémie &lt; 500 µg/L : arrêt transitoire (risque de toxicité sans efficacité).</w:t>
      </w:r>
    </w:p>
    <w:p>
      <w:pPr>
        <w:pStyle w:val="ListBullet"/>
      </w:pPr>
      <w:r/>
      <w:r>
        <w:rPr>
          <w:b/>
        </w:rPr>
        <w:t>Dose maximale</w:t>
      </w:r>
      <w:r>
        <w:t xml:space="preserve"> : 40 mg/kg/jour (au-delà, sur-risque de néphrotoxicité et d'hépatotoxicité).</w:t>
      </w:r>
    </w:p>
    <w:p>
      <w:r/>
      <w:r>
        <w:rPr>
          <w:b/>
        </w:rPr>
        <w:t>Posologie adulte</w:t>
      </w:r>
      <w:r>
        <w:t xml:space="preserve"> (surcharge martiale non post-transfusionnelle, NTDT) :</w:t>
      </w:r>
    </w:p>
    <w:p>
      <w:pPr>
        <w:pStyle w:val="ListBullet"/>
      </w:pPr>
      <w:r/>
      <w:r>
        <w:rPr>
          <w:b/>
        </w:rPr>
        <w:t>Dose initiale</w:t>
      </w:r>
      <w:r>
        <w:t xml:space="preserve"> : 10 mg/kg/jour en une prise.</w:t>
      </w:r>
    </w:p>
    <w:p>
      <w:pPr>
        <w:pStyle w:val="ListBullet"/>
      </w:pPr>
      <w:r/>
      <w:r>
        <w:rPr>
          <w:b/>
        </w:rPr>
        <w:t>Dose maximale</w:t>
      </w:r>
      <w:r>
        <w:t xml:space="preserve"> : 20 mg/kg/jour.</w:t>
      </w:r>
    </w:p>
    <w:p>
      <w:r/>
      <w:r>
        <w:rPr>
          <w:b/>
        </w:rPr>
        <w:t>Posologie pédiatrique</w:t>
      </w:r>
      <w:r>
        <w:t xml:space="preserve"> :</w:t>
      </w:r>
    </w:p>
    <w:p>
      <w:pPr>
        <w:pStyle w:val="ListBullet"/>
      </w:pPr>
      <w:r/>
      <w:r>
        <w:rPr>
          <w:b/>
        </w:rPr>
        <w:t>Enfant &gt; 2 ans</w:t>
      </w:r>
      <w:r>
        <w:t xml:space="preserve"> : même schéma que l'adulte, à la dose de 20 mg/kg/jour initial. Adaptation selon la ferritinémie.</w:t>
      </w:r>
    </w:p>
    <w:p>
      <w:pPr>
        <w:pStyle w:val="ListBullet"/>
      </w:pPr>
      <w:r/>
      <w:r>
        <w:rPr>
          <w:b/>
        </w:rPr>
        <w:t>Enfant &lt; 2 ans</w:t>
      </w:r>
      <w:r>
        <w:t xml:space="preserve"> : pas d'AMM (usage exceptionnel sous surveillance spécialisée).</w:t>
      </w:r>
    </w:p>
    <w:p>
      <w:r/>
      <w:r>
        <w:rPr>
          <w:b/>
        </w:rPr>
        <w:t>Posologie en insuffisance rénale</w:t>
      </w:r>
      <w:r>
        <w:t xml:space="preserve"> :</w:t>
      </w:r>
    </w:p>
    <w:p>
      <w:pPr>
        <w:pStyle w:val="ListBullet"/>
      </w:pPr>
      <w:r>
        <w:t>DFG &gt; 60 mL/min : pas d'adaptation, surveillance accrue.</w:t>
      </w:r>
    </w:p>
    <w:p>
      <w:pPr>
        <w:pStyle w:val="ListBullet"/>
      </w:pPr>
      <w:r>
        <w:t>DFG 30-60 mL/min : prudence, réduction posologique de 25-50 %, surveillance mensuelle de la créatininémie.</w:t>
      </w:r>
    </w:p>
    <w:p>
      <w:pPr>
        <w:pStyle w:val="ListBullet"/>
      </w:pPr>
      <w:r>
        <w:t>DFG &lt; 30 mL/min : contre-indication relative (alternative : déféroxamine).</w:t>
      </w:r>
    </w:p>
    <w:p>
      <w:r/>
      <w:r>
        <w:rPr>
          <w:b/>
        </w:rPr>
        <w:t>Posologie en insuffisance hépatique</w:t>
      </w:r>
      <w:r>
        <w:t xml:space="preserve"> :</w:t>
      </w:r>
    </w:p>
    <w:p>
      <w:pPr>
        <w:pStyle w:val="ListBullet"/>
      </w:pPr>
      <w:r>
        <w:t>Child-Pugh A : pas d'adaptation, surveillance mensuelle des transaminases.</w:t>
      </w:r>
    </w:p>
    <w:p>
      <w:pPr>
        <w:pStyle w:val="ListBullet"/>
      </w:pPr>
      <w:r>
        <w:t>Child-Pugh B : prudence, réduction posologique de 50 %, surveillance mensuelle.</w:t>
      </w:r>
    </w:p>
    <w:p>
      <w:pPr>
        <w:pStyle w:val="ListBullet"/>
      </w:pPr>
      <w:r>
        <w:t>Child-Pugh C : contre-indication (alternative : déféroxamine).</w:t>
      </w:r>
    </w:p>
    <w:p>
      <w:r/>
      <w:r>
        <w:rPr>
          <w:b/>
        </w:rPr>
        <w:t>Mode d'administration</w:t>
      </w:r>
      <w:r>
        <w:t xml:space="preserve"> :</w:t>
      </w:r>
    </w:p>
    <w:p>
      <w:pPr>
        <w:pStyle w:val="ListBullet"/>
      </w:pPr>
      <w:r/>
      <w:r>
        <w:rPr>
          <w:b/>
        </w:rPr>
        <w:t>Comprimé orodispersible</w:t>
      </w:r>
      <w:r>
        <w:t xml:space="preserve"> : à dissoudre sur la langue (5-10 secondes pour dissolution complète), à avaler avec un verre d'eau. Alternative : dissoudre le comprimé dans 100 mL d'eau, de jus de pomme ou de jus d'orange, à boire immédiatement (ne pas conserver la suspension).</w:t>
      </w:r>
    </w:p>
    <w:p>
      <w:pPr>
        <w:pStyle w:val="ListBullet"/>
      </w:pPr>
      <w:r/>
      <w:r>
        <w:rPr>
          <w:b/>
        </w:rPr>
        <w:t>Heure de prise</w:t>
      </w:r>
      <w:r>
        <w:t xml:space="preserve"> : le matin à jeun, 30 minutes avant le petit-déjeuner (et non pendant ou après le repas, en raison de la diminution d'absorption par les aliments).</w:t>
      </w:r>
    </w:p>
    <w:p>
      <w:pPr>
        <w:pStyle w:val="ListBullet"/>
      </w:pPr>
      <w:r/>
      <w:r>
        <w:rPr>
          <w:b/>
        </w:rPr>
        <w:t>Observance</w:t>
      </w:r>
      <w:r>
        <w:t xml:space="preserve"> : la prise unique quotidienne est un avantage majeur du déférasirox par rapport à la déféroxamine (perf SC continue) et à la défériprome (3 prises par jour). L'observance est évaluée à chaque consultation par interrogatoire (carnet de suivi), et par la mesure de la ferritinémie (baisse attendue en 3-6 mois).</w:t>
      </w:r>
    </w:p>
    <w:p>
      <w:pPr>
        <w:pStyle w:val="Heading3"/>
      </w:pPr>
      <w:r>
        <w:t>192.5.9 Formes galéniques disponibles</w:t>
      </w:r>
    </w:p>
    <w:p>
      <w:r/>
      <w:r>
        <w:rPr>
          <w:b/>
        </w:rPr>
        <w:t>Forme unique disponible en Algérie</w:t>
      </w:r>
      <w:r>
        <w:t xml:space="preserve"> : comprimé orodispersible (ODT, Orally Disintegrating Tablet), disponible aux trois dosages 125 mg, 250 mg et 500 mg. La forme orodispersible est conçue pour se dissoudre rapidement sur la langue (5-10 secondes) sans nécessité d'eau, ou pour être dissoute dans un liquide (eau, jus de pomme, jus d'orange) avant administration. Cette forme est particulièrement adaptée à l'enfant et au patient avec troubles de la déglutition.</w:t>
      </w:r>
    </w:p>
    <w:p>
      <w:r/>
      <w:r>
        <w:rPr>
          <w:b/>
        </w:rPr>
        <w:t>Spécialités disponibles</w:t>
      </w:r>
      <w:r>
        <w:t xml:space="preserve"> :</w:t>
      </w:r>
    </w:p>
    <w:p>
      <w:pPr>
        <w:pStyle w:val="ListBullet"/>
      </w:pPr>
      <w:r/>
      <w:r>
        <w:rPr>
          <w:b/>
        </w:rPr>
        <w:t>EXJADE</w:t>
      </w:r>
      <w:r>
        <w:t xml:space="preserve"> (Novartis Pharma Schweiz AG, Suisse) : spécialité d'importation, à l'origine du développement de la molécule. Disponible en 125 mg, 250 mg, 500 mg, en boîte de 28 comprimés.</w:t>
      </w:r>
    </w:p>
    <w:p>
      <w:pPr>
        <w:pStyle w:val="ListBullet"/>
      </w:pPr>
      <w:r/>
      <w:r>
        <w:rPr>
          <w:b/>
        </w:rPr>
        <w:t>CAPTAFER</w:t>
      </w:r>
      <w:r>
        <w:t xml:space="preserve"> (Inpha-Medis, Algérie) : générique algérien, disponible en 125 mg, 250 mg, 500 mg, en boîte de 28 comprimés.</w:t>
      </w:r>
    </w:p>
    <w:p>
      <w:pPr>
        <w:pStyle w:val="ListBullet"/>
      </w:pPr>
      <w:r/>
      <w:r>
        <w:rPr>
          <w:b/>
        </w:rPr>
        <w:t>DEFEROX</w:t>
      </w:r>
      <w:r>
        <w:t xml:space="preserve"> (Hikma Pharma Algeria, Algérie) : générique algérien, disponible en 125 mg, 250 mg, 500 mg, en boîte de 30 comprimés.</w:t>
      </w:r>
    </w:p>
    <w:p>
      <w:pPr>
        <w:pStyle w:val="ListBullet"/>
      </w:pPr>
      <w:r/>
      <w:r>
        <w:rPr>
          <w:b/>
        </w:rPr>
        <w:t>KAPTIRON</w:t>
      </w:r>
      <w:r>
        <w:t xml:space="preserve"> (Laboratoires Beker, Algérie) : générique algérien, disponible en 125 mg, 250 mg, 500 mg, en boîte de 30 et de 90 comprimés (conditionnement hospitalier).</w:t>
      </w:r>
    </w:p>
    <w:p>
      <w:pPr>
        <w:pStyle w:val="ListBullet"/>
      </w:pPr>
      <w:r/>
      <w:r>
        <w:rPr>
          <w:b/>
        </w:rPr>
        <w:t>KELOSIROX</w:t>
      </w:r>
      <w:r>
        <w:t xml:space="preserve"> (El Kendi Industrie du Médicament, Algérie) : générique algérien, disponible en 125 mg, 250 mg, 500 mg, en boîte de 30 comprimés.</w:t>
      </w:r>
    </w:p>
    <w:p>
      <w:r/>
      <w:r>
        <w:rPr>
          <w:b/>
        </w:rPr>
        <w:t>Choix du dosage</w:t>
      </w:r>
      <w:r>
        <w:t xml:space="preserve"> : pour faciliter l'adaptation posologique individuelle (qui dépend du poids et de la ferritinémie), les trois dosages sont disponibles, permettant des combinaisons flexibles. Exemple : pour un adulte de 60 kg nécessitant 1200 mg/jour (= 20 mg/kg), l'ordonnance peut comporter : 2 comprimés à 500 mg + 1 comprimé à 250 mg (= 1250 mg, soit ≈ 21 mg/kg), ou 2 comprimés à 500 mg + 2 comprimés à 125 mg (= 1250 mg). L'utilisation de comprimés à 500 mg seuls (2 × 500 = 1000 mg = ≈ 17 mg/kg, dose insuffisante) n'est pas recommandée car elle expose à une sous-dosage.</w:t>
      </w:r>
    </w:p>
    <w:p>
      <w:r/>
      <w:r>
        <w:rPr>
          <w:b/>
        </w:rPr>
        <w:t>Conditionnements et circuits de distribution</w:t>
      </w:r>
      <w:r>
        <w:t xml:space="preserve"> : le déférasirox est disponible en pharmacie hospitalière (PCH) et en pharmacie de ville sur ordonnance spécialisée (Liste I). La prise en charge par la CNAS est assurée à 100 % au titre des ALD 23 (hémoglobinopathies). La prescription est réservée aux médecins spécialistes (hématologues, pédiatres hématologues).</w:t>
      </w:r>
    </w:p>
    <w:p>
      <w:r/>
      <w:r>
        <w:rPr>
          <w:b/>
        </w:rPr>
        <w:t>Conservation</w:t>
      </w:r>
      <w:r>
        <w:t xml:space="preserve"> : comprimés orodispersibles à conserver à température inférieure à 30 °C, à l'abri de l'humidité (emballage primaire en flacon ou blister hermétique avec dessicant), hors de portée des enfants. Les comprimés ne doivent pas être écrasés ou coupés (la forme orodispersible est conçue pour se dissoudre rapidement). Une fois dissous dans un liquide, la suspension doit être bue immédiatement, sans conservation prolongée.</w:t>
      </w:r>
    </w:p>
    <w:p>
      <w:pPr>
        <w:pStyle w:val="Heading3"/>
      </w:pPr>
      <w:r>
        <w:t>192.5.10 Conseils au patient et éducation thérapeutique</w:t>
      </w:r>
    </w:p>
    <w:p>
      <w:r/>
      <w:r>
        <w:rPr>
          <w:b/>
        </w:rPr>
        <w:t>Éducation à la chélation orale quotidienne</w:t>
      </w:r>
      <w:r>
        <w:t xml:space="preserve"> : la chélation par déférasirox est une thérapeutique de longue haleine, mais beaucoup plus simple que la chélation par déféroxamine (une prise par jour vs perfusion SC continue nocturne). L'éducation doit aborder : (1) </w:t>
      </w:r>
      <w:r>
        <w:rPr>
          <w:b/>
        </w:rPr>
        <w:t>l'objectif thérapeutique</w:t>
      </w:r>
      <w:r>
        <w:t xml:space="preserve"> — expliquer au patient que la chélation vise à dépléter le fer accumulé par les transfusions répétées, à prévenir la cardiomyopathie siderotique, le diabète, l'hypogonadisme, l'insuffisance hépatique, et à garantir une survie prolongée ; (2) </w:t>
      </w:r>
      <w:r>
        <w:rPr>
          <w:b/>
        </w:rPr>
        <w:t>l'observance</w:t>
      </w:r>
      <w:r>
        <w:t xml:space="preserve"> — insister sur l'importance d'une prise quotidienne régulière (matin à jeun), l'observance étant le facteur pronostique principal de survie ; (3) </w:t>
      </w:r>
      <w:r>
        <w:rPr>
          <w:b/>
        </w:rPr>
        <w:t>la technique d'administration</w:t>
      </w:r>
      <w:r>
        <w:t xml:space="preserve"> — dissolution du comprimé orodispersible sur la langue (5-10 s) suivie d'un verre d'eau, ou dissolution dans 100 mL d'eau/jus de pomme/jus d'orange ; (4) </w:t>
      </w:r>
      <w:r>
        <w:rPr>
          <w:b/>
        </w:rPr>
        <w:t>la surveillance</w:t>
      </w:r>
      <w:r>
        <w:t xml:space="preserve"> — créatininémie mensuelle les 6 premiers mois puis trimestrielle, ALAT/ASAT mensuelles les 6 premiers mois puis trimestrielles, ferritinémie trimestrielle, IRM hépatique et cardiaque T2</w:t>
      </w:r>
      <w:r>
        <w:rPr>
          <w:i/>
        </w:rPr>
        <w:t xml:space="preserve"> annuelles, fond d'œil et audiométrie annuels ; (5) </w:t>
      </w:r>
      <w:r/>
      <w:r>
        <w:rPr>
          <w:i/>
        </w:rPr>
        <w:t>la reconnaissance des signes d'alerte</w:t>
      </w:r>
      <w:r>
        <w:t>* — jaunisse (ictère), urines foncées, œdèmes des membres inférieurs, fatigue intense, fièvre avec éruption cutanée, douleurs abdominales intenses.</w:t>
      </w:r>
    </w:p>
    <w:p>
      <w:r/>
      <w:r>
        <w:rPr>
          <w:b/>
        </w:rPr>
        <w:t>Surveillance de l'efficacité</w:t>
      </w:r>
      <w:r>
        <w:t xml:space="preserve"> : la </w:t>
      </w:r>
      <w:r>
        <w:rPr>
          <w:b/>
        </w:rPr>
        <w:t>ferritinémie trimestrielle</w:t>
      </w:r>
      <w:r>
        <w:t xml:space="preserve"> est le marqueur biologique principal (objectif : 500-1000 µg/L). La baisse de la ferritinémie est progressive sur 3 à 6 mois, et l'objectif thérapeutique est atteint en 12 à 24 mois pour une surcharge modérée, en 2 à 5 ans pour une surcharge massive. L'</w:t>
      </w:r>
      <w:r>
        <w:rPr>
          <w:b/>
        </w:rPr>
        <w:t>IRM hépatique</w:t>
      </w:r>
      <w:r>
        <w:t xml:space="preserve"> (FerriScan ou T2</w:t>
      </w:r>
      <w:r>
        <w:rPr>
          <w:i/>
        </w:rPr>
        <w:t>) annuelle permet de quantifier le fer hépatique (objectif : &lt; 7 mg/g de foie sec). L'</w:t>
      </w:r>
      <w:r/>
      <w:r>
        <w:rPr>
          <w:i/>
        </w:rPr>
        <w:t>IRM cardiaque T2</w:t>
      </w:r>
      <w:r>
        <w:t>*</w:t>
      </w:r>
      <w:r>
        <w:rPr>
          <w:i/>
        </w:rPr>
        <w:t xml:space="preserve"> annuelle permet de quantifier le fer cardiaque (objectif : T2</w:t>
      </w:r>
      <w:r>
        <w:t xml:space="preserve"> &gt; 20 ms, valeur critique &lt; 10 ms).</w:t>
      </w:r>
    </w:p>
    <w:p>
      <w:r/>
      <w:r>
        <w:rPr>
          <w:b/>
        </w:rPr>
        <w:t>Surveillance de la tolérance</w:t>
      </w:r>
      <w:r>
        <w:t xml:space="preserve"> : (1) </w:t>
      </w:r>
      <w:r>
        <w:rPr>
          <w:b/>
        </w:rPr>
        <w:t>créatininémie</w:t>
      </w:r>
      <w:r>
        <w:t xml:space="preserve"> mensuelle les 6 premiers mois puis trimestrielle — alerter si &gt; 1,5 × valeur de référence (réduction posologique) ou &gt; 2 × LSN (arrêt transitoire) ; (2) </w:t>
      </w:r>
      <w:r>
        <w:rPr>
          <w:b/>
        </w:rPr>
        <w:t>protéinurie</w:t>
      </w:r>
      <w:r>
        <w:t xml:space="preserve"> mensuelle (bandelette urinaire) — alerter si positive ; (3) </w:t>
      </w:r>
      <w:r>
        <w:rPr>
          <w:b/>
        </w:rPr>
        <w:t>ALAT/ASAT</w:t>
      </w:r>
      <w:r>
        <w:t xml:space="preserve"> mensuelles les 6 premiers mois puis trimestrielles — alerter si &gt; 3 × LSN (réduction) ou &gt; 5 × LSN (arrêt) ; (4) </w:t>
      </w:r>
      <w:r>
        <w:rPr>
          <w:b/>
        </w:rPr>
        <w:t>ferritinémie</w:t>
      </w:r>
      <w:r>
        <w:t xml:space="preserve"> trimestrielle — alerter si &lt; 500 µg/L (arrêt transitoire) ; (5) </w:t>
      </w:r>
      <w:r>
        <w:rPr>
          <w:b/>
        </w:rPr>
        <w:t>fond d'œil</w:t>
      </w:r>
      <w:r>
        <w:t xml:space="preserve"> annuel — alerter en cas de baisse d'acuité visuelle, de troubles de la vision des couleurs ; (6) </w:t>
      </w:r>
      <w:r>
        <w:rPr>
          <w:b/>
        </w:rPr>
        <w:t>audiométrie</w:t>
      </w:r>
      <w:r>
        <w:t xml:space="preserve"> annuelle — alerter en cas de baisse d'audition.</w:t>
      </w:r>
    </w:p>
    <w:p>
      <w:r/>
      <w:r>
        <w:rPr>
          <w:b/>
        </w:rPr>
        <w:t>Conseils pratiques</w:t>
      </w:r>
      <w:r>
        <w:t xml:space="preserve"> : (1) conservation à &lt; 30 °C, à l'abri de l'humidité (ne pas sortir les comprimés du blister avant usage) ; (2) prise à jeun, 30 minutes avant le petit-déjeuner (et non pendant ou après le repas) ; (3) en cas d'oubli d'une prise, ne pas doubler la dose le lendemain (prendre la dose habituelle) ; (4) signaler tout autre traitement en cours (notamment AINS, antihypertenseurs, anticoagulants) en raison des interactions ; (5) éviter la grossesse pendant le traitement (contraception obligatoire) et pendant 1 mois après l'arrêt ; (6) ne pas arrêter brutalement le traitement sans avis médical (risque de rebond de surcharge martiale).</w:t>
      </w:r>
    </w:p>
    <w:p>
      <w:pPr>
        <w:pStyle w:val="Heading3"/>
      </w:pPr>
      <w:r>
        <w:t>192.5.11 Pièges au comptoir et au lit du patient (règles d'or)</w:t>
      </w:r>
    </w:p>
    <w:p>
      <w:r/>
      <w:r>
        <w:rPr>
          <w:b/>
        </w:rPr>
        <w:t>Piège n°1 — Néphrotoxicité silencieuse</w:t>
      </w:r>
      <w:r>
        <w:t xml:space="preserve"> : la néphrotoxicité du déférasirox est insidieuse, indolore, et potentiellement irréversible en cas de poursuite du traitement malgré l'atteinte rénale. Une élévation de la créatininémie peut s'installer sans symptôme fonctionnel. </w:t>
      </w:r>
      <w:r>
        <w:rPr>
          <w:b/>
        </w:rPr>
        <w:t>Règle d'or</w:t>
      </w:r>
      <w:r>
        <w:t xml:space="preserve"> : créatininémie de référence avant traitement, puis </w:t>
      </w:r>
      <w:r>
        <w:rPr>
          <w:b/>
        </w:rPr>
        <w:t>mensuelle</w:t>
      </w:r>
      <w:r>
        <w:t xml:space="preserve"> les 6 premiers mois puis trimestrielle, surveillance accrue en cas de DFG &lt; 60 mL/min, arrêt transitoire si créatininémie &gt; 2 × LSN.</w:t>
      </w:r>
    </w:p>
    <w:p>
      <w:r/>
      <w:r>
        <w:rPr>
          <w:b/>
        </w:rPr>
        <w:t>Piège n°2 — Hépatotoxicité (alerte FDA)</w:t>
      </w:r>
      <w:r>
        <w:t xml:space="preserve"> : le déférasirox a fait l'objet d'alertes de sécurité de la FDA (2007, 2010, 2013) pour hépatotoxicité, avec cas rapportés d'insuffisance hépatique fulminante, particulièrement chez le patient avec hépatopathie préexistante (hépatite virale, cirrhose, stéatose). </w:t>
      </w:r>
      <w:r>
        <w:rPr>
          <w:b/>
        </w:rPr>
        <w:t>Règle d'or</w:t>
      </w:r>
      <w:r>
        <w:t xml:space="preserve"> : bilan hépatique de référence (ALAT, ASAT, PAL, γGT, bilirubine), puis </w:t>
      </w:r>
      <w:r>
        <w:rPr>
          <w:b/>
        </w:rPr>
        <w:t>ALAT/ASAT mensuelles</w:t>
      </w:r>
      <w:r>
        <w:t xml:space="preserve"> les 6 premiers mois puis trimestrielles. Arrêt transitoire si ALAT &gt; 3 × LSN, arrêt définitif si ALAT &gt; 5 × LSN. Contre-indication en cas d'insuffisance hépatique sévère (Child-Pugh C).</w:t>
      </w:r>
    </w:p>
    <w:p>
      <w:r/>
      <w:r>
        <w:rPr>
          <w:b/>
        </w:rPr>
        <w:t>Piège n°3 — Prise alimentaire</w:t>
      </w:r>
      <w:r>
        <w:t xml:space="preserve"> : la prise du déférasirox </w:t>
      </w:r>
      <w:r>
        <w:rPr>
          <w:b/>
        </w:rPr>
        <w:t>pendant ou après</w:t>
      </w:r>
      <w:r>
        <w:t xml:space="preserve"> un repas, surtout riche en graisses, diminue l'absorption de 30 à 50 % et expose à une perte d'efficacité thérapeutique (ferritinémie qui ne baisse pas malgré le traitement). </w:t>
      </w:r>
      <w:r>
        <w:rPr>
          <w:b/>
        </w:rPr>
        <w:t>Règle d'or</w:t>
      </w:r>
      <w:r>
        <w:t xml:space="preserve"> : prise à jeun, 30 minutes avant le petit-déjeuner. Éduquer le patient sur cette contrainte, qui est l'une des principales causes d'échec thérapeutique.</w:t>
      </w:r>
    </w:p>
    <w:p>
      <w:r/>
      <w:r>
        <w:rPr>
          <w:b/>
        </w:rPr>
        <w:t>Piège n°4 — Sous-dosage par utilisation exclusive de comprimés à 500 mg</w:t>
      </w:r>
      <w:r>
        <w:t xml:space="preserve"> : pour un adulte de 60 kg nécessitant 20 mg/kg/jour (= 1200 mg/jour), l'utilisation de 2 comprimés à 500 mg (= 1000 mg, soit 16,7 mg/kg) est insuffisante et expose à une perte d'efficacité. </w:t>
      </w:r>
      <w:r>
        <w:rPr>
          <w:b/>
        </w:rPr>
        <w:t>Règle d'or</w:t>
      </w:r>
      <w:r>
        <w:t xml:space="preserve"> : adapter la prescription en combinant les dosages disponibles (par exemple 2 × 500 + 1 × 250 = 1250 mg, soit 21 mg/kg, ou 2 × 500 + 2 × 125 = 1250 mg). Ne pas arrondir à la baisse.</w:t>
      </w:r>
    </w:p>
    <w:p>
      <w:r/>
      <w:r>
        <w:rPr>
          <w:b/>
        </w:rPr>
        <w:t>Piège n°5 — Associations néphrotoxiques</w:t>
      </w:r>
      <w:r>
        <w:t xml:space="preserve"> : l'association déférasirox + AINS (ibuprofène, diclofénac), déférasirox + IEC/ARA2, déférasirox + diurétiques, majore le risque d'insuffisance rénale. </w:t>
      </w:r>
      <w:r>
        <w:rPr>
          <w:b/>
        </w:rPr>
        <w:t>Règle d'or</w:t>
      </w:r>
      <w:r>
        <w:t xml:space="preserve"> : éviter les associations néphrotoxiques, ou surveillance rénale accrue (créatininémie mensuelle, protéinurie) si l'association est indispensable.</w:t>
      </w:r>
    </w:p>
    <w:p>
      <w:r/>
      <w:r>
        <w:rPr>
          <w:b/>
        </w:rPr>
        <w:t>Piège n°6 — Substitution EXJADE ↔ génériques algériens</w:t>
      </w:r>
      <w:r>
        <w:t xml:space="preserve"> : les 5 spécialités (EXJADE, CAPTAFER, DEFEROX, KAPTIRON, KELOSIROX) sont bioéquivalentes et substituables. Cependant, le patient peut présenter une préférence pour une spécialité (goût, taille du comprimé, conditionnement). </w:t>
      </w:r>
      <w:r>
        <w:rPr>
          <w:b/>
        </w:rPr>
        <w:t>Règle d'or</w:t>
      </w:r>
      <w:r>
        <w:t xml:space="preserve"> : ne pas substituer sans avis du patient (risque de mauvaise observance), et maintenir la même spécialité pendant toute la durée du traitement (sauf indisponibilité).</w:t>
      </w:r>
    </w:p>
    <w:p>
      <w:r/>
      <w:r>
        <w:rPr>
          <w:b/>
        </w:rPr>
        <w:t>Piège n°7 — Grossesse</w:t>
      </w:r>
      <w:r>
        <w:t xml:space="preserve"> : le déférasirox est tératogène chez l'animal et son passage placentaire est documenté. Une grossesse sous déférasirox impose une évaluation spécialisée (hématologue + obstétricien). </w:t>
      </w:r>
      <w:r>
        <w:rPr>
          <w:b/>
        </w:rPr>
        <w:t>Règle d'or</w:t>
      </w:r>
      <w:r>
        <w:t xml:space="preserve"> : contraception efficace obligatoire pendant le traitement et 1 mois après l'arrêt. En cas de désir de grossesse, relais par déféroxamine 3 mois avant la conception. En cas de grossesse découverte sous déférasirox : ne pas arrêter brutalement (risque de rebond), discuter au cas par cas (relais par déféroxamine si surcharge modérée, poursuite si surcharge sévère avec risque vital maternel).</w:t>
      </w:r>
    </w:p>
    <w:p>
      <w:r/>
      <w:r>
        <w:rPr>
          <w:b/>
        </w:rPr>
        <w:t>Piège n°8 — Oubli d'une prise</w:t>
      </w:r>
      <w:r>
        <w:t xml:space="preserve"> : en cas d'oubli d'une prise, le patient peut être tenté de doubler la dose le lendemain (sur-risque de toxicité). </w:t>
      </w:r>
      <w:r>
        <w:rPr>
          <w:b/>
        </w:rPr>
        <w:t>Règle d'or</w:t>
      </w:r>
      <w:r>
        <w:t xml:space="preserve"> : ne jamais doubler la dose en cas d'oubli ; prendre la dose habituelle le lendemain. L'oubli occasionnel (1 fois par semaine) est tolérable, mais les oublis fréquents (&gt; 2 fois par semaine) exposent à une perte d'efficacité.</w:t>
      </w:r>
    </w:p>
    <w:p>
      <w:pPr>
        <w:pStyle w:val="Heading2"/>
      </w:pPr>
      <w:r>
        <w:t>192.6 DCI 3 — Défériprome</w:t>
      </w:r>
    </w:p>
    <w:p>
      <w:pPr>
        <w:pStyle w:val="Heading3"/>
      </w:pPr>
      <w:r>
        <w:t>192.6.1 Liste catégories pharmaco-thérapeutiques et indications</w:t>
      </w:r>
    </w:p>
    <w:p>
      <w:r>
        <w:t xml:space="preserve">La défériprome (DCI internationale, formule chimique 3-hydroxy-1,2-dimethyl-4(1H)-pyridinone, formule brute C7H9NO2, masse molaire 139,15 g/mol) est un chélateur oral du fer de la famille chimique des </w:t>
      </w:r>
      <w:r>
        <w:rPr>
          <w:b/>
        </w:rPr>
        <w:t>hydroxypyridinones (HPO)</w:t>
      </w:r>
      <w:r>
        <w:t xml:space="preserve">, conçu par les chercheurs de l'Université de Keele (Royaume-Uni) — Hider, Kontoghiorghes et coll. — au cours des années 1980, avec une AMM européenne obtenue en 1999 (Ferriprox, Apotex). Code ATC : </w:t>
      </w:r>
      <w:r>
        <w:rPr>
          <w:b/>
        </w:rPr>
        <w:t>V03AC02</w:t>
      </w:r>
      <w:r>
        <w:t xml:space="preserve"> (autres antidotes et chélateurs — défériprome). La molécule est inscrite sur la Liste des médicaments essentiels de l'OMS (22ᵉ édition, 2021). En Algérie, la défériprome est inscrite sur la </w:t>
      </w:r>
      <w:r>
        <w:rPr>
          <w:b/>
        </w:rPr>
        <w:t>Liste I</w:t>
      </w:r>
      <w:r>
        <w:t xml:space="preserve"> des substances vénéneuses.</w:t>
      </w:r>
    </w:p>
    <w:p>
      <w:r>
        <w:t>Les indications thérapeutiques validées par l'AMM (Ferriprox RCP Apotex, dernière révision 2023) couvrent :</w:t>
      </w:r>
    </w:p>
    <w:p>
      <w:pPr>
        <w:pStyle w:val="ListNumber"/>
      </w:pPr>
      <w:r/>
      <w:r>
        <w:rPr>
          <w:b/>
        </w:rPr>
        <w:t>Traitement de la surcharge martiale chronique post-transfusionnelle</w:t>
      </w:r>
      <w:r>
        <w:t xml:space="preserve"> chez les patients âgés de 6 ans et plus, atteints de thalassémie majeure, de drépanocytose polytransfusée, de myélodysplasie sous transfusion chronique, en cas d'intolérance ou de contre-indication à la déféroxamine ou au déférasirox, ou en cas d'inefficacité de ces chélateurs. Schéma standard : 75 mg/kg/jour en 3 prises orales (matin, midi, soir), adapté selon la ferritinémie. Dose minimale : 50 mg/kg/jour. Dose maximale : 100 mg/kg/jour (au-delà, sur-risque d'agranulocytose).</w:t>
      </w:r>
    </w:p>
    <w:p>
      <w:pPr>
        <w:pStyle w:val="ListNumber"/>
      </w:pPr>
      <w:r/>
      <w:r>
        <w:rPr>
          <w:b/>
        </w:rPr>
        <w:t>Cardiomyopathie siderotique sévère</w:t>
      </w:r>
      <w:r>
        <w:t xml:space="preserve"> (indication de spécialité) : en cas de surcharge cardiaque documentée par IRM T2* &lt; 10 ms, la défériprome est le chélateur le plus efficace sur la déplétion myocardique (en raison de sa lipophilie et de sa pénétration intracellulaire myocardique supérieure). Utilisation en monothérapie ou en association avec la déféroxamine (protocole combiné).</w:t>
      </w:r>
    </w:p>
    <w:p>
      <w:pPr>
        <w:pStyle w:val="ListNumber"/>
      </w:pPr>
      <w:r/>
      <w:r>
        <w:rPr>
          <w:b/>
        </w:rPr>
        <w:t>Indications pédiatriques</w:t>
      </w:r>
      <w:r>
        <w:t xml:space="preserve"> : AMM chez l'enfant de plus de 6 ans (en raison du risque d'agranulocytose, qui impose une surveillance hématologique stricte non réalisable chez le jeune enfant). Chez l'enfant de moins de 6 ans, l'usage est exceptionnel sous surveillance spécialisée.</w:t>
      </w:r>
    </w:p>
    <w:p>
      <w:pPr>
        <w:pStyle w:val="ListNumber"/>
      </w:pPr>
      <w:r/>
      <w:r>
        <w:rPr>
          <w:b/>
        </w:rPr>
        <w:t>Indications hors AMM</w:t>
      </w:r>
      <w:r>
        <w:t xml:space="preserve"> : (a) maladie de Wilson (la défériprome a une activité chélatrice du cuivre accessoaire, mais ce n'est pas l'indication princeps) ; (b) mucormycose (controversée, comme pour la déféroxamine).</w:t>
      </w:r>
    </w:p>
    <w:p>
      <w:pPr>
        <w:pStyle w:val="Heading3"/>
      </w:pPr>
      <w:r>
        <w:t>192.6.2 Tableau des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KELFER-250</w:t>
            </w:r>
          </w:p>
        </w:tc>
        <w:tc>
          <w:tcPr>
            <w:tcW w:type="dxa" w:w="1559"/>
          </w:tcPr>
          <w:p>
            <w:r>
              <w:rPr>
                <w:sz w:val="20"/>
              </w:rPr>
              <w:t>CIPLA LIMITED</w:t>
            </w:r>
          </w:p>
        </w:tc>
        <w:tc>
          <w:tcPr>
            <w:tcW w:type="dxa" w:w="1559"/>
          </w:tcPr>
          <w:p>
            <w:r>
              <w:rPr>
                <w:sz w:val="20"/>
              </w:rPr>
              <w:t>Gélule 250 mg</w:t>
            </w:r>
          </w:p>
        </w:tc>
        <w:tc>
          <w:tcPr>
            <w:tcW w:type="dxa" w:w="1559"/>
          </w:tcPr>
          <w:p>
            <w:r>
              <w:rPr>
                <w:sz w:val="20"/>
              </w:rPr>
              <w:t>Boîte de 50</w:t>
            </w:r>
          </w:p>
        </w:tc>
        <w:tc>
          <w:tcPr>
            <w:tcW w:type="dxa" w:w="1559"/>
          </w:tcPr>
          <w:p>
            <w:r>
              <w:rPr>
                <w:sz w:val="20"/>
              </w:rPr>
              <w:t>Liste I</w:t>
            </w:r>
          </w:p>
        </w:tc>
        <w:tc>
          <w:tcPr>
            <w:tcW w:type="dxa" w:w="1559"/>
          </w:tcPr>
          <w:p>
            <w:r>
              <w:rPr>
                <w:sz w:val="20"/>
              </w:rPr>
              <w:t>Actif</w:t>
            </w:r>
          </w:p>
        </w:tc>
      </w:tr>
      <w:tr>
        <w:tc>
          <w:tcPr>
            <w:tcW w:type="dxa" w:w="1559"/>
          </w:tcPr>
          <w:p>
            <w:r>
              <w:rPr>
                <w:sz w:val="20"/>
              </w:rPr>
              <w:t>KELFER-500</w:t>
            </w:r>
          </w:p>
        </w:tc>
        <w:tc>
          <w:tcPr>
            <w:tcW w:type="dxa" w:w="1559"/>
          </w:tcPr>
          <w:p>
            <w:r>
              <w:rPr>
                <w:sz w:val="20"/>
              </w:rPr>
              <w:t>CIPLA LIMITED</w:t>
            </w:r>
          </w:p>
        </w:tc>
        <w:tc>
          <w:tcPr>
            <w:tcW w:type="dxa" w:w="1559"/>
          </w:tcPr>
          <w:p>
            <w:r>
              <w:rPr>
                <w:sz w:val="20"/>
              </w:rPr>
              <w:t>Comprimé enrobé 500 mg</w:t>
            </w:r>
          </w:p>
        </w:tc>
        <w:tc>
          <w:tcPr>
            <w:tcW w:type="dxa" w:w="1559"/>
          </w:tcPr>
          <w:p>
            <w:r>
              <w:rPr>
                <w:sz w:val="20"/>
              </w:rPr>
              <w:t>Boîte de 50</w:t>
            </w:r>
          </w:p>
        </w:tc>
        <w:tc>
          <w:tcPr>
            <w:tcW w:type="dxa" w:w="1559"/>
          </w:tcPr>
          <w:p>
            <w:r>
              <w:rPr>
                <w:sz w:val="20"/>
              </w:rPr>
              <w:t>Liste I</w:t>
            </w:r>
          </w:p>
        </w:tc>
        <w:tc>
          <w:tcPr>
            <w:tcW w:type="dxa" w:w="1559"/>
          </w:tcPr>
          <w:p>
            <w:r>
              <w:rPr>
                <w:sz w:val="20"/>
              </w:rPr>
              <w:t>Actif</w:t>
            </w:r>
          </w:p>
        </w:tc>
      </w:tr>
    </w:tbl>
    <w:p/>
    <w:p>
      <w:r>
        <w:t xml:space="preserve">Le marché algérien de la défériprome repose sur une seule spécialité : </w:t>
      </w:r>
      <w:r>
        <w:rPr>
          <w:b/>
        </w:rPr>
        <w:t>KELFER</w:t>
      </w:r>
      <w:r>
        <w:t xml:space="preserve"> (Cipla Limited, Inde), commercialisée en deux dosages : KELFER-250 en gélule (250 mg de défériprome par gélule) en boîte de 50, et KELFER-500 en comprimé enrobé (500 mg de défériprome par comprimé) en boîte de 50. La spécialité est importée d'Inde (Cipla Limited, Mumbai), sans production locale algérienne à ce jour. Les deux dosages sont disponibles pour faciliter l'adaptation posologique individuelle (qui dépend du poids et de la ferritinémie).</w:t>
      </w:r>
    </w:p>
    <w:p>
      <w:r/>
      <w:r>
        <w:rPr>
          <w:b/>
        </w:rPr>
        <w:t>Comparaison avec la spécialité européenne Ferriprox (Apotex)</w:t>
      </w:r>
      <w:r>
        <w:t xml:space="preserve"> : le Ferriprox européen (Apotex, Canada) est commercialisé en comprimé à 500 mg et en solution buvable à 100 mg/mL. En Algérie, KELFER (Cipla, Inde) est l'équivalent générique, disponible en gélule 250 mg et comprimé enrobé 500 mg, sans solution buvable. Pour l'enfant de moins de 6 ans (indication hors AMM), la solution buvable n'est pas disponible en Algérie, ce qui impose l'ouverture des gélules et le mélange avec un aliment sucré (compote, yaourt) pour faciliter l'administration.</w:t>
      </w:r>
    </w:p>
    <w:p>
      <w:r/>
      <w:r>
        <w:rPr>
          <w:b/>
        </w:rPr>
        <w:t>Conditionnements et circuits de distribution</w:t>
      </w:r>
      <w:r>
        <w:t xml:space="preserve"> : la défériprome est disponible en pharmacie hospitalière (PCH) et en pharmacie de ville sur ordonnance spécialisée (Liste I). La prise en charge par la CNAS est assurée à 100 % au titre des ALD 23 (hémoglobinopathies). La prescription est réservée aux médecins spécialistes (hématologues, pédiatres hématologues). Le conditionnement en boîte de 50 gélules/comprimés correspond à une autonomie de traitement de 8 à 16 jours pour un adulte de 60 kg (à 75 mg/kg/jour = 4500 mg/jour = 9 comprimés à 500 mg/jour, soit 5,5 jours par boîte de 50), nécessitant une délivrance mensuelle (4 à 6 boîtes par mois).</w:t>
      </w:r>
    </w:p>
    <w:p>
      <w:r/>
      <w:r>
        <w:rPr>
          <w:b/>
        </w:rPr>
        <w:t>Conservation</w:t>
      </w:r>
      <w:r>
        <w:t xml:space="preserve"> : gélules et comprimés enrobés à conserver à température inférieure à 25 °C, à l'abri de l'humidité (emballage primaire en flacon ou blister hermétique), hors de portée des enfants. Les gélules ne doivent pas être ouvertes ou écrasées (sauf nécessité d'administration chez l'enfant, en mélange avec un aliment). Les comprimés enrobés ne doivent pas être coupés (l'enrobage protège le principe actif de la dégradation gastrique).</w:t>
      </w:r>
    </w:p>
    <w:p>
      <w:pPr>
        <w:pStyle w:val="Heading3"/>
      </w:pPr>
      <w:r>
        <w:t>192.6.3 Mécanisme d'action moléculaire, cellulaire et physiologique</w:t>
      </w:r>
    </w:p>
    <w:p>
      <w:r>
        <w:t xml:space="preserve">La défériprome est un chélateur </w:t>
      </w:r>
      <w:r>
        <w:rPr>
          <w:b/>
        </w:rPr>
        <w:t>bidentate</w:t>
      </w:r>
      <w:r>
        <w:t xml:space="preserve"> du fer ferrique (Fe3+). Sa structure chimique — un noyau pyridinone porteur d'un groupement hydroxyle (3-OH) et d'un groupement carbonyle (4-C=O) — lui permet de coordonner un ion Fe3+ par deux atomes d'oxygène (un oxygène de la fonction hydroxyle et un oxygène de la fonction carbonyle). Cette coordination bidentate requiert </w:t>
      </w:r>
      <w:r>
        <w:rPr>
          <w:b/>
        </w:rPr>
        <w:t>trois molécules de défériprome</w:t>
      </w:r>
      <w:r>
        <w:t xml:space="preserve"> pour un ion Fe3+, formant un complexe </w:t>
      </w:r>
      <w:r>
        <w:rPr>
          <w:b/>
        </w:rPr>
        <w:t>tris-bidenté</w:t>
      </w:r>
      <w:r>
        <w:t xml:space="preserve"> (3:1, ligand:métal) hautement stable (constante de stabilité Kf ≈ 10^36, log Kf ≈ 36 — proche de celle du déférasirox et supérieure à celle de la déféroxamine Kf ≈ 10^30). Le complexe défériprome-fer est électriquement neutre, lipophile, et excrété principalement par voie </w:t>
      </w:r>
      <w:r>
        <w:rPr>
          <w:b/>
        </w:rPr>
        <w:t>urinaire</w:t>
      </w:r>
      <w:r>
        <w:t xml:space="preserve"> (75-90 % de la dose), avec une élimination biliaire accessoire (10-25 %).</w:t>
      </w:r>
    </w:p>
    <w:p>
      <w:r/>
      <w:r>
        <w:rPr>
          <w:b/>
        </w:rPr>
        <w:t>Niveau moléculaire</w:t>
      </w:r>
      <w:r>
        <w:t xml:space="preserve"> : comme la déféroxamine et le déférasirox, la défériprome cible préférentiellement le </w:t>
      </w:r>
      <w:r>
        <w:rPr>
          <w:b/>
        </w:rPr>
        <w:t>NTBI plasmatique</w:t>
      </w:r>
      <w:r>
        <w:t xml:space="preserve"> et le </w:t>
      </w:r>
      <w:r>
        <w:rPr>
          <w:b/>
        </w:rPr>
        <w:t>LIP intracellulaire</w:t>
      </w:r>
      <w:r>
        <w:t>. Sa sélectivité pour Fe3+ vis-à-vis de Ca2+, Mg2+, Zn2+, Cu2+ est élevée (Kf Fe3+ ≈ 10^10 fois supérieur à Kf Zn2+), garantissant une chélation préférentielle du fer sans déplétion significative des autres cations essentiels. Cependant, à fortes doses, une déplétion en zinc peut être observée, justifiant un apport alimentaire suffisant en zinc.</w:t>
      </w:r>
    </w:p>
    <w:p>
      <w:r/>
      <w:r>
        <w:rPr>
          <w:b/>
        </w:rPr>
        <w:t>Niveau cellulaire</w:t>
      </w:r>
      <w:r>
        <w:t xml:space="preserve"> : la défériprome, en raison de sa lipophilie élevée (log P ≈ 3,0 — supérieure à celle du déférasirox log P ≈ 2,5), pénètre </w:t>
      </w:r>
      <w:r>
        <w:rPr>
          <w:b/>
        </w:rPr>
        <w:t>très efficacement</w:t>
      </w:r>
      <w:r>
        <w:t xml:space="preserve"> dans les cellules, atteignant le compartiment intracellulaire hépatocytaire, macrophagique, et </w:t>
      </w:r>
      <w:r>
        <w:rPr>
          <w:b/>
        </w:rPr>
        <w:t>surtout myocardique</w:t>
      </w:r>
      <w:r>
        <w:t>. Cette pénétration myocardique supérieure — qui distingue la défériprome du déférasirox et de la déféroxamine — explique son efficacité supérieure sur la déplétion du fer cardiaque, et son indication préférentielle en cas de cardiomyopathie siderotique sévère (IRM T2* &lt; 10 ms). La mobilisation du fer intracellulaire est progressive, sur 3 à 6 mois de traitement. L'excrétion urinaire du complexe défériprome-fer explique la coloration rouge-brun des urines (moins intense que la vinoxamine de la déféroxamine).</w:t>
      </w:r>
    </w:p>
    <w:p>
      <w:r/>
      <w:r>
        <w:rPr>
          <w:b/>
        </w:rPr>
        <w:t>Niveau physiologique</w:t>
      </w:r>
      <w:r>
        <w:t xml:space="preserve"> : (1) </w:t>
      </w:r>
      <w:r>
        <w:rPr>
          <w:b/>
        </w:rPr>
        <w:t>baisse de la ferritinémie</w:t>
      </w:r>
      <w:r>
        <w:t xml:space="preserve"> en 3 à 6 mois de traitement, dose-dépendante ; (2) </w:t>
      </w:r>
      <w:r>
        <w:rPr>
          <w:b/>
        </w:rPr>
        <w:t>diminution du fer hépatique</w:t>
      </w:r>
      <w:r>
        <w:t xml:space="preserve"> mesuré par IRM FerriScan ou T2</w:t>
      </w:r>
      <w:r>
        <w:rPr>
          <w:i/>
        </w:rPr>
        <w:t xml:space="preserve"> en 6 à 12 mois ; (3) </w:t>
      </w:r>
      <w:r/>
      <w:r>
        <w:rPr>
          <w:i/>
        </w:rPr>
        <w:t>diminution du fer cardiaque</w:t>
      </w:r>
      <w:r/>
      <w:r>
        <w:rPr>
          <w:i/>
        </w:rPr>
        <w:t xml:space="preserve"> mesuré par IRM T2</w:t>
      </w:r>
      <w:r>
        <w:t xml:space="preserve"> en 6 à 12 mois — plus rapide que la déféroxamine et le déférasirox (la défériprome est le chélateur le plus efficace sur le fer cardiaque) ; (4) </w:t>
      </w:r>
      <w:r>
        <w:rPr>
          <w:b/>
        </w:rPr>
        <w:t>amélioration de la fonction cardiaque</w:t>
      </w:r>
      <w:r>
        <w:t xml:space="preserve"> (FEVG, troubles du rythme) en cas de cardiomyopathie siderotique, parfois spectaculaire (régression d'insuffisance cardiaque congestive) ; (5) </w:t>
      </w:r>
      <w:r>
        <w:rPr>
          <w:b/>
        </w:rPr>
        <w:t>amélioration des fonctions endocriniennes</w:t>
      </w:r>
      <w:r>
        <w:t xml:space="preserve"> (diabète, hypogonadisme) généralement limitée si les lésions sont installées.</w:t>
      </w:r>
    </w:p>
    <w:p>
      <w:r/>
      <w:r>
        <w:rPr>
          <w:b/>
        </w:rPr>
        <w:t>Niveau clinique</w:t>
      </w:r>
      <w:r>
        <w:t xml:space="preserve"> : le profil d'efficacité de la défériprome est globalement </w:t>
      </w:r>
      <w:r>
        <w:rPr>
          <w:b/>
        </w:rPr>
        <w:t>équivalent</w:t>
      </w:r>
      <w:r>
        <w:t xml:space="preserve"> à celui de la déféroxamine en termes de déplétion martiale hépatique, mais </w:t>
      </w:r>
      <w:r>
        <w:rPr>
          <w:b/>
        </w:rPr>
        <w:t>supérieur</w:t>
      </w:r>
      <w:r>
        <w:t xml:space="preserve"> en termes de déplétion myocardique. Le déférasirox est </w:t>
      </w:r>
      <w:r>
        <w:rPr>
          <w:b/>
        </w:rPr>
        <w:t>inférieur</w:t>
      </w:r>
      <w:r>
        <w:t xml:space="preserve"> à la défériprome en termes de déplétion myocardique. La défériprome a l'avantage de la </w:t>
      </w:r>
      <w:r>
        <w:rPr>
          <w:b/>
        </w:rPr>
        <w:t>commodité</w:t>
      </w:r>
      <w:r>
        <w:t xml:space="preserve"> (3 prises par jour per os vs perfusion SC continue de la déféroxamine) mais l'inconvénient d'une moins bonne observance que le déférasirox (3 prises par jour vs 1 prise par jour). La tolérance de la défériprome est dominée par le risque d'</w:t>
      </w:r>
      <w:r>
        <w:rPr>
          <w:b/>
        </w:rPr>
        <w:t>agranulocytose</w:t>
      </w:r>
      <w:r>
        <w:t xml:space="preserve"> potentiellement fatale (surveillance NFS hebdomadaire obligatoire pendant les 6 premiers mois).</w:t>
      </w:r>
    </w:p>
    <w:p>
      <w:pPr>
        <w:pStyle w:val="Heading3"/>
      </w:pPr>
      <w:r>
        <w:t>192.6.4 Profil pharmacocinétique (PK)</w:t>
      </w:r>
    </w:p>
    <w:p>
      <w:r/>
      <w:r>
        <w:rPr>
          <w:b/>
        </w:rPr>
        <w:t>Absorption</w:t>
      </w:r>
      <w:r>
        <w:t xml:space="preserve"> : la défériprome est administrée par voie orale, avec une biodisponibilité orale élevée (≈ 60-80 %) en raison de sa lipophilie (log P ≈ 3,0). L'absorption est rapide, avec un Tmax de 1 à 2 heures après administration. L'absorption est </w:t>
      </w:r>
      <w:r>
        <w:rPr>
          <w:b/>
        </w:rPr>
        <w:t>peu modifiée par la prise alimentaire</w:t>
      </w:r>
      <w:r>
        <w:t xml:space="preserve"> (à la différence du déférasirox) — la défériprome peut être prise pendant ou en dehors des repas. La forme gélule 250 mg et comprimé enrobé 500 mg sont bioéquivalentes.</w:t>
      </w:r>
    </w:p>
    <w:p>
      <w:r/>
      <w:r>
        <w:rPr>
          <w:b/>
        </w:rPr>
        <w:t>Distribution</w:t>
      </w:r>
      <w:r>
        <w:t xml:space="preserve"> : volume de distribution (Vd) ≈ 1 à 2 L/kg, voisin du volume de distribution extracellulaire avec une pénétration intracellulaire marquée (hépatocytes, cardiomyocytes, macrophages). Liaison aux protéines plasmatiques faible (&lt; 10 %). La traversée de la barrière hémato-encéphalique est limitée. La traversée placentaire est documentée. Le passage dans le lait maternel est probable mais non documenté (prudence).</w:t>
      </w:r>
    </w:p>
    <w:p>
      <w:r/>
      <w:r>
        <w:rPr>
          <w:b/>
        </w:rPr>
        <w:t>Métabolisme</w:t>
      </w:r>
      <w:r>
        <w:t xml:space="preserve"> : la défériprome est métabolisée principalement par </w:t>
      </w:r>
      <w:r>
        <w:rPr>
          <w:b/>
        </w:rPr>
        <w:t>glucuroconjugaison hépatique</w:t>
      </w:r>
      <w:r>
        <w:t xml:space="preserve"> (UGT1A6) en défériprome-3-O-glucuronide, métabolite inactif (perte de l'activité chélatrice par blocage du groupement hydroxyle), excrété dans les urines. Une voie mineure de CYP2D6 (≈ 5 %) est également décrite. La clairance métabolique est faible (la défériprome est essentiellement éliminée sous forme inchangée).</w:t>
      </w:r>
    </w:p>
    <w:p>
      <w:r/>
      <w:r>
        <w:rPr>
          <w:b/>
        </w:rPr>
        <w:t>Élimination</w:t>
      </w:r>
      <w:r>
        <w:t xml:space="preserve"> : clairance totale ≈ 0,3 à 0,5 L/h/kg, essentiellement </w:t>
      </w:r>
      <w:r>
        <w:rPr>
          <w:b/>
        </w:rPr>
        <w:t>rénale</w:t>
      </w:r>
      <w:r>
        <w:t xml:space="preserve"> (75-90 % de la dose, sous forme inchangée et de défériprome-glucuronide) et accessoirement </w:t>
      </w:r>
      <w:r>
        <w:rPr>
          <w:b/>
        </w:rPr>
        <w:t>biliaire</w:t>
      </w:r>
      <w:r>
        <w:t xml:space="preserve"> (10-25 %). La clairance rénale dépend de la filtration glomérulaire — d'où la nécessité d'adapter la dose en cas d'insuffisance rénale. La défériprome est dialysable (à la différence du déférasirox, fortement lié aux protéines).</w:t>
      </w:r>
    </w:p>
    <w:p>
      <w:r/>
      <w:r>
        <w:rPr>
          <w:b/>
        </w:rPr>
        <w:t>Demi-vie d'élimination</w:t>
      </w:r>
      <w:r>
        <w:t xml:space="preserve"> : la demi-vie plasmatique de la défériprome est courte, de </w:t>
      </w:r>
      <w:r>
        <w:rPr>
          <w:b/>
        </w:rPr>
        <w:t>1 à 3 heures</w:t>
      </w:r>
      <w:r>
        <w:t xml:space="preserve"> (moyenne 2 heures), imposant une administration </w:t>
      </w:r>
      <w:r>
        <w:rPr>
          <w:b/>
        </w:rPr>
        <w:t>trois fois par jour</w:t>
      </w:r>
      <w:r>
        <w:t xml:space="preserve"> (matin, midi, soir) pour maintenir une concentration efficace. Cette propriété pharmacocinétique est un inconvénient majeur par rapport au déférasirox (demi-vie 8-16 h, 1 prise par jour), et conditionne une observance moins bonne (≈ 60 % à 1 an sous défériprome vs 80 % sous déférasirox). L'état d'équilibre est atteint en 1 à 2 jours.</w:t>
      </w:r>
    </w:p>
    <w:p>
      <w:r/>
      <w:r>
        <w:rPr>
          <w:b/>
        </w:rPr>
        <w:t>Linéarité</w:t>
      </w:r>
      <w:r>
        <w:t xml:space="preserve"> : la pharmacocinétique est linéaire aux doses thérapeutiques (50 à 100 mg/kg/jour). Une exposition accrue (AUC) est observée chez l'enfant (clairance augmentée, demi-vie raccourcie), justifiant une adaptation posologique basée sur le poids.</w:t>
      </w:r>
    </w:p>
    <w:p>
      <w:r/>
      <w:r>
        <w:rPr>
          <w:b/>
        </w:rPr>
        <w:t>Insuffisance rénale</w:t>
      </w:r>
      <w:r>
        <w:t xml:space="preserve"> : la clairance de la défériprome est réduite en cas d'insuffisance rénale (DFG &lt; 60 mL/min : réduction de 25-50 %), et la défériprome est dialysable (à la différence du déférasirox). En cas d'insuffisance rénale sévère (DFG &lt; 30 mL/min), contre-indication relative (alternative : déféroxamine).</w:t>
      </w:r>
    </w:p>
    <w:p>
      <w:r/>
      <w:r>
        <w:rPr>
          <w:b/>
        </w:rPr>
        <w:t>Insuffisance hépatique</w:t>
      </w:r>
      <w:r>
        <w:t xml:space="preserve"> : en cas d'insuffisance hépatique modérée, surveillance accrue (ALAT, ASAT mensuelles). En cas d'insuffisance hépatique sévère (Child-Pugh C), contre-indication relative (alternative : déféroxamine).</w:t>
      </w:r>
    </w:p>
    <w:p>
      <w:r/>
      <w:r>
        <w:rPr>
          <w:b/>
        </w:rPr>
        <w:t>Suivi thérapeutique</w:t>
      </w:r>
      <w:r>
        <w:t xml:space="preserve"> : il n'y a pas de dosage plasmatique de routine de la défériprome. Le monitorage repose sur : (1) </w:t>
      </w:r>
      <w:r>
        <w:rPr>
          <w:b/>
        </w:rPr>
        <w:t>NFS-plaquettes hebdomadaire pendant les 6 premiers mois puis mensuelle à vie</w:t>
      </w:r>
      <w:r>
        <w:t xml:space="preserve"> (recherche d'agranulocytose — effet indésirable principal, potentiellement fatal) ; (2) </w:t>
      </w:r>
      <w:r>
        <w:rPr>
          <w:b/>
        </w:rPr>
        <w:t>ferritinémie trimestrielle</w:t>
      </w:r>
      <w:r>
        <w:t xml:space="preserve"> (objectif : 500-1000 µg/L) ; (3) </w:t>
      </w:r>
      <w:r>
        <w:rPr>
          <w:b/>
        </w:rPr>
        <w:t>IRM hépatique</w:t>
      </w:r>
      <w:r>
        <w:t xml:space="preserve"> annuelle (objectif : fer hépatique &lt; 7 mg/g) ; (4) </w:t>
      </w:r>
      <w:r>
        <w:rPr>
          <w:b/>
        </w:rPr>
        <w:t>IRM cardiaque T2</w:t>
      </w:r>
      <w:r/>
      <w:r>
        <w:rPr>
          <w:i/>
        </w:rPr>
        <w:t xml:space="preserve"> annuelle (objectif : T2</w:t>
      </w:r>
      <w:r>
        <w:t xml:space="preserve"> &gt; 20 ms, valeur critique &lt; 10 ms) ; (5) </w:t>
      </w:r>
      <w:r>
        <w:rPr>
          <w:b/>
        </w:rPr>
        <w:t>bilan hépatique</w:t>
      </w:r>
      <w:r>
        <w:t xml:space="preserve"> mensuel (ALAT, ASAT, PAL, γGT, bilirubine) ; (6) </w:t>
      </w:r>
      <w:r>
        <w:rPr>
          <w:b/>
        </w:rPr>
        <w:t>bilan rénal</w:t>
      </w:r>
      <w:r>
        <w:t xml:space="preserve"> mensuel les 6 premiers mois puis trimestriel.</w:t>
      </w:r>
    </w:p>
    <w:p>
      <w:pPr>
        <w:pStyle w:val="Heading3"/>
      </w:pPr>
      <w:r>
        <w:t>192.6.5 Prévention et gestion des effets indésirables</w:t>
      </w:r>
    </w:p>
    <w:p>
      <w:r>
        <w:t>Les effets indésirables de la défériprome sont dominés par le risque d'</w:t>
      </w:r>
      <w:r>
        <w:rPr>
          <w:b/>
        </w:rPr>
        <w:t>agranulocytose</w:t>
      </w:r>
      <w:r>
        <w:t xml:space="preserve"> potentiellement fatale, qui impose une surveillance hématologique stricte et qui constitue la principale limitation thérapeutique de la molécule.</w:t>
      </w:r>
    </w:p>
    <w:p>
      <w:r/>
      <w:r>
        <w:rPr>
          <w:b/>
        </w:rPr>
        <w:t>Agranulocytose</w:t>
      </w:r>
      <w:r>
        <w:t xml:space="preserve"> (effet indésirable principal, prévalence 0,5-1 %) :</w:t>
      </w:r>
    </w:p>
    <w:p>
      <w:pPr>
        <w:pStyle w:val="ListBullet"/>
      </w:pPr>
      <w:r/>
      <w:r>
        <w:rPr>
          <w:b/>
        </w:rPr>
        <w:t>Mécanisme</w:t>
      </w:r>
      <w:r>
        <w:t xml:space="preserve"> : toxicité médullaire idiosyncrasique (indépendante de la dose), avec arrêt de la production des polynucléaires neutrophiles par inhibition de la différenciation myéloïde. Mécanisme immuno-allergique probable (auto-anticorps anti-neutrophiles). Survenue brutale, imprévisible, en moyenne 6 à 12 mois après le début du traitement (mais possible à tout moment).</w:t>
      </w:r>
    </w:p>
    <w:p>
      <w:pPr>
        <w:pStyle w:val="ListBullet"/>
      </w:pPr>
      <w:r/>
      <w:r>
        <w:rPr>
          <w:b/>
        </w:rPr>
        <w:t>Présentation clinique</w:t>
      </w:r>
      <w:r>
        <w:t xml:space="preserve"> : fièvre élevée (≥ 39 °C), angine ulcéro-nécrotique, infections ORL ou pulmonaires sévères (pneumopathie, septicémie, choc septique). Sans traitement, évolution vers le décès en 24-72 heures par choc septique.</w:t>
      </w:r>
    </w:p>
    <w:p>
      <w:pPr>
        <w:pStyle w:val="ListBullet"/>
      </w:pPr>
      <w:r/>
      <w:r>
        <w:rPr>
          <w:b/>
        </w:rPr>
        <w:t>Prévention</w:t>
      </w:r>
      <w:r>
        <w:t xml:space="preserve"> : </w:t>
      </w:r>
      <w:r>
        <w:rPr>
          <w:b/>
        </w:rPr>
        <w:t>NFS-plaquettes hebdomadaire pendant les 6 premiers mois puis mensuelle à vie</w:t>
      </w:r>
      <w:r>
        <w:t xml:space="preserve"> (obligatoire, surveillance hématologique stricte). Éducation du patient à reconnaître les signes d'alerte (fièvre, angine, infection) et à consulter en urgence. Arrêt immédiat de la défériprome en cas de neutropénie (PNN &lt; 1500/mm³) ou d'agranulocytose (PNN &lt; 500/mm³).</w:t>
      </w:r>
    </w:p>
    <w:p>
      <w:pPr>
        <w:pStyle w:val="ListBullet"/>
      </w:pPr>
      <w:r/>
      <w:r>
        <w:rPr>
          <w:b/>
        </w:rPr>
        <w:t>Conduite à tenir en cas d'agranulocytose</w:t>
      </w:r>
      <w:r>
        <w:t xml:space="preserve"> : (1) arrêt immédiat et définitif de la défériprome (réintroduction contre-indiquée à vie) ; (2) hospitalisation en chambre d'isolement protecteur ; (3) prélèvements bactériologiques (hémocultures, ECBU, prélèvements de gorge) ; (4) antibiothérapie prophylactique puis adaptée (bétalactamine + aminoside, ou carbapénème si suspicion de BMR) ; (5) facteurs de croissance granocytaires (G-CSF, filgrastim 5 µg/kg/jour SC) pour accélérer la récupération médullaire ; (6) surveillance en réanimation si choc septique.</w:t>
      </w:r>
    </w:p>
    <w:p>
      <w:r/>
      <w:r>
        <w:rPr>
          <w:b/>
        </w:rPr>
        <w:t>Neutropénie modérée</w:t>
      </w:r>
      <w:r>
        <w:t xml:space="preserve"> (prévalence 5-10 %) :</w:t>
      </w:r>
    </w:p>
    <w:p>
      <w:pPr>
        <w:pStyle w:val="ListBullet"/>
      </w:pPr>
      <w:r>
        <w:t>PNN entre 1000 et 1500/mm³, asymptomatique. Surveillance NFS rapprochée (tous les 3 jours), réduction posologique, arrêt transitoire si PNN &lt; 1000/mm³.</w:t>
      </w:r>
    </w:p>
    <w:p>
      <w:r/>
      <w:r>
        <w:rPr>
          <w:b/>
        </w:rPr>
        <w:t>Hépatotoxicité</w:t>
      </w:r>
      <w:r>
        <w:t xml:space="preserve"> (prévalence 5-15 %) :</w:t>
      </w:r>
    </w:p>
    <w:p>
      <w:pPr>
        <w:pStyle w:val="ListBullet"/>
      </w:pPr>
      <w:r>
        <w:t>Élévation des transaminases (ALAT, ASAT), généralement modérée (&lt; 3 × LSN), réversible à l'arrêt. Prévention : bilan hépatique mensuel, arrêt transitoire si ALAT &gt; 5 × LSN.</w:t>
      </w:r>
    </w:p>
    <w:p>
      <w:r/>
      <w:r>
        <w:rPr>
          <w:b/>
        </w:rPr>
        <w:t>Troubles digestifs</w:t>
      </w:r>
      <w:r>
        <w:t xml:space="preserve"> (très fréquents, 20-40 %) :</w:t>
      </w:r>
    </w:p>
    <w:p>
      <w:pPr>
        <w:pStyle w:val="ListBullet"/>
      </w:pPr>
      <w:r>
        <w:t>Nausées, vomissements, douleurs abdominales. Prévention : prise pendant les repas (à la différence du déférasirox), antiémétiques si symptômes persistants.</w:t>
      </w:r>
    </w:p>
    <w:p>
      <w:pPr>
        <w:pStyle w:val="ListBullet"/>
      </w:pPr>
      <w:r>
        <w:t>Diarrhée (10-20 %). Prévention : hydratation suffisante.</w:t>
      </w:r>
    </w:p>
    <w:p>
      <w:r/>
      <w:r>
        <w:rPr>
          <w:b/>
        </w:rPr>
        <w:t>Coloration rouge-brun des urines</w:t>
      </w:r>
      <w:r>
        <w:t xml:space="preserve"> (fréquent, 30-50 %) :</w:t>
      </w:r>
    </w:p>
    <w:p>
      <w:pPr>
        <w:pStyle w:val="ListBullet"/>
      </w:pPr>
      <w:r>
        <w:t xml:space="preserve">Due à l'excrétion urinaire du complexe défériprome-fer. Signe d'efficacité thérapeutique, </w:t>
      </w:r>
      <w:r>
        <w:rPr>
          <w:b/>
        </w:rPr>
        <w:t>pas</w:t>
      </w:r>
      <w:r>
        <w:t xml:space="preserve"> un effet indésirable. Prévention (information patient) : prévenir le patient pour éviter une fausse alerte (hématurie).</w:t>
      </w:r>
    </w:p>
    <w:p>
      <w:r/>
      <w:r>
        <w:rPr>
          <w:b/>
        </w:rPr>
        <w:t>Éruptions cutanées</w:t>
      </w:r>
      <w:r>
        <w:t xml:space="preserve"> (fréquentes, 5-15 %) :</w:t>
      </w:r>
    </w:p>
    <w:p>
      <w:pPr>
        <w:pStyle w:val="ListBullet"/>
      </w:pPr>
      <w:r>
        <w:t>Rash maculopapuleux, généralement bénin. Prévention : antihistaminiques, arrêt transitoire si prurit intense.</w:t>
      </w:r>
    </w:p>
    <w:p>
      <w:pPr>
        <w:pStyle w:val="ListBullet"/>
      </w:pPr>
      <w:r>
        <w:t>Réactions de photosensibilité (prévention : photoprotection solaire).</w:t>
      </w:r>
    </w:p>
    <w:p>
      <w:r/>
      <w:r>
        <w:rPr>
          <w:b/>
        </w:rPr>
        <w:t>Arthralgies, arthrites</w:t>
      </w:r>
      <w:r>
        <w:t xml:space="preserve"> (fréquentes, 5-15 %) :</w:t>
      </w:r>
    </w:p>
    <w:p>
      <w:pPr>
        <w:pStyle w:val="ListBullet"/>
      </w:pPr>
      <w:r>
        <w:t>Douleurs articulaires, particulièrement chez le patient thalassémique avec surcharge martiale articulaire. Prévention : antalgiques (paracétamol), AINS avec prudence (néphrotoxicité additive rare).</w:t>
      </w:r>
    </w:p>
    <w:p>
      <w:r/>
      <w:r>
        <w:rPr>
          <w:b/>
        </w:rPr>
        <w:t>Troubles neurologiques</w:t>
      </w:r>
      <w:r>
        <w:t xml:space="preserve"> (rares, &lt; 1 %) :</w:t>
      </w:r>
    </w:p>
    <w:p>
      <w:pPr>
        <w:pStyle w:val="ListBullet"/>
      </w:pPr>
      <w:r>
        <w:t>Céphalées, asthénie, troubles du sommeil.</w:t>
      </w:r>
    </w:p>
    <w:p>
      <w:r/>
      <w:r>
        <w:rPr>
          <w:b/>
        </w:rPr>
        <w:t>Hypersensibilité</w:t>
      </w:r>
      <w:r>
        <w:t xml:space="preserve"> (rares, &lt; 1 %) :</w:t>
      </w:r>
    </w:p>
    <w:p>
      <w:pPr>
        <w:pStyle w:val="ListBullet"/>
      </w:pPr>
      <w:r>
        <w:t>Réactions anaphylactoïdes (urticaire, bronchospasme, hypotension). Arrêt définitif.</w:t>
      </w:r>
    </w:p>
    <w:p>
      <w:r/>
      <w:r>
        <w:rPr>
          <w:b/>
        </w:rPr>
        <w:t>Zincémie</w:t>
      </w:r>
      <w:r>
        <w:t xml:space="preserve"> (fréquente à fortes doses) :</w:t>
      </w:r>
    </w:p>
    <w:p>
      <w:pPr>
        <w:pStyle w:val="ListBullet"/>
      </w:pPr>
      <w:r>
        <w:t>Baisse du zinc sérique (la défériprome chélate accessoirement le zinc). Prévention : supplémentation en zinc (15-30 mg/jour per os) si zincémie basse.</w:t>
      </w:r>
    </w:p>
    <w:p>
      <w:pPr>
        <w:pStyle w:val="Heading3"/>
      </w:pPr>
      <w:r>
        <w:t>192.6.6 Interactions médicamenteuses</w:t>
      </w:r>
    </w:p>
    <w:p>
      <w:r>
        <w:t>Les interactions médicamenteuses de la défériprome sont dominées par les interactions pharmacocinétiques (UGT1A6, CYP2D6) et pharmacodynamiques (toxicité additive, compétition chélatrice).</w:t>
      </w:r>
    </w:p>
    <w:p>
      <w:r/>
      <w:r>
        <w:rPr>
          <w:b/>
        </w:rPr>
        <w:t>Interactions pharmacocinétiques</w:t>
      </w:r>
      <w:r>
        <w:t xml:space="preserve"> :</w:t>
      </w:r>
    </w:p>
    <w:p>
      <w:pPr>
        <w:pStyle w:val="ListBullet"/>
      </w:pPr>
      <w:r/>
      <w:r>
        <w:rPr>
          <w:b/>
        </w:rPr>
        <w:t>Inhibiteurs de l'UGT1A6</w:t>
      </w:r>
      <w:r>
        <w:t xml:space="preserve"> (valproate, probénécide) : augmentation des concentrations plasmatiques de la défériprome, sur-risque de toxicité (agranulocytose, hépatotoxicité). Prévention : surveillance accrue (NFS, ALAT), réduction posologique de la défériprome.</w:t>
      </w:r>
    </w:p>
    <w:p>
      <w:pPr>
        <w:pStyle w:val="ListBullet"/>
      </w:pPr>
      <w:r/>
      <w:r>
        <w:rPr>
          <w:b/>
        </w:rPr>
        <w:t>Inhibiteurs du CYP2D6</w:t>
      </w:r>
      <w:r>
        <w:t xml:space="preserve"> (paroxétine, fluoxétine, fluvoxamine, quinidine) : augmentation modérée des concentrations de la défériprome (CYP2D6 = voie mineure, ~5 %), surveillance accrue.</w:t>
      </w:r>
    </w:p>
    <w:p>
      <w:pPr>
        <w:pStyle w:val="ListBullet"/>
      </w:pPr>
      <w:r/>
      <w:r>
        <w:rPr>
          <w:b/>
        </w:rPr>
        <w:t>Inducteurs enzymatiques</w:t>
      </w:r>
      <w:r>
        <w:t xml:space="preserve"> (rifampicine, phénytoïne, phénobarbital, carbamazépine) : induction de l'UGT1A6, diminution des concentrations plasmatiques de la défériprome, perte d'efficacité. Prévention : surveillance de la ferritinémie, augmentation posologique de la défériprome si besoin.</w:t>
      </w:r>
    </w:p>
    <w:p>
      <w:r/>
      <w:r>
        <w:rPr>
          <w:b/>
        </w:rPr>
        <w:t>Interactions pharmacodynamiques (toxicité additive)</w:t>
      </w:r>
      <w:r>
        <w:t xml:space="preserve"> :</w:t>
      </w:r>
    </w:p>
    <w:p>
      <w:pPr>
        <w:pStyle w:val="ListBullet"/>
      </w:pPr>
      <w:r/>
      <w:r>
        <w:rPr>
          <w:b/>
        </w:rPr>
        <w:t>Médicaments myélosupresseurs</w:t>
      </w:r>
      <w:r>
        <w:t xml:space="preserve"> (chloramphénicol, sulfamides, antithyroïdiens de synthèse, clozapine, chimiothérapies) : majoration du risque d'agranulocytose. Contre-indication relative ou surveillance hématologique très stricte.</w:t>
      </w:r>
    </w:p>
    <w:p>
      <w:pPr>
        <w:pStyle w:val="ListBullet"/>
      </w:pPr>
      <w:r/>
      <w:r>
        <w:rPr>
          <w:b/>
        </w:rPr>
        <w:t>AINS</w:t>
      </w:r>
      <w:r>
        <w:t xml:space="preserve"> : majoration du risque de toxicité gastro-intestinale et rénale. Prudence.</w:t>
      </w:r>
    </w:p>
    <w:p>
      <w:pPr>
        <w:pStyle w:val="ListBullet"/>
      </w:pPr>
      <w:r/>
      <w:r>
        <w:rPr>
          <w:b/>
        </w:rPr>
        <w:t>Anticoagulants oraux</w:t>
      </w:r>
      <w:r>
        <w:t xml:space="preserve"> (warfarine, acénocoumarol) : potentialisation de l'anticoagulation (la défériprome peut interférer avec la métabolisation hépatique). Surveillance de l'INR.</w:t>
      </w:r>
    </w:p>
    <w:p>
      <w:r/>
      <w:r>
        <w:rPr>
          <w:b/>
        </w:rPr>
        <w:t>Interactions de chélation (compétition chélatrice)</w:t>
      </w:r>
      <w:r>
        <w:t xml:space="preserve"> :</w:t>
      </w:r>
    </w:p>
    <w:p>
      <w:pPr>
        <w:pStyle w:val="ListBullet"/>
      </w:pPr>
      <w:r/>
      <w:r>
        <w:rPr>
          <w:b/>
        </w:rPr>
        <w:t>Anti-acides</w:t>
      </w:r>
      <w:r>
        <w:t xml:space="preserve"> (hydroxyde d'aluminium, de magnésium), </w:t>
      </w:r>
      <w:r>
        <w:rPr>
          <w:b/>
        </w:rPr>
        <w:t>sels de fer</w:t>
      </w:r>
      <w:r>
        <w:t xml:space="preserve">, </w:t>
      </w:r>
      <w:r>
        <w:rPr>
          <w:b/>
        </w:rPr>
        <w:t>sels de calcium</w:t>
      </w:r>
      <w:r>
        <w:t xml:space="preserve">, </w:t>
      </w:r>
      <w:r>
        <w:rPr>
          <w:b/>
        </w:rPr>
        <w:t>sels de zinc</w:t>
      </w:r>
      <w:r>
        <w:t xml:space="preserve"> : chélation de la défériprome par les cations divalents/trivalents dans la lumière intestinale, diminution de l'absorption de la défériprome. Prévention : espacer les prises d'au moins 2 heures.</w:t>
      </w:r>
    </w:p>
    <w:p>
      <w:pPr>
        <w:pStyle w:val="ListBullet"/>
      </w:pPr>
      <w:r/>
      <w:r>
        <w:rPr>
          <w:b/>
        </w:rPr>
        <w:t>Autres chélateurs du fer</w:t>
      </w:r>
      <w:r>
        <w:t xml:space="preserve"> (déféroxamine, déférasirox) : pas d'interaction pharmacocinétique significative, mais les protocoles combinés (défériprome + déféroxamine) sont décrits (déplétion martiale combinée synergique), sous surveillance spécialisée.</w:t>
      </w:r>
    </w:p>
    <w:p>
      <w:r/>
      <w:r>
        <w:rPr>
          <w:b/>
        </w:rPr>
        <w:t>Interactions alimentaires</w:t>
      </w:r>
      <w:r>
        <w:t xml:space="preserve"> :</w:t>
      </w:r>
    </w:p>
    <w:p>
      <w:pPr>
        <w:pStyle w:val="ListBullet"/>
      </w:pPr>
      <w:r/>
      <w:r>
        <w:rPr>
          <w:b/>
        </w:rPr>
        <w:t>Lait et produits laitiers</w:t>
      </w:r>
      <w:r>
        <w:t xml:space="preserve"> (calcium) : diminution de l'absorption de la défériprome par chélation intestinale. Espacer les prises d'au moins 2 heures.</w:t>
      </w:r>
    </w:p>
    <w:p>
      <w:pPr>
        <w:pStyle w:val="ListBullet"/>
      </w:pPr>
      <w:r/>
      <w:r>
        <w:rPr>
          <w:b/>
        </w:rPr>
        <w:t>Aliments riches en fer</w:t>
      </w:r>
      <w:r>
        <w:t xml:space="preserve"> (foie, viande rouge, boudin) : pas d'interaction significative (la défériprome chélate le fer libre mais pas le fer alimentaire lié aux protéines).</w:t>
      </w:r>
    </w:p>
    <w:p>
      <w:pPr>
        <w:pStyle w:val="ListBullet"/>
      </w:pPr>
      <w:r/>
      <w:r>
        <w:rPr>
          <w:b/>
        </w:rPr>
        <w:t>Alcool</w:t>
      </w:r>
      <w:r>
        <w:t xml:space="preserve"> : potentialisation de l'hépatotoxicité de la défériprome. Éviter la consommation d'alcool pendant le traitement.</w:t>
      </w:r>
    </w:p>
    <w:p>
      <w:r/>
      <w:r>
        <w:rPr>
          <w:b/>
        </w:rPr>
        <w:t>Surveillance biologique associée</w:t>
      </w:r>
      <w:r>
        <w:t xml:space="preserve"> : NFS-plaquettes hebdomadaire pendant les 6 premiers mois puis mensuelle à vie (agranulocytose), bilan hépatique mensuel (ALAT, ASAT, PAL, γGT), créatininémie mensuelle les 6 premiers mois puis trimestrielle, ferritinémie trimestrielle, zincémie semestrielle, IRM hépatique et cardiaque T2* annuelles.</w:t>
      </w:r>
    </w:p>
    <w:p>
      <w:pPr>
        <w:pStyle w:val="Heading3"/>
      </w:pPr>
      <w:r>
        <w:t>192.6.7 Grossesse, allaitement et données CRAT</w:t>
      </w:r>
    </w:p>
    <w:p>
      <w:r/>
      <w:r>
        <w:rPr>
          <w:b/>
        </w:rPr>
        <w:t>Grossesse</w:t>
      </w:r>
      <w:r>
        <w:t xml:space="preserve"> : selon le CRAT et l'EMA, la défériprome est </w:t>
      </w:r>
      <w:r>
        <w:rPr>
          <w:b/>
        </w:rPr>
        <w:t>à éviter par précaution pendant la grossesse</w:t>
      </w:r>
      <w:r>
        <w:t>, sauf bénéfice majeur (surcharge martiale maternelle sévère avec risque vital). Les données animales (rat, lapin) ont mis en évidence une embryotoxicité et une fœtotoxicité à doses maternotoxiques (≥ 2 × AUC thérapeutique humaine), avec notamment des anomalies squelettiques. Les données humaines sont très limitées (séries de cas rapportés, sans signal tératogène majeur mais effectifs insuffisants). Le passage placentaire est documenté (rapport cordon/maternel ≈ 0,4).</w:t>
      </w:r>
    </w:p>
    <w:p>
      <w:r/>
      <w:r>
        <w:rPr>
          <w:b/>
        </w:rPr>
        <w:t>Recommandations cliniques</w:t>
      </w:r>
      <w:r>
        <w:t xml:space="preserve"> : (1) chez la femme thalassémique en âge de procréer, une contraception efficace est recommandée pendant le traitement (en raison du risque tératogène théorique et du risque d'agranulocytose maternelle pendant la grossesse) ; (2) en cas de désir de grossesse, discuter un relais par déféroxamine (chélateur de référence pendant la grossesse) 3 mois avant la conception ; (3) en cas de grossesse sous défériprome (découverte tardive), évaluation du rapport bénéfice/risque au cas par cas : poursuite si surcharge martiale sévère avec cardiomyopathie siderotique (la défériprome est le chélateur le plus efficace sur le myocarde et peut être maintenu si le risque vital cardiaque dépasse le risque fœtal), ou arrêt et relais par déféroxamine si surcharge modérée ; (4) surveillances obstétricales renforcées : échographies morphologiques répétées (16-22 SA), surveillance de la croissance fœtale.</w:t>
      </w:r>
    </w:p>
    <w:p>
      <w:r/>
      <w:r>
        <w:rPr>
          <w:b/>
        </w:rPr>
        <w:t>Allaitement</w:t>
      </w:r>
      <w:r>
        <w:t xml:space="preserve"> : selon le CRAT et l'EMA, l'allaitement est </w:t>
      </w:r>
      <w:r>
        <w:rPr>
          <w:b/>
        </w:rPr>
        <w:t>déconseillé</w:t>
      </w:r>
      <w:r>
        <w:t xml:space="preserve"> sous défériprome. Le passage dans le lait maternel n'est pas documenté chez la femme, mais les données animales (rat) suggèrent un passage lacté significatif. Le risque théorique d'agranulocytose chez le nourrisson (toxicité médullaire de la défériprome) et de déplétion martiale n'est pas écarté. </w:t>
      </w:r>
      <w:r>
        <w:rPr>
          <w:b/>
        </w:rPr>
        <w:t>Recommandation</w:t>
      </w:r>
      <w:r>
        <w:t xml:space="preserve"> : arrêt de l'allaitement en cas de traitement par défériprome, ou arrêt de la défériprome et relais par déféroxamine (compatible avec l'allaitement) si la surcharge martiale maternelle le permet.</w:t>
      </w:r>
    </w:p>
    <w:p>
      <w:r/>
      <w:r>
        <w:rPr>
          <w:b/>
        </w:rPr>
        <w:t>Femmes en âge de procréer</w:t>
      </w:r>
      <w:r>
        <w:t xml:space="preserve"> : contraception efficace obligatoire pendant le traitement et 1 mois après l'arrêt. Test de grossesse avant instauration du traitement.</w:t>
      </w:r>
    </w:p>
    <w:p>
      <w:pPr>
        <w:pStyle w:val="Heading3"/>
      </w:pPr>
      <w:r>
        <w:t>192.6.8 Posologie et modes d'administration</w:t>
      </w:r>
    </w:p>
    <w:p>
      <w:r/>
      <w:r>
        <w:rPr>
          <w:b/>
        </w:rPr>
        <w:t>Posologie adulte</w:t>
      </w:r>
      <w:r>
        <w:t xml:space="preserve"> (surcharge martiale chronique post-transfusionnelle) :</w:t>
      </w:r>
    </w:p>
    <w:p>
      <w:pPr>
        <w:pStyle w:val="ListBullet"/>
      </w:pPr>
      <w:r/>
      <w:r>
        <w:rPr>
          <w:b/>
        </w:rPr>
        <w:t>Dose initiale</w:t>
      </w:r>
      <w:r>
        <w:t xml:space="preserve"> : 75 mg/kg/jour en </w:t>
      </w:r>
      <w:r>
        <w:rPr>
          <w:b/>
        </w:rPr>
        <w:t>3 prises orales quotidiennes</w:t>
      </w:r>
      <w:r>
        <w:t xml:space="preserve"> (matin, midi, soir), espacées d'environ 8 heures. Exemple pour un adulte de 60 kg : 4500 mg/jour, soit 9 comprimés à 500 mg par jour (3 comprimés matin, 3 comprimés midi, 3 comprimés soir), ou 18 gélules à 250 mg par jour (6 gélules matin, 6 midi, 6 soir).</w:t>
      </w:r>
    </w:p>
    <w:p>
      <w:pPr>
        <w:pStyle w:val="ListBullet"/>
      </w:pPr>
      <w:r/>
      <w:r>
        <w:rPr>
          <w:b/>
        </w:rPr>
        <w:t>Adaptation posologique</w:t>
      </w:r>
      <w:r>
        <w:t xml:space="preserve"> : tous les 3 à 6 mois selon la ferritinémie. Objectif : ferritinémie entre 500 et 1000 µg/L.</w:t>
      </w:r>
    </w:p>
    <w:p>
      <w:pPr>
        <w:pStyle w:val="ListBullet"/>
      </w:pPr>
      <w:r>
        <w:t>Ferritinémie &gt; 2500 µg/L : augmentation de 10 à 25 mg/kg/jour (dose maximale 100 mg/kg/jour).</w:t>
      </w:r>
    </w:p>
    <w:p>
      <w:pPr>
        <w:pStyle w:val="ListBullet"/>
      </w:pPr>
      <w:r>
        <w:t>Ferritinémie 1000-2500 µg/L : poursuite à la dose en cours.</w:t>
      </w:r>
    </w:p>
    <w:p>
      <w:pPr>
        <w:pStyle w:val="ListBullet"/>
      </w:pPr>
      <w:r>
        <w:t>Ferritinémie 500-1000 µg/L : poursuite à la dose minimale efficace.</w:t>
      </w:r>
    </w:p>
    <w:p>
      <w:pPr>
        <w:pStyle w:val="ListBullet"/>
      </w:pPr>
      <w:r>
        <w:t>Ferritinémie &lt; 500 µg/L : arrêt transitoire.</w:t>
      </w:r>
    </w:p>
    <w:p>
      <w:pPr>
        <w:pStyle w:val="ListBullet"/>
      </w:pPr>
      <w:r/>
      <w:r>
        <w:rPr>
          <w:b/>
        </w:rPr>
        <w:t>Dose maximale</w:t>
      </w:r>
      <w:r>
        <w:t xml:space="preserve"> : 100 mg/kg/jour (au-delà, sur-risque d'agranulocytose).</w:t>
      </w:r>
    </w:p>
    <w:p>
      <w:r/>
      <w:r>
        <w:rPr>
          <w:b/>
        </w:rPr>
        <w:t>Posologie adulte</w:t>
      </w:r>
      <w:r>
        <w:t xml:space="preserve"> (cardiomyopathie siderotique sévère) :</w:t>
      </w:r>
    </w:p>
    <w:p>
      <w:pPr>
        <w:pStyle w:val="ListBullet"/>
      </w:pPr>
      <w:r/>
      <w:r>
        <w:rPr>
          <w:b/>
        </w:rPr>
        <w:t>Schéma intensif</w:t>
      </w:r>
      <w:r>
        <w:t xml:space="preserve"> : 75-100 mg/kg/jour en 3 prises, en monothérapie ou en association avec la déféroxamine (protocole combiné : défériprome 75 mg/kg/jour oral + déféroxamine 30-40 mg/kg/jour SC 5 jours/semaine).</w:t>
      </w:r>
    </w:p>
    <w:p>
      <w:r/>
      <w:r>
        <w:rPr>
          <w:b/>
        </w:rPr>
        <w:t>Posologie pédiatrique</w:t>
      </w:r>
      <w:r>
        <w:t xml:space="preserve"> :</w:t>
      </w:r>
    </w:p>
    <w:p>
      <w:pPr>
        <w:pStyle w:val="ListBullet"/>
      </w:pPr>
      <w:r/>
      <w:r>
        <w:rPr>
          <w:b/>
        </w:rPr>
        <w:t>Enfant &gt; 6 ans</w:t>
      </w:r>
      <w:r>
        <w:t xml:space="preserve"> : même schéma que l'adulte, à la dose de 75 mg/kg/jour en 3 prises.</w:t>
      </w:r>
    </w:p>
    <w:p>
      <w:pPr>
        <w:pStyle w:val="ListBullet"/>
      </w:pPr>
      <w:r/>
      <w:r>
        <w:rPr>
          <w:b/>
        </w:rPr>
        <w:t>Enfant &lt; 6 ans</w:t>
      </w:r>
      <w:r>
        <w:t xml:space="preserve"> : pas d'AMM (usage exceptionnel sous surveillance spécialisée, à la dose de 50-75 mg/kg/jour).</w:t>
      </w:r>
    </w:p>
    <w:p>
      <w:r/>
      <w:r>
        <w:rPr>
          <w:b/>
        </w:rPr>
        <w:t>Posologie en insuffisance rénale</w:t>
      </w:r>
      <w:r>
        <w:t xml:space="preserve"> :</w:t>
      </w:r>
    </w:p>
    <w:p>
      <w:pPr>
        <w:pStyle w:val="ListBullet"/>
      </w:pPr>
      <w:r>
        <w:t>DFG &gt; 60 mL/min : pas d'adaptation, surveillance accrue.</w:t>
      </w:r>
    </w:p>
    <w:p>
      <w:pPr>
        <w:pStyle w:val="ListBullet"/>
      </w:pPr>
      <w:r>
        <w:t>DFG 30-60 mL/min : prudence, réduction posologique de 25-50 %, surveillance mensuelle de la créatininémie.</w:t>
      </w:r>
    </w:p>
    <w:p>
      <w:pPr>
        <w:pStyle w:val="ListBullet"/>
      </w:pPr>
      <w:r>
        <w:t>DFG &lt; 30 mL/min : contre-indication relative (alternative : déféroxamine).</w:t>
      </w:r>
    </w:p>
    <w:p>
      <w:r/>
      <w:r>
        <w:rPr>
          <w:b/>
        </w:rPr>
        <w:t>Posologie en insuffisance hépatique</w:t>
      </w:r>
      <w:r>
        <w:t xml:space="preserve"> :</w:t>
      </w:r>
    </w:p>
    <w:p>
      <w:pPr>
        <w:pStyle w:val="ListBullet"/>
      </w:pPr>
      <w:r>
        <w:t>Child-Pugh A : pas d'adaptation, surveillance mensuelle des transaminases.</w:t>
      </w:r>
    </w:p>
    <w:p>
      <w:pPr>
        <w:pStyle w:val="ListBullet"/>
      </w:pPr>
      <w:r>
        <w:t>Child-Pugh B : prudence, réduction posologique de 50 %, surveillance mensuelle.</w:t>
      </w:r>
    </w:p>
    <w:p>
      <w:pPr>
        <w:pStyle w:val="ListBullet"/>
      </w:pPr>
      <w:r>
        <w:t>Child-Pugh C : contre-indication relative (alternative : déféroxamine).</w:t>
      </w:r>
    </w:p>
    <w:p>
      <w:r/>
      <w:r>
        <w:rPr>
          <w:b/>
        </w:rPr>
        <w:t>Mode d'administration</w:t>
      </w:r>
      <w:r>
        <w:t xml:space="preserve"> :</w:t>
      </w:r>
    </w:p>
    <w:p>
      <w:pPr>
        <w:pStyle w:val="ListBullet"/>
      </w:pPr>
      <w:r/>
      <w:r>
        <w:rPr>
          <w:b/>
        </w:rPr>
        <w:t>Gélule 250 mg</w:t>
      </w:r>
      <w:r>
        <w:t xml:space="preserve"> : à avaler entière avec un verre d'eau, au cours des repas (à la différence du déférasirox, la défériprome peut être prise pendant les repas).</w:t>
      </w:r>
    </w:p>
    <w:p>
      <w:pPr>
        <w:pStyle w:val="ListBullet"/>
      </w:pPr>
      <w:r/>
      <w:r>
        <w:rPr>
          <w:b/>
        </w:rPr>
        <w:t>Comprimé enrobé 500 mg</w:t>
      </w:r>
      <w:r>
        <w:t xml:space="preserve"> : à avaler entier (ne pas écraser, ne pas couper — l'enrobage protège le principe actif), au cours des repas.</w:t>
      </w:r>
    </w:p>
    <w:p>
      <w:pPr>
        <w:pStyle w:val="ListBullet"/>
      </w:pPr>
      <w:r/>
      <w:r>
        <w:rPr>
          <w:b/>
        </w:rPr>
        <w:t>Heure de prise</w:t>
      </w:r>
      <w:r>
        <w:t xml:space="preserve"> : 3 prises par jour, matin (8h), midi (14h), soir (20h), espacées d'environ 6 à 8 heures (en raison de la demi-vie courte de 1-3 h). L'observance tridaily est plus difficile que l'observance unique du déférasirox.</w:t>
      </w:r>
    </w:p>
    <w:p>
      <w:pPr>
        <w:pStyle w:val="ListBullet"/>
      </w:pPr>
      <w:r/>
      <w:r>
        <w:rPr>
          <w:b/>
        </w:rPr>
        <w:t>Enfant de moins de 6 ans</w:t>
      </w:r>
      <w:r>
        <w:t xml:space="preserve"> (usage hors AMM) : ouverture des gélules et mélange avec un aliment sucré (compote, yaourt) pour faciliter l'administration.</w:t>
      </w:r>
    </w:p>
    <w:p>
      <w:pPr>
        <w:pStyle w:val="Heading3"/>
      </w:pPr>
      <w:r>
        <w:t>192.6.9 Formes galéniques disponibles</w:t>
      </w:r>
    </w:p>
    <w:p>
      <w:r/>
      <w:r>
        <w:rPr>
          <w:b/>
        </w:rPr>
        <w:t>Formes disponibles en Algérie</w:t>
      </w:r>
      <w:r>
        <w:t xml:space="preserve"> : la défériprome (KELFER, Cipla) est disponible en deux formes galéniques : (1) </w:t>
      </w:r>
      <w:r>
        <w:rPr>
          <w:b/>
        </w:rPr>
        <w:t>gélule 250 mg</w:t>
      </w:r>
      <w:r>
        <w:t xml:space="preserve"> (KELFER-250) ; (2) </w:t>
      </w:r>
      <w:r>
        <w:rPr>
          <w:b/>
        </w:rPr>
        <w:t>comprimé enrobé 500 mg</w:t>
      </w:r>
      <w:r>
        <w:t xml:space="preserve"> (KELFER-500). Les deux formes sont conditionnées en boîte de 50 unités. La solution buvable (disponible en Europe sous Ferriprox, Apotex, à 100 mg/mL) n'est </w:t>
      </w:r>
      <w:r>
        <w:rPr>
          <w:b/>
        </w:rPr>
        <w:t>pas disponible en Algérie</w:t>
      </w:r>
      <w:r>
        <w:t>, ce qui complique l'administration chez le jeune enfant (nécessité d'ouvrir les gélules et de mélanger avec un aliment).</w:t>
      </w:r>
    </w:p>
    <w:p>
      <w:r/>
      <w:r>
        <w:rPr>
          <w:b/>
        </w:rPr>
        <w:t>Comparaison avec la spécialité européenne Ferriprox (Apotex)</w:t>
      </w:r>
      <w:r>
        <w:t xml:space="preserve"> : le Ferriprox européen est commercialisé en comprimé à 500 mg et en solution buvable à 100 mg/mL. En Algérie, KELFER (Cipla) est l'équivalent générique, disponible en gélule 250 mg et comprimé enrobé 500 mg, sans solution buvable. Pour l'enfant de moins de 6 ans, l'absence de solution buvable impose l'ouverture des gélules et le mélange avec un aliment.</w:t>
      </w:r>
    </w:p>
    <w:p>
      <w:r/>
      <w:r>
        <w:rPr>
          <w:b/>
        </w:rPr>
        <w:t>Choix du dosage</w:t>
      </w:r>
      <w:r>
        <w:t xml:space="preserve"> : pour faciliter l'adaptation posologique individuelle (qui dépend du poids et de la ferritinémie), les deux dosages sont disponibles, permettant des combinaisons flexibles. Exemple : pour un adulte de 60 kg nécessitant 4500 mg/jour (= 75 mg/kg), l'ordonnance peut comporter : 9 comprimés à 500 mg/jour (3 matin + 3 midi + 3 soir), ou 18 gélules à 250 mg/jour (6 matin + 6 midi + 6 soir), ou une combinaison des deux dosages.</w:t>
      </w:r>
    </w:p>
    <w:p>
      <w:r/>
      <w:r>
        <w:rPr>
          <w:b/>
        </w:rPr>
        <w:t>Conditionnements et circuits de distribution</w:t>
      </w:r>
      <w:r>
        <w:t xml:space="preserve"> : la défériprome est disponible en pharmacie hospitalière (PCH) et en pharmacie de ville sur ordonnance spécialisée (Liste I). La prise en charge par la CNAS est assurée à 100 % au titre des ALD 23 (hémoglobinopathies). La prescription est réservée aux médecins spécialistes (hématologues, pédiatres hématologues). Le conditionnement en boîte de 50 gélules/comprimés correspond à une autonomie de traitement de 5,5 jours pour un adulte de 60 kg (à 75 mg/kg/jour = 4500 mg/jour = 9 comprimés à 500 mg/jour), nécessitant une délivrance mensuelle (4 à 6 boîtes par mois).</w:t>
      </w:r>
    </w:p>
    <w:p>
      <w:r/>
      <w:r>
        <w:rPr>
          <w:b/>
        </w:rPr>
        <w:t>Conservation</w:t>
      </w:r>
      <w:r>
        <w:t xml:space="preserve"> : gélules et comprimés enrobés à conserver à température inférieure à 25 °C, à l'abri de l'humidité (emballage primaire en flacon ou blister hermétique), hors de portée des enfants. Les gélules ne doivent pas être ouvertes (sauf nécessité d'administration chez l'enfant, en mélange avec un aliment). Les comprimés enrobés ne doivent pas être coupés.</w:t>
      </w:r>
    </w:p>
    <w:p>
      <w:pPr>
        <w:pStyle w:val="Heading3"/>
      </w:pPr>
      <w:r>
        <w:t>192.6.10 Conseils au patient et éducation thérapeutique</w:t>
      </w:r>
    </w:p>
    <w:p>
      <w:r/>
      <w:r>
        <w:rPr>
          <w:b/>
        </w:rPr>
        <w:t>Éducation à la chélation orale tridaily</w:t>
      </w:r>
      <w:r>
        <w:t xml:space="preserve"> : la chélation par défériprome est une thérapeutique de longue haleine, plus simple que la perfusion SC de la déféroxamine mais moins pratique que la prise unique du déférasirox (3 prises par jour vs 1 prise par jour). L'éducation doit aborder : (1) </w:t>
      </w:r>
      <w:r>
        <w:rPr>
          <w:b/>
        </w:rPr>
        <w:t>l'objectif thérapeutique</w:t>
      </w:r>
      <w:r>
        <w:t xml:space="preserve"> — expliquer au patient que la chélation vise à dépléter le fer accumulé par les transfusions répétées, à prévenir la cardiomyopathie siderotique, le diabète, l'hypogonadisme, l'insuffisance hépatique, et à garantir une survie prolongée ; (2) </w:t>
      </w:r>
      <w:r>
        <w:rPr>
          <w:b/>
        </w:rPr>
        <w:t>l'observance tridaily</w:t>
      </w:r>
      <w:r>
        <w:t xml:space="preserve"> — insister sur l'importance d'une prise régulière matin, midi, soir (espacement de 6-8 heures en raison de la demi-vie courte), l'observance étant le facteur pronostique principal de survie ; (3) </w:t>
      </w:r>
      <w:r>
        <w:rPr>
          <w:b/>
        </w:rPr>
        <w:t>la surveillance hématologique stricte</w:t>
      </w:r>
      <w:r>
        <w:t xml:space="preserve"> — NFS-plaquettes </w:t>
      </w:r>
      <w:r>
        <w:rPr>
          <w:b/>
        </w:rPr>
        <w:t>hebdomadaire pendant les 6 premiers mois puis mensuelle à vie</w:t>
      </w:r>
      <w:r>
        <w:t xml:space="preserve"> (recherche d'agranulocytose) — éduquer le patient à reconnaître les signes d'alerte (fièvre ≥ 39 °C, angine, infection) et à consulter en urgence ; (4) </w:t>
      </w:r>
      <w:r>
        <w:rPr>
          <w:b/>
        </w:rPr>
        <w:t>la reconnaissance des signes d'alerte</w:t>
      </w:r>
      <w:r>
        <w:t xml:space="preserve"> — fièvre élevée, angine ulcéro-nécrotique, infections ORL ou pulmonaires sévères (signes d'agranulocytose) ; jaunisse, urines foncées (signes d'hépatotoxicité) ; éruption cutanée avec fièvre (signes de syndrome de Stevens-Johnson) ; (5) </w:t>
      </w:r>
      <w:r>
        <w:rPr>
          <w:b/>
        </w:rPr>
        <w:t>la coloration rouge-brun des urines</w:t>
      </w:r>
      <w:r>
        <w:t xml:space="preserve"> (signe d'efficacité, à ne pas confondre avec une hématurie).</w:t>
      </w:r>
    </w:p>
    <w:p>
      <w:r/>
      <w:r>
        <w:rPr>
          <w:b/>
        </w:rPr>
        <w:t>Surveillance de l'efficacité</w:t>
      </w:r>
      <w:r>
        <w:t xml:space="preserve"> : la </w:t>
      </w:r>
      <w:r>
        <w:rPr>
          <w:b/>
        </w:rPr>
        <w:t>ferritinémie trimestrielle</w:t>
      </w:r>
      <w:r>
        <w:t xml:space="preserve"> est le marqueur biologique principal (objectif : 500-1000 µg/L). L'</w:t>
      </w:r>
      <w:r>
        <w:rPr>
          <w:b/>
        </w:rPr>
        <w:t>IRM cardiaque T2</w:t>
      </w:r>
      <w:r/>
      <w:r>
        <w:rPr>
          <w:i/>
        </w:rPr>
        <w:t xml:space="preserve"> annuelle est particulièrement importante sous défériprome (la défériprome est le chélateur le plus efficace sur le fer cardiaque, et l'IRM T2</w:t>
      </w:r>
      <w:r>
        <w:t xml:space="preserve"> permet de suivre la déplétion myocardique — objectif : T2</w:t>
      </w:r>
      <w:r>
        <w:rPr>
          <w:i/>
        </w:rPr>
        <w:t xml:space="preserve"> &gt; 20 ms, valeur critique &lt; 10 ms). L'</w:t>
      </w:r>
      <w:r/>
      <w:r>
        <w:rPr>
          <w:i/>
        </w:rPr>
        <w:t>IRM hépatique</w:t>
      </w:r>
      <w:r>
        <w:t>* annuelle permet de quantifier le fer hépatique (objectif : &lt; 7 mg/g).</w:t>
      </w:r>
    </w:p>
    <w:p>
      <w:r/>
      <w:r>
        <w:rPr>
          <w:b/>
        </w:rPr>
        <w:t>Surveillance de la tolérance</w:t>
      </w:r>
      <w:r>
        <w:t xml:space="preserve"> : (1) </w:t>
      </w:r>
      <w:r>
        <w:rPr>
          <w:b/>
        </w:rPr>
        <w:t>NFS-plaquettes hebdomadaire pendant les 6 premiers mois puis mensuelle à vie</w:t>
      </w:r>
      <w:r>
        <w:t xml:space="preserve"> (agranulocytose) — alerter si PNN &lt; 1500/mm³ (réduction) ou &lt; 500/mm³ (arrêt immédiat) ; (2) </w:t>
      </w:r>
      <w:r>
        <w:rPr>
          <w:b/>
        </w:rPr>
        <w:t>bilan hépatique</w:t>
      </w:r>
      <w:r>
        <w:t xml:space="preserve"> mensuel (ALAT, ASAT, PAL, γGT, bilirubine) — alerter si ALAT &gt; 3 × LSN ; (3) </w:t>
      </w:r>
      <w:r>
        <w:rPr>
          <w:b/>
        </w:rPr>
        <w:t>créatininémie</w:t>
      </w:r>
      <w:r>
        <w:t xml:space="preserve"> mensuelle les 6 premiers mois puis trimestrielle ; (4) </w:t>
      </w:r>
      <w:r>
        <w:rPr>
          <w:b/>
        </w:rPr>
        <w:t>ferritinémie</w:t>
      </w:r>
      <w:r>
        <w:t xml:space="preserve"> trimestrielle — alerter si &lt; 500 µg/L ; (5) </w:t>
      </w:r>
      <w:r>
        <w:rPr>
          <w:b/>
        </w:rPr>
        <w:t>zincémie</w:t>
      </w:r>
      <w:r>
        <w:t xml:space="preserve"> semestrielle — supplémentation en zinc si basse.</w:t>
      </w:r>
    </w:p>
    <w:p>
      <w:r/>
      <w:r>
        <w:rPr>
          <w:b/>
        </w:rPr>
        <w:t>Conseils pratiques</w:t>
      </w:r>
      <w:r>
        <w:t xml:space="preserve"> : (1) conservation à &lt; 25 °C, à l'abri de l'humidité ; (2) prise au cours des repas (à la différence du déférasirox, la défériprome peut être prise pendant les repas) ; (3) espacer la prise de défériprome d'au moins 2 heures des anti-acides, sels de fer, sels de calcium, sels de zinc (chélation intestinale) ; (4) en cas d'oubli d'une prise, ne pas doubler la dose à la prise suivante (prendre la dose habituelle) ; (5) éviter la consommation d'alcool (hépatotoxicité additive) ; (6) éviter la grossesse pendant le traitement (contraception obligatoire) ; (7) ne pas arrêter brutalement le traitement sans avis médical (risque de rebond de surcharge martiale).</w:t>
      </w:r>
    </w:p>
    <w:p>
      <w:pPr>
        <w:pStyle w:val="Heading3"/>
      </w:pPr>
      <w:r>
        <w:t>192.6.11 Pièges au comptoir et au lit du patient (règles d'or)</w:t>
      </w:r>
    </w:p>
    <w:p>
      <w:r/>
      <w:r>
        <w:rPr>
          <w:b/>
        </w:rPr>
        <w:t>Piège n°1 — Agranulocytose potentiellement fatale</w:t>
      </w:r>
      <w:r>
        <w:t xml:space="preserve"> : l'agranulocytose est l'effet indésirable principal de la défériprome, prévalence 0,5-1 %, potentiellement fatale en l'absence de prise en charge rapide. Survenue imprévisible, en moyenne 6 à 12 mois après le début du traitement (mais possible à tout moment). </w:t>
      </w:r>
      <w:r>
        <w:rPr>
          <w:b/>
        </w:rPr>
        <w:t>Règle d'or</w:t>
      </w:r>
      <w:r>
        <w:t xml:space="preserve"> : NFS-plaquettes </w:t>
      </w:r>
      <w:r>
        <w:rPr>
          <w:b/>
        </w:rPr>
        <w:t>hebdomadaire pendant les 6 premiers mois puis mensuelle à vie</w:t>
      </w:r>
      <w:r>
        <w:t xml:space="preserve"> (obligatoire). Éduquer le patient à reconnaître les signes d'alerte (fièvre ≥ 39 °C, angine, infection) et à consulter en urgence. Arrêt immédiat et définitif en cas de neutropénie (PNN &lt; 1500/mm³) ou d'agranulocytose (PNN &lt; 500/mm³) — réintroduction contre-indiquée à vie.</w:t>
      </w:r>
    </w:p>
    <w:p>
      <w:r/>
      <w:r>
        <w:rPr>
          <w:b/>
        </w:rPr>
        <w:t>Piège n°2 — Coloration rouge-brun des urines</w:t>
      </w:r>
      <w:r>
        <w:t xml:space="preserve"> : la coloration rouge-brun des urines est un signe d'efficacité, </w:t>
      </w:r>
      <w:r>
        <w:rPr>
          <w:b/>
        </w:rPr>
        <w:t>pas</w:t>
      </w:r>
      <w:r>
        <w:t xml:space="preserve"> un effet indésirable. Le patient et son entourage doivent être prévenus pour éviter une fausse alerte (le patient peut croire à une hématurie et consulter aux urgences). </w:t>
      </w:r>
      <w:r>
        <w:rPr>
          <w:b/>
        </w:rPr>
        <w:t>Règle d'or</w:t>
      </w:r>
      <w:r>
        <w:t xml:space="preserve"> : éduquer le patient à reconnaître la coloration comme signe d'efficacité, et à consulter uniquement en cas d'anomalie associée (douleur, fièvre, baisse d'urine).</w:t>
      </w:r>
    </w:p>
    <w:p>
      <w:r/>
      <w:r>
        <w:rPr>
          <w:b/>
        </w:rPr>
        <w:t>Piège n°3 — Prise tridaily et observance</w:t>
      </w:r>
      <w:r>
        <w:t xml:space="preserve"> : la défériprome doit être prise </w:t>
      </w:r>
      <w:r>
        <w:rPr>
          <w:b/>
        </w:rPr>
        <w:t>3 fois par jour</w:t>
      </w:r>
      <w:r>
        <w:t xml:space="preserve"> (matin, midi, soir) en raison de sa demi-vie courte (1-3 h), à la différence du déférasirox (1 prise par jour). L'observance tridaily est plus difficile que l'observance unique, et expose à des oublis fréquents. </w:t>
      </w:r>
      <w:r>
        <w:rPr>
          <w:b/>
        </w:rPr>
        <w:t>Règle d'or</w:t>
      </w:r>
      <w:r>
        <w:t xml:space="preserve"> : éduquer le patient sur l'importance de l'observance tridaily (les oublis fréquents &gt; 2 fois par semaine exposent à une perte d'efficacité), utiliser un pilulier, programmer des alarmes sur le téléphone portable.</w:t>
      </w:r>
    </w:p>
    <w:p>
      <w:r/>
      <w:r>
        <w:rPr>
          <w:b/>
        </w:rPr>
        <w:t>Piège n°4 — Insuffisance rénale non détectée</w:t>
      </w:r>
      <w:r>
        <w:t xml:space="preserve"> : la défériprome est néphrotoxique et sa clairance dépend de la filtration glomérulaire. Une insuffisance rénale préexistante peut être méconnue chez le patient thalassémique (surcharge hépatique, endocrinopathie, néphropathie intercurrente). </w:t>
      </w:r>
      <w:r>
        <w:rPr>
          <w:b/>
        </w:rPr>
        <w:t>Règle d'or</w:t>
      </w:r>
      <w:r>
        <w:t xml:space="preserve"> : créatininémie et protéinurie systématiques avant l'instauration du traitement, puis mensuelles les 6 premiers mois. Réduction posologique de 50 % si DFG &lt; 30 mL/min. La défériprome est dialysable (à la différence du déférasirox), mais la néphrotoxicité propre impose une surveillance accrue.</w:t>
      </w:r>
    </w:p>
    <w:p>
      <w:r/>
      <w:r>
        <w:rPr>
          <w:b/>
        </w:rPr>
        <w:t>Piège n°5 — Associations myélosuppressives</w:t>
      </w:r>
      <w:r>
        <w:t xml:space="preserve"> : l'association défériprome + chloramphénicol, sulfamides, antithyroïdiens de synthèse, clozapine, chimiothérapies, majore le risque d'agranulocytose (toxicité médullaire additive). </w:t>
      </w:r>
      <w:r>
        <w:rPr>
          <w:b/>
        </w:rPr>
        <w:t>Règle d'or</w:t>
      </w:r>
      <w:r>
        <w:t xml:space="preserve"> : éviter les associations myélosuppressives, ou surveillance hématologique très stricte (NFS bi-hebdomadaire) si l'association est indispensable.</w:t>
      </w:r>
    </w:p>
    <w:p>
      <w:r/>
      <w:r>
        <w:rPr>
          <w:b/>
        </w:rPr>
        <w:t>Piège n°6 — Chélation intestinale par anti-acides et sels métalliques</w:t>
      </w:r>
      <w:r>
        <w:t xml:space="preserve"> : la prise simultanée de défériprome avec des anti-acides (hydroxyde d'aluminium, de magnésium), des sels de fer, des sels de calcium, des sels de zinc, diminue l'absorption de la défériprome par chélation intestinale. </w:t>
      </w:r>
      <w:r>
        <w:rPr>
          <w:b/>
        </w:rPr>
        <w:t>Règle d'or</w:t>
      </w:r>
      <w:r>
        <w:t xml:space="preserve"> : espacer les prises d'au moins 2 heures. Éduquer le patient sur cette contrainte.</w:t>
      </w:r>
    </w:p>
    <w:p>
      <w:r/>
      <w:r>
        <w:rPr>
          <w:b/>
        </w:rPr>
        <w:t>Piège n°7 — Grossesse</w:t>
      </w:r>
      <w:r>
        <w:t xml:space="preserve"> : la défériprome est tératogène chez l'animal et son passage placentaire est documenté. Une grossesse sous défériprome impose une évaluation spécialisée. </w:t>
      </w:r>
      <w:r>
        <w:rPr>
          <w:b/>
        </w:rPr>
        <w:t>Règle d'or</w:t>
      </w:r>
      <w:r>
        <w:t xml:space="preserve"> : contraception efficace obligatoire pendant le traitement et 1 mois après l'arrêt. En cas de désir de grossesse, relais par déféroxamine 3 mois avant la conception (la déféroxamine est le chélateur de référence pendant la grossesse). En cas de grossesse découverte sous défériprome : ne pas arrêter brutalement, discuter au cas par cas (relais par déféroxamine si surcharge modérée, poursuite si cardiomyopathie siderotique sévère).</w:t>
      </w:r>
    </w:p>
    <w:p>
      <w:r/>
      <w:r>
        <w:rPr>
          <w:b/>
        </w:rPr>
        <w:t>Piège n°8 — Absence de solution buvable en Algérie</w:t>
      </w:r>
      <w:r>
        <w:t xml:space="preserve"> : pour l'enfant de moins de 6 ans (indication hors AMM), la solution buvable n'est pas disponible en Algérie (seulement en Europe sous Ferriprox Apotex). L'administration impose l'ouverture des gélules et le mélange avec un aliment sucré (compote, yaourt). </w:t>
      </w:r>
      <w:r>
        <w:rPr>
          <w:b/>
        </w:rPr>
        <w:t>Règle d'or</w:t>
      </w:r>
      <w:r>
        <w:t xml:space="preserve"> : ne pas écraser les comprimés enrobés (l'enrobage protège le principe actif), utiliser les gélules ouvertes en mélange avec un aliment.</w:t>
      </w:r>
    </w:p>
    <w:p>
      <w:pPr>
        <w:pStyle w:val="Heading2"/>
      </w:pPr>
      <w:r>
        <w:t>192.7 DCI 4 — Dimercaprol (BAL)</w:t>
      </w:r>
    </w:p>
    <w:p>
      <w:pPr>
        <w:pStyle w:val="Heading3"/>
      </w:pPr>
      <w:r>
        <w:t>192.7.1 Liste catégories pharmaco-thérapeutiques et indications</w:t>
      </w:r>
    </w:p>
    <w:p>
      <w:r>
        <w:t xml:space="preserve">Le dimercaprol (DCI internationale, également désigné BAL, British Anti-Lewisite, formule chimique (RS)-2,3-dimercaptopropan-1-ol, formule brute C3H8OS2, masse molaire 124,22 g/mol) est un chélateur historique de l'arsenic et du mercure, appartenant à la famille chimique des </w:t>
      </w:r>
      <w:r>
        <w:rPr>
          <w:b/>
        </w:rPr>
        <w:t>dithiols</w:t>
      </w:r>
      <w:r>
        <w:t xml:space="preserve"> (composés porteurs de deux groupements -SH adjacents sur une chaîne carbonée courte). Il a été développé en 1940 à Oxford par les biochimistes Rudolph Peters, Kenneth Stocken et Robert Thompson, en réponse à la menace d'armes chimiques arsenicales allemandes (lewisite, ypérite arsenicale) employées pendant la Seconde Guerre mondiale — d'où son nom de code militaire BAL, pour </w:t>
      </w:r>
      <w:r>
        <w:rPr>
          <w:i/>
        </w:rPr>
        <w:t>British Anti-Lewisite</w:t>
      </w:r>
      <w:r>
        <w:t xml:space="preserve">. Code ATC : </w:t>
      </w:r>
      <w:r>
        <w:rPr>
          <w:b/>
        </w:rPr>
        <w:t>V03AB09</w:t>
      </w:r>
      <w:r>
        <w:t xml:space="preserve"> (V03 : autres antidotes et chélateurs — dimercaprol). La molécule est inscrite sur la Liste des médicaments essentiels de l'OMS (22ᵉ édition, 2021). En Algérie, le dimercaprol est </w:t>
      </w:r>
      <w:r>
        <w:rPr>
          <w:b/>
        </w:rPr>
        <w:t>absent</w:t>
      </w:r>
      <w:r>
        <w:t xml:space="preserve"> de la nomenclature des médicaments à la date d'avril 2026 — ce qui constitue une lacune majeure de l'arsenal toxicologique national.</w:t>
      </w:r>
    </w:p>
    <w:p>
      <w:r>
        <w:t>Les indications thérapeutiques validées par l'AMM internationale (BAL RCP Akorn Pharmaceuticals, États-Unis ; Hynson Westcott &amp; Dunning, États-Unis, dernière révision 2018) couvrent :</w:t>
      </w:r>
    </w:p>
    <w:p>
      <w:pPr>
        <w:pStyle w:val="ListNumber"/>
      </w:pPr>
      <w:r/>
      <w:r>
        <w:rPr>
          <w:b/>
        </w:rPr>
        <w:t>Intoxication aiguë par l'arsenic</w:t>
      </w:r>
      <w:r>
        <w:t xml:space="preserve"> (indication princeps) : traitement de l'intoxication arsenicale symptomatique, en urgence, en cas d'ingestion de doses toxiques d'arsenic inorganique (arsénite, arséniate, gaz arsine). Posologie : 3 à 5 mg/kg IM profonde toutes les 4 à 6 heures pendant 2 à 3 jours, puis 2 à 3 mg/kg IM toutes les 12 heures pendant 7 à 10 jours. Surveillance : dosage de l'arsenic urinaire, signes cliniques (encéphalopathie, neuropathie, atteinte digestive, hépatique, cardiaque), ECG, biologie hépatique et rénale.</w:t>
      </w:r>
    </w:p>
    <w:p>
      <w:pPr>
        <w:pStyle w:val="ListNumber"/>
      </w:pPr>
      <w:r/>
      <w:r>
        <w:rPr>
          <w:b/>
        </w:rPr>
        <w:t>Intoxication aiguë par le mercure inorganique</w:t>
      </w:r>
      <w:r>
        <w:t xml:space="preserve"> (sels de mercure) : traitement de l'intoxication mercurielle inorganique sévère (ingestion de sublimé corrosif, de mercure bichlorure). Posologie : 5 mg/kg IM initialement, puis 2,5 mg/kg IM toutes les 12 heures pendant 10 jours. Surveillance : dosage du mercure urinaire, signes cliniques (digestifs, rénaux, neurologiques).</w:t>
      </w:r>
    </w:p>
    <w:p>
      <w:pPr>
        <w:pStyle w:val="ListNumber"/>
      </w:pPr>
      <w:r/>
      <w:r>
        <w:rPr>
          <w:b/>
        </w:rPr>
        <w:t>Intoxication aiguë par l'or</w:t>
      </w:r>
      <w:r>
        <w:t xml:space="preserve"> (chrysothérapie) : en cas de toxicité de l'or thérapeutique (sels d'or utilisés dans la polyarthrite rhumatoïde). Posologie : 2,5 mg/kg IM toutes les 12 heures pendant 10 jours.</w:t>
      </w:r>
    </w:p>
    <w:p>
      <w:pPr>
        <w:pStyle w:val="ListNumber"/>
      </w:pPr>
      <w:r/>
      <w:r>
        <w:rPr>
          <w:b/>
        </w:rPr>
        <w:t>Indication hors AMM</w:t>
      </w:r>
      <w:r>
        <w:t xml:space="preserve"> : intoxication aiguë par le plomb (saturnisme aigu avec encéphalopathie) en association avec l'EDTA calcique (chélation combinée). Le BAL est utilisé en première intention (4 à 5 mg/kg IM) dans l'encéphalopathie saturnine aiguë, en raison de sa capacité à franchir la barrière hémato-encéphalique (contrairement à l'EDTA calcique qui reste dans le compartiment vasculaire), avant l'administration d'EDTA calcique IV.</w:t>
      </w:r>
    </w:p>
    <w:p>
      <w:pPr>
        <w:pStyle w:val="ListNumber"/>
      </w:pPr>
      <w:r/>
      <w:r>
        <w:rPr>
          <w:b/>
        </w:rPr>
        <w:t>Indication historique abandonnée</w:t>
      </w:r>
      <w:r>
        <w:t xml:space="preserve"> : maladie de Wilson (intoxication cuprique) — supplantée par la pénicillamine et le trientine, mieux tolérées.</w:t>
      </w:r>
    </w:p>
    <w:p>
      <w:r/>
      <w:r>
        <w:rPr>
          <w:b/>
        </w:rPr>
        <w:t>Contre-indications du BAL</w:t>
      </w:r>
      <w:r>
        <w:t xml:space="preserve"> : (1) intoxication par le </w:t>
      </w:r>
      <w:r>
        <w:rPr>
          <w:b/>
        </w:rPr>
        <w:t>méthylmercure</w:t>
      </w:r>
      <w:r>
        <w:t xml:space="preserve"> (MeHg+, organomercuriel) — le complexe BAL-MeHg+ est liposoluble, franchit la barrière hémato-encéphalique, et aggrave la neurotoxicité (syndrome de Minamata). Contre-indication absolue ; (2) </w:t>
      </w:r>
      <w:r>
        <w:rPr>
          <w:b/>
        </w:rPr>
        <w:t>insuffisance hépatique sévère</w:t>
      </w:r>
      <w:r>
        <w:t xml:space="preserve"> — le BAL est métabolisé par le foie, l'accumulation expose à une hépatotoxicité additive ; (3) </w:t>
      </w:r>
      <w:r>
        <w:rPr>
          <w:b/>
        </w:rPr>
        <w:t>hypertension artérielle non contrôlée</w:t>
      </w:r>
      <w:r>
        <w:t xml:space="preserve"> — le BAL élève la PA par stimulation sympathique, risquant de déséquilibrer une HTA préexistante ; (4) </w:t>
      </w:r>
      <w:r>
        <w:rPr>
          <w:b/>
        </w:rPr>
        <w:t>grossesse</w:t>
      </w:r>
      <w:r>
        <w:t xml:space="preserve"> (sauf urgence vitale) — passage placentaire, potentialité de toxicité fœtale ; (5) </w:t>
      </w:r>
      <w:r>
        <w:rPr>
          <w:b/>
        </w:rPr>
        <w:t>allaitement</w:t>
      </w:r>
      <w:r>
        <w:t xml:space="preserve"> — passage lacté probable ; (6) </w:t>
      </w:r>
      <w:r>
        <w:rPr>
          <w:b/>
        </w:rPr>
        <w:t>déficit en G6PD</w:t>
      </w:r>
      <w:r>
        <w:t xml:space="preserve"> — risque d'hémolyse (le BAL est un oxydant).</w:t>
      </w:r>
    </w:p>
    <w:p>
      <w:r/>
      <w:r>
        <w:rPr>
          <w:b/>
        </w:rPr>
        <w:t>Absence en Algérie</w:t>
      </w:r>
      <w:r>
        <w:t xml:space="preserve"> : le dimercaprol (BAL) est </w:t>
      </w:r>
      <w:r>
        <w:rPr>
          <w:b/>
        </w:rPr>
        <w:t>absent</w:t>
      </w:r>
      <w:r>
        <w:t xml:space="preserve"> de la nomenclature algérienne des médicaments à la date d'avril 2026. Les chélateurs modernes de l'arsenic et du mercure — </w:t>
      </w:r>
      <w:r>
        <w:rPr>
          <w:b/>
        </w:rPr>
        <w:t>DMSA (succimer, acide dimercaptosuccinique)</w:t>
      </w:r>
      <w:r>
        <w:t xml:space="preserve"> et </w:t>
      </w:r>
      <w:r>
        <w:rPr>
          <w:b/>
        </w:rPr>
        <w:t>DMPS (unithiol, acide dimercaptopropanesulfonique)</w:t>
      </w:r>
      <w:r>
        <w:t xml:space="preserve"> — sont également absents du marché algérien. Cette pénurie d'arsenal impose : (a) la procédure d'autorisation temporaire d'utilisation (ATU) pour importation exceptionnelle de dimercaprol ; (b) la prise en charge symptomatique hospitalière avec épuration extra-rénale (hémodialyse) ; (c) la coordination avec le Centre Antipoison d'Algérie (Alger).</w:t>
      </w:r>
    </w:p>
    <w:p>
      <w:pPr>
        <w:pStyle w:val="Heading3"/>
      </w:pPr>
      <w:r>
        <w:t>192.7.2 Tableau des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BALSOFUMINE SIMPLE</w:t>
            </w:r>
          </w:p>
        </w:tc>
        <w:tc>
          <w:tcPr>
            <w:tcW w:type="dxa" w:w="1559"/>
          </w:tcPr>
          <w:p>
            <w:r>
              <w:rPr>
                <w:sz w:val="20"/>
              </w:rPr>
              <w:t>SANOFI WINTHROP</w:t>
            </w:r>
          </w:p>
        </w:tc>
        <w:tc>
          <w:tcPr>
            <w:tcW w:type="dxa" w:w="1559"/>
          </w:tcPr>
          <w:p>
            <w:r>
              <w:rPr>
                <w:sz w:val="20"/>
              </w:rPr>
              <w:t>Solution pour inhalation</w:t>
            </w:r>
          </w:p>
        </w:tc>
        <w:tc>
          <w:tcPr>
            <w:tcW w:type="dxa" w:w="1559"/>
          </w:tcPr>
          <w:p>
            <w:r>
              <w:rPr>
                <w:sz w:val="20"/>
              </w:rPr>
              <w:t>Flacon 84 mL</w:t>
            </w:r>
          </w:p>
        </w:tc>
        <w:tc>
          <w:tcPr>
            <w:tcW w:type="dxa" w:w="1559"/>
          </w:tcPr>
          <w:p>
            <w:r>
              <w:rPr>
                <w:sz w:val="20"/>
              </w:rPr>
              <w:t>—</w:t>
            </w:r>
          </w:p>
        </w:tc>
        <w:tc>
          <w:tcPr>
            <w:tcW w:type="dxa" w:w="1559"/>
          </w:tcPr>
          <w:p>
            <w:r>
              <w:rPr>
                <w:sz w:val="20"/>
              </w:rPr>
              <w:t>Actif</w:t>
            </w:r>
          </w:p>
        </w:tc>
      </w:tr>
      <w:tr>
        <w:tc>
          <w:tcPr>
            <w:tcW w:type="dxa" w:w="1559"/>
          </w:tcPr>
          <w:p>
            <w:r>
              <w:rPr>
                <w:sz w:val="20"/>
              </w:rPr>
              <w:t>BALSOFUMINE MENTHOLEE</w:t>
            </w:r>
          </w:p>
        </w:tc>
        <w:tc>
          <w:tcPr>
            <w:tcW w:type="dxa" w:w="1559"/>
          </w:tcPr>
          <w:p>
            <w:r>
              <w:rPr>
                <w:sz w:val="20"/>
              </w:rPr>
              <w:t>SANOFI WINTHROP</w:t>
            </w:r>
          </w:p>
        </w:tc>
        <w:tc>
          <w:tcPr>
            <w:tcW w:type="dxa" w:w="1559"/>
          </w:tcPr>
          <w:p>
            <w:r>
              <w:rPr>
                <w:sz w:val="20"/>
              </w:rPr>
              <w:t>Solution pour inhalation 0,01</w:t>
            </w:r>
          </w:p>
        </w:tc>
        <w:tc>
          <w:tcPr>
            <w:tcW w:type="dxa" w:w="1559"/>
          </w:tcPr>
          <w:p>
            <w:r>
              <w:rPr>
                <w:sz w:val="20"/>
              </w:rPr>
              <w:t>Flacon 84 mL</w:t>
            </w:r>
          </w:p>
        </w:tc>
        <w:tc>
          <w:tcPr>
            <w:tcW w:type="dxa" w:w="1559"/>
          </w:tcPr>
          <w:p>
            <w:r>
              <w:rPr>
                <w:sz w:val="20"/>
              </w:rPr>
              <w:t>—</w:t>
            </w:r>
          </w:p>
        </w:tc>
        <w:tc>
          <w:tcPr>
            <w:tcW w:type="dxa" w:w="1559"/>
          </w:tcPr>
          <w:p>
            <w:r>
              <w:rPr>
                <w:sz w:val="20"/>
              </w:rPr>
              <w:t>Actif</w:t>
            </w:r>
          </w:p>
        </w:tc>
      </w:tr>
      <w:tr>
        <w:tc>
          <w:tcPr>
            <w:tcW w:type="dxa" w:w="1559"/>
          </w:tcPr>
          <w:p>
            <w:r>
              <w:rPr>
                <w:sz w:val="20"/>
              </w:rPr>
              <w:t>BALSOFUMINE MENTHOLEE</w:t>
            </w:r>
          </w:p>
        </w:tc>
        <w:tc>
          <w:tcPr>
            <w:tcW w:type="dxa" w:w="1559"/>
          </w:tcPr>
          <w:p>
            <w:r>
              <w:rPr>
                <w:sz w:val="20"/>
              </w:rPr>
              <w:t>SANOFI WINTHROP</w:t>
            </w:r>
          </w:p>
        </w:tc>
        <w:tc>
          <w:tcPr>
            <w:tcW w:type="dxa" w:w="1559"/>
          </w:tcPr>
          <w:p>
            <w:r>
              <w:rPr>
                <w:sz w:val="20"/>
              </w:rPr>
              <w:t>Solution pour inhalation 0,04</w:t>
            </w:r>
          </w:p>
        </w:tc>
        <w:tc>
          <w:tcPr>
            <w:tcW w:type="dxa" w:w="1559"/>
          </w:tcPr>
          <w:p>
            <w:r>
              <w:rPr>
                <w:sz w:val="20"/>
              </w:rPr>
              <w:t>Flacon 84 mL</w:t>
            </w:r>
          </w:p>
        </w:tc>
        <w:tc>
          <w:tcPr>
            <w:tcW w:type="dxa" w:w="1559"/>
          </w:tcPr>
          <w:p>
            <w:r>
              <w:rPr>
                <w:sz w:val="20"/>
              </w:rPr>
              <w:t>—</w:t>
            </w:r>
          </w:p>
        </w:tc>
        <w:tc>
          <w:tcPr>
            <w:tcW w:type="dxa" w:w="1559"/>
          </w:tcPr>
          <w:p>
            <w:r>
              <w:rPr>
                <w:sz w:val="20"/>
              </w:rPr>
              <w:t>Actif</w:t>
            </w:r>
          </w:p>
        </w:tc>
      </w:tr>
      <w:tr>
        <w:tc>
          <w:tcPr>
            <w:tcW w:type="dxa" w:w="1559"/>
          </w:tcPr>
          <w:p>
            <w:r>
              <w:rPr>
                <w:sz w:val="20"/>
              </w:rPr>
              <w:t>RHUM 'NET</w:t>
            </w:r>
          </w:p>
        </w:tc>
        <w:tc>
          <w:tcPr>
            <w:tcW w:type="dxa" w:w="1559"/>
          </w:tcPr>
          <w:p>
            <w:r>
              <w:rPr>
                <w:sz w:val="20"/>
              </w:rPr>
              <w:t>LABORATOIRES PHARMAGHREB</w:t>
            </w:r>
          </w:p>
        </w:tc>
        <w:tc>
          <w:tcPr>
            <w:tcW w:type="dxa" w:w="1559"/>
          </w:tcPr>
          <w:p>
            <w:r>
              <w:rPr>
                <w:sz w:val="20"/>
              </w:rPr>
              <w:t>Mèche imprégnée dans 1 mL de solution</w:t>
            </w:r>
          </w:p>
        </w:tc>
        <w:tc>
          <w:tcPr>
            <w:tcW w:type="dxa" w:w="1559"/>
          </w:tcPr>
          <w:p>
            <w:r>
              <w:rPr>
                <w:sz w:val="20"/>
              </w:rPr>
              <w:t>Inhalateur avec mèche imprégnée</w:t>
            </w:r>
          </w:p>
        </w:tc>
        <w:tc>
          <w:tcPr>
            <w:tcW w:type="dxa" w:w="1559"/>
          </w:tcPr>
          <w:p>
            <w:r>
              <w:rPr>
                <w:sz w:val="20"/>
              </w:rPr>
              <w:t>—</w:t>
            </w:r>
          </w:p>
        </w:tc>
        <w:tc>
          <w:tcPr>
            <w:tcW w:type="dxa" w:w="1559"/>
          </w:tcPr>
          <w:p>
            <w:r>
              <w:rPr>
                <w:sz w:val="20"/>
              </w:rPr>
              <w:t>Actif</w:t>
            </w:r>
          </w:p>
        </w:tc>
      </w:tr>
      <w:tr>
        <w:tc>
          <w:tcPr>
            <w:tcW w:type="dxa" w:w="1559"/>
          </w:tcPr>
          <w:p>
            <w:r>
              <w:rPr>
                <w:sz w:val="20"/>
              </w:rPr>
              <w:t>VAPORHUM</w:t>
            </w:r>
          </w:p>
        </w:tc>
        <w:tc>
          <w:tcPr>
            <w:tcW w:type="dxa" w:w="1559"/>
          </w:tcPr>
          <w:p>
            <w:r>
              <w:rPr>
                <w:sz w:val="20"/>
              </w:rPr>
              <w:t>LABORATOIRES PHARMAGHREB</w:t>
            </w:r>
          </w:p>
        </w:tc>
        <w:tc>
          <w:tcPr>
            <w:tcW w:type="dxa" w:w="1559"/>
          </w:tcPr>
          <w:p>
            <w:r>
              <w:rPr>
                <w:sz w:val="20"/>
              </w:rPr>
              <w:t>Baume</w:t>
            </w:r>
          </w:p>
        </w:tc>
        <w:tc>
          <w:tcPr>
            <w:tcW w:type="dxa" w:w="1559"/>
          </w:tcPr>
          <w:p>
            <w:r>
              <w:rPr>
                <w:sz w:val="20"/>
              </w:rPr>
              <w:t>Pot 40 g</w:t>
            </w:r>
          </w:p>
        </w:tc>
        <w:tc>
          <w:tcPr>
            <w:tcW w:type="dxa" w:w="1559"/>
          </w:tcPr>
          <w:p>
            <w:r>
              <w:rPr>
                <w:sz w:val="20"/>
              </w:rPr>
              <w:t>—</w:t>
            </w:r>
          </w:p>
        </w:tc>
        <w:tc>
          <w:tcPr>
            <w:tcW w:type="dxa" w:w="1559"/>
          </w:tcPr>
          <w:p>
            <w:r>
              <w:rPr>
                <w:sz w:val="20"/>
              </w:rPr>
              <w:t>Actif</w:t>
            </w:r>
          </w:p>
        </w:tc>
      </w:tr>
      <w:tr>
        <w:tc>
          <w:tcPr>
            <w:tcW w:type="dxa" w:w="1559"/>
          </w:tcPr>
          <w:p>
            <w:r>
              <w:rPr>
                <w:sz w:val="20"/>
              </w:rPr>
              <w:t>VIC</w:t>
            </w:r>
          </w:p>
        </w:tc>
        <w:tc>
          <w:tcPr>
            <w:tcW w:type="dxa" w:w="1559"/>
          </w:tcPr>
          <w:p>
            <w:r>
              <w:rPr>
                <w:sz w:val="20"/>
              </w:rPr>
              <w:t>MECHERI DJAMEL PHARM (L.M.D.)</w:t>
            </w:r>
          </w:p>
        </w:tc>
        <w:tc>
          <w:tcPr>
            <w:tcW w:type="dxa" w:w="1559"/>
          </w:tcPr>
          <w:p>
            <w:r>
              <w:rPr>
                <w:sz w:val="20"/>
              </w:rPr>
              <w:t>Baume (pâte décongestionnante)</w:t>
            </w:r>
          </w:p>
        </w:tc>
        <w:tc>
          <w:tcPr>
            <w:tcW w:type="dxa" w:w="1559"/>
          </w:tcPr>
          <w:p>
            <w:r>
              <w:rPr>
                <w:sz w:val="20"/>
              </w:rPr>
              <w:t>Pot 40 g</w:t>
            </w:r>
          </w:p>
        </w:tc>
        <w:tc>
          <w:tcPr>
            <w:tcW w:type="dxa" w:w="1559"/>
          </w:tcPr>
          <w:p>
            <w:r>
              <w:rPr>
                <w:sz w:val="20"/>
              </w:rPr>
              <w:t>—</w:t>
            </w:r>
          </w:p>
        </w:tc>
        <w:tc>
          <w:tcPr>
            <w:tcW w:type="dxa" w:w="1559"/>
          </w:tcPr>
          <w:p>
            <w:r>
              <w:rPr>
                <w:sz w:val="20"/>
              </w:rPr>
              <w:t>Retrait</w:t>
            </w:r>
          </w:p>
        </w:tc>
      </w:tr>
    </w:tbl>
    <w:p/>
    <w:p>
      <w:r/>
      <w:r>
        <w:rPr>
          <w:b/>
        </w:rPr>
        <w:t>Alerte nomenclature critique</w:t>
      </w:r>
      <w:r>
        <w:t xml:space="preserve"> : la base de données algérienne (COMPLETE LISTE.xlsx, Avril 2026) référence sous la rubrique « Dimercaprol (BAL) » plusieurs spécialités appartenant en réalité à la classe pharmacologique des </w:t>
      </w:r>
      <w:r>
        <w:rPr>
          <w:b/>
        </w:rPr>
        <w:t>balsamiques pour inhalation</w:t>
      </w:r>
      <w:r>
        <w:t xml:space="preserve"> (BALSOFUMINE SIMPLE, BALSOFUMINE MENTHOLEE, RHUM 'NET, VAPORHUM, VIC). Cette confusion nomenclaturelle — issue d'une correspondance lexicographique « BAL » → « Balsamiques » lors de l'extraction automatisée de la base — ne doit pas tromper le clinicien : ces spécialités ne contiennent </w:t>
      </w:r>
      <w:r>
        <w:rPr>
          <w:b/>
        </w:rPr>
        <w:t>pas</w:t>
      </w:r>
      <w:r>
        <w:t xml:space="preserve"> de dimercaprol et ne sauraient être utilisées comme chélateurs.</w:t>
      </w:r>
    </w:p>
    <w:p>
      <w:r/>
      <w:r>
        <w:rPr>
          <w:b/>
        </w:rPr>
        <w:t>Nature pharmacologique réelle de ces spécialités</w:t>
      </w:r>
      <w:r>
        <w:t xml:space="preserve"> : les balsamiques pour inhalation sont des préparations expectorantes et décongestionnantes des voies respiratoires supérieures, contenant divers principes actifs (menthol, eucalyptol, camphre, gaiacol, terpènes, huiles essentielles) administrés par inhalation de vapeurs (via un inhalateur, un nébuliseur ou une mèche imprégnée) ou par application cutanée (baumes). Ils sont indiqués dans le traitement symptomatique de la rhinite, de la sinusite, de la bronchite aiguë, de la toux grasse. Ils n'ont aucune activité chélatrice de l'arsenic, du mercure, du plomb ou de tout autre métal lourd. L'utilisation de ces spécialités à visée chélatrice serait une erreur médicamenteuse majeure, sans efficacité et potentiellement dangereuse (retard à la prise en charge spécifique d'une intoxication arsenicale ou mercurielle).</w:t>
      </w:r>
    </w:p>
    <w:p>
      <w:r/>
      <w:r>
        <w:rPr>
          <w:b/>
        </w:rPr>
        <w:t>Statut réel du dimercaprol en Algérie</w:t>
      </w:r>
      <w:r>
        <w:t xml:space="preserve"> : à la date d'avril 2026, le dimercaprol (BAL, British Anti-Lewisite, en solution injectable 50 mg/mL en ampoule de 3 mL, conditionnement boîte de 1 ou 10 ampoules) est </w:t>
      </w:r>
      <w:r>
        <w:rPr>
          <w:b/>
        </w:rPr>
        <w:t>absent</w:t>
      </w:r>
      <w:r>
        <w:t xml:space="preserve"> de la nomenclature algérienne des médicaments. Aucune spécialité commerciale ne contient du dimercaprol comme principe actif. Les centres antipoison, les services de réanimation toxicologique et les pharmacies hospitalières ne disposent pas de stock de dimercaprol. Cette absence impose le recours à la procédure d'autorisation temporaire d'utilisation (ATU) nominative pour importation exceptionnelle en cas d'intoxication arsenicale ou mercurielle documentée, ou à des protocoles alternatifs (cf. section 192.7.5).</w:t>
      </w:r>
    </w:p>
    <w:p>
      <w:r/>
      <w:r>
        <w:rPr>
          <w:b/>
        </w:rPr>
        <w:t>Procédure ATU nominative en Algérie</w:t>
      </w:r>
      <w:r>
        <w:t xml:space="preserve"> : en cas d'intoxication arsenicale ou mercurielle aiguë, le centre antipoison d'Alger (Institut National de Santé Publique), en coordination avec le service de réanimation hospitalier, peut solliciter une ATU nominative auprès de la Direction de la Pharmacie et des Médicaments (Ministère de la Santé) pour importer exceptionnellement du dimercaprol (BAL) depuis un pays où il est disponible (États-Unis, Royaume-Uni, France). Cette procédure prend plusieurs jours à mettre en œuvre, ce qui peut être incompatible avec l'urgence d'une intoxication aiguë — d'où l'importance d'une prise en charge symptomatique et supportive parallèle (réanimation, hémodialyse).</w:t>
      </w:r>
    </w:p>
    <w:p>
      <w:pPr>
        <w:pStyle w:val="Heading3"/>
      </w:pPr>
      <w:r>
        <w:t>192.7.3 Mécanisme d'action moléculaire, cellulaire et physiologique</w:t>
      </w:r>
    </w:p>
    <w:p>
      <w:r>
        <w:t xml:space="preserve">Le dimercaprol est un chélateur </w:t>
      </w:r>
      <w:r>
        <w:rPr>
          <w:b/>
        </w:rPr>
        <w:t>bidentate</w:t>
      </w:r>
      <w:r>
        <w:t xml:space="preserve"> de l'arsenic trivalent (As3+) et du mercure divalent (Hg2+). Sa structure chimique — un noyau propane porteur de deux groupements thiols (-SH) adjacents en positions 2 et 3 — lui permet de coordonner un ion As3+ ou Hg2+ par deux atomes de soufre (un soufre de chaque groupement -SH). Cette coordination bidentate forme un complexe hétérocyclique stable à 5 atomes (1,3,2-dithiarsole pour l'arsenic, complexe cyclique pour le mercure), hautement stable (constante de stabilité Kf ≈ 10^15 pour As3+, ≈ 10^10 pour Hg2+). Le complexe BAL-métal est hydrosoluble, de petite taille (MW ≈ 200-300 Da), et excrété principalement par voie </w:t>
      </w:r>
      <w:r>
        <w:rPr>
          <w:b/>
        </w:rPr>
        <w:t>urinaire</w:t>
      </w:r>
      <w:r>
        <w:t xml:space="preserve"> (≈ 50 %) et biliaire (≈ 50 %).</w:t>
      </w:r>
    </w:p>
    <w:p>
      <w:r/>
      <w:r>
        <w:rPr>
          <w:b/>
        </w:rPr>
        <w:t>Niveau moléculaire</w:t>
      </w:r>
      <w:r>
        <w:t xml:space="preserve"> : le dimercaprol chélate spécifiquement les métaux lourds à forte affinité pour le soufre, en raison de la </w:t>
      </w:r>
      <w:r>
        <w:rPr>
          <w:b/>
        </w:rPr>
        <w:t>règle de Pearson (HSAB — Hard and Soft Acids and Bases)</w:t>
      </w:r>
      <w:r>
        <w:t xml:space="preserve"> : les métaux « doux » (As3+, Hg2+, Pb2+, Cd2+, Au+) ont une forte affinité pour les bases « douces » que sont les groupements thiols (-SH), formant des liaisons covalentes stables. Inversement, les métaux « durs » (Ca2+, Mg2+, Fe3+) ont une faible affinité pour les thiols et ne sont pas significativement chélatés par le BAL. Cette sélectivité explique l'efficacité du BAL sur l'arsenic, le mercure, le plomb, l'or, et son inefficacité sur le fer, le calcium, le magnésium.</w:t>
      </w:r>
    </w:p>
    <w:p>
      <w:r/>
      <w:r>
        <w:rPr>
          <w:b/>
        </w:rPr>
        <w:t>Mécanisme de toxicité de l'arsenic</w:t>
      </w:r>
      <w:r>
        <w:t xml:space="preserve"> (cible thérapeutique du BAL) : l'arsenic trivalent (As3+, arsenite) est un poison métabolique qui se lie aux groupements -SH (thiol) des enzymes, particulièrement à la </w:t>
      </w:r>
      <w:r>
        <w:rPr>
          <w:b/>
        </w:rPr>
        <w:t>pyruvate déshydrogénase</w:t>
      </w:r>
      <w:r>
        <w:t xml:space="preserve"> (PDH), enzyme clé du cycle de Krebs (conversion du pyruvate en acétyl-CoA). L'inhibition de la PDH bloque la production d'ATP aérobie, entraînant une acidose lactique, une défaillance énergétique cellulaire, et la mort cellulaire. L'arsenic pentavalent (As5+, arséniate) substitue le phosphate dans les réactions de phosphorylation, formant des anhydrides instables hydrolysables (« arsenolyse »), perturbant la phosphorylation oxydative. Le BAL chélate préférentiellement l'As3+ (trivalent), formant un complexe stable et excrétable, et permet la réactivation des enzymes inhibées.</w:t>
      </w:r>
    </w:p>
    <w:p>
      <w:r/>
      <w:r>
        <w:rPr>
          <w:b/>
        </w:rPr>
        <w:t>Mécanisme de toxicité du mercure</w:t>
      </w:r>
      <w:r>
        <w:t xml:space="preserve"> (cible thérapeutique du BAL) : le mercure divalent (Hg2+, sel mercurique) se lie aux groupements -SH des protéines tissulaires, particulièrement dans le </w:t>
      </w:r>
      <w:r>
        <w:rPr>
          <w:b/>
        </w:rPr>
        <w:t>rein</w:t>
      </w:r>
      <w:r>
        <w:t xml:space="preserve"> (néphrotoxicité tubulo-interstitielle, syndrome néphrotique), le </w:t>
      </w:r>
      <w:r>
        <w:rPr>
          <w:b/>
        </w:rPr>
        <w:t>système nerveux central</w:t>
      </w:r>
      <w:r>
        <w:t xml:space="preserve"> (neurotoxicité centrale, encéphalopathie), et les </w:t>
      </w:r>
      <w:r>
        <w:rPr>
          <w:b/>
        </w:rPr>
        <w:t>glandes salivaires</w:t>
      </w:r>
      <w:r>
        <w:t xml:space="preserve"> (stomatite mercurielle, hypersialorrhée). Le mercure métallique (Hg0, liquide) est volatil et inhalé sous forme de vapeurs, avec neurotoxicité centrale prédominante (tremblement, éréthisme, acrodynie pédiatrique). Les composés organomercuriels (méthylmercure MeHg+) sont neurotoxiques centraux sévères (syndrome de Minamata, ataxie cérébelleuse, rétrécissement du champ visuel). Le BAL chélate préférentiellement le Hg2+ (inorganique), mais est moins efficace sur le Hg0 (métallique) et contre-productif sur le MeHg+ (le complexe BAL-MeHg+ liposoluble franchit la barrière hémato-encéphalique et aggrave la neurotoxicité — contre-indication relative).</w:t>
      </w:r>
    </w:p>
    <w:p>
      <w:r/>
      <w:r>
        <w:rPr>
          <w:b/>
        </w:rPr>
        <w:t>Niveau cellulaire</w:t>
      </w:r>
      <w:r>
        <w:t xml:space="preserve"> : le dimercaprol pénètre dans les cellules en raison de sa lipophilie modérée (log P ≈ 1,5) et de sa petite taille (MW = 124 Da), atteignant le compartiment intracellulaire hépatocytaire, rénal, et nerveux central. Cette pénétration intracellulaire — à la différence de l'EDTA calcique qui reste vasculaire — explique l'efficacité du BAL sur l'encéphalopathie arsenicale et saturnine, où il franchit la barrière hémato-encéphalique.</w:t>
      </w:r>
    </w:p>
    <w:p>
      <w:r/>
      <w:r>
        <w:rPr>
          <w:b/>
        </w:rPr>
        <w:t>Niveau physiologique</w:t>
      </w:r>
      <w:r>
        <w:t xml:space="preserve"> : (1) </w:t>
      </w:r>
      <w:r>
        <w:rPr>
          <w:b/>
        </w:rPr>
        <w:t>diminution de l'arsenic urinaire</w:t>
      </w:r>
      <w:r>
        <w:t xml:space="preserve"> en 24 à 48 heures, dose-dépendante ; (2) </w:t>
      </w:r>
      <w:r>
        <w:rPr>
          <w:b/>
        </w:rPr>
        <w:t>amélioration des signes cliniques d'intoxication arsenicale</w:t>
      </w:r>
      <w:r>
        <w:t xml:space="preserve"> en 24 à 72 heures (régression de l'encéphalopathie, des troubles digestifs, de l'atteinte hépatique) ; (3) </w:t>
      </w:r>
      <w:r>
        <w:rPr>
          <w:b/>
        </w:rPr>
        <w:t>amélioration de la fonction rénale</w:t>
      </w:r>
      <w:r>
        <w:t xml:space="preserve"> en cas d'atteinte mercurielle (réduction de la protéinurie, stabilisation de la créatininémie) ; (4) </w:t>
      </w:r>
      <w:r>
        <w:rPr>
          <w:b/>
        </w:rPr>
        <w:t>amélioration des signes neurologiques</w:t>
      </w:r>
      <w:r>
        <w:t xml:space="preserve"> (régression de la neuropathie périphérique — mais la neuropathie arsenicale peut être partiellement irréversible si elle est installée).</w:t>
      </w:r>
    </w:p>
    <w:p>
      <w:r/>
      <w:r>
        <w:rPr>
          <w:b/>
        </w:rPr>
        <w:t>Niveau clinique</w:t>
      </w:r>
      <w:r>
        <w:t xml:space="preserve"> : le profil d'efficacité du dimercaprol est globalement </w:t>
      </w:r>
      <w:r>
        <w:rPr>
          <w:b/>
        </w:rPr>
        <w:t>inférieur</w:t>
      </w:r>
      <w:r>
        <w:t xml:space="preserve"> à celui de ses dérivés modernes (DMSA, DMPS) en termes de tolérance et d'efficacité, mais il reste indiqué en urgence en cas d'encéphalopathie arsenicale ou saturnine (capacité à franchir la barrière hémato-encéphalique) et en cas d'indisponibilité des chélateurs modernes.</w:t>
      </w:r>
    </w:p>
    <w:p>
      <w:pPr>
        <w:pStyle w:val="Heading3"/>
      </w:pPr>
      <w:r>
        <w:t>192.7.4 Profil pharmacocinétique (PK)</w:t>
      </w:r>
    </w:p>
    <w:p>
      <w:r/>
      <w:r>
        <w:rPr>
          <w:b/>
        </w:rPr>
        <w:t>Absorption</w:t>
      </w:r>
      <w:r>
        <w:t xml:space="preserve"> : le dimercaprol a une </w:t>
      </w:r>
      <w:r>
        <w:rPr>
          <w:b/>
        </w:rPr>
        <w:t>biodisponibilité orale nulle</w:t>
      </w:r>
      <w:r>
        <w:t xml:space="preserve"> (la molécule est dégradée dans le tube digestif par oxydation des groupements thiols), imposant une administration parentérale. La voie d'administration est exclusivement </w:t>
      </w:r>
      <w:r>
        <w:rPr>
          <w:b/>
        </w:rPr>
        <w:t>intramusculaire profonde</w:t>
      </w:r>
      <w:r>
        <w:t xml:space="preserve"> (IM), dans le muscle fessier (grand fessier) ou le muscle deltoïde. La voie IV est contre-indiquée (risque d'hypotension sévère, d'arythmie). La voie SC est contre-indiquée (irritation locale, nécrose). La biodisponibilité IM est de l'ordre de 80 à 100 %, avec un Tmax de 30 à 60 minutes.</w:t>
      </w:r>
    </w:p>
    <w:p>
      <w:r/>
      <w:r>
        <w:rPr>
          <w:b/>
        </w:rPr>
        <w:t>Distribution</w:t>
      </w:r>
      <w:r>
        <w:t xml:space="preserve"> : volume de distribution (Vd) ≈ 0,5 à 1 L/kg, voisin du volume de distribution extracellulaire mais avec une pénétration intracellulaire et cérébrale significative. Liaison aux protéines plasmatiques faible (&lt; 10 %). La traversée de la barrière hémato-encéphalique est effective (concentration cérébrale ≈ 20 % de la concentration plasmatique), ce qui explique l'efficacité du BAL dans l'encéphalopathie arsenicale et saturnine. La traversée placentaire est documentée. Le passage dans le lait maternel est probable mais non documenté.</w:t>
      </w:r>
    </w:p>
    <w:p>
      <w:r/>
      <w:r>
        <w:rPr>
          <w:b/>
        </w:rPr>
        <w:t>Métabolisme</w:t>
      </w:r>
      <w:r>
        <w:t xml:space="preserve"> : le dimercaprol est rapidement métabolisé par </w:t>
      </w:r>
      <w:r>
        <w:rPr>
          <w:b/>
        </w:rPr>
        <w:t>glucuroconjugaison hépatique</w:t>
      </w:r>
      <w:r>
        <w:t xml:space="preserve"> et </w:t>
      </w:r>
      <w:r>
        <w:rPr>
          <w:b/>
        </w:rPr>
        <w:t>oxydation</w:t>
      </w:r>
      <w:r>
        <w:t xml:space="preserve"> en métabolites inactifs (acide dimercaptol-glucuronide, oxydes de dimercaptol). La demi-vie de métabolisation est courte, de l'ordre de 30 à 60 minutes.</w:t>
      </w:r>
    </w:p>
    <w:p>
      <w:r/>
      <w:r>
        <w:rPr>
          <w:b/>
        </w:rPr>
        <w:t>Élimination</w:t>
      </w:r>
      <w:r>
        <w:t xml:space="preserve"> : clairance totale ≈ 5 à 10 L/h/kg, essentiellement </w:t>
      </w:r>
      <w:r>
        <w:rPr>
          <w:b/>
        </w:rPr>
        <w:t>rénale</w:t>
      </w:r>
      <w:r>
        <w:t xml:space="preserve"> (50 % de la dose, sous forme de complexe BAL-métal et de métabolites glucuroconjugués) et </w:t>
      </w:r>
      <w:r>
        <w:rPr>
          <w:b/>
        </w:rPr>
        <w:t>biliaire</w:t>
      </w:r>
      <w:r>
        <w:t xml:space="preserve"> (50 %, avec cycle entéro-hépatique partiel). La clairance rénale dépend de la filtration glomérulaire — d'où la nécessité d'adapter la dose en cas d'insuffisance rénale. Le complexe BAL-arsenic ou BAL-mercure est filtré librement par le glomérule.</w:t>
      </w:r>
    </w:p>
    <w:p>
      <w:r/>
      <w:r>
        <w:rPr>
          <w:b/>
        </w:rPr>
        <w:t>Demi-vie d'élimination</w:t>
      </w:r>
      <w:r>
        <w:t xml:space="preserve"> : la demi-vie plasmatique du dimercaprol est très courte, de </w:t>
      </w:r>
      <w:r>
        <w:rPr>
          <w:b/>
        </w:rPr>
        <w:t>30 minutes à 1 heure</w:t>
      </w:r>
      <w:r>
        <w:t>, imposant une administration répétée toutes les 4 à 6 heures en phase aiguë. La demi-vie du complexe BAL-métal est plus longue, de 2 à 4 heures.</w:t>
      </w:r>
    </w:p>
    <w:p>
      <w:r/>
      <w:r>
        <w:rPr>
          <w:b/>
        </w:rPr>
        <w:t>Linéarité</w:t>
      </w:r>
      <w:r>
        <w:t xml:space="preserve"> : la pharmacocinétique est linéaire aux doses thérapeutiques (2 à 5 mg/kg/injection). Aux doses supérieures (&gt; 5 mg/kg/injection), une accumulation plasmatique est observée, exposant à la toxicité dose-dépendante (hypertension, tachycardie).</w:t>
      </w:r>
    </w:p>
    <w:p>
      <w:r/>
      <w:r>
        <w:rPr>
          <w:b/>
        </w:rPr>
        <w:t>Insuffisance rénale</w:t>
      </w:r>
      <w:r>
        <w:t xml:space="preserve"> : la clairance du BAL est réduite en cas d'insuffisance rénale (DFG &lt; 60 mL/min : réduction de 50 %), mais le BAL peut être utilisé en cas d'insuffisance rénale sévère avec hémodialyse (la dialyse élimine le complexe BAL-métal). En cas d'oligo-anurie, l'hémodialyse est nécessaire pour éviter l'accumulation toxique du BAL.</w:t>
      </w:r>
    </w:p>
    <w:p>
      <w:r/>
      <w:r>
        <w:rPr>
          <w:b/>
        </w:rPr>
        <w:t>Insuffisance hépatique</w:t>
      </w:r>
      <w:r>
        <w:t xml:space="preserve"> : contre-indication relative (le BAL est métabolisé par le foie, l'accumulation expose à une hépatotoxicité additive).</w:t>
      </w:r>
    </w:p>
    <w:p>
      <w:r/>
      <w:r>
        <w:rPr>
          <w:b/>
        </w:rPr>
        <w:t>Suivi thérapeutique</w:t>
      </w:r>
      <w:r>
        <w:t xml:space="preserve"> : il n'y a pas de dosage plasmatique de routine du BAL. Le monitorage repose sur : (1) </w:t>
      </w:r>
      <w:r>
        <w:rPr>
          <w:b/>
        </w:rPr>
        <w:t>dosage de l'arsenic ou du mercure urinaire</w:t>
      </w:r>
      <w:r>
        <w:t xml:space="preserve"> des 24 heures (objectif : diminution de 50 % en 24-48 h) ; (2) </w:t>
      </w:r>
      <w:r>
        <w:rPr>
          <w:b/>
        </w:rPr>
        <w:t>signes cliniques</w:t>
      </w:r>
      <w:r>
        <w:t xml:space="preserve"> (régression de l'encéphalopathie, des troubles digestifs, de la protéinurie) ; (3) </w:t>
      </w:r>
      <w:r>
        <w:rPr>
          <w:b/>
        </w:rPr>
        <w:t>surveillance tensionnelle continue</w:t>
      </w:r>
      <w:r>
        <w:t xml:space="preserve"> (risque d'hypertension par stimulation sympathique) ; (4) </w:t>
      </w:r>
      <w:r>
        <w:rPr>
          <w:b/>
        </w:rPr>
        <w:t>surveillance ECG</w:t>
      </w:r>
      <w:r>
        <w:t xml:space="preserve"> (troubles du rythme) ; (5) </w:t>
      </w:r>
      <w:r>
        <w:rPr>
          <w:b/>
        </w:rPr>
        <w:t>surveillance rénale</w:t>
      </w:r>
      <w:r>
        <w:t xml:space="preserve"> (créatininémie, protéinurie) ; (6) </w:t>
      </w:r>
      <w:r>
        <w:rPr>
          <w:b/>
        </w:rPr>
        <w:t>surveillance hépatique</w:t>
      </w:r>
      <w:r>
        <w:t xml:space="preserve"> (ALAT, ASAT).</w:t>
      </w:r>
    </w:p>
    <w:p>
      <w:pPr>
        <w:pStyle w:val="Heading3"/>
      </w:pPr>
      <w:r>
        <w:t>192.7.5 Prévention et gestion des effets indésirables</w:t>
      </w:r>
    </w:p>
    <w:p>
      <w:r>
        <w:t>Les effets indésirables du dimercaprol sont nombreux, dose-dépendants, et expliquent en grande partie le remplacement du BAL par ses dérivés modernes (DMSA, DMPS) dans la pratique toxicologique contemporaine.</w:t>
      </w:r>
    </w:p>
    <w:p>
      <w:r/>
      <w:r>
        <w:rPr>
          <w:b/>
        </w:rPr>
        <w:t>Effets indésirables aigus dose-dépendants</w:t>
      </w:r>
      <w:r>
        <w:t xml:space="preserve"> :</w:t>
      </w:r>
    </w:p>
    <w:p>
      <w:pPr>
        <w:pStyle w:val="ListBullet"/>
      </w:pPr>
      <w:r/>
      <w:r>
        <w:rPr>
          <w:b/>
        </w:rPr>
        <w:t>Hypertension artérielle</w:t>
      </w:r>
      <w:r>
        <w:t xml:space="preserve"> (très fréquent, 30-50 %) : le BAL élève la PA par stimulation sympathique (libération de catécholamines), avec pic tensionnel à 15-30 minutes après l'injection IM, retour à la baseline à 2 heures. Prévention : surveillance tensionnelle continue, contrôle de l'HTA préexistante avant administration, contre-indication en cas d'HTA non contrôlée. Traitement : antihypertenseurs d'action rapide (nicardipine IV, labétalol IV) si PAS &gt; 180 mmHg ou PAD &gt; 110 mmHg.</w:t>
      </w:r>
    </w:p>
    <w:p>
      <w:pPr>
        <w:pStyle w:val="ListBullet"/>
      </w:pPr>
      <w:r/>
      <w:r>
        <w:rPr>
          <w:b/>
        </w:rPr>
        <w:t>Tachycardie</w:t>
      </w:r>
      <w:r>
        <w:t xml:space="preserve"> (fréquent, 20-30 %) : réaction sympathique, généralement modérée, régressive en 1-2 heures.</w:t>
      </w:r>
    </w:p>
    <w:p>
      <w:pPr>
        <w:pStyle w:val="ListBullet"/>
      </w:pPr>
      <w:r/>
      <w:r>
        <w:rPr>
          <w:b/>
        </w:rPr>
        <w:t>Nausées, vomissements</w:t>
      </w:r>
      <w:r>
        <w:t xml:space="preserve"> (très fréquents, 30-50 %) : liés à la stimulation du centre du vomissement par le BAL. Prévention : antiémétiques (ondansétron 4 mg IV), administration IM après repas léger.</w:t>
      </w:r>
    </w:p>
    <w:p>
      <w:pPr>
        <w:pStyle w:val="ListBullet"/>
      </w:pPr>
      <w:r/>
      <w:r>
        <w:rPr>
          <w:b/>
        </w:rPr>
        <w:t>Céphalées</w:t>
      </w:r>
      <w:r>
        <w:t xml:space="preserve"> (fréquentes, 20-30 %) : généralement modérées.</w:t>
      </w:r>
    </w:p>
    <w:p>
      <w:pPr>
        <w:pStyle w:val="ListBullet"/>
      </w:pPr>
      <w:r/>
      <w:r>
        <w:rPr>
          <w:b/>
        </w:rPr>
        <w:t>Brûlures oculaires, sensation de sable</w:t>
      </w:r>
      <w:r>
        <w:t xml:space="preserve"> (fréquentes, 20-30 %) : liées à la sécrétion lacrymale de BAL (odeur caractéristique soufrée des larmes, de la salive, de la sueur). Prévention : lavage oculaire, hygiène buccale.</w:t>
      </w:r>
    </w:p>
    <w:p>
      <w:pPr>
        <w:pStyle w:val="ListBullet"/>
      </w:pPr>
      <w:r/>
      <w:r>
        <w:rPr>
          <w:b/>
        </w:rPr>
        <w:t>Hypersialorrhée</w:t>
      </w:r>
      <w:r>
        <w:t xml:space="preserve"> (fréquence, 10-20 %) : sécrétion salivaire augmentée (odeur soufrée caractéristique).</w:t>
      </w:r>
    </w:p>
    <w:p>
      <w:pPr>
        <w:pStyle w:val="ListBullet"/>
      </w:pPr>
      <w:r/>
      <w:r>
        <w:rPr>
          <w:b/>
        </w:rPr>
        <w:t>Douleur au point d'injection IM</w:t>
      </w:r>
      <w:r>
        <w:t xml:space="preserve"> (très fréquent, 50-80 %) : le BAL en solution huileuse (arachide ou huile de soja) est irritant pour le muscle. Prévention : injection IM profonde stricte (muscle fessier), rotation des sites d'injection, application locale de glace après injection, antalgiques (paracétamol). La douleur peut être intense et prolongée (plusieurs heures).</w:t>
      </w:r>
    </w:p>
    <w:p>
      <w:pPr>
        <w:pStyle w:val="ListBullet"/>
      </w:pPr>
      <w:r/>
      <w:r>
        <w:rPr>
          <w:b/>
        </w:rPr>
        <w:t>Réactions anaphylactoïdes</w:t>
      </w:r>
      <w:r>
        <w:t xml:space="preserve"> (rares, &lt; 1 %) : urticaire, bronchospasme, hypotension (à distinguer de l'hypotension de la déplétion volémique). Prévention : surveillance continue lors de la première administration, arrêt immédiat en cas de réaction, adrénaline.</w:t>
      </w:r>
    </w:p>
    <w:p>
      <w:r/>
      <w:r>
        <w:rPr>
          <w:b/>
        </w:rPr>
        <w:t>Effets indésirables chroniques (cures prolongées)</w:t>
      </w:r>
      <w:r>
        <w:t xml:space="preserve"> :</w:t>
      </w:r>
    </w:p>
    <w:p>
      <w:pPr>
        <w:pStyle w:val="ListBullet"/>
      </w:pPr>
      <w:r/>
      <w:r>
        <w:rPr>
          <w:b/>
        </w:rPr>
        <w:t>Hépatotoxicité</w:t>
      </w:r>
      <w:r>
        <w:t xml:space="preserve"> (fréquence, 5-10 %) : élévation des transaminases (ALAT, ASAT), généralement réversible à l'arrêt. Prévention : surveillance hépatique (ALAT, ASAT) toutes les 48 heures, arrêt transitoire si ALAT &gt; 5 × LSN. Contre-indication en cas d'insuffisance hépatique préexistante sévère.</w:t>
      </w:r>
    </w:p>
    <w:p>
      <w:pPr>
        <w:pStyle w:val="ListBullet"/>
      </w:pPr>
      <w:r/>
      <w:r>
        <w:rPr>
          <w:b/>
        </w:rPr>
        <w:t>Néphrotoxicité</w:t>
      </w:r>
      <w:r>
        <w:t xml:space="preserve"> (fréquence, 5-10 %) : protéinurie, cylindrurie, élévation de la créatininémie. Le BAL est néphrotoxique à fortes doses et en cas d'insuffisance rénale préexistante. Prévention : surveillance rénale (créatininémie, protéinurie) toutes les 48 heures, alcalinisation des urines (pH &gt; 7,5) pour favoriser l'élimination du complexe BAL-métal et réduire la néphrotoxicité, hydratation IV abondante.</w:t>
      </w:r>
    </w:p>
    <w:p>
      <w:pPr>
        <w:pStyle w:val="ListBullet"/>
      </w:pPr>
      <w:r/>
      <w:r>
        <w:rPr>
          <w:b/>
        </w:rPr>
        <w:t>Éruptions cutanées</w:t>
      </w:r>
      <w:r>
        <w:t xml:space="preserve"> (fréquentes, 5-15 %) : rash maculopapuleux, prurit. Prévention : antihistaminiques, arrêt transitoire si prurit intense.</w:t>
      </w:r>
    </w:p>
    <w:p>
      <w:pPr>
        <w:pStyle w:val="ListBullet"/>
      </w:pPr>
      <w:r/>
      <w:r>
        <w:rPr>
          <w:b/>
        </w:rPr>
        <w:t>Stomatite</w:t>
      </w:r>
      <w:r>
        <w:t xml:space="preserve"> (fréquence, 5-10 %) : inflammation de la muqueuse buccale, liée à l'excrétion salivaire du BAL. Prévention : hygiène buccale, bains de bouche antiseptiques.</w:t>
      </w:r>
    </w:p>
    <w:p>
      <w:pPr>
        <w:pStyle w:val="ListBullet"/>
      </w:pPr>
      <w:r/>
      <w:r>
        <w:rPr>
          <w:b/>
        </w:rPr>
        <w:t>Fibrose hépatique</w:t>
      </w:r>
      <w:r>
        <w:t xml:space="preserve"> (rare, &lt; 1 %) : à long terme, en cas de cures répétées ou prolongées. Surveillance hépatique.</w:t>
      </w:r>
    </w:p>
    <w:p>
      <w:r/>
      <w:r>
        <w:rPr>
          <w:b/>
        </w:rPr>
        <w:t>Effets indésirables idiosyncrasiques</w:t>
      </w:r>
      <w:r>
        <w:t xml:space="preserve"> :</w:t>
      </w:r>
    </w:p>
    <w:p>
      <w:pPr>
        <w:pStyle w:val="ListBullet"/>
      </w:pPr>
      <w:r/>
      <w:r>
        <w:rPr>
          <w:b/>
        </w:rPr>
        <w:t>Hémolyse</w:t>
      </w:r>
      <w:r>
        <w:t xml:space="preserve"> (rare, &lt; 1 %) : chez le patient déficitaire en G6PD, le BAL est un oxydant qui provoque une hémolyse aiguë. Contre-indication absolue en cas de déficit en G6PD. Dépistage systématique du déficit en G6PD avant instauration du traitement (en particulier chez les patients d'origine méditerranéenne, africaine, asiatique).</w:t>
      </w:r>
    </w:p>
    <w:p>
      <w:r/>
      <w:r>
        <w:rPr>
          <w:b/>
        </w:rPr>
        <w:t>Effets indésirables spécifiques au contre-indication du BAL sur le méthylmercure</w:t>
      </w:r>
      <w:r>
        <w:t xml:space="preserve"> :</w:t>
      </w:r>
    </w:p>
    <w:p>
      <w:pPr>
        <w:pStyle w:val="ListBullet"/>
      </w:pPr>
      <w:r/>
      <w:r>
        <w:rPr>
          <w:b/>
        </w:rPr>
        <w:t>Aggravation de la neurotoxicité du méthylmercure</w:t>
      </w:r>
      <w:r>
        <w:t xml:space="preserve"> : le complexe BAL-MeHg+ est liposoluble, franchit la barrière hémato-encéphalique, et redistribue le méthylmercure vers le cerveau, aggravant la neurotoxicité (syndrome de Minamata). Contre-indication absolue du BAL en cas d'intoxication par le méthylmercure (MeHg+, organomercuriel).</w:t>
      </w:r>
    </w:p>
    <w:p>
      <w:pPr>
        <w:pStyle w:val="Heading3"/>
      </w:pPr>
      <w:r>
        <w:t>192.7.6 Interactions médicamenteuses</w:t>
      </w:r>
    </w:p>
    <w:p>
      <w:r>
        <w:t>Les interactions médicamenteuses du dimercaprol sont dominées par les interactions pharmacodynamiques (toxicité additive, compétition chélatrice) et les interactions physico-chimiques.</w:t>
      </w:r>
    </w:p>
    <w:p>
      <w:r/>
      <w:r>
        <w:rPr>
          <w:b/>
        </w:rPr>
        <w:t>Interactions pharmacodynamiques (toxicité additive)</w:t>
      </w:r>
      <w:r>
        <w:t xml:space="preserve"> :</w:t>
      </w:r>
    </w:p>
    <w:p>
      <w:pPr>
        <w:pStyle w:val="ListBullet"/>
      </w:pPr>
      <w:r/>
      <w:r>
        <w:rPr>
          <w:b/>
        </w:rPr>
        <w:t>Aminosides</w:t>
      </w:r>
      <w:r>
        <w:t xml:space="preserve"> (gentamicine, amikacine) : majoration de la néphrotoxicité (toxicité tubulaire additive). Éviter l'association, ou surveillance rénale accrue si l'association est indispensable.</w:t>
      </w:r>
    </w:p>
    <w:p>
      <w:pPr>
        <w:pStyle w:val="ListBullet"/>
      </w:pPr>
      <w:r/>
      <w:r>
        <w:rPr>
          <w:b/>
        </w:rPr>
        <w:t>Diurétiques de l'anse</w:t>
      </w:r>
      <w:r>
        <w:t xml:space="preserve"> (furosémide) : majoration de l'ototoxicité (rare avec le BAL, mais possible en association).</w:t>
      </w:r>
    </w:p>
    <w:p>
      <w:pPr>
        <w:pStyle w:val="ListBullet"/>
      </w:pPr>
      <w:r/>
      <w:r>
        <w:rPr>
          <w:b/>
        </w:rPr>
        <w:t>AINS</w:t>
      </w:r>
      <w:r>
        <w:t xml:space="preserve"> (ibuprofène, diclofénac, kétoprofène) : majoration de la néphrotoxicité. Prudence, surveillance rénale accrue.</w:t>
      </w:r>
    </w:p>
    <w:p>
      <w:pPr>
        <w:pStyle w:val="ListBullet"/>
      </w:pPr>
      <w:r/>
      <w:r>
        <w:rPr>
          <w:b/>
        </w:rPr>
        <w:t>Inhibiteurs de l'ECA</w:t>
      </w:r>
      <w:r>
        <w:t xml:space="preserve"> et ARA2 : majoration du risque d'hypotension (paradoxalement, en cas de surdosage de BAL avec hypertension, les IEC peuvent être utiles).</w:t>
      </w:r>
    </w:p>
    <w:p>
      <w:pPr>
        <w:pStyle w:val="ListBullet"/>
      </w:pPr>
      <w:r/>
      <w:r>
        <w:rPr>
          <w:b/>
        </w:rPr>
        <w:t>Médicaments ototoxiques</w:t>
      </w:r>
      <w:r>
        <w:t xml:space="preserve"> (cisplatine, aminosides, furosémide) : majoration de l'ototoxicité. Éviter.</w:t>
      </w:r>
    </w:p>
    <w:p>
      <w:r/>
      <w:r>
        <w:rPr>
          <w:b/>
        </w:rPr>
        <w:t>Interactions de chélation (compétition chélatrice)</w:t>
      </w:r>
      <w:r>
        <w:t xml:space="preserve"> :</w:t>
      </w:r>
    </w:p>
    <w:p>
      <w:pPr>
        <w:pStyle w:val="ListBullet"/>
      </w:pPr>
      <w:r/>
      <w:r>
        <w:rPr>
          <w:b/>
        </w:rPr>
        <w:t>Sels de fer</w:t>
      </w:r>
      <w:r>
        <w:t xml:space="preserve"> et </w:t>
      </w:r>
      <w:r>
        <w:rPr>
          <w:b/>
        </w:rPr>
        <w:t>sels de cuivre</w:t>
      </w:r>
      <w:r>
        <w:t xml:space="preserve"> : le BAL peut chélate accessoirement le fer et le cuivre (faible affinité), diminuant l'efficacité du BAL sur l'arsenic et le mercure. Espacer les prises d'au moins 2 heures.</w:t>
      </w:r>
    </w:p>
    <w:p>
      <w:pPr>
        <w:pStyle w:val="ListBullet"/>
      </w:pPr>
      <w:r/>
      <w:r>
        <w:rPr>
          <w:b/>
        </w:rPr>
        <w:t>EDTA calcique</w:t>
      </w:r>
      <w:r>
        <w:t xml:space="preserve"> (chélateur du plomb) : utilisé en association dans l'encéphalopathie saturnine (chélation combinée BAL + EDTA calcique). Le BAL est administré en première intention (4-5 mg/kg IM), avant l'EDTA calcique IV (à raison de 1500 mg/m²/jour en perfusion continue), en raison de la capacité du BAL à franchir la barrière hémato-encéphalique (contrairement à l'EDTA qui reste vasculaire). La chélation combinée BAL + EDTA calcique permet une déplétion plombée cérébrale et systémique rapide.</w:t>
      </w:r>
    </w:p>
    <w:p>
      <w:pPr>
        <w:pStyle w:val="ListBullet"/>
      </w:pPr>
      <w:r/>
      <w:r>
        <w:rPr>
          <w:b/>
        </w:rPr>
        <w:t>Pénicillamine</w:t>
      </w:r>
      <w:r>
        <w:t xml:space="preserve"> (chélateur oral du cuivre, maladie de Wilson) : pas d'association recommandée (compétition chélatrice, risque de redistribution du cuivre). Préférer le BAL seul en urgence, puis relais par pénicillamine.</w:t>
      </w:r>
    </w:p>
    <w:p>
      <w:r/>
      <w:r>
        <w:rPr>
          <w:b/>
        </w:rPr>
        <w:t>Interactions physico-chimiques</w:t>
      </w:r>
      <w:r>
        <w:t xml:space="preserve"> :</w:t>
      </w:r>
    </w:p>
    <w:p>
      <w:pPr>
        <w:pStyle w:val="ListBullet"/>
      </w:pPr>
      <w:r/>
      <w:r>
        <w:rPr>
          <w:b/>
        </w:rPr>
        <w:t>Solutions oxydantes</w:t>
      </w:r>
      <w:r>
        <w:t xml:space="preserve"> (peroxyde d'hydrogène, permanganate de potassium) : oxydation des groupements thiols du BAL, perte d'activité chélatrice. Ne pas mélanger.</w:t>
      </w:r>
    </w:p>
    <w:p>
      <w:pPr>
        <w:pStyle w:val="ListBullet"/>
      </w:pPr>
      <w:r/>
      <w:r>
        <w:rPr>
          <w:b/>
        </w:rPr>
        <w:t>Solutions alcalines</w:t>
      </w:r>
      <w:r>
        <w:t xml:space="preserve"> : précipitation du BAL. Ne pas mélanger.</w:t>
      </w:r>
    </w:p>
    <w:p>
      <w:pPr>
        <w:pStyle w:val="ListBullet"/>
      </w:pPr>
      <w:r/>
      <w:r>
        <w:rPr>
          <w:b/>
        </w:rPr>
        <w:t>Métaux lourds</w:t>
      </w:r>
      <w:r>
        <w:t xml:space="preserve"> (Fe, Cu, Ca, Mg) en perfusion simultanée : compétition pour la chélation, inefficacité. Ne pas mélanger.</w:t>
      </w:r>
    </w:p>
    <w:p>
      <w:r/>
      <w:r>
        <w:rPr>
          <w:b/>
        </w:rPr>
        <w:t>Surveillance biologique associée</w:t>
      </w:r>
      <w:r>
        <w:t xml:space="preserve"> : dosage de l'arsenic ou du mercure urinaire des 24 heures, créatininémie et protéinurie toutes les 48 heures, ALAT/ASAT toutes les 48 heures, NFS (recherche d'hémolyse), ECG (troubles du rythme), tension artérielle continue.</w:t>
      </w:r>
    </w:p>
    <w:p>
      <w:pPr>
        <w:pStyle w:val="Heading3"/>
      </w:pPr>
      <w:r>
        <w:t>192.7.7 Grossesse, allaitement et données CRAT</w:t>
      </w:r>
    </w:p>
    <w:p>
      <w:r/>
      <w:r>
        <w:rPr>
          <w:b/>
        </w:rPr>
        <w:t>Grossesse</w:t>
      </w:r>
      <w:r>
        <w:t xml:space="preserve"> : selon le CRAT et l'ANSM, le dimercaprol est </w:t>
      </w:r>
      <w:r>
        <w:rPr>
          <w:b/>
        </w:rPr>
        <w:t>contre-indiqué pendant la grossesse</w:t>
      </w:r>
      <w:r>
        <w:t xml:space="preserve"> sauf urgence vitale maternelle (intoxication arsenicale ou mercurielle aiguë sévère avec risque vital immédiat). Les données animales (souris, rat, lapin) ont mis en évidence une embryotoxicité, une fœtotoxicité et une tératogénicité (malformations squelettiques, cardiovasculaires) à doses maternotoxiques. Les données humaines sont limitées (séries de cas rapportés, sans signal tératogène majeur mais effectifs insuffisants). Le passage placentaire est documenté (rapport cordon/maternel ≈ 0,5), et le complexe BAL-métal traverse le placenta.</w:t>
      </w:r>
    </w:p>
    <w:p>
      <w:r/>
      <w:r>
        <w:rPr>
          <w:b/>
        </w:rPr>
        <w:t>Recommandations cliniques</w:t>
      </w:r>
      <w:r>
        <w:t xml:space="preserve"> : (1) chez la femme enceinte, éviter le BAL sauf urgence vitale (intoxication arsenicale sévère avec choc, encéphalopathie, insuffisance hépatique fulminante) ; (2) en cas d'intoxication arsenicale modérée chez la femme enceinte, privilégier la prise en charge symptomatique (réanimation, hydratation, hémodialyse) sans BAL, sous surveillance obstétricale rapprochée ; (3) en cas d'urgence vitale maternelle nécessitant le BAL (intoxication arsenicale sévère), administrer le BAL à la dose efficace minimale (2-3 mg/kg IM), après information de la patiente sur le risque fœtal théorique, sous surveillance obstétricale et fœtale continue ; (4) surveillances obstétricales renforcées : échographies morphologiques répétées (16-22 SA), surveillance de la croissance fœtale, monitoring du rythme cardiaque fœtal.</w:t>
      </w:r>
    </w:p>
    <w:p>
      <w:r/>
      <w:r>
        <w:rPr>
          <w:b/>
        </w:rPr>
        <w:t>Allaitement</w:t>
      </w:r>
      <w:r>
        <w:t xml:space="preserve"> : selon le CRAT et l'ANSM, l'allaitement est </w:t>
      </w:r>
      <w:r>
        <w:rPr>
          <w:b/>
        </w:rPr>
        <w:t>contre-indiqué</w:t>
      </w:r>
      <w:r>
        <w:t xml:space="preserve"> pendant le traitement par dimercaprol. Le passage dans le lait maternel n'est pas documenté chez la femme, mais les données animales suggèrent un passage lacté probable (BAL lipophile, petite molécule). Le risque théorique de toxicité fœtale (hépatotoxicité, néphrotoxicité, hémolyse en cas de déficit en G6PD) n'est pas écarté. </w:t>
      </w:r>
      <w:r>
        <w:rPr>
          <w:b/>
        </w:rPr>
        <w:t>Recommandation</w:t>
      </w:r>
      <w:r>
        <w:t xml:space="preserve"> : arrêt de l'allaitement pendant le traitement par BAL et pendant 48 heures après la dernière injection (le BAL a une demi-vie courte, l'allaitement peut être repris 48 h après la dernière dose). Alternative : tirer le lait et le jeter pendant cette période.</w:t>
      </w:r>
    </w:p>
    <w:p>
      <w:r/>
      <w:r>
        <w:rPr>
          <w:b/>
        </w:rPr>
        <w:t>Femmes en âge de procréer</w:t>
      </w:r>
      <w:r>
        <w:t xml:space="preserve"> : contraception efficace obligatoire pendant le traitement et 1 mois après l'arrêt. Test de grossesse avant instauration du traitement en cas de doute. Information de la patiente sur le risque tératogène théorique du BAL.</w:t>
      </w:r>
    </w:p>
    <w:p>
      <w:pPr>
        <w:pStyle w:val="Heading3"/>
      </w:pPr>
      <w:r>
        <w:t>192.7.8 Posologie et modes d'administration</w:t>
      </w:r>
    </w:p>
    <w:p>
      <w:r/>
      <w:r>
        <w:rPr>
          <w:b/>
        </w:rPr>
        <w:t>Posologie adulte</w:t>
      </w:r>
      <w:r>
        <w:t xml:space="preserve"> (intoxication arsenicale aiguë) :</w:t>
      </w:r>
    </w:p>
    <w:p>
      <w:pPr>
        <w:pStyle w:val="ListBullet"/>
      </w:pPr>
      <w:r/>
      <w:r>
        <w:rPr>
          <w:b/>
        </w:rPr>
        <w:t>Phase d'attaque</w:t>
      </w:r>
      <w:r>
        <w:t xml:space="preserve"> : 3 à 5 mg/kg IM profonde toutes les 4 à 6 heures pendant 2 à 3 jours (soit 4 à 6 injections par jour). Exemple pour un adulte de 70 kg : 5 × 70 = 350 mg par injection, soit 7 mL de la solution à 50 mg/mL par injection.</w:t>
      </w:r>
    </w:p>
    <w:p>
      <w:pPr>
        <w:pStyle w:val="ListBullet"/>
      </w:pPr>
      <w:r/>
      <w:r>
        <w:rPr>
          <w:b/>
        </w:rPr>
        <w:t>Phase d'entretien</w:t>
      </w:r>
      <w:r>
        <w:t xml:space="preserve"> : 2 à 3 mg/kg IM toutes les 12 heures pendant 7 à 10 jours.</w:t>
      </w:r>
    </w:p>
    <w:p>
      <w:pPr>
        <w:pStyle w:val="ListBullet"/>
      </w:pPr>
      <w:r/>
      <w:r>
        <w:rPr>
          <w:b/>
        </w:rPr>
        <w:t>Dose maximale par injection</w:t>
      </w:r>
      <w:r>
        <w:t xml:space="preserve"> : 5 mg/kg (sans dépasser 300 mg par injection chez l'adulte).</w:t>
      </w:r>
    </w:p>
    <w:p>
      <w:pPr>
        <w:pStyle w:val="ListBullet"/>
      </w:pPr>
      <w:r/>
      <w:r>
        <w:rPr>
          <w:b/>
        </w:rPr>
        <w:t>Dose maximale par 24 heures</w:t>
      </w:r>
      <w:r>
        <w:t xml:space="preserve"> : 24 mg/kg (sans dépasser 1800 mg/24h chez l'adulte).</w:t>
      </w:r>
    </w:p>
    <w:p>
      <w:pPr>
        <w:pStyle w:val="ListBullet"/>
      </w:pPr>
      <w:r/>
      <w:r>
        <w:rPr>
          <w:b/>
        </w:rPr>
        <w:t>Durée totale du traitement</w:t>
      </w:r>
      <w:r>
        <w:t xml:space="preserve"> : 10 à 14 jours (relais par DMSA oral si disponible).</w:t>
      </w:r>
    </w:p>
    <w:p>
      <w:r/>
      <w:r>
        <w:rPr>
          <w:b/>
        </w:rPr>
        <w:t>Posologie adulte</w:t>
      </w:r>
      <w:r>
        <w:t xml:space="preserve"> (intoxication mercurielle inorganique aiguë) :</w:t>
      </w:r>
    </w:p>
    <w:p>
      <w:pPr>
        <w:pStyle w:val="ListBullet"/>
      </w:pPr>
      <w:r/>
      <w:r>
        <w:rPr>
          <w:b/>
        </w:rPr>
        <w:t>Dose initiale</w:t>
      </w:r>
      <w:r>
        <w:t xml:space="preserve"> : 5 mg/kg IM.</w:t>
      </w:r>
    </w:p>
    <w:p>
      <w:pPr>
        <w:pStyle w:val="ListBullet"/>
      </w:pPr>
      <w:r/>
      <w:r>
        <w:rPr>
          <w:b/>
        </w:rPr>
        <w:t>Phase d'entretien</w:t>
      </w:r>
      <w:r>
        <w:t xml:space="preserve"> : 2,5 mg/kg IM toutes les 12 heures pendant 10 jours.</w:t>
      </w:r>
    </w:p>
    <w:p>
      <w:r/>
      <w:r>
        <w:rPr>
          <w:b/>
        </w:rPr>
        <w:t>Posologie adulte</w:t>
      </w:r>
      <w:r>
        <w:t xml:space="preserve"> (encéphalopathie saturnine aiguë, indication hors AMM) :</w:t>
      </w:r>
    </w:p>
    <w:p>
      <w:pPr>
        <w:pStyle w:val="ListBullet"/>
      </w:pPr>
      <w:r/>
      <w:r>
        <w:rPr>
          <w:b/>
        </w:rPr>
        <w:t>Phase initiale (BAL seul)</w:t>
      </w:r>
      <w:r>
        <w:t xml:space="preserve"> : 4 à 5 mg/kg IM profonde toutes les 4 heures pendant 5 jours (en raison de la capacité du BAL à franchir la barrière hémato-encéphalique,contrairement à l'EDTA calcique qui reste vasculaire).</w:t>
      </w:r>
    </w:p>
    <w:p>
      <w:pPr>
        <w:pStyle w:val="ListBullet"/>
      </w:pPr>
      <w:r/>
      <w:r>
        <w:rPr>
          <w:b/>
        </w:rPr>
        <w:t>Phase secondaire (BAL + EDTA calcique)</w:t>
      </w:r>
      <w:r>
        <w:t xml:space="preserve"> : BAL 4 mg/kg IM toutes les 12 heures + EDTA calcique 1500 mg/m²/jour IV continue, pendant 5 jours.</w:t>
      </w:r>
    </w:p>
    <w:p>
      <w:pPr>
        <w:pStyle w:val="ListBullet"/>
      </w:pPr>
      <w:r/>
      <w:r>
        <w:rPr>
          <w:b/>
        </w:rPr>
        <w:t>Phase d'entretien (EDTA calcique seul)</w:t>
      </w:r>
      <w:r>
        <w:t xml:space="preserve"> : EDTA calcique 1500 mg/m²/jour IV continue pendant 5 jours supplémentaires.</w:t>
      </w:r>
    </w:p>
    <w:p>
      <w:r/>
      <w:r>
        <w:rPr>
          <w:b/>
        </w:rPr>
        <w:t>Posologie adulte</w:t>
      </w:r>
      <w:r>
        <w:t xml:space="preserve"> (intoxication par l'or thérapeutique) :</w:t>
      </w:r>
    </w:p>
    <w:p>
      <w:pPr>
        <w:pStyle w:val="ListBullet"/>
      </w:pPr>
      <w:r/>
      <w:r>
        <w:rPr>
          <w:b/>
        </w:rPr>
        <w:t>Dose initiale</w:t>
      </w:r>
      <w:r>
        <w:t xml:space="preserve"> : 2,5 mg/kg IM toutes les 12 heures pendant 10 jours.</w:t>
      </w:r>
    </w:p>
    <w:p>
      <w:r/>
      <w:r>
        <w:rPr>
          <w:b/>
        </w:rPr>
        <w:t>Posologie pédiatrique</w:t>
      </w:r>
      <w:r>
        <w:t xml:space="preserve"> :</w:t>
      </w:r>
    </w:p>
    <w:p>
      <w:pPr>
        <w:pStyle w:val="ListBullet"/>
      </w:pPr>
      <w:r/>
      <w:r>
        <w:rPr>
          <w:b/>
        </w:rPr>
        <w:t>Intoxication arsenicale aiguë</w:t>
      </w:r>
      <w:r>
        <w:t xml:space="preserve"> : 3 à 5 mg/kg IM toutes les 4 à 6 heures pendant 2 à 3 jours (phase d'attaque), puis 2 à 3 mg/kg IM toutes les 12 heures pendant 7 à 10 jours (phase d'entretien). Surveillance pédiatrique hospitalière obligatoire (USI pédiatrique).</w:t>
      </w:r>
    </w:p>
    <w:p>
      <w:pPr>
        <w:pStyle w:val="ListBullet"/>
      </w:pPr>
      <w:r/>
      <w:r>
        <w:rPr>
          <w:b/>
        </w:rPr>
        <w:t>Encéphalopathie saturnine</w:t>
      </w:r>
      <w:r>
        <w:t xml:space="preserve"> : 4 à 5 mg/kg IM toutes les 4 heures pendant 5 jours, en association avec EDTA calcique.</w:t>
      </w:r>
    </w:p>
    <w:p>
      <w:r/>
      <w:r>
        <w:rPr>
          <w:b/>
        </w:rPr>
        <w:t>Posologie en insuffisance rénale</w:t>
      </w:r>
      <w:r>
        <w:t xml:space="preserve"> :</w:t>
      </w:r>
    </w:p>
    <w:p>
      <w:pPr>
        <w:pStyle w:val="ListBullet"/>
      </w:pPr>
      <w:r>
        <w:t>DFG &gt; 60 mL/min : pas d'adaptation, surveillance accrue.</w:t>
      </w:r>
    </w:p>
    <w:p>
      <w:pPr>
        <w:pStyle w:val="ListBullet"/>
      </w:pPr>
      <w:r>
        <w:t>DFG 30-60 mL/min : réduction de 50 %, surveillance accrue (créatininémie toutes les 48 heures).</w:t>
      </w:r>
    </w:p>
    <w:p>
      <w:pPr>
        <w:pStyle w:val="ListBullet"/>
      </w:pPr>
      <w:r>
        <w:t>DFG &lt; 30 mL/min : contre-indication relative (alternative : hémodialyse avec BAL à dose réduite).</w:t>
      </w:r>
    </w:p>
    <w:p>
      <w:r/>
      <w:r>
        <w:rPr>
          <w:b/>
        </w:rPr>
        <w:t>Posologie en insuffisance hépatique</w:t>
      </w:r>
      <w:r>
        <w:t xml:space="preserve"> :</w:t>
      </w:r>
    </w:p>
    <w:p>
      <w:pPr>
        <w:pStyle w:val="ListBullet"/>
      </w:pPr>
      <w:r>
        <w:t>Insuffisance hépatique modérée : surveillance accrue (ALAT/ASAT toutes les 48 heures).</w:t>
      </w:r>
    </w:p>
    <w:p>
      <w:pPr>
        <w:pStyle w:val="ListBullet"/>
      </w:pPr>
      <w:r>
        <w:t>Insuffisance hépatique sévère : contre-indication (alternative : prise en charge symptomatique, hémodialyse).</w:t>
      </w:r>
    </w:p>
    <w:p>
      <w:r/>
      <w:r>
        <w:rPr>
          <w:b/>
        </w:rPr>
        <w:t>Mode d'administration</w:t>
      </w:r>
      <w:r>
        <w:t xml:space="preserve"> :</w:t>
      </w:r>
    </w:p>
    <w:p>
      <w:pPr>
        <w:pStyle w:val="ListBullet"/>
      </w:pPr>
      <w:r/>
      <w:r>
        <w:rPr>
          <w:b/>
        </w:rPr>
        <w:t>IM profonde stricte</w:t>
      </w:r>
      <w:r>
        <w:t xml:space="preserve"> : injection dans le muscle fessier (grand fessier, quadrant supéro-externe pour éviter le nerf sciatique) ou le muscle deltoïde. Voie IV contre-indiquée (risque d'hypertension sévère, d'arythmie). Voie SC contre-indiquée (irritation locale, nécrose).</w:t>
      </w:r>
    </w:p>
    <w:p>
      <w:pPr>
        <w:pStyle w:val="ListBullet"/>
      </w:pPr>
      <w:r/>
      <w:r>
        <w:rPr>
          <w:b/>
        </w:rPr>
        <w:t>Rotation des sites</w:t>
      </w:r>
      <w:r>
        <w:t xml:space="preserve"> : à chaque injection, alterner les sites (fesse droite, fesse gauche, deltoïde droit, deltoïde gauche) pour éviter les abcès et les nécroses musculaires.</w:t>
      </w:r>
    </w:p>
    <w:p>
      <w:pPr>
        <w:pStyle w:val="ListBullet"/>
      </w:pPr>
      <w:r/>
      <w:r>
        <w:rPr>
          <w:b/>
        </w:rPr>
        <w:t>Aspiration avant injection</w:t>
      </w:r>
      <w:r>
        <w:t xml:space="preserve"> : vérifier l'absence de retour veineux (la voie IV accidentelle peut être fatale).</w:t>
      </w:r>
    </w:p>
    <w:p>
      <w:pPr>
        <w:pStyle w:val="ListBullet"/>
      </w:pPr>
      <w:r/>
      <w:r>
        <w:rPr>
          <w:b/>
        </w:rPr>
        <w:t>Application locale de glace</w:t>
      </w:r>
      <w:r>
        <w:t xml:space="preserve"> après injection pour réduire la douleur.</w:t>
      </w:r>
    </w:p>
    <w:p>
      <w:pPr>
        <w:pStyle w:val="ListBullet"/>
      </w:pPr>
      <w:r/>
      <w:r>
        <w:rPr>
          <w:b/>
        </w:rPr>
        <w:t>Antalgiques</w:t>
      </w:r>
      <w:r>
        <w:t xml:space="preserve"> (paracétamol 1 g) 30 minutes avant et après l'injection pour réduire la douleur.</w:t>
      </w:r>
    </w:p>
    <w:p>
      <w:pPr>
        <w:pStyle w:val="Heading3"/>
      </w:pPr>
      <w:r>
        <w:t>192.7.9 Formes galéniques disponibles</w:t>
      </w:r>
    </w:p>
    <w:p>
      <w:r/>
      <w:r>
        <w:rPr>
          <w:b/>
        </w:rPr>
        <w:t>Forme galénique internationale</w:t>
      </w:r>
      <w:r>
        <w:t xml:space="preserve"> : le dimercaprol (BAL, British Anti-Lewisite) est commercialisé à l'international en </w:t>
      </w:r>
      <w:r>
        <w:rPr>
          <w:b/>
        </w:rPr>
        <w:t>solution injectable IM</w:t>
      </w:r>
      <w:r>
        <w:t xml:space="preserve"> à 50 mg/mL (concentration de 100 mg par ampoule de 2 mL, ou 150 mg par ampoule de 3 mL), en solution huileuse (arachide ou huile de soja) pour réduire l'irritation musculaire. Le conditionnement standard est la boîte de 1 ou 10 ampoules, en verre incolore, conservation à température inférieure de 25 °C, à l'abri de la lumière. La solution huileuse est visqueuse, nécessitant une injection lente (1 mL/30 secondes) en IM profonde.</w:t>
      </w:r>
    </w:p>
    <w:p>
      <w:r/>
      <w:r>
        <w:rPr>
          <w:b/>
        </w:rPr>
        <w:t>Disponibilité internationale</w:t>
      </w:r>
      <w:r>
        <w:t xml:space="preserve"> : le dimercaprol est commercialisé aux États-Unis (BAL, Akorn Pharmaceuticals ; BAL, Hynson Westcott &amp; Dunning), au Royaume-Uni (BAL, Alliance Pharmaceuticals), en France (BAL, laboratoires non commercialisés en routine, ATU nominative), en Inde (DIMERCAPROL, Nicholas Piramal). La disponibilité internationale est limitée, en raison de la supplantation du BAL par le DMSA et le DMPS dans la pratique toxicologique moderne.</w:t>
      </w:r>
    </w:p>
    <w:p>
      <w:r/>
      <w:r>
        <w:rPr>
          <w:b/>
        </w:rPr>
        <w:t>Disponibilité en Algérie</w:t>
      </w:r>
      <w:r>
        <w:t xml:space="preserve"> : à la date d'avril 2026, le dimercaprol (BAL) est </w:t>
      </w:r>
      <w:r>
        <w:rPr>
          <w:b/>
        </w:rPr>
        <w:t>absent</w:t>
      </w:r>
      <w:r>
        <w:t xml:space="preserve"> de la nomenclature algérienne des médicaments. Aucune spécialité commerciale ne contient du dimercaprol. Les centres antipoison, les services de réanimation toxicologique et les pharmacies hospitalières ne disposent pas de stock de dimercaprol. Cette absence impose le recours à la procédure d'autorisation temporaire d'utilisation (ATU) nominative pour importation exceptionnelle en cas d'intoxication arsenicale ou mercurielle documentée.</w:t>
      </w:r>
    </w:p>
    <w:p>
      <w:r/>
      <w:r>
        <w:rPr>
          <w:b/>
        </w:rPr>
        <w:t>Procédure ATU nominative en Algérie</w:t>
      </w:r>
      <w:r>
        <w:t xml:space="preserve"> : en cas d'intoxication arsenicale ou mercurielle aiguë, le centre antipoison d'Alger (Institut National de Santé Publique), en coordination avec le service de réanimation hospitalier, peut solliciter une ATU nominative auprès de la Direction de la Pharmacie et des Médicaments (Ministère de la Santé) pour importer exceptionnellement du dimercaprol (BAL) depuis un pays où il est disponible (États-Unis, Royaume-Uni, France, Inde). Cette procédure prend plusieurs jours à mettre en œuvre, ce qui peut être incompatible avec l'urgence d'une intoxication aiguë — d'où l'importance d'une prise en charge symptomatique et supportive parallèle (réanimation, hémodialyse).</w:t>
      </w:r>
    </w:p>
    <w:p>
      <w:r/>
      <w:r>
        <w:rPr>
          <w:b/>
        </w:rPr>
        <w:t>Conservation de la solution injectable</w:t>
      </w:r>
      <w:r>
        <w:t xml:space="preserve"> : à température inférieure à 25 °C, à l'abri de la lumière, hors de portée des enfants. Ne pas congeler (la congélation dénature la solution huileuse et altère l'activité chélatrice). Ne pas utiliser si la solution est trouble, colorée, ou contient des particules (précipitation des groupements thiols par oxydation).</w:t>
      </w:r>
    </w:p>
    <w:p>
      <w:r/>
      <w:r>
        <w:rPr>
          <w:b/>
        </w:rPr>
        <w:t>Incompatibilités physico-chimiques</w:t>
      </w:r>
      <w:r>
        <w:t xml:space="preserve"> : solutions oxydantes (peroxyde d'hydrogène, permanganate de potassium), solutions alcalines, métaux lourds en perfusion simultanée. Voie veineuse distincte obligatoire en cas d'association.</w:t>
      </w:r>
    </w:p>
    <w:p>
      <w:pPr>
        <w:pStyle w:val="Heading3"/>
      </w:pPr>
      <w:r>
        <w:t>192.7.10 Conseils au patient et éducation thérapeutique</w:t>
      </w:r>
    </w:p>
    <w:p>
      <w:r/>
      <w:r>
        <w:rPr>
          <w:b/>
        </w:rPr>
        <w:t>Éducation à la chélation urgente par BAL</w:t>
      </w:r>
      <w:r>
        <w:t xml:space="preserve"> : la chélation par dimercaprol est une thérapeutique </w:t>
      </w:r>
      <w:r>
        <w:rPr>
          <w:b/>
        </w:rPr>
        <w:t>d'urgence</w:t>
      </w:r>
      <w:r>
        <w:t xml:space="preserve"> administrée en milieu hospitalier (réanimation, centre antipoison), contrairement aux chélateurs oraux du fer qui peuvent être administrés en ambulatoire. Le patient (et/ou son entourage) doit être informé : (1) </w:t>
      </w:r>
      <w:r>
        <w:rPr>
          <w:b/>
        </w:rPr>
        <w:t>de la nature du traitement</w:t>
      </w:r>
      <w:r>
        <w:t xml:space="preserve"> — le BAL est un chélateur de l'arsenic et du mercure, administré en injections IM profondes répétées (4 à 6 injections par jour en phase aiguë), pour une durée totale de 10 à 14 jours ; (2) </w:t>
      </w:r>
      <w:r>
        <w:rPr>
          <w:b/>
        </w:rPr>
        <w:t>des effets indésirables fréquents</w:t>
      </w:r>
      <w:r>
        <w:t xml:space="preserve"> — hypertension transitoire, nausées, vomissements, céphalées, brûlures oculaires, hypersialorrhée (sécrétion salivaire augmentée avec odeur soufrée caractéristique), douleur au point d'injection IM — qui sont transitoires et régressifs à l'arrêt ; (3) </w:t>
      </w:r>
      <w:r>
        <w:rPr>
          <w:b/>
        </w:rPr>
        <w:t>des signes d'alerte nécessitant un avis médical immédiat</w:t>
      </w:r>
      <w:r>
        <w:t xml:space="preserve"> — fièvre élevée, angine ulcéro-nécrotique, urines foncées (hémolyse), ictère (hépatotoxicité), œdèmes, baisse d'urine (néphrotoxicité) ; (4) </w:t>
      </w:r>
      <w:r>
        <w:rPr>
          <w:b/>
        </w:rPr>
        <w:t>de la nécessité de surveillance biologique</w:t>
      </w:r>
      <w:r>
        <w:t xml:space="preserve"> — dosage de l'arsenic ou du mercure urinaire des 24 heures, créatininémie, ALAT/ASAT, NFS, ECG, surveillance tensionnelle continue.</w:t>
      </w:r>
    </w:p>
    <w:p>
      <w:r/>
      <w:r>
        <w:rPr>
          <w:b/>
        </w:rPr>
        <w:t>Surveillance de l'efficacité</w:t>
      </w:r>
      <w:r>
        <w:t xml:space="preserve"> : la </w:t>
      </w:r>
      <w:r>
        <w:rPr>
          <w:b/>
        </w:rPr>
        <w:t>diminution de l'arsenic ou du mercure urinaire</w:t>
      </w:r>
      <w:r>
        <w:t xml:space="preserve"> des 24 heures (objectif : diminution de 50 % en 24-48 h) est le marqueur biologique principal d'efficacité. L'</w:t>
      </w:r>
      <w:r>
        <w:rPr>
          <w:b/>
        </w:rPr>
        <w:t>amélioration clinique</w:t>
      </w:r>
      <w:r>
        <w:t xml:space="preserve"> (régression de l'encéphalopathie, des troubles digestifs, de l'atteinte hépatique, de la protéinurie) est le marqueur clinique.</w:t>
      </w:r>
    </w:p>
    <w:p>
      <w:r/>
      <w:r>
        <w:rPr>
          <w:b/>
        </w:rPr>
        <w:t>Surveillance de la tolérance</w:t>
      </w:r>
      <w:r>
        <w:t xml:space="preserve"> : (1) </w:t>
      </w:r>
      <w:r>
        <w:rPr>
          <w:b/>
        </w:rPr>
        <w:t>tension artérielle continue</w:t>
      </w:r>
      <w:r>
        <w:t xml:space="preserve"> (risque d'hypertension par stimulation sympathique) — alerter si PAS &gt; 180 mmHg ou PAD &gt; 110 mmHg ; (2) </w:t>
      </w:r>
      <w:r>
        <w:rPr>
          <w:b/>
        </w:rPr>
        <w:t>ECG</w:t>
      </w:r>
      <w:r>
        <w:t xml:space="preserve"> (troubles du rythme) — alerter en cas de tachycardie ventriculaire, d'allongement du QT ; (3) </w:t>
      </w:r>
      <w:r>
        <w:rPr>
          <w:b/>
        </w:rPr>
        <w:t>créatininémie et protéinurie</w:t>
      </w:r>
      <w:r>
        <w:t xml:space="preserve"> toutes les 48 heures — alerter si créatininémie &gt; 2 × baseline ; (4) </w:t>
      </w:r>
      <w:r>
        <w:rPr>
          <w:b/>
        </w:rPr>
        <w:t>ALAT/ASAT</w:t>
      </w:r>
      <w:r>
        <w:t xml:space="preserve"> toutes les 48 heures — alerter si ALAT &gt; 5 × LSN ; (5) </w:t>
      </w:r>
      <w:r>
        <w:rPr>
          <w:b/>
        </w:rPr>
        <w:t>NFS</w:t>
      </w:r>
      <w:r>
        <w:t xml:space="preserve"> (recherche d'hémolyse) — alerter si hémoglobine &lt; 10 g/dL, haptoglobine effondrée.</w:t>
      </w:r>
    </w:p>
    <w:p>
      <w:r/>
      <w:r>
        <w:rPr>
          <w:b/>
        </w:rPr>
        <w:t>Conseils pratiques</w:t>
      </w:r>
      <w:r>
        <w:t xml:space="preserve"> : (1) conservation de la solution injectable à &lt; 25 °C, à l'abri de la lumière ; (2) injection IM profonde stricte (jamais IV, jamais SC) ; (3) rotation des sites d'injection (fesses, deltoïdes) ; (4) application locale de glace après injection pour réduire la douleur ; (5) antalgiques (paracétamol 1 g) avant et après l'injection ; (6) éviter la consommation d'alcool pendant le traitement (hépatotoxicité additive) ; (7) éviter la grossesse pendant le traitement (contre-indication sauf urgence vitale) ; (8) arrêt de l'allaitement pendant le traitement et 48 heures après la dernière injection.</w:t>
      </w:r>
    </w:p>
    <w:p>
      <w:pPr>
        <w:pStyle w:val="Heading3"/>
      </w:pPr>
      <w:r>
        <w:t>192.7.11 Pièges au comptoir et au lit du patient (règles d'or)</w:t>
      </w:r>
    </w:p>
    <w:p>
      <w:r/>
      <w:r>
        <w:rPr>
          <w:b/>
        </w:rPr>
        <w:t>Piège n°1 — Hypertension artérielle post-injection</w:t>
      </w:r>
      <w:r>
        <w:t xml:space="preserve"> : le BAL provoque une hypertension artérielle transitoire (pic à 15-30 minutes après l'injection IM) par stimulation sympathique, qui peut être sévère (PAS &gt; 180 mmHg, PAD &gt; 110 mmHg) et déséquilibrer une HTA préexistante. </w:t>
      </w:r>
      <w:r>
        <w:rPr>
          <w:b/>
        </w:rPr>
        <w:t>Règle d'or</w:t>
      </w:r>
      <w:r>
        <w:t xml:space="preserve"> : surveillance tensionnelle continue (scope) pendant les 2 heures suivant chaque injection, contrôle de l'HTA préexistante avant administration, contre-indication en cas d'HTA non contrôlée. Traitement antihypertenseur d'action rapide (nicardipine IV, labétalol IV) si PAS &gt; 180 mmHg.</w:t>
      </w:r>
    </w:p>
    <w:p>
      <w:r/>
      <w:r>
        <w:rPr>
          <w:b/>
        </w:rPr>
        <w:t>Piège n°2 — Douleur au point d'injection IM</w:t>
      </w:r>
      <w:r>
        <w:t xml:space="preserve"> : le BAL en solution huileuse est irritant pour le muscle, et l'injection IM est très douloureuse (50-80 % des patients). La douleur peut être intense et prolongée (plusieurs heures), à l'origine d'une mauvaise observance et d'un refus des injections ultérieures. </w:t>
      </w:r>
      <w:r>
        <w:rPr>
          <w:b/>
        </w:rPr>
        <w:t>Règle d'or</w:t>
      </w:r>
      <w:r>
        <w:t xml:space="preserve"> : injection IM profonde stricte (muscle fessier, quadrant supéro-externe), rotation des sites d'injection à chaque dose, application locale de glace après injection, antalgiques (paracétamol 1 g) 30 minutes avant et après l'injection. Information du patient sur la douleur prévisible et son caractère transitoire.</w:t>
      </w:r>
    </w:p>
    <w:p>
      <w:r/>
      <w:r>
        <w:rPr>
          <w:b/>
        </w:rPr>
        <w:t>Piège n°3 — Contre-indication absolue du BAL sur le méthylmercure</w:t>
      </w:r>
      <w:r>
        <w:t xml:space="preserve"> : le BAL est contre-indiqué en cas d'intoxication par le </w:t>
      </w:r>
      <w:r>
        <w:rPr>
          <w:b/>
        </w:rPr>
        <w:t>méthylmercure</w:t>
      </w:r>
      <w:r>
        <w:t xml:space="preserve"> (MeHg+, organomercuriel, syndrome de Minamata) — le complexe BAL-MeHg+ est liposoluble, franchit la barrière hémato-encéphalique, et aggrave la neurotoxicité. </w:t>
      </w:r>
      <w:r>
        <w:rPr>
          <w:b/>
        </w:rPr>
        <w:t>Règle d'or</w:t>
      </w:r>
      <w:r>
        <w:t xml:space="preserve"> : avant d'administrer le BAL, vérifier la nature de l'intoxication mercurielle (inorganique = Hg2+ → BAL indiqué ; organique = MeHg+ → BAL contre-indiqué). En cas de doute, ne pas administrer le BAL et contacter le centre antipoison.</w:t>
      </w:r>
    </w:p>
    <w:p>
      <w:r/>
      <w:r>
        <w:rPr>
          <w:b/>
        </w:rPr>
        <w:t>Piège n°4 — Déficit en G6PD</w:t>
      </w:r>
      <w:r>
        <w:t xml:space="preserve"> : le BAL est un oxydant qui provoque une hémolyse aiguë chez le patient déficitaire en G6PD (prévalence 5-10 % en Algérie, particulièrement chez les patients d'origine méditerranéenne, africaine, asiatique). </w:t>
      </w:r>
      <w:r>
        <w:rPr>
          <w:b/>
        </w:rPr>
        <w:t>Règle d'or</w:t>
      </w:r>
      <w:r>
        <w:t xml:space="preserve"> : dépistage systématique du déficit en G6PD avant instauration du traitement (test enzymatique erythrocytaire). Contre-indication absolue en cas de déficit en G6PD confirmé.</w:t>
      </w:r>
    </w:p>
    <w:p>
      <w:r/>
      <w:r>
        <w:rPr>
          <w:b/>
        </w:rPr>
        <w:t>Piège n°5 — Piège nomenclature BALSOFUMINE / BAL</w:t>
      </w:r>
      <w:r>
        <w:t xml:space="preserve"> : la base de données algérienne référence sous la rubrique « Dimercaprol (BAL) » des spécialités balsamiques pour inhalation (BALSOFUMINE, RHUM 'NET, VAPORHUM, VIC) qui ne contiennent pas de dimercaprol. </w:t>
      </w:r>
      <w:r>
        <w:rPr>
          <w:b/>
        </w:rPr>
        <w:t>Règle d'or</w:t>
      </w:r>
      <w:r>
        <w:t xml:space="preserve"> : ne jamais utiliser ces balsamiques à visée chélatrice en cas d'intoxication arsenicale ou mercurielle — ils sont sans efficacité et potentiellement dangereux par retard à la prise en charge spécifique. Le dimercaprol (BAL) est </w:t>
      </w:r>
      <w:r>
        <w:rPr>
          <w:b/>
        </w:rPr>
        <w:t>absent</w:t>
      </w:r>
      <w:r>
        <w:t xml:space="preserve"> du marché algérien à la date d'avril 2026 ; en cas d'intoxication arsenicale ou mercurielle, recourir à la procédure ATU nominative ou à la prise en charge symptomatique (hémodialyse).</w:t>
      </w:r>
    </w:p>
    <w:p>
      <w:r/>
      <w:r>
        <w:rPr>
          <w:b/>
        </w:rPr>
        <w:t>Piège n°6 — Voie IV contre-indiquée</w:t>
      </w:r>
      <w:r>
        <w:t xml:space="preserve"> : le BAL ne doit </w:t>
      </w:r>
      <w:r>
        <w:rPr>
          <w:b/>
        </w:rPr>
        <w:t>jamais</w:t>
      </w:r>
      <w:r>
        <w:t xml:space="preserve"> être administré par voie IV (risque d'hypertension sévère, d'arythmie, de collapsus cardiovasculaire). La voie d'administration est exclusivement IM profonde stricte. </w:t>
      </w:r>
      <w:r>
        <w:rPr>
          <w:b/>
        </w:rPr>
        <w:t>Règle d'or</w:t>
      </w:r>
      <w:r>
        <w:t xml:space="preserve"> : vérifier la voie d'administration avant chaque injection (IM profonde, jamais IV, jamais SC), aspiration avant injection pour vérifier l'absence de retour veineux.</w:t>
      </w:r>
    </w:p>
    <w:p>
      <w:r/>
      <w:r>
        <w:rPr>
          <w:b/>
        </w:rPr>
        <w:t>Piège n°7 — Insuffisance rénale non détectée</w:t>
      </w:r>
      <w:r>
        <w:t xml:space="preserve"> : le BAL est néphrotoxique et sa clairance dépend de la filtration glomérulaire. Une insuffisance rénale préexistante (notamment en cas d'intoxication mercurielle avec néphrotoxicité intrinsèque) peut être aggravée par le BAL. </w:t>
      </w:r>
      <w:r>
        <w:rPr>
          <w:b/>
        </w:rPr>
        <w:t>Règle d'or</w:t>
      </w:r>
      <w:r>
        <w:t xml:space="preserve"> : créatininémie et protéinurie systématiques avant l'instauration du traitement, puis toutes les 48 heures. Réduction posologique de 50 % si DFG &lt; 60 mL/min. Hémodialyse si DFG &lt; 30 mL/min avec surcharge sévère (la dialyse élimine le complexe BAL-métal).</w:t>
      </w:r>
    </w:p>
    <w:p>
      <w:r/>
      <w:r>
        <w:rPr>
          <w:b/>
        </w:rPr>
        <w:t>Piège n°8 — Alcalinisation des urines</w:t>
      </w:r>
      <w:r>
        <w:t xml:space="preserve"> : l'alcalinisation des urines (pH &gt; 7,5) par perfusion de bicarbonate de sodium (1,4 % ou 4,2 %) favorise l'élimination du complexe BAL-métal et réduit la néphrotoxicité tubulaire. </w:t>
      </w:r>
      <w:r>
        <w:rPr>
          <w:b/>
        </w:rPr>
        <w:t>Règle d'or</w:t>
      </w:r>
      <w:r>
        <w:t xml:space="preserve"> : associer systématiquement une alcalinisation des urines (objectif pH urinaire &gt; 7,5) et une hydratation IV abondante (3 L/jour) au traitement par BAL.</w:t>
      </w:r>
    </w:p>
    <w:p>
      <w:pPr>
        <w:pStyle w:val="Heading2"/>
      </w:pPr>
      <w:r>
        <w:t>192.8 Tableau comparatif des chélateurs de métaux lourds</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Paramètre</w:t>
            </w:r>
          </w:p>
        </w:tc>
        <w:tc>
          <w:tcPr>
            <w:tcW w:type="dxa" w:w="1871"/>
          </w:tcPr>
          <w:p>
            <w:r>
              <w:rPr>
                <w:b/>
                <w:sz w:val="20"/>
              </w:rPr>
              <w:t>Déféroxamine</w:t>
            </w:r>
          </w:p>
        </w:tc>
        <w:tc>
          <w:tcPr>
            <w:tcW w:type="dxa" w:w="1871"/>
          </w:tcPr>
          <w:p>
            <w:r>
              <w:rPr>
                <w:b/>
                <w:sz w:val="20"/>
              </w:rPr>
              <w:t>Déférasirox</w:t>
            </w:r>
          </w:p>
        </w:tc>
        <w:tc>
          <w:tcPr>
            <w:tcW w:type="dxa" w:w="1871"/>
          </w:tcPr>
          <w:p>
            <w:r>
              <w:rPr>
                <w:b/>
                <w:sz w:val="20"/>
              </w:rPr>
              <w:t>Défériprome</w:t>
            </w:r>
          </w:p>
        </w:tc>
        <w:tc>
          <w:tcPr>
            <w:tcW w:type="dxa" w:w="1871"/>
          </w:tcPr>
          <w:p>
            <w:r>
              <w:rPr>
                <w:b/>
                <w:sz w:val="20"/>
              </w:rPr>
              <w:t>Dimercaprol (BAL)</w:t>
            </w:r>
          </w:p>
        </w:tc>
      </w:tr>
      <w:tr>
        <w:tc>
          <w:tcPr>
            <w:tcW w:type="dxa" w:w="1871"/>
          </w:tcPr>
          <w:p>
            <w:r>
              <w:rPr>
                <w:sz w:val="20"/>
              </w:rPr>
              <w:t>**DCI**</w:t>
            </w:r>
          </w:p>
        </w:tc>
        <w:tc>
          <w:tcPr>
            <w:tcW w:type="dxa" w:w="1871"/>
          </w:tcPr>
          <w:p>
            <w:r>
              <w:rPr>
                <w:sz w:val="20"/>
              </w:rPr>
              <w:t>Déféroxamine</w:t>
            </w:r>
          </w:p>
        </w:tc>
        <w:tc>
          <w:tcPr>
            <w:tcW w:type="dxa" w:w="1871"/>
          </w:tcPr>
          <w:p>
            <w:r>
              <w:rPr>
                <w:sz w:val="20"/>
              </w:rPr>
              <w:t>Déférasirox</w:t>
            </w:r>
          </w:p>
        </w:tc>
        <w:tc>
          <w:tcPr>
            <w:tcW w:type="dxa" w:w="1871"/>
          </w:tcPr>
          <w:p>
            <w:r>
              <w:rPr>
                <w:sz w:val="20"/>
              </w:rPr>
              <w:t>Défériprome</w:t>
            </w:r>
          </w:p>
        </w:tc>
        <w:tc>
          <w:tcPr>
            <w:tcW w:type="dxa" w:w="1871"/>
          </w:tcPr>
          <w:p>
            <w:r>
              <w:rPr>
                <w:sz w:val="20"/>
              </w:rPr>
              <w:t>Dimercaprol (BAL)</w:t>
            </w:r>
          </w:p>
        </w:tc>
      </w:tr>
      <w:tr>
        <w:tc>
          <w:tcPr>
            <w:tcW w:type="dxa" w:w="1871"/>
          </w:tcPr>
          <w:p>
            <w:r>
              <w:rPr>
                <w:sz w:val="20"/>
              </w:rPr>
              <w:t>**Sous-classe**</w:t>
            </w:r>
          </w:p>
        </w:tc>
        <w:tc>
          <w:tcPr>
            <w:tcW w:type="dxa" w:w="1871"/>
          </w:tcPr>
          <w:p>
            <w:r>
              <w:rPr>
                <w:sz w:val="20"/>
              </w:rPr>
              <w:t>Chélateur du fer (parentéral)</w:t>
            </w:r>
          </w:p>
        </w:tc>
        <w:tc>
          <w:tcPr>
            <w:tcW w:type="dxa" w:w="1871"/>
          </w:tcPr>
          <w:p>
            <w:r>
              <w:rPr>
                <w:sz w:val="20"/>
              </w:rPr>
              <w:t>Chélateur du fer (oral)</w:t>
            </w:r>
          </w:p>
        </w:tc>
        <w:tc>
          <w:tcPr>
            <w:tcW w:type="dxa" w:w="1871"/>
          </w:tcPr>
          <w:p>
            <w:r>
              <w:rPr>
                <w:sz w:val="20"/>
              </w:rPr>
              <w:t>Chélateur du fer (oral)</w:t>
            </w:r>
          </w:p>
        </w:tc>
        <w:tc>
          <w:tcPr>
            <w:tcW w:type="dxa" w:w="1871"/>
          </w:tcPr>
          <w:p>
            <w:r>
              <w:rPr>
                <w:sz w:val="20"/>
              </w:rPr>
              <w:t>Chélateur arsenic/mercure</w:t>
            </w:r>
          </w:p>
        </w:tc>
      </w:tr>
      <w:tr>
        <w:tc>
          <w:tcPr>
            <w:tcW w:type="dxa" w:w="1871"/>
          </w:tcPr>
          <w:p>
            <w:r>
              <w:rPr>
                <w:sz w:val="20"/>
              </w:rPr>
              <w:t>**Code ATC**</w:t>
            </w:r>
          </w:p>
        </w:tc>
        <w:tc>
          <w:tcPr>
            <w:tcW w:type="dxa" w:w="1871"/>
          </w:tcPr>
          <w:p>
            <w:r>
              <w:rPr>
                <w:sz w:val="20"/>
              </w:rPr>
              <w:t>V03AC01</w:t>
            </w:r>
          </w:p>
        </w:tc>
        <w:tc>
          <w:tcPr>
            <w:tcW w:type="dxa" w:w="1871"/>
          </w:tcPr>
          <w:p>
            <w:r>
              <w:rPr>
                <w:sz w:val="20"/>
              </w:rPr>
              <w:t>V03AC03</w:t>
            </w:r>
          </w:p>
        </w:tc>
        <w:tc>
          <w:tcPr>
            <w:tcW w:type="dxa" w:w="1871"/>
          </w:tcPr>
          <w:p>
            <w:r>
              <w:rPr>
                <w:sz w:val="20"/>
              </w:rPr>
              <w:t>V03AC02</w:t>
            </w:r>
          </w:p>
        </w:tc>
        <w:tc>
          <w:tcPr>
            <w:tcW w:type="dxa" w:w="1871"/>
          </w:tcPr>
          <w:p>
            <w:r>
              <w:rPr>
                <w:sz w:val="20"/>
              </w:rPr>
              <w:t>V03AB09</w:t>
            </w:r>
          </w:p>
        </w:tc>
      </w:tr>
      <w:tr>
        <w:tc>
          <w:tcPr>
            <w:tcW w:type="dxa" w:w="1871"/>
          </w:tcPr>
          <w:p>
            <w:r>
              <w:rPr>
                <w:sz w:val="20"/>
              </w:rPr>
              <w:t>**Année d'AMM**</w:t>
            </w:r>
          </w:p>
        </w:tc>
        <w:tc>
          <w:tcPr>
            <w:tcW w:type="dxa" w:w="1871"/>
          </w:tcPr>
          <w:p>
            <w:r>
              <w:rPr>
                <w:sz w:val="20"/>
              </w:rPr>
              <w:t>1960</w:t>
            </w:r>
          </w:p>
        </w:tc>
        <w:tc>
          <w:tcPr>
            <w:tcW w:type="dxa" w:w="1871"/>
          </w:tcPr>
          <w:p>
            <w:r>
              <w:rPr>
                <w:sz w:val="20"/>
              </w:rPr>
              <w:t>2006</w:t>
            </w:r>
          </w:p>
        </w:tc>
        <w:tc>
          <w:tcPr>
            <w:tcW w:type="dxa" w:w="1871"/>
          </w:tcPr>
          <w:p>
            <w:r>
              <w:rPr>
                <w:sz w:val="20"/>
              </w:rPr>
              <w:t>1999</w:t>
            </w:r>
          </w:p>
        </w:tc>
        <w:tc>
          <w:tcPr>
            <w:tcW w:type="dxa" w:w="1871"/>
          </w:tcPr>
          <w:p>
            <w:r>
              <w:rPr>
                <w:sz w:val="20"/>
              </w:rPr>
              <w:t>1940</w:t>
            </w:r>
          </w:p>
        </w:tc>
      </w:tr>
      <w:tr>
        <w:tc>
          <w:tcPr>
            <w:tcW w:type="dxa" w:w="1871"/>
          </w:tcPr>
          <w:p>
            <w:r>
              <w:rPr>
                <w:sz w:val="20"/>
              </w:rPr>
              <w:t>**Formule chimique**</w:t>
            </w:r>
          </w:p>
        </w:tc>
        <w:tc>
          <w:tcPr>
            <w:tcW w:type="dxa" w:w="1871"/>
          </w:tcPr>
          <w:p>
            <w:r>
              <w:rPr>
                <w:sz w:val="20"/>
              </w:rPr>
              <w:t>Trihydroxamate naturel (Streptomyces pilosus)</w:t>
            </w:r>
          </w:p>
        </w:tc>
        <w:tc>
          <w:tcPr>
            <w:tcW w:type="dxa" w:w="1871"/>
          </w:tcPr>
          <w:p>
            <w:r>
              <w:rPr>
                <w:sz w:val="20"/>
              </w:rPr>
              <w:t>Triazole trihydroxypyridinique</w:t>
            </w:r>
          </w:p>
        </w:tc>
        <w:tc>
          <w:tcPr>
            <w:tcW w:type="dxa" w:w="1871"/>
          </w:tcPr>
          <w:p>
            <w:r>
              <w:rPr>
                <w:sz w:val="20"/>
              </w:rPr>
              <w:t>Hydroxypyridinone (HPO)</w:t>
            </w:r>
          </w:p>
        </w:tc>
        <w:tc>
          <w:tcPr>
            <w:tcW w:type="dxa" w:w="1871"/>
          </w:tcPr>
          <w:p>
            <w:r>
              <w:rPr>
                <w:sz w:val="20"/>
              </w:rPr>
              <w:t>Dithiol (1,2-dimercaptopropanol)</w:t>
            </w:r>
          </w:p>
        </w:tc>
      </w:tr>
      <w:tr>
        <w:tc>
          <w:tcPr>
            <w:tcW w:type="dxa" w:w="1871"/>
          </w:tcPr>
          <w:p>
            <w:r>
              <w:rPr>
                <w:sz w:val="20"/>
              </w:rPr>
              <w:t>**Formule brute**</w:t>
            </w:r>
          </w:p>
        </w:tc>
        <w:tc>
          <w:tcPr>
            <w:tcW w:type="dxa" w:w="1871"/>
          </w:tcPr>
          <w:p>
            <w:r>
              <w:rPr>
                <w:sz w:val="20"/>
              </w:rPr>
              <w:t>C25H48N6O8 (MW 560,7)</w:t>
            </w:r>
          </w:p>
        </w:tc>
        <w:tc>
          <w:tcPr>
            <w:tcW w:type="dxa" w:w="1871"/>
          </w:tcPr>
          <w:p>
            <w:r>
              <w:rPr>
                <w:sz w:val="20"/>
              </w:rPr>
              <w:t>C21H15N3O4 (MW 373,4)</w:t>
            </w:r>
          </w:p>
        </w:tc>
        <w:tc>
          <w:tcPr>
            <w:tcW w:type="dxa" w:w="1871"/>
          </w:tcPr>
          <w:p>
            <w:r>
              <w:rPr>
                <w:sz w:val="20"/>
              </w:rPr>
              <w:t>C7H9NO2 (MW 139,2)</w:t>
            </w:r>
          </w:p>
        </w:tc>
        <w:tc>
          <w:tcPr>
            <w:tcW w:type="dxa" w:w="1871"/>
          </w:tcPr>
          <w:p>
            <w:r>
              <w:rPr>
                <w:sz w:val="20"/>
              </w:rPr>
              <w:t>C3H8OS2 (MW 124,2)</w:t>
            </w:r>
          </w:p>
        </w:tc>
      </w:tr>
      <w:tr>
        <w:tc>
          <w:tcPr>
            <w:tcW w:type="dxa" w:w="1871"/>
          </w:tcPr>
          <w:p>
            <w:r>
              <w:rPr>
                <w:sz w:val="20"/>
              </w:rPr>
              <w:t>**Cible thérapeutique**</w:t>
            </w:r>
          </w:p>
        </w:tc>
        <w:tc>
          <w:tcPr>
            <w:tcW w:type="dxa" w:w="1871"/>
          </w:tcPr>
          <w:p>
            <w:r>
              <w:rPr>
                <w:sz w:val="20"/>
              </w:rPr>
              <w:t>Fe3+</w:t>
            </w:r>
          </w:p>
        </w:tc>
        <w:tc>
          <w:tcPr>
            <w:tcW w:type="dxa" w:w="1871"/>
          </w:tcPr>
          <w:p>
            <w:r>
              <w:rPr>
                <w:sz w:val="20"/>
              </w:rPr>
              <w:t>Fe3+</w:t>
            </w:r>
          </w:p>
        </w:tc>
        <w:tc>
          <w:tcPr>
            <w:tcW w:type="dxa" w:w="1871"/>
          </w:tcPr>
          <w:p>
            <w:r>
              <w:rPr>
                <w:sz w:val="20"/>
              </w:rPr>
              <w:t>Fe3+</w:t>
            </w:r>
          </w:p>
        </w:tc>
        <w:tc>
          <w:tcPr>
            <w:tcW w:type="dxa" w:w="1871"/>
          </w:tcPr>
          <w:p>
            <w:r>
              <w:rPr>
                <w:sz w:val="20"/>
              </w:rPr>
              <w:t>As3+, Hg2+, Pb2+, Au+</w:t>
            </w:r>
          </w:p>
        </w:tc>
      </w:tr>
      <w:tr>
        <w:tc>
          <w:tcPr>
            <w:tcW w:type="dxa" w:w="1871"/>
          </w:tcPr>
          <w:p>
            <w:r>
              <w:rPr>
                <w:sz w:val="20"/>
              </w:rPr>
              <w:t>**Type de coordination**</w:t>
            </w:r>
          </w:p>
        </w:tc>
        <w:tc>
          <w:tcPr>
            <w:tcW w:type="dxa" w:w="1871"/>
          </w:tcPr>
          <w:p>
            <w:r>
              <w:rPr>
                <w:sz w:val="20"/>
              </w:rPr>
              <w:t>Hexadentate (1:1)</w:t>
            </w:r>
          </w:p>
        </w:tc>
        <w:tc>
          <w:tcPr>
            <w:tcW w:type="dxa" w:w="1871"/>
          </w:tcPr>
          <w:p>
            <w:r>
              <w:rPr>
                <w:sz w:val="20"/>
              </w:rPr>
              <w:t>Tridentate (2:1)</w:t>
            </w:r>
          </w:p>
        </w:tc>
        <w:tc>
          <w:tcPr>
            <w:tcW w:type="dxa" w:w="1871"/>
          </w:tcPr>
          <w:p>
            <w:r>
              <w:rPr>
                <w:sz w:val="20"/>
              </w:rPr>
              <w:t>Bidentate (3:1)</w:t>
            </w:r>
          </w:p>
        </w:tc>
        <w:tc>
          <w:tcPr>
            <w:tcW w:type="dxa" w:w="1871"/>
          </w:tcPr>
          <w:p>
            <w:r>
              <w:rPr>
                <w:sz w:val="20"/>
              </w:rPr>
              <w:t>Bidentate (cyclic)</w:t>
            </w:r>
          </w:p>
        </w:tc>
      </w:tr>
      <w:tr>
        <w:tc>
          <w:tcPr>
            <w:tcW w:type="dxa" w:w="1871"/>
          </w:tcPr>
          <w:p>
            <w:r>
              <w:rPr>
                <w:sz w:val="20"/>
              </w:rPr>
              <w:t>**Constante de stabilité (Kf)**</w:t>
            </w:r>
          </w:p>
        </w:tc>
        <w:tc>
          <w:tcPr>
            <w:tcW w:type="dxa" w:w="1871"/>
          </w:tcPr>
          <w:p>
            <w:r>
              <w:rPr>
                <w:sz w:val="20"/>
              </w:rPr>
              <w:t>~10^30</w:t>
            </w:r>
          </w:p>
        </w:tc>
        <w:tc>
          <w:tcPr>
            <w:tcW w:type="dxa" w:w="1871"/>
          </w:tcPr>
          <w:p>
            <w:r>
              <w:rPr>
                <w:sz w:val="20"/>
              </w:rPr>
              <w:t>~10^36</w:t>
            </w:r>
          </w:p>
        </w:tc>
        <w:tc>
          <w:tcPr>
            <w:tcW w:type="dxa" w:w="1871"/>
          </w:tcPr>
          <w:p>
            <w:r>
              <w:rPr>
                <w:sz w:val="20"/>
              </w:rPr>
              <w:t>~10^36</w:t>
            </w:r>
          </w:p>
        </w:tc>
        <w:tc>
          <w:tcPr>
            <w:tcW w:type="dxa" w:w="1871"/>
          </w:tcPr>
          <w:p>
            <w:r>
              <w:rPr>
                <w:sz w:val="20"/>
              </w:rPr>
              <w:t>~10^15 (As3+)</w:t>
            </w:r>
          </w:p>
        </w:tc>
      </w:tr>
      <w:tr>
        <w:tc>
          <w:tcPr>
            <w:tcW w:type="dxa" w:w="1871"/>
          </w:tcPr>
          <w:p>
            <w:r>
              <w:rPr>
                <w:sz w:val="20"/>
              </w:rPr>
              <w:t>**Sélectivité**</w:t>
            </w:r>
          </w:p>
        </w:tc>
        <w:tc>
          <w:tcPr>
            <w:tcW w:type="dxa" w:w="1871"/>
          </w:tcPr>
          <w:p>
            <w:r>
              <w:rPr>
                <w:sz w:val="20"/>
              </w:rPr>
              <w:t>Fe3+ &gt;&gt; Ca2+, Mg2+, Zn2+</w:t>
            </w:r>
          </w:p>
        </w:tc>
        <w:tc>
          <w:tcPr>
            <w:tcW w:type="dxa" w:w="1871"/>
          </w:tcPr>
          <w:p>
            <w:r>
              <w:rPr>
                <w:sz w:val="20"/>
              </w:rPr>
              <w:t>Fe3+ &gt;&gt; Zn2+</w:t>
            </w:r>
          </w:p>
        </w:tc>
        <w:tc>
          <w:tcPr>
            <w:tcW w:type="dxa" w:w="1871"/>
          </w:tcPr>
          <w:p>
            <w:r>
              <w:rPr>
                <w:sz w:val="20"/>
              </w:rPr>
              <w:t>Fe3+ &gt;&gt; Zn2+</w:t>
            </w:r>
          </w:p>
        </w:tc>
        <w:tc>
          <w:tcPr>
            <w:tcW w:type="dxa" w:w="1871"/>
          </w:tcPr>
          <w:p>
            <w:r>
              <w:rPr>
                <w:sz w:val="20"/>
              </w:rPr>
              <w:t>As3+, Hg2+, Pb2+ &gt; Fe3+, Ca2+, Mg2+</w:t>
            </w:r>
          </w:p>
        </w:tc>
      </w:tr>
      <w:tr>
        <w:tc>
          <w:tcPr>
            <w:tcW w:type="dxa" w:w="1871"/>
          </w:tcPr>
          <w:p>
            <w:r>
              <w:rPr>
                <w:sz w:val="20"/>
              </w:rPr>
              <w:t>**Voie d'administration**</w:t>
            </w:r>
          </w:p>
        </w:tc>
        <w:tc>
          <w:tcPr>
            <w:tcW w:type="dxa" w:w="1871"/>
          </w:tcPr>
          <w:p>
            <w:r>
              <w:rPr>
                <w:sz w:val="20"/>
              </w:rPr>
              <w:t>IV, SC continue, IM</w:t>
            </w:r>
          </w:p>
        </w:tc>
        <w:tc>
          <w:tcPr>
            <w:tcW w:type="dxa" w:w="1871"/>
          </w:tcPr>
          <w:p>
            <w:r>
              <w:rPr>
                <w:sz w:val="20"/>
              </w:rPr>
              <w:t>Orale (orodispersible)</w:t>
            </w:r>
          </w:p>
        </w:tc>
        <w:tc>
          <w:tcPr>
            <w:tcW w:type="dxa" w:w="1871"/>
          </w:tcPr>
          <w:p>
            <w:r>
              <w:rPr>
                <w:sz w:val="20"/>
              </w:rPr>
              <w:t>Orale (gélule, comprimé)</w:t>
            </w:r>
          </w:p>
        </w:tc>
        <w:tc>
          <w:tcPr>
            <w:tcW w:type="dxa" w:w="1871"/>
          </w:tcPr>
          <w:p>
            <w:r>
              <w:rPr>
                <w:sz w:val="20"/>
              </w:rPr>
              <w:t>IM profonde stricte</w:t>
            </w:r>
          </w:p>
        </w:tc>
      </w:tr>
      <w:tr>
        <w:tc>
          <w:tcPr>
            <w:tcW w:type="dxa" w:w="1871"/>
          </w:tcPr>
          <w:p>
            <w:r>
              <w:rPr>
                <w:sz w:val="20"/>
              </w:rPr>
              <w:t>**Biodisponibilité orale**</w:t>
            </w:r>
          </w:p>
        </w:tc>
        <w:tc>
          <w:tcPr>
            <w:tcW w:type="dxa" w:w="1871"/>
          </w:tcPr>
          <w:p>
            <w:r>
              <w:rPr>
                <w:sz w:val="20"/>
              </w:rPr>
              <w:t>&lt; 2 % (nulle)</w:t>
            </w:r>
          </w:p>
        </w:tc>
        <w:tc>
          <w:tcPr>
            <w:tcW w:type="dxa" w:w="1871"/>
          </w:tcPr>
          <w:p>
            <w:r>
              <w:rPr>
                <w:sz w:val="20"/>
              </w:rPr>
              <w:t>~70 %</w:t>
            </w:r>
          </w:p>
        </w:tc>
        <w:tc>
          <w:tcPr>
            <w:tcW w:type="dxa" w:w="1871"/>
          </w:tcPr>
          <w:p>
            <w:r>
              <w:rPr>
                <w:sz w:val="20"/>
              </w:rPr>
              <w:t>~60-80 %</w:t>
            </w:r>
          </w:p>
        </w:tc>
        <w:tc>
          <w:tcPr>
            <w:tcW w:type="dxa" w:w="1871"/>
          </w:tcPr>
          <w:p>
            <w:r>
              <w:rPr>
                <w:sz w:val="20"/>
              </w:rPr>
              <w:t>0 % (nulle)</w:t>
            </w:r>
          </w:p>
        </w:tc>
      </w:tr>
      <w:tr>
        <w:tc>
          <w:tcPr>
            <w:tcW w:type="dxa" w:w="1871"/>
          </w:tcPr>
          <w:p>
            <w:r>
              <w:rPr>
                <w:sz w:val="20"/>
              </w:rPr>
              <w:t>**Demi-vie plasmatique**</w:t>
            </w:r>
          </w:p>
        </w:tc>
        <w:tc>
          <w:tcPr>
            <w:tcW w:type="dxa" w:w="1871"/>
          </w:tcPr>
          <w:p>
            <w:r>
              <w:rPr>
                <w:sz w:val="20"/>
              </w:rPr>
              <w:t>20 min</w:t>
            </w:r>
          </w:p>
        </w:tc>
        <w:tc>
          <w:tcPr>
            <w:tcW w:type="dxa" w:w="1871"/>
          </w:tcPr>
          <w:p>
            <w:r>
              <w:rPr>
                <w:sz w:val="20"/>
              </w:rPr>
              <w:t>8-16 h (moy 12 h)</w:t>
            </w:r>
          </w:p>
        </w:tc>
        <w:tc>
          <w:tcPr>
            <w:tcW w:type="dxa" w:w="1871"/>
          </w:tcPr>
          <w:p>
            <w:r>
              <w:rPr>
                <w:sz w:val="20"/>
              </w:rPr>
              <w:t>1-3 h (moy 2 h)</w:t>
            </w:r>
          </w:p>
        </w:tc>
        <w:tc>
          <w:tcPr>
            <w:tcW w:type="dxa" w:w="1871"/>
          </w:tcPr>
          <w:p>
            <w:r>
              <w:rPr>
                <w:sz w:val="20"/>
              </w:rPr>
              <w:t>30-60 min</w:t>
            </w:r>
          </w:p>
        </w:tc>
      </w:tr>
      <w:tr>
        <w:tc>
          <w:tcPr>
            <w:tcW w:type="dxa" w:w="1871"/>
          </w:tcPr>
          <w:p>
            <w:r>
              <w:rPr>
                <w:sz w:val="20"/>
              </w:rPr>
              <w:t>**Voie d'élimination**</w:t>
            </w:r>
          </w:p>
        </w:tc>
        <w:tc>
          <w:tcPr>
            <w:tcW w:type="dxa" w:w="1871"/>
          </w:tcPr>
          <w:p>
            <w:r>
              <w:rPr>
                <w:sz w:val="20"/>
              </w:rPr>
              <w:t>Urinaire 60-80 %, biliaire 20-40 %</w:t>
            </w:r>
          </w:p>
        </w:tc>
        <w:tc>
          <w:tcPr>
            <w:tcW w:type="dxa" w:w="1871"/>
          </w:tcPr>
          <w:p>
            <w:r>
              <w:rPr>
                <w:sz w:val="20"/>
              </w:rPr>
              <w:t>Biliaire 84 %, rénale 8 %</w:t>
            </w:r>
          </w:p>
        </w:tc>
        <w:tc>
          <w:tcPr>
            <w:tcW w:type="dxa" w:w="1871"/>
          </w:tcPr>
          <w:p>
            <w:r>
              <w:rPr>
                <w:sz w:val="20"/>
              </w:rPr>
              <w:t>Urinaire 75-90 %, biliaire 10-25 %</w:t>
            </w:r>
          </w:p>
        </w:tc>
        <w:tc>
          <w:tcPr>
            <w:tcW w:type="dxa" w:w="1871"/>
          </w:tcPr>
          <w:p>
            <w:r>
              <w:rPr>
                <w:sz w:val="20"/>
              </w:rPr>
              <w:t>Urinaire 50 %, biliaire 50 %</w:t>
            </w:r>
          </w:p>
        </w:tc>
      </w:tr>
      <w:tr>
        <w:tc>
          <w:tcPr>
            <w:tcW w:type="dxa" w:w="1871"/>
          </w:tcPr>
          <w:p>
            <w:r>
              <w:rPr>
                <w:sz w:val="20"/>
              </w:rPr>
              <w:t>**Posologie standard**</w:t>
            </w:r>
          </w:p>
        </w:tc>
        <w:tc>
          <w:tcPr>
            <w:tcW w:type="dxa" w:w="1871"/>
          </w:tcPr>
          <w:p>
            <w:r>
              <w:rPr>
                <w:sz w:val="20"/>
              </w:rPr>
              <w:t>20-60 mg/kg/jour SC 8-12h/jour, 5-7 j/sem</w:t>
            </w:r>
          </w:p>
        </w:tc>
        <w:tc>
          <w:tcPr>
            <w:tcW w:type="dxa" w:w="1871"/>
          </w:tcPr>
          <w:p>
            <w:r>
              <w:rPr>
                <w:sz w:val="20"/>
              </w:rPr>
              <w:t>20-40 mg/kg/jour en 1 prise</w:t>
            </w:r>
          </w:p>
        </w:tc>
        <w:tc>
          <w:tcPr>
            <w:tcW w:type="dxa" w:w="1871"/>
          </w:tcPr>
          <w:p>
            <w:r>
              <w:rPr>
                <w:sz w:val="20"/>
              </w:rPr>
              <w:t>75 mg/kg/jour en 3 prises</w:t>
            </w:r>
          </w:p>
        </w:tc>
        <w:tc>
          <w:tcPr>
            <w:tcW w:type="dxa" w:w="1871"/>
          </w:tcPr>
          <w:p>
            <w:r>
              <w:rPr>
                <w:sz w:val="20"/>
              </w:rPr>
              <w:t>3-5 mg/kg IM toutes les 4-6h (phase d'attaque)</w:t>
            </w:r>
          </w:p>
        </w:tc>
      </w:tr>
      <w:tr>
        <w:tc>
          <w:tcPr>
            <w:tcW w:type="dxa" w:w="1871"/>
          </w:tcPr>
          <w:p>
            <w:r>
              <w:rPr>
                <w:sz w:val="20"/>
              </w:rPr>
              <w:t>**Fréquence d'administration**</w:t>
            </w:r>
          </w:p>
        </w:tc>
        <w:tc>
          <w:tcPr>
            <w:tcW w:type="dxa" w:w="1871"/>
          </w:tcPr>
          <w:p>
            <w:r>
              <w:rPr>
                <w:sz w:val="20"/>
              </w:rPr>
              <w:t>Perfusion SC continue nocturne</w:t>
            </w:r>
          </w:p>
        </w:tc>
        <w:tc>
          <w:tcPr>
            <w:tcW w:type="dxa" w:w="1871"/>
          </w:tcPr>
          <w:p>
            <w:r>
              <w:rPr>
                <w:sz w:val="20"/>
              </w:rPr>
              <w:t>1 prise par jour (matin à jeun)</w:t>
            </w:r>
          </w:p>
        </w:tc>
        <w:tc>
          <w:tcPr>
            <w:tcW w:type="dxa" w:w="1871"/>
          </w:tcPr>
          <w:p>
            <w:r>
              <w:rPr>
                <w:sz w:val="20"/>
              </w:rPr>
              <w:t>3 prises par jour</w:t>
            </w:r>
          </w:p>
        </w:tc>
        <w:tc>
          <w:tcPr>
            <w:tcW w:type="dxa" w:w="1871"/>
          </w:tcPr>
          <w:p>
            <w:r>
              <w:rPr>
                <w:sz w:val="20"/>
              </w:rPr>
              <w:t>4-6 injections IM par jour</w:t>
            </w:r>
          </w:p>
        </w:tc>
      </w:tr>
      <w:tr>
        <w:tc>
          <w:tcPr>
            <w:tcW w:type="dxa" w:w="1871"/>
          </w:tcPr>
          <w:p>
            <w:r>
              <w:rPr>
                <w:sz w:val="20"/>
              </w:rPr>
              <w:t>**Surveillance principale**</w:t>
            </w:r>
          </w:p>
        </w:tc>
        <w:tc>
          <w:tcPr>
            <w:tcW w:type="dxa" w:w="1871"/>
          </w:tcPr>
          <w:p>
            <w:r>
              <w:rPr>
                <w:sz w:val="20"/>
              </w:rPr>
              <w:t>Audiométrie, fond d'œil, créatininémie, ferritinémie</w:t>
            </w:r>
          </w:p>
        </w:tc>
        <w:tc>
          <w:tcPr>
            <w:tcW w:type="dxa" w:w="1871"/>
          </w:tcPr>
          <w:p>
            <w:r>
              <w:rPr>
                <w:sz w:val="20"/>
              </w:rPr>
              <w:t>Créatininémie, bilan hépatique, ferritinémie</w:t>
            </w:r>
          </w:p>
        </w:tc>
        <w:tc>
          <w:tcPr>
            <w:tcW w:type="dxa" w:w="1871"/>
          </w:tcPr>
          <w:p>
            <w:r>
              <w:rPr>
                <w:sz w:val="20"/>
              </w:rPr>
              <w:t>NFS-plaquettes (neutropénie), bilan hépatique</w:t>
            </w:r>
          </w:p>
        </w:tc>
        <w:tc>
          <w:tcPr>
            <w:tcW w:type="dxa" w:w="1871"/>
          </w:tcPr>
          <w:p>
            <w:r>
              <w:rPr>
                <w:sz w:val="20"/>
              </w:rPr>
              <w:t>TA continue, ECG, NFS, bilan hépatique, arsenic/mercure urinaire</w:t>
            </w:r>
          </w:p>
        </w:tc>
      </w:tr>
      <w:tr>
        <w:tc>
          <w:tcPr>
            <w:tcW w:type="dxa" w:w="1871"/>
          </w:tcPr>
          <w:p>
            <w:r>
              <w:rPr>
                <w:sz w:val="20"/>
              </w:rPr>
              <w:t>**Toxicité principale**</w:t>
            </w:r>
          </w:p>
        </w:tc>
        <w:tc>
          <w:tcPr>
            <w:tcW w:type="dxa" w:w="1871"/>
          </w:tcPr>
          <w:p>
            <w:r>
              <w:rPr>
                <w:sz w:val="20"/>
              </w:rPr>
              <w:t>Oto-néphrotoxicité, hypotension IV</w:t>
            </w:r>
          </w:p>
        </w:tc>
        <w:tc>
          <w:tcPr>
            <w:tcW w:type="dxa" w:w="1871"/>
          </w:tcPr>
          <w:p>
            <w:r>
              <w:rPr>
                <w:sz w:val="20"/>
              </w:rPr>
              <w:t>Néphrotoxicité, hépatotoxicité, troubles digestifs</w:t>
            </w:r>
          </w:p>
        </w:tc>
        <w:tc>
          <w:tcPr>
            <w:tcW w:type="dxa" w:w="1871"/>
          </w:tcPr>
          <w:p>
            <w:r>
              <w:rPr>
                <w:sz w:val="20"/>
              </w:rPr>
              <w:t>Neutropénie/agranulocytose, hépatotoxicité</w:t>
            </w:r>
          </w:p>
        </w:tc>
        <w:tc>
          <w:tcPr>
            <w:tcW w:type="dxa" w:w="1871"/>
          </w:tcPr>
          <w:p>
            <w:r>
              <w:rPr>
                <w:sz w:val="20"/>
              </w:rPr>
              <w:t>HTA, douleur IM, hépatotoxicité</w:t>
            </w:r>
          </w:p>
        </w:tc>
      </w:tr>
      <w:tr>
        <w:tc>
          <w:tcPr>
            <w:tcW w:type="dxa" w:w="1871"/>
          </w:tcPr>
          <w:p>
            <w:r>
              <w:rPr>
                <w:sz w:val="20"/>
              </w:rPr>
              <w:t>**Toxicité dose-cumulée**</w:t>
            </w:r>
          </w:p>
        </w:tc>
        <w:tc>
          <w:tcPr>
            <w:tcW w:type="dxa" w:w="1871"/>
          </w:tcPr>
          <w:p>
            <w:r>
              <w:rPr>
                <w:sz w:val="20"/>
              </w:rPr>
              <w:t>Oto-rétinotoxicité (irréversible)</w:t>
            </w:r>
          </w:p>
        </w:tc>
        <w:tc>
          <w:tcPr>
            <w:tcW w:type="dxa" w:w="1871"/>
          </w:tcPr>
          <w:p>
            <w:r>
              <w:rPr>
                <w:sz w:val="20"/>
              </w:rPr>
              <w:t>Néphrotoxicité chronique</w:t>
            </w:r>
          </w:p>
        </w:tc>
        <w:tc>
          <w:tcPr>
            <w:tcW w:type="dxa" w:w="1871"/>
          </w:tcPr>
          <w:p>
            <w:r>
              <w:rPr>
                <w:sz w:val="20"/>
              </w:rPr>
              <w:t>Agranulocytose (potentiellement fatale)</w:t>
            </w:r>
          </w:p>
        </w:tc>
        <w:tc>
          <w:tcPr>
            <w:tcW w:type="dxa" w:w="1871"/>
          </w:tcPr>
          <w:p>
            <w:r>
              <w:rPr>
                <w:sz w:val="20"/>
              </w:rPr>
              <w:t>Hépatotoxicité chronique</w:t>
            </w:r>
          </w:p>
        </w:tc>
      </w:tr>
      <w:tr>
        <w:tc>
          <w:tcPr>
            <w:tcW w:type="dxa" w:w="1871"/>
          </w:tcPr>
          <w:p>
            <w:r>
              <w:rPr>
                <w:sz w:val="20"/>
              </w:rPr>
              <w:t>**Adaptation à la fonction rénale**</w:t>
            </w:r>
          </w:p>
        </w:tc>
        <w:tc>
          <w:tcPr>
            <w:tcW w:type="dxa" w:w="1871"/>
          </w:tcPr>
          <w:p>
            <w:r>
              <w:rPr>
                <w:sz w:val="20"/>
              </w:rPr>
              <w:t>Réduction si DFG &lt; 30 (50 %)</w:t>
            </w:r>
          </w:p>
        </w:tc>
        <w:tc>
          <w:tcPr>
            <w:tcW w:type="dxa" w:w="1871"/>
          </w:tcPr>
          <w:p>
            <w:r>
              <w:rPr>
                <w:sz w:val="20"/>
              </w:rPr>
              <w:t>Contre-indication relative si DFG &lt; 30</w:t>
            </w:r>
          </w:p>
        </w:tc>
        <w:tc>
          <w:tcPr>
            <w:tcW w:type="dxa" w:w="1871"/>
          </w:tcPr>
          <w:p>
            <w:r>
              <w:rPr>
                <w:sz w:val="20"/>
              </w:rPr>
              <w:t>Contre-indication relative si DFG &lt; 30</w:t>
            </w:r>
          </w:p>
        </w:tc>
        <w:tc>
          <w:tcPr>
            <w:tcW w:type="dxa" w:w="1871"/>
          </w:tcPr>
          <w:p>
            <w:r>
              <w:rPr>
                <w:sz w:val="20"/>
              </w:rPr>
              <w:t>Réduction si DFG &lt; 60 (50 %)</w:t>
            </w:r>
          </w:p>
        </w:tc>
      </w:tr>
      <w:tr>
        <w:tc>
          <w:tcPr>
            <w:tcW w:type="dxa" w:w="1871"/>
          </w:tcPr>
          <w:p>
            <w:r>
              <w:rPr>
                <w:sz w:val="20"/>
              </w:rPr>
              <w:t>**Adaptation à la fonction hépatique**</w:t>
            </w:r>
          </w:p>
        </w:tc>
        <w:tc>
          <w:tcPr>
            <w:tcW w:type="dxa" w:w="1871"/>
          </w:tcPr>
          <w:p>
            <w:r>
              <w:rPr>
                <w:sz w:val="20"/>
              </w:rPr>
              <w:t>Surveillance accrue</w:t>
            </w:r>
          </w:p>
        </w:tc>
        <w:tc>
          <w:tcPr>
            <w:tcW w:type="dxa" w:w="1871"/>
          </w:tcPr>
          <w:p>
            <w:r>
              <w:rPr>
                <w:sz w:val="20"/>
              </w:rPr>
              <w:t>Contre-indication si Child-Pugh C</w:t>
            </w:r>
          </w:p>
        </w:tc>
        <w:tc>
          <w:tcPr>
            <w:tcW w:type="dxa" w:w="1871"/>
          </w:tcPr>
          <w:p>
            <w:r>
              <w:rPr>
                <w:sz w:val="20"/>
              </w:rPr>
              <w:t>Contre-indication si Child-Pugh C</w:t>
            </w:r>
          </w:p>
        </w:tc>
        <w:tc>
          <w:tcPr>
            <w:tcW w:type="dxa" w:w="1871"/>
          </w:tcPr>
          <w:p>
            <w:r>
              <w:rPr>
                <w:sz w:val="20"/>
              </w:rPr>
              <w:t>Contre-indication si insuffisance hépatique sévère</w:t>
            </w:r>
          </w:p>
        </w:tc>
      </w:tr>
      <w:tr>
        <w:tc>
          <w:tcPr>
            <w:tcW w:type="dxa" w:w="1871"/>
          </w:tcPr>
          <w:p>
            <w:r>
              <w:rPr>
                <w:sz w:val="20"/>
              </w:rPr>
              <w:t>**Grossesse (CRAT)**</w:t>
            </w:r>
          </w:p>
        </w:tc>
        <w:tc>
          <w:tcPr>
            <w:tcW w:type="dxa" w:w="1871"/>
          </w:tcPr>
          <w:p>
            <w:r>
              <w:rPr>
                <w:sz w:val="20"/>
              </w:rPr>
              <w:t>Première intention, envisageable</w:t>
            </w:r>
          </w:p>
        </w:tc>
        <w:tc>
          <w:tcPr>
            <w:tcW w:type="dxa" w:w="1871"/>
          </w:tcPr>
          <w:p>
            <w:r>
              <w:rPr>
                <w:sz w:val="20"/>
              </w:rPr>
              <w:t>À éviter par précaution, envisageable si bénéfice majeur</w:t>
            </w:r>
          </w:p>
        </w:tc>
        <w:tc>
          <w:tcPr>
            <w:tcW w:type="dxa" w:w="1871"/>
          </w:tcPr>
          <w:p>
            <w:r>
              <w:rPr>
                <w:sz w:val="20"/>
              </w:rPr>
              <w:t>À éviter par précaution, envisageable si bénéfice majeur</w:t>
            </w:r>
          </w:p>
        </w:tc>
        <w:tc>
          <w:tcPr>
            <w:tcW w:type="dxa" w:w="1871"/>
          </w:tcPr>
          <w:p>
            <w:r>
              <w:rPr>
                <w:sz w:val="20"/>
              </w:rPr>
              <w:t>Contre-indication relative, urgence vitale seulement</w:t>
            </w:r>
          </w:p>
        </w:tc>
      </w:tr>
      <w:tr>
        <w:tc>
          <w:tcPr>
            <w:tcW w:type="dxa" w:w="1871"/>
          </w:tcPr>
          <w:p>
            <w:r>
              <w:rPr>
                <w:sz w:val="20"/>
              </w:rPr>
              <w:t>**Allaitement (CRAT)**</w:t>
            </w:r>
          </w:p>
        </w:tc>
        <w:tc>
          <w:tcPr>
            <w:tcW w:type="dxa" w:w="1871"/>
          </w:tcPr>
          <w:p>
            <w:r>
              <w:rPr>
                <w:sz w:val="20"/>
              </w:rPr>
              <w:t>Envisageable</w:t>
            </w:r>
          </w:p>
        </w:tc>
        <w:tc>
          <w:tcPr>
            <w:tcW w:type="dxa" w:w="1871"/>
          </w:tcPr>
          <w:p>
            <w:r>
              <w:rPr>
                <w:sz w:val="20"/>
              </w:rPr>
              <w:t>Déconseillé</w:t>
            </w:r>
          </w:p>
        </w:tc>
        <w:tc>
          <w:tcPr>
            <w:tcW w:type="dxa" w:w="1871"/>
          </w:tcPr>
          <w:p>
            <w:r>
              <w:rPr>
                <w:sz w:val="20"/>
              </w:rPr>
              <w:t>Déconseillé</w:t>
            </w:r>
          </w:p>
        </w:tc>
        <w:tc>
          <w:tcPr>
            <w:tcW w:type="dxa" w:w="1871"/>
          </w:tcPr>
          <w:p>
            <w:r>
              <w:rPr>
                <w:sz w:val="20"/>
              </w:rPr>
              <w:t>Contre-indication</w:t>
            </w:r>
          </w:p>
        </w:tc>
      </w:tr>
      <w:tr>
        <w:tc>
          <w:tcPr>
            <w:tcW w:type="dxa" w:w="1871"/>
          </w:tcPr>
          <w:p>
            <w:r>
              <w:rPr>
                <w:sz w:val="20"/>
              </w:rPr>
              <w:t>**Indications pédiatriques**</w:t>
            </w:r>
          </w:p>
        </w:tc>
        <w:tc>
          <w:tcPr>
            <w:tcW w:type="dxa" w:w="1871"/>
          </w:tcPr>
          <w:p>
            <w:r>
              <w:rPr>
                <w:sz w:val="20"/>
              </w:rPr>
              <w:t>Oui (dès 2 ans, dès la naissance si surcharge)</w:t>
            </w:r>
          </w:p>
        </w:tc>
        <w:tc>
          <w:tcPr>
            <w:tcW w:type="dxa" w:w="1871"/>
          </w:tcPr>
          <w:p>
            <w:r>
              <w:rPr>
                <w:sz w:val="20"/>
              </w:rPr>
              <w:t>Oui (&gt; 2 ans)</w:t>
            </w:r>
          </w:p>
        </w:tc>
        <w:tc>
          <w:tcPr>
            <w:tcW w:type="dxa" w:w="1871"/>
          </w:tcPr>
          <w:p>
            <w:r>
              <w:rPr>
                <w:sz w:val="20"/>
              </w:rPr>
              <w:t>Oui (&gt; 6 ans)</w:t>
            </w:r>
          </w:p>
        </w:tc>
        <w:tc>
          <w:tcPr>
            <w:tcW w:type="dxa" w:w="1871"/>
          </w:tcPr>
          <w:p>
            <w:r>
              <w:rPr>
                <w:sz w:val="20"/>
              </w:rPr>
              <w:t>Oui (à adapter)</w:t>
            </w:r>
          </w:p>
        </w:tc>
      </w:tr>
      <w:tr>
        <w:tc>
          <w:tcPr>
            <w:tcW w:type="dxa" w:w="1871"/>
          </w:tcPr>
          <w:p>
            <w:r>
              <w:rPr>
                <w:sz w:val="20"/>
              </w:rPr>
              <w:t>**Spécialités disponibles en Algérie**</w:t>
            </w:r>
          </w:p>
        </w:tc>
        <w:tc>
          <w:tcPr>
            <w:tcW w:type="dxa" w:w="1871"/>
          </w:tcPr>
          <w:p>
            <w:r>
              <w:rPr>
                <w:sz w:val="20"/>
              </w:rPr>
              <w:t>DESFERAL (Novartis, import)</w:t>
            </w:r>
          </w:p>
        </w:tc>
        <w:tc>
          <w:tcPr>
            <w:tcW w:type="dxa" w:w="1871"/>
          </w:tcPr>
          <w:p>
            <w:r>
              <w:rPr>
                <w:sz w:val="20"/>
              </w:rPr>
              <w:t>CAPTAFER (Inpha), DEFEROX (Hikma), EXJADE (Novartis), KAPTIRON (Beker), KELOSIROX (El Kendi) — 5 spécialités, 4 locales</w:t>
            </w:r>
          </w:p>
        </w:tc>
        <w:tc>
          <w:tcPr>
            <w:tcW w:type="dxa" w:w="1871"/>
          </w:tcPr>
          <w:p>
            <w:r>
              <w:rPr>
                <w:sz w:val="20"/>
              </w:rPr>
              <w:t>KELFER-250 (Cipla), KELFER-500 (Cipla) — 1 spécialité, import</w:t>
            </w:r>
          </w:p>
        </w:tc>
        <w:tc>
          <w:tcPr>
            <w:tcW w:type="dxa" w:w="1871"/>
          </w:tcPr>
          <w:p>
            <w:r>
              <w:rPr>
                <w:sz w:val="20"/>
              </w:rPr>
              <w:t>AUCUNE (BAL absent du marché algérien)</w:t>
            </w:r>
          </w:p>
        </w:tc>
      </w:tr>
      <w:tr>
        <w:tc>
          <w:tcPr>
            <w:tcW w:type="dxa" w:w="1871"/>
          </w:tcPr>
          <w:p>
            <w:r>
              <w:rPr>
                <w:sz w:val="20"/>
              </w:rPr>
              <w:t>**Production locale algérienne**</w:t>
            </w:r>
          </w:p>
        </w:tc>
        <w:tc>
          <w:tcPr>
            <w:tcW w:type="dxa" w:w="1871"/>
          </w:tcPr>
          <w:p>
            <w:r>
              <w:rPr>
                <w:sz w:val="20"/>
              </w:rPr>
              <w:t>Non (import Novartis Suisse)</w:t>
            </w:r>
          </w:p>
        </w:tc>
        <w:tc>
          <w:tcPr>
            <w:tcW w:type="dxa" w:w="1871"/>
          </w:tcPr>
          <w:p>
            <w:r>
              <w:rPr>
                <w:sz w:val="20"/>
              </w:rPr>
              <w:t>Oui — 4 laboratoires (Inpha, Hikma, Beker, El Kendi)</w:t>
            </w:r>
          </w:p>
        </w:tc>
        <w:tc>
          <w:tcPr>
            <w:tcW w:type="dxa" w:w="1871"/>
          </w:tcPr>
          <w:p>
            <w:r>
              <w:rPr>
                <w:sz w:val="20"/>
              </w:rPr>
              <w:t>Non (import Cipla Inde)</w:t>
            </w:r>
          </w:p>
        </w:tc>
        <w:tc>
          <w:tcPr>
            <w:tcW w:type="dxa" w:w="1871"/>
          </w:tcPr>
          <w:p>
            <w:r>
              <w:rPr>
                <w:sz w:val="20"/>
              </w:rPr>
              <w:t>Non (absent)</w:t>
            </w:r>
          </w:p>
        </w:tc>
      </w:tr>
      <w:tr>
        <w:tc>
          <w:tcPr>
            <w:tcW w:type="dxa" w:w="1871"/>
          </w:tcPr>
          <w:p>
            <w:r>
              <w:rPr>
                <w:sz w:val="20"/>
              </w:rPr>
              <w:t>**Formes galéniques disponibles en Algérie**</w:t>
            </w:r>
          </w:p>
        </w:tc>
        <w:tc>
          <w:tcPr>
            <w:tcW w:type="dxa" w:w="1871"/>
          </w:tcPr>
          <w:p>
            <w:r>
              <w:rPr>
                <w:sz w:val="20"/>
              </w:rPr>
              <w:t>Poudre + solvant pour inj. 500 mg</w:t>
            </w:r>
          </w:p>
        </w:tc>
        <w:tc>
          <w:tcPr>
            <w:tcW w:type="dxa" w:w="1871"/>
          </w:tcPr>
          <w:p>
            <w:r>
              <w:rPr>
                <w:sz w:val="20"/>
              </w:rPr>
              <w:t>Comprimé orodispersible 125/250/500 mg</w:t>
            </w:r>
          </w:p>
        </w:tc>
        <w:tc>
          <w:tcPr>
            <w:tcW w:type="dxa" w:w="1871"/>
          </w:tcPr>
          <w:p>
            <w:r>
              <w:rPr>
                <w:sz w:val="20"/>
              </w:rPr>
              <w:t>Gélule 250 mg, comprimé enrobé 500 mg</w:t>
            </w:r>
          </w:p>
        </w:tc>
        <w:tc>
          <w:tcPr>
            <w:tcW w:type="dxa" w:w="1871"/>
          </w:tcPr>
          <w:p>
            <w:r>
              <w:rPr>
                <w:sz w:val="20"/>
              </w:rPr>
              <w:t>Aucune (formes balsamiques référencées par erreur)</w:t>
            </w:r>
          </w:p>
        </w:tc>
      </w:tr>
      <w:tr>
        <w:tc>
          <w:tcPr>
            <w:tcW w:type="dxa" w:w="1871"/>
          </w:tcPr>
          <w:p>
            <w:r>
              <w:rPr>
                <w:sz w:val="20"/>
              </w:rPr>
              <w:t>**Liste**</w:t>
            </w:r>
          </w:p>
        </w:tc>
        <w:tc>
          <w:tcPr>
            <w:tcW w:type="dxa" w:w="1871"/>
          </w:tcPr>
          <w:p>
            <w:r>
              <w:rPr>
                <w:sz w:val="20"/>
              </w:rPr>
              <w:t>Liste I</w:t>
            </w:r>
          </w:p>
        </w:tc>
        <w:tc>
          <w:tcPr>
            <w:tcW w:type="dxa" w:w="1871"/>
          </w:tcPr>
          <w:p>
            <w:r>
              <w:rPr>
                <w:sz w:val="20"/>
              </w:rPr>
              <w:t>Liste I</w:t>
            </w:r>
          </w:p>
        </w:tc>
        <w:tc>
          <w:tcPr>
            <w:tcW w:type="dxa" w:w="1871"/>
          </w:tcPr>
          <w:p>
            <w:r>
              <w:rPr>
                <w:sz w:val="20"/>
              </w:rPr>
              <w:t>Liste I</w:t>
            </w:r>
          </w:p>
        </w:tc>
        <w:tc>
          <w:tcPr>
            <w:tcW w:type="dxa" w:w="1871"/>
          </w:tcPr>
          <w:p>
            <w:r>
              <w:rPr>
                <w:sz w:val="20"/>
              </w:rPr>
              <w:t>(Non applicable — absent)</w:t>
            </w:r>
          </w:p>
        </w:tc>
      </w:tr>
      <w:tr>
        <w:tc>
          <w:tcPr>
            <w:tcW w:type="dxa" w:w="1871"/>
          </w:tcPr>
          <w:p>
            <w:r>
              <w:rPr>
                <w:sz w:val="20"/>
              </w:rPr>
              <w:t>**Coût mensuel estimé Algérie**</w:t>
            </w:r>
          </w:p>
        </w:tc>
        <w:tc>
          <w:tcPr>
            <w:tcW w:type="dxa" w:w="1871"/>
          </w:tcPr>
          <w:p>
            <w:r>
              <w:rPr>
                <w:sz w:val="20"/>
              </w:rPr>
              <w:t>Élevé (perf. SC continue + pompe)</w:t>
            </w:r>
          </w:p>
        </w:tc>
        <w:tc>
          <w:tcPr>
            <w:tcW w:type="dxa" w:w="1871"/>
          </w:tcPr>
          <w:p>
            <w:r>
              <w:rPr>
                <w:sz w:val="20"/>
              </w:rPr>
              <w:t>Moyen (génériques locaux)</w:t>
            </w:r>
          </w:p>
        </w:tc>
        <w:tc>
          <w:tcPr>
            <w:tcW w:type="dxa" w:w="1871"/>
          </w:tcPr>
          <w:p>
            <w:r>
              <w:rPr>
                <w:sz w:val="20"/>
              </w:rPr>
              <w:t>Moyen (générique import Inde)</w:t>
            </w:r>
          </w:p>
        </w:tc>
        <w:tc>
          <w:tcPr>
            <w:tcW w:type="dxa" w:w="1871"/>
          </w:tcPr>
          <w:p>
            <w:r>
              <w:rPr>
                <w:sz w:val="20"/>
              </w:rPr>
              <w:t>Non applicable</w:t>
            </w:r>
          </w:p>
        </w:tc>
      </w:tr>
      <w:tr>
        <w:tc>
          <w:tcPr>
            <w:tcW w:type="dxa" w:w="1871"/>
          </w:tcPr>
          <w:p>
            <w:r>
              <w:rPr>
                <w:sz w:val="20"/>
              </w:rPr>
              <w:t>**Prise en charge CNAS**</w:t>
            </w:r>
          </w:p>
        </w:tc>
        <w:tc>
          <w:tcPr>
            <w:tcW w:type="dxa" w:w="1871"/>
          </w:tcPr>
          <w:p>
            <w:r>
              <w:rPr>
                <w:sz w:val="20"/>
              </w:rPr>
              <w:t>100 % ALD 23</w:t>
            </w:r>
          </w:p>
        </w:tc>
        <w:tc>
          <w:tcPr>
            <w:tcW w:type="dxa" w:w="1871"/>
          </w:tcPr>
          <w:p>
            <w:r>
              <w:rPr>
                <w:sz w:val="20"/>
              </w:rPr>
              <w:t>100 % ALD 23</w:t>
            </w:r>
          </w:p>
        </w:tc>
        <w:tc>
          <w:tcPr>
            <w:tcW w:type="dxa" w:w="1871"/>
          </w:tcPr>
          <w:p>
            <w:r>
              <w:rPr>
                <w:sz w:val="20"/>
              </w:rPr>
              <w:t>100 % ALD 23</w:t>
            </w:r>
          </w:p>
        </w:tc>
        <w:tc>
          <w:tcPr>
            <w:tcW w:type="dxa" w:w="1871"/>
          </w:tcPr>
          <w:p>
            <w:r>
              <w:rPr>
                <w:sz w:val="20"/>
              </w:rPr>
              <w:t>Non applicable</w:t>
            </w:r>
          </w:p>
        </w:tc>
      </w:tr>
      <w:tr>
        <w:tc>
          <w:tcPr>
            <w:tcW w:type="dxa" w:w="1871"/>
          </w:tcPr>
          <w:p>
            <w:r>
              <w:rPr>
                <w:sz w:val="20"/>
              </w:rPr>
              <w:t>**Indication de choix**</w:t>
            </w:r>
          </w:p>
        </w:tc>
        <w:tc>
          <w:tcPr>
            <w:tcW w:type="dxa" w:w="1871"/>
          </w:tcPr>
          <w:p>
            <w:r>
              <w:rPr>
                <w:sz w:val="20"/>
              </w:rPr>
              <w:t>Surcharge martiale chronique post-transfusionnelle (alternative si chélateur oral impossible) ; intoxication aiguë par le fer</w:t>
            </w:r>
          </w:p>
        </w:tc>
        <w:tc>
          <w:tcPr>
            <w:tcW w:type="dxa" w:w="1871"/>
          </w:tcPr>
          <w:p>
            <w:r>
              <w:rPr>
                <w:sz w:val="20"/>
              </w:rPr>
              <w:t>Surcharge martiale chronique post-transfusionnelle (1re intention)</w:t>
            </w:r>
          </w:p>
        </w:tc>
        <w:tc>
          <w:tcPr>
            <w:tcW w:type="dxa" w:w="1871"/>
          </w:tcPr>
          <w:p>
            <w:r>
              <w:rPr>
                <w:sz w:val="20"/>
              </w:rPr>
              <w:t>Cardiomyopathie siderotique sévère (IRM T2* &lt; 10 ms)</w:t>
            </w:r>
          </w:p>
        </w:tc>
        <w:tc>
          <w:tcPr>
            <w:tcW w:type="dxa" w:w="1871"/>
          </w:tcPr>
          <w:p>
            <w:r>
              <w:rPr>
                <w:sz w:val="20"/>
              </w:rPr>
              <w:t>Intoxication arsenicale ou mercurielle aiguë</w:t>
            </w:r>
          </w:p>
        </w:tc>
      </w:tr>
      <w:tr>
        <w:tc>
          <w:tcPr>
            <w:tcW w:type="dxa" w:w="1871"/>
          </w:tcPr>
          <w:p>
            <w:r>
              <w:rPr>
                <w:sz w:val="20"/>
              </w:rPr>
              <w:t>**Piège principal**</w:t>
            </w:r>
          </w:p>
        </w:tc>
        <w:tc>
          <w:tcPr>
            <w:tcW w:type="dxa" w:w="1871"/>
          </w:tcPr>
          <w:p>
            <w:r>
              <w:rPr>
                <w:sz w:val="20"/>
              </w:rPr>
              <w:t>Hypotension IV, ototoxicité dose-cumulée</w:t>
            </w:r>
          </w:p>
        </w:tc>
        <w:tc>
          <w:tcPr>
            <w:tcW w:type="dxa" w:w="1871"/>
          </w:tcPr>
          <w:p>
            <w:r>
              <w:rPr>
                <w:sz w:val="20"/>
              </w:rPr>
              <w:t>Néphrotoxicité, hépatotoxicité (warning FDA)</w:t>
            </w:r>
          </w:p>
        </w:tc>
        <w:tc>
          <w:tcPr>
            <w:tcW w:type="dxa" w:w="1871"/>
          </w:tcPr>
          <w:p>
            <w:r>
              <w:rPr>
                <w:sz w:val="20"/>
              </w:rPr>
              <w:t>Agranulocytose (potentiellement fatale)</w:t>
            </w:r>
          </w:p>
        </w:tc>
        <w:tc>
          <w:tcPr>
            <w:tcW w:type="dxa" w:w="1871"/>
          </w:tcPr>
          <w:p>
            <w:r>
              <w:rPr>
                <w:sz w:val="20"/>
              </w:rPr>
              <w:t>HTA, douleur IM, absent du marché algérien</w:t>
            </w:r>
          </w:p>
        </w:tc>
      </w:tr>
      <w:tr>
        <w:tc>
          <w:tcPr>
            <w:tcW w:type="dxa" w:w="1871"/>
          </w:tcPr>
          <w:p>
            <w:r>
              <w:rPr>
                <w:sz w:val="20"/>
              </w:rPr>
              <w:t>**Médicaments apparentés non disponibles en Algérie**</w:t>
            </w:r>
          </w:p>
        </w:tc>
        <w:tc>
          <w:tcPr>
            <w:tcW w:type="dxa" w:w="1871"/>
          </w:tcPr>
          <w:p>
            <w:r>
              <w:rPr>
                <w:sz w:val="20"/>
              </w:rPr>
              <w:t>(Aucun apparenté)</w:t>
            </w:r>
          </w:p>
        </w:tc>
        <w:tc>
          <w:tcPr>
            <w:tcW w:type="dxa" w:w="1871"/>
          </w:tcPr>
          <w:p>
            <w:r>
              <w:rPr>
                <w:sz w:val="20"/>
              </w:rPr>
              <w:t>(Aucun apparenté)</w:t>
            </w:r>
          </w:p>
        </w:tc>
        <w:tc>
          <w:tcPr>
            <w:tcW w:type="dxa" w:w="1871"/>
          </w:tcPr>
          <w:p>
            <w:r>
              <w:rPr>
                <w:sz w:val="20"/>
              </w:rPr>
              <w:t>(Aucun apparenté)</w:t>
            </w:r>
          </w:p>
        </w:tc>
        <w:tc>
          <w:tcPr>
            <w:tcW w:type="dxa" w:w="1871"/>
          </w:tcPr>
          <w:p>
            <w:r>
              <w:rPr>
                <w:sz w:val="20"/>
              </w:rPr>
              <w:t>DMSA (succimer), DMPS (unithiol), pénicillamine, trientine</w:t>
            </w:r>
          </w:p>
        </w:tc>
      </w:tr>
    </w:tbl>
    <w:p/>
    <w:p>
      <w:pPr>
        <w:pStyle w:val="Heading2"/>
      </w:pPr>
      <w:r>
        <w:t>192.9 Conclusion du chapitre 192</w:t>
      </w:r>
    </w:p>
    <w:p>
      <w:r>
        <w:t xml:space="preserve">Le chapitre 192 a permis d'aborder la pharmacologie des chélateurs de métaux lourds, classe thérapeutique singulière à la croisée de la toxicologie aiguë (intoxications par l'arsenic, le mercure, le plomb, le fer) et de la pharmacologie chronique (surcharges martiales post-transfusionnelles de la thalassémie, de la drépanocytose, des myélodysplasies). Quatre DCI ont été traitées en détail : la </w:t>
      </w:r>
      <w:r>
        <w:rPr>
          <w:b/>
        </w:rPr>
        <w:t>déféroxamine</w:t>
      </w:r>
      <w:r>
        <w:t xml:space="preserve"> (chélateur parentéral historique du fer, isolé en 1960 à partir de </w:t>
      </w:r>
      <w:r>
        <w:rPr>
          <w:i/>
        </w:rPr>
        <w:t>Streptomyces pilosus</w:t>
      </w:r>
      <w:r>
        <w:t xml:space="preserve">, encore essentiel en urgence dans l'intoxication aiguë par le fer et dans la surcharge massive avec cardiomyopathie sévère), le </w:t>
      </w:r>
      <w:r>
        <w:rPr>
          <w:b/>
        </w:rPr>
        <w:t>déférasirox</w:t>
      </w:r>
      <w:r>
        <w:t xml:space="preserve"> (chélateur oral moderne du fer, commercialisé depuis 2006, devenu le traitement de première intention des surcharges chroniques post-transfusionnelles en raison de sa commodité d'administration unique quotidienne et de sa meilleure observance), la </w:t>
      </w:r>
      <w:r>
        <w:rPr>
          <w:b/>
        </w:rPr>
        <w:t>défériprome</w:t>
      </w:r>
      <w:r>
        <w:t xml:space="preserve"> (chélateur oral du fer, commercialisé depuis 1999, indiquée en cas d'intolérance ou de contre-indication à la déféroxamine, particulièrement efficace sur la déplétion myocardique — cardiomyopathie siderotique), et le </w:t>
      </w:r>
      <w:r>
        <w:rPr>
          <w:b/>
        </w:rPr>
        <w:t>dimercaprol (BAL)</w:t>
      </w:r>
      <w:r>
        <w:t xml:space="preserve"> (chélateur historique de l'arsenic et du mercure, développé pendant la Seconde Guerre mondiale en réponse à la menace d'armes chimiques, encore indiqué en urgence dans les intoxications arsenicales et mercurielles aiguës, bien que supplanté par ses dérivés modernes DMSA et DMPS).</w:t>
      </w:r>
    </w:p>
    <w:p>
      <w:r/>
      <w:r>
        <w:rPr>
          <w:b/>
        </w:rPr>
        <w:t>Le marché algérien des chélateurs présente un profil contrasté qu'il convient de synthétiser</w:t>
      </w:r>
      <w:r>
        <w:t xml:space="preserve">. Pour les </w:t>
      </w:r>
      <w:r>
        <w:rPr>
          <w:b/>
        </w:rPr>
        <w:t>chélateurs du fer</w:t>
      </w:r>
      <w:r>
        <w:t xml:space="preserve">, le marché algérien est particulièrement bien fourni : la déféroxamine (DESFERAL, Novartis, import) est disponible en poudre pour solution injectable 500 mg, la défériprome (KELFER, Cipla, import) est disponible en gélules 250 mg et comprimés enrobés 500 mg, et le déférasirox bénéficie d'une diversité exceptionnelle avec </w:t>
      </w:r>
      <w:r>
        <w:rPr>
          <w:b/>
        </w:rPr>
        <w:t>cinq spécialités actives</w:t>
      </w:r>
      <w:r>
        <w:t xml:space="preserve"> dont </w:t>
      </w:r>
      <w:r>
        <w:rPr>
          <w:b/>
        </w:rPr>
        <w:t>quatre produites localement en Algérie</w:t>
      </w:r>
      <w:r>
        <w:t xml:space="preserve"> (CAPTAFER Inpha-Medis, DEFEROX Hikma Pharma Algeria, KAPTIRON Laboratoires Beker, KELOSIROX El Kendi) et une importée (EXJADE Novartis). Cette diversité reflète l'importance de la santé publique algérienne face aux hémoglobinopathies (thalassémie majeure, drépanocytose) dont la prévalence des porteurs sains atteint 2 à 25 % selon les régions. La prise en charge par la Sécurité Sociale (CNAS) est assurée à 100 % au titre des ALD 23 (hémoglobinopathies), garantissant un accès universel au traitement.</w:t>
      </w:r>
    </w:p>
    <w:p>
      <w:r>
        <w:t xml:space="preserve">Pour les </w:t>
      </w:r>
      <w:r>
        <w:rPr>
          <w:b/>
        </w:rPr>
        <w:t>chélateurs de l'arsenic et du mercure</w:t>
      </w:r>
      <w:r>
        <w:t xml:space="preserve">, en revanche, le marché algérien présente une </w:t>
      </w:r>
      <w:r>
        <w:rPr>
          <w:b/>
        </w:rPr>
        <w:t>lacune critique</w:t>
      </w:r>
      <w:r>
        <w:t xml:space="preserve"> : le dimercaprol (BAL), le DMSA (succimer) et le DMPS (unithiol) sont </w:t>
      </w:r>
      <w:r>
        <w:rPr>
          <w:b/>
        </w:rPr>
        <w:t>tous trois absents</w:t>
      </w:r>
      <w:r>
        <w:t xml:space="preserve"> de la nomenclature algérienne à la date d'avril 2026. Cette pénurie d'arsenal impose aux praticiens algériens confrontés à une intoxication arsenicale ou mercurielle aiguë (cas des intoxications par pesticides agricoles, contrefaçons alcooliques, expositions professionnelles artisanales) de recourir à des procédures d'exception : procédure d'autorisation temporaire d'utilisation (ATU) nominative pour importation de dimercaprol, prise en charge symptomatique hospitalière avec hémodialyse, coordination avec le Centre Antipoison d'Algérie. Cette lacune devrait être comblée à l'avenir par l'enregistrement de spécialités de dimercaprol, DMSA ou DMPS, en cohérence avec les recommandations de l'OMS qui inscrivent ces chélateurs sur la Liste des médicaments essentiels.</w:t>
      </w:r>
    </w:p>
    <w:p>
      <w:r/>
      <w:r>
        <w:rPr>
          <w:b/>
        </w:rPr>
        <w:t>Une alerte nomenclaturelle critique</w:t>
      </w:r>
      <w:r>
        <w:t xml:space="preserve"> a été signalée dans ce chapitre : la base de données algérienne (COMPLETE LISTE.xlsx, Avril 2026) référence sous la rubrique « Dimercaprol (BAL) » plusieurs spécialités appartenant en réalité à la classe pharmacologique des </w:t>
      </w:r>
      <w:r>
        <w:rPr>
          <w:b/>
        </w:rPr>
        <w:t>balsamiques pour inhalation</w:t>
      </w:r>
      <w:r>
        <w:t xml:space="preserve"> (BALSOFUMINE, RHUM 'NET, VAPORHUM, VIC) qui ne contiennent pas de dimercaprol. Cette confusion nomenclaturelle — issue d'une correspondance lexicographique « BAL » → « Balsamiques » lors de l'extraction automatisée — devrait être corrigée dans les futures versions de la nomenclature, afin d'éviter toute erreur médicamenteuse grave (utilisation de balsamiques à visée chélatrice en cas d'intoxication arsenicale, sans efficacité et potentiellement dangereuse par retard à la prise en charge spécifique).</w:t>
      </w:r>
    </w:p>
    <w:p>
      <w:r/>
      <w:r>
        <w:rPr>
          <w:b/>
        </w:rPr>
        <w:t>L'enseignement pharmacologique des chélateurs</w:t>
      </w:r>
      <w:r>
        <w:t xml:space="preserve"> dans le cursus de pharmacologie clinique algérien est essentiel pour plusieurs raisons : (1) la prévalence élevée des hémoglobinopathies en Algérie justifie une connaissance approfondie des chélateurs du fer (déféroxamine, déférasirox, défériprome), qui sont des médicaments d'urgence et de chronicité vitale ; (2) le risque d'intoxications arsenicales et mercurielles (agricoles, industrielles, criminelles, alimentaires) impose une connaissance théorique du dimercaprol (BAL) et de ses alternatives modernes, même en l'absence de disponibilité locale immédiate ; (3) la formation à la reconnaissance clinique des intoxications par métaux lourds (encéphalopathie arsenicale, neuropathie arsenicale, atteinte mercurielle rénale, cardiomyopathie siderotique, hémosidérose hépatique) est essentielle pour le pharmacien d'officine et le pharmacien hospitalier, qui peuvent être confrontés à ces situations. La coordination entre les centres antipoison, les services de réanimation toxicologique, les services d'hématopédiatrie, les pharmacies hospitalières et les pharmacies de ville est un enjeu majeur de la prise en charge des intoxications et des surcharges martiales chroniques en Algérie.</w:t>
      </w:r>
    </w:p>
    <w:p>
      <w:pPr>
        <w:pStyle w:val="Heading2"/>
      </w:pPr>
      <w:r>
        <w:t>Références bibliographiques principales</w:t>
      </w:r>
    </w:p>
    <w:p>
      <w:pPr>
        <w:pStyle w:val="ListNumber"/>
      </w:pPr>
      <w:r/>
      <w:r>
        <w:rPr>
          <w:b/>
        </w:rPr>
        <w:t>VIDAL 2025</w:t>
      </w:r>
      <w:r>
        <w:t>. Recueil d'information sur les médicaments. Éditions VIDAL, Paris, 2025. Fiches déféroxamine, déférasirox, défériprome, dimercaprol.</w:t>
      </w:r>
    </w:p>
    <w:p>
      <w:pPr>
        <w:pStyle w:val="ListNumber"/>
      </w:pPr>
      <w:r/>
      <w:r>
        <w:rPr>
          <w:b/>
        </w:rPr>
        <w:t>ANSM (Agence Nationale de Sécurité du Médicament et des Produits de Santé)</w:t>
      </w:r>
      <w:r>
        <w:t>. Résumés des Caractéristiques du Produit (RCP) Desferal, Exjade, Ferriprox, BAL. Dernières révisions 2022-2024. accessible sur ansm.sante.fr.</w:t>
      </w:r>
    </w:p>
    <w:p>
      <w:pPr>
        <w:pStyle w:val="ListNumber"/>
      </w:pPr>
      <w:r/>
      <w:r>
        <w:rPr>
          <w:b/>
        </w:rPr>
        <w:t>EMA (European Medicines Agency)</w:t>
      </w:r>
      <w:r>
        <w:t>. EPAR (European Public Assessment Reports) Exjade (deferasirox), Ferriprox (deferiprone). Londres, dernières révisions 2023.</w:t>
      </w:r>
    </w:p>
    <w:p>
      <w:pPr>
        <w:pStyle w:val="ListNumber"/>
      </w:pPr>
      <w:r/>
      <w:r>
        <w:rPr>
          <w:b/>
        </w:rPr>
        <w:t>CNHIM — Thériaque</w:t>
      </w:r>
      <w:r>
        <w:t>. Base de données Thériaque du Centre National Hospitalier d'Information sur le Médicament. Fiches déféroxamine, déférasirox, défériprome, dimercaprol. Mises à jour 2024.</w:t>
      </w:r>
    </w:p>
    <w:p>
      <w:pPr>
        <w:pStyle w:val="ListNumber"/>
      </w:pPr>
      <w:r/>
      <w:r>
        <w:rPr>
          <w:b/>
        </w:rPr>
        <w:t>CRAT (Centre de Renseignement sur les Agents Tératogènes)</w:t>
      </w:r>
      <w:r>
        <w:t>. Hôpital Armand-Trousseau, Paris. Fiches déféroxamine, déférasirox, défériprome, dimercaprol. Consultations mai 2024. crat.fr.</w:t>
      </w:r>
    </w:p>
    <w:p>
      <w:pPr>
        <w:pStyle w:val="ListNumber"/>
      </w:pPr>
      <w:r/>
      <w:r>
        <w:rPr>
          <w:b/>
        </w:rPr>
        <w:t>SFTox (Société Française de Toxicologie)</w:t>
      </w:r>
      <w:r>
        <w:t>. Recommandations de prise en charge des intoxications par métaux lourds (arsenic, mercure, plomb, fer). Éditions 2022-2023.</w:t>
      </w:r>
    </w:p>
    <w:p>
      <w:pPr>
        <w:pStyle w:val="ListNumber"/>
      </w:pPr>
      <w:r/>
      <w:r>
        <w:rPr>
          <w:b/>
        </w:rPr>
        <w:t>OMS (Organisation mondiale de la Santé)</w:t>
      </w:r>
      <w:r>
        <w:t>. Liste modèle des médicaments essentiels (22ᵉ liste, 2021). Médicaments antidotes et chélateurs.</w:t>
      </w:r>
    </w:p>
    <w:p>
      <w:pPr>
        <w:pStyle w:val="ListNumber"/>
      </w:pPr>
      <w:r/>
      <w:r>
        <w:rPr>
          <w:b/>
        </w:rPr>
        <w:t>Thalassemia International Federation (TIF)</w:t>
      </w:r>
      <w:r>
        <w:t>. Guidelines for the management of transfusion-dependent thalassemia. 3ᵉ édition, 2014, révisions 2021. TIF Publications, Nicosie, Chypre.</w:t>
      </w:r>
    </w:p>
    <w:p>
      <w:pPr>
        <w:pStyle w:val="ListNumber"/>
      </w:pPr>
      <w:r/>
      <w:r>
        <w:rPr>
          <w:b/>
        </w:rPr>
        <w:t>EASL (European Association for the Study of the Liver)</w:t>
      </w:r>
      <w:r>
        <w:t>. Clinical practice guidelines on Wilson's disease. Journal of Hepatology, 2012, révisions 2022.</w:t>
      </w:r>
    </w:p>
    <w:p>
      <w:pPr>
        <w:pStyle w:val="ListNumber"/>
      </w:pPr>
      <w:r/>
      <w:r>
        <w:rPr>
          <w:b/>
        </w:rPr>
        <w:t>FDA (Food and Drug Administration)</w:t>
      </w:r>
      <w:r>
        <w:t>. Drug Safety Communications. Deferasirox : hepatic failure and renal toxicity (2007, 2010, 2013). Deferiprone : agranulocytosis (2007). Dimercaprol : labeling revisions (2018).</w:t>
      </w:r>
    </w:p>
    <w:p>
      <w:pPr>
        <w:pStyle w:val="ListNumber"/>
      </w:pPr>
      <w:r/>
      <w:r>
        <w:rPr>
          <w:b/>
        </w:rPr>
        <w:t>UpToDate Toxicology</w:t>
      </w:r>
      <w:r>
        <w:t>. "Treatment of arsenic and mercury poisoning", "Management of iron poisoning", "Iron overload in transfusion-dependent thalassemia". Dernières révisions 2024.</w:t>
      </w:r>
    </w:p>
    <w:p>
      <w:pPr>
        <w:pStyle w:val="ListNumber"/>
      </w:pPr>
      <w:r/>
      <w:r>
        <w:rPr>
          <w:b/>
        </w:rPr>
        <w:t>Goldfrank's Toxicologic Emergencies</w:t>
      </w:r>
      <w:r>
        <w:t>. 11ᵉ édition, 2019. McGraw-Hill Education, New York. Chapitres : Arsenic, Mercury, Iron, Lead.</w:t>
      </w:r>
    </w:p>
    <w:p>
      <w:pPr>
        <w:pStyle w:val="ListNumber"/>
      </w:pPr>
      <w:r/>
      <w:r>
        <w:rPr>
          <w:b/>
        </w:rPr>
        <w:t>Ellenhorn's Medical Toxicology</w:t>
      </w:r>
      <w:r>
        <w:t>. 2ᵉ édition, 1997. Williams &amp; Wilkins, Baltimore. Section antidotes et chélateurs.</w:t>
      </w:r>
    </w:p>
    <w:p>
      <w:pPr>
        <w:pStyle w:val="ListNumber"/>
      </w:pPr>
      <w:r/>
      <w:r>
        <w:rPr>
          <w:b/>
        </w:rPr>
        <w:t>Nomenclature algérienne des médicaments (COMPLETE LISTE.xlsx, Avril 2026)</w:t>
      </w:r>
      <w:r>
        <w:t>. Ministère de la Santé, Direction de la Pharmacie et des Médicaments, République algérienne démocratique et populaire. Listes I et II des substances vénéneuses, statuts ACTIF/NON_RENOUVELABLE/RETRAIT.</w:t>
      </w:r>
    </w:p>
    <w:p>
      <w:pPr>
        <w:pStyle w:val="ListNumber"/>
      </w:pPr>
      <w:r/>
      <w:r>
        <w:rPr>
          <w:b/>
        </w:rPr>
        <w:t>Olivieri NF, Nathan DG, MacMillan JH, et al.</w:t>
      </w:r>
      <w:r>
        <w:t xml:space="preserve"> Survival in medically treated patients with homozygous beta-thalassemia. New England Journal of Medicine, 1994 ; 331(9) : 574-578. (Référence classique sur l'observance à la déféroxamine et la survie.)</w:t>
      </w:r>
    </w:p>
    <w:p>
      <w:pPr>
        <w:pStyle w:val="ListNumber"/>
      </w:pPr>
      <w:r/>
      <w:r>
        <w:rPr>
          <w:b/>
        </w:rPr>
        <w:t>Cappellini MD, Bejaoui M, Agaoglu L, et al.</w:t>
      </w:r>
      <w:r>
        <w:t xml:space="preserve"> Iron chelation with deferasirox in adult and pediatric patients with thalassemia major: the EPIC trial. Blood, 2010 ; 116(26) : 6062-6069.</w:t>
      </w:r>
    </w:p>
    <w:p>
      <w:pPr>
        <w:pStyle w:val="ListNumber"/>
      </w:pPr>
      <w:r/>
      <w:r>
        <w:rPr>
          <w:b/>
        </w:rPr>
        <w:t>Pepe A, Meloni A, Rossi G, et al.</w:t>
      </w:r>
      <w:r>
        <w:t xml:space="preserve"> Deferasirox, deferiprone and desferrioxamine on cardiac iron and function in thalassemia major. Journal of Cardiovascular Magnetic Resonance, 2013 ; 15(Suppl 1) : 98.</w:t>
      </w:r>
    </w:p>
    <w:p>
      <w:pPr>
        <w:pStyle w:val="ListNumber"/>
      </w:pPr>
      <w:r/>
      <w:r>
        <w:rPr>
          <w:b/>
        </w:rPr>
        <w:t>Piga A, Gaglioti C, Fogliacco E, Tricta F.</w:t>
      </w:r>
      <w:r>
        <w:t xml:space="preserve"> Comparative effects of deferiprone and deferoxamine on survival and cardiac disease in patients with thalassemia major: a retrospective analysis. Haematologica, 2003 ; 88(5) : 489-496.</w:t>
      </w:r>
    </w:p>
    <w:p>
      <w:pPr>
        <w:pStyle w:val="ListNumber"/>
      </w:pPr>
      <w:r/>
      <w:r>
        <w:rPr>
          <w:b/>
        </w:rPr>
        <w:t>Peters RA, Stocken LA, Thompson RH.</w:t>
      </w:r>
      <w:r>
        <w:t xml:space="preserve"> British anti-lewisite (BAL). Nature, 1945 ; 156 : 616-619. (Article historique fondateur du dimercaprol.)</w:t>
      </w:r>
    </w:p>
    <w:p>
      <w:pPr>
        <w:pStyle w:val="ListNumber"/>
      </w:pPr>
      <w:r/>
      <w:r>
        <w:rPr>
          <w:b/>
        </w:rPr>
        <w:t>Wax PM, Thornton CA.</w:t>
      </w:r>
      <w:r>
        <w:t xml:space="preserve"> A brief history of antidotes. Clinical Toxicology, 2013 ; 51(7) : 589-596. (Synthèse historique sur le développement des antidotes et chélateurs.)</w:t>
      </w:r>
    </w:p>
    <w:p>
      <w:r/>
      <w:r>
        <w:rPr>
          <w:i/>
        </w:rPr>
        <w:t>Fin du chapitre 192 — Chélateurs de métaux lourds, Fascicule XX — Toxicologie.</w:t>
      </w:r>
      <w:r/>
    </w:p>
    <w:p>
      <w:pPr>
        <w:pStyle w:val="Heading1"/>
      </w:pPr>
      <w:r>
        <w:t>Chapitre 193 — Traitements de substitution et dépendances</w:t>
      </w:r>
    </w:p>
    <w:p>
      <w:pPr>
        <w:pStyle w:val="Heading2"/>
      </w:pPr>
      <w:r>
        <w:t>Fascicule XX — Toxicologie</w:t>
      </w:r>
    </w:p>
    <w:p>
      <w:pPr>
        <w:pStyle w:val="Heading2"/>
      </w:pPr>
      <w:r>
        <w:t>193.0 Introduction au chapitre 193</w:t>
      </w:r>
    </w:p>
    <w:p>
      <w:r>
        <w:t>Le chapitre 193, ultime chapitre du Fascicule XX consacré à la Toxicologie, aborde la pharmacologie des traitements de substitution dans la prise en charge des dépendances, et plus particulièrement de la dépendance aux opioïdes. À la différence des chapitres précédents (chapitre 191 sur les antidotes d'urgence, chapitre 192 sur les chélateurs), ce chapitre ne traite pas de l'antagonisation aiguë d'une intoxication mais bien de la prise en charge chronique, structurée et multidisciplinaire d'un trouble addictologique, qui constitue à la fois une urgence de santé publique mondiale et un défi thérapeutique de longue haleine. La pharmacologie de la substitution se distingue en effet de la pharmacologie de l'antagonisation : là où la naloxone (chapitre 191) inverse une dépression respiratoire aiguë par compétition compétitive au récepteur μ, la buprénorphine occupe ce même récepteur μ de façon prolongée, partielle et稳定isante, permettant au patient dépendant de sortir du cycle euphorie–sevrage–recherche du produit, sans pour autant reproduire le « flash » héroïnique.</w:t>
      </w:r>
    </w:p>
    <w:p>
      <w:r>
        <w:t>Le contexte épidémiologique mondial justifie l'importance de ce chapitre. L'Organisation mondiale de la Santé (OMS) estime à environ 60 millions le nombre d'utilisateurs d'opioïdes illicites (héroïne, opium, fentanyl illicite) dans le monde, avec une surmortalité spectaculaire (mortalité x 10 à 15 versus population générale, essentiellement par overdose, suicide, infection VIH/VHC et traumatismes). L'Amérique du Nord vit depuis 2017 une crise des opioïdes (« opioid crisis ») responsable de plus de 80 000 décès par an aux États-Unis, liée à la prolifération du fentanyl et de ses analogues illicites. En Afrique du Nord, et singulièrement en Algérie, l'épidémiologie est plus mal connue mais la prévalence de l'usage d'opioïdes (héroïne, opium médical détourné, codéine extraite de sirops antitussifs, tramadol détourné) est en progression, avec des concentrations urbaines (Alger, Oran, Constantine, Annaba) et des réseaux de distribution structurés. La prise en charge de la dépendance aux opioïdes relève en Algérie des centres de santé mentale et de toxicomanie (CSMT), des services hospitalo-universitaires de psychiatrie (CHU Mustapha, CHU Beni-Messous, CHU Oran, EHS Errazi Constantine), des associations de réduction des risques (Association El Hayat, Association Sid Assistance) et de la pharmacie de ville, dans le cadre d'une prescription réglementée.</w:t>
      </w:r>
    </w:p>
    <w:p>
      <w:r>
        <w:t xml:space="preserve">Sur le plan pharmacologique, l'arsenal international de la substitution opioïque comprend historiquement trois molécules : (1) la </w:t>
      </w:r>
      <w:r>
        <w:rPr>
          <w:b/>
        </w:rPr>
        <w:t>méthadone</w:t>
      </w:r>
      <w:r>
        <w:t xml:space="preserve">, agoniste μ complet de longue demi-vie, première substitution utilisée depuis les travaux de Dole et Nyswander (1965) à New York ; (2) la </w:t>
      </w:r>
      <w:r>
        <w:rPr>
          <w:b/>
        </w:rPr>
        <w:t>buprénorphine</w:t>
      </w:r>
      <w:r>
        <w:t xml:space="preserve">, agoniste partiel μ et antagoniste κ, développée dans les années 1960 par Reckitt &amp; Colman comme analgésique puis exploitée comme substitution à partir de 1996 en France (formulation sublinguale à 0,4 mg, 2 mg et 8 mg sous le nom de Subutex) ; (3) la </w:t>
      </w:r>
      <w:r>
        <w:rPr>
          <w:b/>
        </w:rPr>
        <w:t>buprénorphine haut dosage (BHD)</w:t>
      </w:r>
      <w:r>
        <w:t xml:space="preserve"> combinée à la naloxone (Suboxone), forme combinée destinée à réduire le mésusage intraveineux. Une quatrième molécule, le </w:t>
      </w:r>
      <w:r>
        <w:rPr>
          <w:b/>
        </w:rPr>
        <w:t>fentanyl transdermique</w:t>
      </w:r>
      <w:r>
        <w:t>, est parfois détournée de son usage analgésique pour un usage substitutif non encadré. Les agonistes α2-adrénergiques (clonidine, lofexidine) sont utilisés dans le sevrage symptomatique aigu mais ne constituent pas des traitements substitutifs au sens strict.</w:t>
      </w:r>
    </w:p>
    <w:p>
      <w:r/>
      <w:r>
        <w:rPr>
          <w:b/>
        </w:rPr>
        <w:t>Le marché algérien de la substitution opioïque présente une particularité critique</w:t>
      </w:r>
      <w:r>
        <w:t xml:space="preserve"> : seule la </w:t>
      </w:r>
      <w:r>
        <w:rPr>
          <w:b/>
        </w:rPr>
        <w:t>buprénorphine</w:t>
      </w:r>
      <w:r>
        <w:t xml:space="preserve"> est disponible, et uniquement en formulation </w:t>
      </w:r>
      <w:r>
        <w:rPr>
          <w:b/>
        </w:rPr>
        <w:t>injectable à 0,3 mg/mL</w:t>
      </w:r>
      <w:r>
        <w:t xml:space="preserve"> (Buprenal — Saidal, Temgephine — Geopharm, Temginal — Frater Razes), formulation historiquement analgésique (de la marque Temgesic de Schering-Plough, désormais non renouvelée). La formulation sublinguale haut dosage, qui est la forme internationale de référence pour la substitution opioïque (Subutex, Suboxone), n'est </w:t>
      </w:r>
      <w:r>
        <w:rPr>
          <w:b/>
        </w:rPr>
        <w:t>pas disponible</w:t>
      </w:r>
      <w:r>
        <w:t xml:space="preserve"> dans la nomenclature algérienne des médicaments. La </w:t>
      </w:r>
      <w:r>
        <w:rPr>
          <w:b/>
        </w:rPr>
        <w:t>méthadone</w:t>
      </w:r>
      <w:r>
        <w:t xml:space="preserve">, pilier de la substitution dans la plupart des pays, est </w:t>
      </w:r>
      <w:r>
        <w:rPr>
          <w:b/>
        </w:rPr>
        <w:t>absente du marché algérien</w:t>
      </w:r>
      <w:r>
        <w:t xml:space="preserve">, ce qui constitue une lacune majeure de l'arsenal thérapeutique. De même, les traitements de la dépendance alcoolique — </w:t>
      </w:r>
      <w:r>
        <w:rPr>
          <w:b/>
        </w:rPr>
        <w:t>disulfiram</w:t>
      </w:r>
      <w:r>
        <w:t xml:space="preserve"> (effet antabuse), </w:t>
      </w:r>
      <w:r>
        <w:rPr>
          <w:b/>
        </w:rPr>
        <w:t>acamprosate</w:t>
      </w:r>
      <w:r>
        <w:t xml:space="preserve"> (modulation glutamatergique), </w:t>
      </w:r>
      <w:r>
        <w:rPr>
          <w:b/>
        </w:rPr>
        <w:t>naltrexone</w:t>
      </w:r>
      <w:r>
        <w:t xml:space="preserve"> (antagoniste μ) — sont </w:t>
      </w:r>
      <w:r>
        <w:rPr>
          <w:b/>
        </w:rPr>
        <w:t>absents du marché algérien</w:t>
      </w:r>
      <w:r>
        <w:t xml:space="preserve">, de même que la </w:t>
      </w:r>
      <w:r>
        <w:rPr>
          <w:b/>
        </w:rPr>
        <w:t>naltrexone</w:t>
      </w:r>
      <w:r>
        <w:t xml:space="preserve"> utilisée dans le maintien de l'abstinence opioïque. Cette pénurie structurelle impose aux cliniciens algériens le recours à des stratégies alternatives : utilisation détournée de la buprénorphine injectable pour un usage substitutif sublingual (pratique non conforme à l'AMM), prescription de psychotropes à visée symptomatique (anxiolytiques, antidépresseurs, neuroleptiques), et surtout prise en charge non pharmacologique intensive (psychothérapies, thérapies cognitivo-comportementales, groupes d'entraide, post-cure, réduction des risques).</w:t>
      </w:r>
    </w:p>
    <w:p>
      <w:r>
        <w:t>Ce chapitre aborde successivement, pour la buprénorphine, douze rubriques systématiques : catégories pharmaco-thérapeutiques et indications réglementaires, médicaments disponibles en Algérie (sous forme de tableau à six colonnes), mécanisme d'action moléculaire cellulaire et physiologique, pharmacocinétique, indications thérapeutiques validées (analgsiques et substitution), posologie et modes d'administration, effets indésirables (avec focus particulier sur l'effet plafond respiratoire et la hépatotoxicité), interactions médicamenteuses (dont la combinaison létale avec les benzodiazépines et l'alcool), grossesse allaitement et données CRAT, formes galéniques disponibles, conseils au patient et à l'équipe soignante (avec mention des alternatives non pharmacologiques), et enfin les pièges majeurs au comptoir ou au lit du patient. Une attention particulière est portée aux limitations de l'arsenal algérien et aux stratégies alternatives pragmatiques à mettre en œuvre par les cliniciens exerçant dans le contexte national.</w:t>
      </w:r>
    </w:p>
    <w:p>
      <w:pPr>
        <w:pStyle w:val="Heading2"/>
      </w:pPr>
      <w:r>
        <w:t>193.1 Sous-classe 1 — Traitements de substitution : Sevrage opioïdes</w:t>
      </w:r>
    </w:p>
    <w:p>
      <w:pPr>
        <w:pStyle w:val="Heading3"/>
      </w:pPr>
      <w:r>
        <w:t>193.1.0 Introduction à la sous-classe des traitements de substitution opioïde</w:t>
      </w:r>
    </w:p>
    <w:p>
      <w:r>
        <w:t xml:space="preserve">Les traitements de substitution opioïde (TSO) forment une classe pharmacologique singulière, à l'intersection de la psychiatrie addictologique, de la pharmacologie des récepteurs opioïdes et de la santé publique. Leur objectif n'est pas l'abstinence immédiate — qui peut être obtenue par sevrage aigu mais s'accompagne d'un taux de rechute de 80 % à 1 an sans traitement d'entretien — mais bien la </w:t>
      </w:r>
      <w:r>
        <w:rPr>
          <w:b/>
        </w:rPr>
        <w:t>stabilisation</w:t>
      </w:r>
      <w:r>
        <w:t xml:space="preserve"> du patient dépendant par l'administration d'une molécule opioïde de longue durée d'action, à demi-vie prolongée, ne produisant ni « flash » euphorique ni sédation excessive, et permettant la rupture du cycle comportemental de recherche du produit illicite. Cette stabilisation autorise alors l'engagement d'une prise en charge psychosociale et comportementale susceptible, à terme, de conduire à un sevrage progressif et à l'abstinence durable.</w:t>
      </w:r>
    </w:p>
    <w:p>
      <w:r>
        <w:t xml:space="preserve">Le rationnel pharmacologique des TSO repose sur trois propriétés qu'aucune drogue illicite d'usage intraveineux ne possède : (i) une </w:t>
      </w:r>
      <w:r>
        <w:rPr>
          <w:b/>
        </w:rPr>
        <w:t>biodisponibilité orale ou sublinguale élevée</w:t>
      </w:r>
      <w:r>
        <w:t xml:space="preserve"> (permettant un usage civil, sans injection, hors des réseaux de toxicomanie) ; (ii) une </w:t>
      </w:r>
      <w:r>
        <w:rPr>
          <w:b/>
        </w:rPr>
        <w:t>demi-vie longue</w:t>
      </w:r>
      <w:r>
        <w:t xml:space="preserve"> (≥ 24 heures pour la méthadone, ≥ 12 heures pour la buprénorphine), autorisant une administration unique quotidienne et évitant les fluctuations de concentration responsables des envies (craving) ; (iii) une </w:t>
      </w:r>
      <w:r>
        <w:rPr>
          <w:b/>
        </w:rPr>
        <w:t>affinité opioïde μ élevée</w:t>
      </w:r>
      <w:r>
        <w:t xml:space="preserve"> permettant une occupation prolongée du récepteur et bloquant l'effet d'autres opioïdes (héroïne, fentanyl) administrés concomitamment — propriété dite de </w:t>
      </w:r>
      <w:r>
        <w:rPr>
          <w:b/>
        </w:rPr>
        <w:t>blocade</w:t>
      </w:r>
      <w:r>
        <w:t>. La buprénorphine, en tant qu'agoniste partiel, ajoute à ces propriétés un effet plafond (effet maximal limité, surtout sur la dépression respiratoire) qui réduit considérablement son potentiel d'overdose par rapport à un agoniste complet comme la méthadone.</w:t>
      </w:r>
    </w:p>
    <w:p>
      <w:r>
        <w:t xml:space="preserve">Deux grandes classes de TSO se distinguent sur le plan international : (1) les </w:t>
      </w:r>
      <w:r>
        <w:rPr>
          <w:b/>
        </w:rPr>
        <w:t>agonistes μ complets</w:t>
      </w:r>
      <w:r>
        <w:t xml:space="preserve"> — méthadone (DCI), L-α-acétylméthadol (LAAM, retiré), morphine à libération prolongée (formulations orales comme Kadian, non disponibles en Algérie) ; (2) les </w:t>
      </w:r>
      <w:r>
        <w:rPr>
          <w:b/>
        </w:rPr>
        <w:t>agonistes partiels μ</w:t>
      </w:r>
      <w:r>
        <w:t xml:space="preserve"> — buprénorphine seule (Subutex), buprénorphine + naloxone (Suboxone) pour réduire le mésusage IV, et plus récemment buprénorphine depot mensuelle (Buvidal, Sublocade). Une troisième approche est l'</w:t>
      </w:r>
      <w:r>
        <w:rPr>
          <w:b/>
        </w:rPr>
        <w:t>antagonise pure μ</w:t>
      </w:r>
      <w:r>
        <w:t xml:space="preserve"> — naltrexone (oral ou depot mensuel Vivitrol) — qui n'est pas un traitement de substitution mais un traitement de </w:t>
      </w:r>
      <w:r>
        <w:rPr>
          <w:b/>
        </w:rPr>
        <w:t>maintien de l'abstinence</w:t>
      </w:r>
      <w:r>
        <w:t xml:space="preserve"> après sevrage complet. Enfin, les </w:t>
      </w:r>
      <w:r>
        <w:rPr>
          <w:b/>
        </w:rPr>
        <w:t>agonistes α2-adrénergiques</w:t>
      </w:r>
      <w:r>
        <w:t xml:space="preserve"> (clonidine, lofexidine, guanfacine) sont utilisés dans le sevrage aigu pour soulager les symptômes noradrnergiques (sueurs, frissons, myalgies, diarrhée) mais ne préviennent pas la rechute à long terme.</w:t>
      </w:r>
    </w:p>
    <w:p>
      <w:r>
        <w:t>La France est le pays où la buprénorphine haut dosage a été la plus prescrite (≈ 100 000 patients traités en 2020, prescription en ville par tout médecin généraliste), avec un impact sanitaire majeur : réduction de 80 % de la mortalité par overdose opioïde chez les patients substitués, réduction de 50 % de la séroprévalence VIH, réduction de 60 % de la séroprévalence VHC, réduction de 70 % de la criminalité liée à l'usage. Ces résultats confirment que la substitution n'est pas simplement un traitement de remplacement d'une drogue par une autre, mais bien une intervention thérapeutique globale dont les bénéfices sanitaires et sociétaux dépassent largement le seul cadre addictologique. En Algérie, malgré une épidémiologie mal documentée, plusieurs centres (CSMT d'Alger, services de psychiatrie des CHU) ont mis en place des programmes structurés, mais restent limités par l'indisponibilité des formes sublinguales haut dosage et de la méthadone.</w:t>
      </w:r>
    </w:p>
    <w:p>
      <w:pPr>
        <w:pStyle w:val="Heading2"/>
      </w:pPr>
      <w:r>
        <w:t>193.2 DCI 1 — Buprénorphine (toxicologie)</w:t>
      </w:r>
    </w:p>
    <w:p>
      <w:pPr>
        <w:pStyle w:val="Heading3"/>
      </w:pPr>
      <w:r>
        <w:t>193.2.1 Catégories pharmaco-thérapeutiques et indications</w:t>
      </w:r>
    </w:p>
    <w:p>
      <w:r>
        <w:t>La buprénorphine (DCI internationale, formule chimique (2S)-2-[17-(cyclopropylmethyl)-4,5α-epoxy-3-hydroxy-6-methoxy-6α,14-ethano-14α-morphinan-7α-yl]-3,3-dimethylbutan-2-ol, formule brute C29H41NO4, masse molaire 467,6 g/mol) est un dérivé semi-synthétique de la thébaïne, alcaloïde de l'opium. Elle est classée dans la catégorie pharmacothérapeutique des « opioïdes à action agoniste partielle sur les récepteurs μ », code ATC N02AE01 (analgésiques opioïdes — buprénorphine) et N07BC01 (médicaments utilisés dans la dépendance aux opioïdes — buprénorphine). Elle figure sur la Liste des médicaments essentiels de l'OMS (22ᵉ liste, 2021) en deux mentions distinctes : analgésique opioïde palier III et traitement de substitution de la dépendance opioïde. En Algérie, la buprénorphine est inscrite sur la Liste I des substances vénéneuses, prescription médicale obligatoire, et est en outre soumise à la réglementation internationale des stupéfiants (Convention unique des Nations-Unies de 1961 — tableau I).</w:t>
      </w:r>
    </w:p>
    <w:p>
      <w:r>
        <w:t>Les indications réglementaires (AMM) de la buprénorphine couvrent deux domaines principaux :</w:t>
      </w:r>
    </w:p>
    <w:p>
      <w:pPr>
        <w:pStyle w:val="ListNumber"/>
      </w:pPr>
      <w:r/>
      <w:r>
        <w:rPr>
          <w:b/>
        </w:rPr>
        <w:t>Analgésie</w:t>
      </w:r>
      <w:r>
        <w:t xml:space="preserve"> (indication historique, formulation injectable 0,3 mg/mL disponible en Algérie) : traitement des douleurs aiguës intenses (post-opératoire, traumatologique, colique néphrétique, infarctus du myocarde en attente de morphine), douleurs chroniques cancéreuses et non cancéreuses réfractaires aux opioïdes palier II. La buprénorphine injectable est administrée par voie IM, IV lente ou SC, à la dose de 0,3 mg (soit 1 mL de la solution à 0,3 mg/mL) toutes les 6 à 8 heures, avec une durée d'action de 6 à 9 heures liée à sa forte affinité pour le récepteur μ. La voie périmédullaire (épidurale ou intrathécale) est décrite mais n'est pas recommandée en routine en raison du risque de dépression respiratoire retardée (4 à 12 heures après injection). La formulation injectable est également utilisée en anesthésie (composante analgésique de l'anesthésie balancée, dose 0,3 à 0,6 mg IV peropératoire).</w:t>
      </w:r>
    </w:p>
    <w:p>
      <w:pPr>
        <w:pStyle w:val="ListNumber"/>
      </w:pPr>
      <w:r/>
      <w:r>
        <w:rPr>
          <w:b/>
        </w:rPr>
        <w:t>Substitution opioïque</w:t>
      </w:r>
      <w:r>
        <w:t xml:space="preserve"> (indication addictologique, formulation sublinguale haut dosage non disponible en Algérie) : traitement substitutif de la dépendance aux opioïdes (héroïne, opium, opioïdes de prescription) chez les patients répondant aux critères DSM-5 de trouble lié à l'utilisation d'opioïdes (sévérité modérée à sévère, ≥ 4 critères sur 11). L'objectif thérapeutique est triple : suppression du syndrome de sevrage, suppression du craving (envie compulsive de produit), blocage de l'effet euphorique d'éventuelles prises ultérieures d'opioïdes. La prescription initiale est réservée aux médecins spécialisés en addictologie ou aux médecins généralistes formés (en France), en Algérie aux psychiatres et médecins des CSMT, avec une réévaluation régulière et un objectif de réduction progressive des doses après stabilisation psychosociale. La buprénorphine est également indiquée dans le sevrage opioïque programmé (protocole court de 7 à 15 jours), dans le relais de la méthadone (lorsque celle-ci n'est pas tolérée), et en prévention de l'overdose (formulations haut dosage à domicile, programmes de distribution de naloxone associés).</w:t>
      </w:r>
    </w:p>
    <w:p>
      <w:r>
        <w:t>L'utilisation détournée de la formulation injectable algérienne à des fins substitutives (administration sublinguale d'ampoules ouvertes) est une pratique non conforme à l'AMM mais observée en pratique clinique dans les centres algériens en raison de l'indisponibilité des formulations sublinguales. Cette pratique expose à des problèmes de stabilité galénique, de dosage imprécis et de contamination microbienne, et doit faire l'objet d'une évaluation bénédice/risque au cas par cas.</w:t>
      </w:r>
    </w:p>
    <w:p>
      <w:pPr>
        <w:pStyle w:val="Heading3"/>
      </w:pPr>
      <w:r>
        <w:t>193.2.2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BUPRENAL</w:t>
            </w:r>
          </w:p>
        </w:tc>
        <w:tc>
          <w:tcPr>
            <w:tcW w:type="dxa" w:w="1559"/>
          </w:tcPr>
          <w:p>
            <w:r>
              <w:rPr>
                <w:sz w:val="20"/>
              </w:rPr>
              <w:t>GROUPE SAIDAL</w:t>
            </w:r>
          </w:p>
        </w:tc>
        <w:tc>
          <w:tcPr>
            <w:tcW w:type="dxa" w:w="1559"/>
          </w:tcPr>
          <w:p>
            <w:r>
              <w:rPr>
                <w:sz w:val="20"/>
              </w:rPr>
              <w:t>Solution injectable 0,3 mg/mL</w:t>
            </w:r>
          </w:p>
        </w:tc>
        <w:tc>
          <w:tcPr>
            <w:tcW w:type="dxa" w:w="1559"/>
          </w:tcPr>
          <w:p>
            <w:r>
              <w:rPr>
                <w:sz w:val="20"/>
              </w:rPr>
              <w:t>B/05 et B/50 ampoules de capacité 2 mL contenant 1 mL de solution</w:t>
            </w:r>
          </w:p>
        </w:tc>
        <w:tc>
          <w:tcPr>
            <w:tcW w:type="dxa" w:w="1559"/>
          </w:tcPr>
          <w:p>
            <w:r>
              <w:rPr>
                <w:sz w:val="20"/>
              </w:rPr>
              <w:t>Liste I</w:t>
            </w:r>
          </w:p>
        </w:tc>
        <w:tc>
          <w:tcPr>
            <w:tcW w:type="dxa" w:w="1559"/>
          </w:tcPr>
          <w:p>
            <w:r>
              <w:rPr>
                <w:sz w:val="20"/>
              </w:rPr>
              <w:t>Actif</w:t>
            </w:r>
          </w:p>
        </w:tc>
      </w:tr>
      <w:tr>
        <w:tc>
          <w:tcPr>
            <w:tcW w:type="dxa" w:w="1559"/>
          </w:tcPr>
          <w:p>
            <w:r>
              <w:rPr>
                <w:sz w:val="20"/>
              </w:rPr>
              <w:t>TEMGEPHINE</w:t>
            </w:r>
          </w:p>
        </w:tc>
        <w:tc>
          <w:tcPr>
            <w:tcW w:type="dxa" w:w="1559"/>
          </w:tcPr>
          <w:p>
            <w:r>
              <w:rPr>
                <w:sz w:val="20"/>
              </w:rPr>
              <w:t>GEOPHARM</w:t>
            </w:r>
          </w:p>
        </w:tc>
        <w:tc>
          <w:tcPr>
            <w:tcW w:type="dxa" w:w="1559"/>
          </w:tcPr>
          <w:p>
            <w:r>
              <w:rPr>
                <w:sz w:val="20"/>
              </w:rPr>
              <w:t>Solution injectable 0,3 mg/mL</w:t>
            </w:r>
          </w:p>
        </w:tc>
        <w:tc>
          <w:tcPr>
            <w:tcW w:type="dxa" w:w="1559"/>
          </w:tcPr>
          <w:p>
            <w:r>
              <w:rPr>
                <w:sz w:val="20"/>
              </w:rPr>
              <w:t>B/05 ampoules de 1 mL et B/50 ampoules de 1 mL</w:t>
            </w:r>
          </w:p>
        </w:tc>
        <w:tc>
          <w:tcPr>
            <w:tcW w:type="dxa" w:w="1559"/>
          </w:tcPr>
          <w:p>
            <w:r>
              <w:rPr>
                <w:sz w:val="20"/>
              </w:rPr>
              <w:t>Liste I</w:t>
            </w:r>
          </w:p>
        </w:tc>
        <w:tc>
          <w:tcPr>
            <w:tcW w:type="dxa" w:w="1559"/>
          </w:tcPr>
          <w:p>
            <w:r>
              <w:rPr>
                <w:sz w:val="20"/>
              </w:rPr>
              <w:t>Actif</w:t>
            </w:r>
          </w:p>
        </w:tc>
      </w:tr>
      <w:tr>
        <w:tc>
          <w:tcPr>
            <w:tcW w:type="dxa" w:w="1559"/>
          </w:tcPr>
          <w:p>
            <w:r>
              <w:rPr>
                <w:sz w:val="20"/>
              </w:rPr>
              <w:t>TEMGINAL</w:t>
            </w:r>
          </w:p>
        </w:tc>
        <w:tc>
          <w:tcPr>
            <w:tcW w:type="dxa" w:w="1559"/>
          </w:tcPr>
          <w:p>
            <w:r>
              <w:rPr>
                <w:sz w:val="20"/>
              </w:rPr>
              <w:t>LES LABORATOIRES FRATER RAZES</w:t>
            </w:r>
          </w:p>
        </w:tc>
        <w:tc>
          <w:tcPr>
            <w:tcW w:type="dxa" w:w="1559"/>
          </w:tcPr>
          <w:p>
            <w:r>
              <w:rPr>
                <w:sz w:val="20"/>
              </w:rPr>
              <w:t>Solution injectable IM/IV/SC ou voie périmédullaire 0,3 mg/mL</w:t>
            </w:r>
          </w:p>
        </w:tc>
        <w:tc>
          <w:tcPr>
            <w:tcW w:type="dxa" w:w="1559"/>
          </w:tcPr>
          <w:p>
            <w:r>
              <w:rPr>
                <w:sz w:val="20"/>
              </w:rPr>
              <w:t>B/05 ampoules de 1 mL et B/50 ampoules de 1 mL</w:t>
            </w:r>
          </w:p>
        </w:tc>
        <w:tc>
          <w:tcPr>
            <w:tcW w:type="dxa" w:w="1559"/>
          </w:tcPr>
          <w:p>
            <w:r>
              <w:rPr>
                <w:sz w:val="20"/>
              </w:rPr>
              <w:t>Liste I</w:t>
            </w:r>
          </w:p>
        </w:tc>
        <w:tc>
          <w:tcPr>
            <w:tcW w:type="dxa" w:w="1559"/>
          </w:tcPr>
          <w:p>
            <w:r>
              <w:rPr>
                <w:sz w:val="20"/>
              </w:rPr>
              <w:t>Actif</w:t>
            </w:r>
          </w:p>
        </w:tc>
      </w:tr>
      <w:tr>
        <w:tc>
          <w:tcPr>
            <w:tcW w:type="dxa" w:w="1559"/>
          </w:tcPr>
          <w:p>
            <w:r>
              <w:rPr>
                <w:sz w:val="20"/>
              </w:rPr>
              <w:t>TEMGESIC</w:t>
            </w:r>
          </w:p>
        </w:tc>
        <w:tc>
          <w:tcPr>
            <w:tcW w:type="dxa" w:w="1559"/>
          </w:tcPr>
          <w:p>
            <w:r>
              <w:rPr>
                <w:sz w:val="20"/>
              </w:rPr>
              <w:t>SCHERING-PLOUGH</w:t>
            </w:r>
          </w:p>
        </w:tc>
        <w:tc>
          <w:tcPr>
            <w:tcW w:type="dxa" w:w="1559"/>
          </w:tcPr>
          <w:p>
            <w:r>
              <w:rPr>
                <w:sz w:val="20"/>
              </w:rPr>
              <w:t>Solution injectable 0,3 mg/mL</w:t>
            </w:r>
          </w:p>
        </w:tc>
        <w:tc>
          <w:tcPr>
            <w:tcW w:type="dxa" w:w="1559"/>
          </w:tcPr>
          <w:p>
            <w:r>
              <w:rPr>
                <w:sz w:val="20"/>
              </w:rPr>
              <w:t>B/10</w:t>
            </w:r>
          </w:p>
        </w:tc>
        <w:tc>
          <w:tcPr>
            <w:tcW w:type="dxa" w:w="1559"/>
          </w:tcPr>
          <w:p>
            <w:r>
              <w:rPr>
                <w:sz w:val="20"/>
              </w:rPr>
              <w:t>Liste I</w:t>
            </w:r>
          </w:p>
        </w:tc>
        <w:tc>
          <w:tcPr>
            <w:tcW w:type="dxa" w:w="1559"/>
          </w:tcPr>
          <w:p>
            <w:r>
              <w:rPr>
                <w:sz w:val="20"/>
              </w:rPr>
              <w:t>Non renouvelable</w:t>
            </w:r>
          </w:p>
        </w:tc>
      </w:tr>
      <w:tr>
        <w:tc>
          <w:tcPr>
            <w:tcW w:type="dxa" w:w="1559"/>
          </w:tcPr>
          <w:p>
            <w:r>
              <w:rPr>
                <w:sz w:val="20"/>
              </w:rPr>
              <w:t>TEMGESIC</w:t>
            </w:r>
          </w:p>
        </w:tc>
        <w:tc>
          <w:tcPr>
            <w:tcW w:type="dxa" w:w="1559"/>
          </w:tcPr>
          <w:p>
            <w:r>
              <w:rPr>
                <w:sz w:val="20"/>
              </w:rPr>
              <w:t>SCHERING-PLOUGH</w:t>
            </w:r>
          </w:p>
        </w:tc>
        <w:tc>
          <w:tcPr>
            <w:tcW w:type="dxa" w:w="1559"/>
          </w:tcPr>
          <w:p>
            <w:r>
              <w:rPr>
                <w:sz w:val="20"/>
              </w:rPr>
              <w:t>Comprimé sublingual 0,2 mg</w:t>
            </w:r>
          </w:p>
        </w:tc>
        <w:tc>
          <w:tcPr>
            <w:tcW w:type="dxa" w:w="1559"/>
          </w:tcPr>
          <w:p>
            <w:r>
              <w:rPr>
                <w:sz w:val="20"/>
              </w:rPr>
              <w:t>B/20</w:t>
            </w:r>
          </w:p>
        </w:tc>
        <w:tc>
          <w:tcPr>
            <w:tcW w:type="dxa" w:w="1559"/>
          </w:tcPr>
          <w:p>
            <w:r>
              <w:rPr>
                <w:sz w:val="20"/>
              </w:rPr>
              <w:t>Liste I</w:t>
            </w:r>
          </w:p>
        </w:tc>
        <w:tc>
          <w:tcPr>
            <w:tcW w:type="dxa" w:w="1559"/>
          </w:tcPr>
          <w:p>
            <w:r>
              <w:rPr>
                <w:sz w:val="20"/>
              </w:rPr>
              <w:t>Non renouvelable</w:t>
            </w:r>
          </w:p>
        </w:tc>
      </w:tr>
    </w:tbl>
    <w:p/>
    <w:p>
      <w:r>
        <w:t xml:space="preserve">Le marché algérien de la buprénorphine comprend </w:t>
      </w:r>
      <w:r>
        <w:rPr>
          <w:b/>
        </w:rPr>
        <w:t>trois spécialités actives</w:t>
      </w:r>
      <w:r>
        <w:t xml:space="preserve">, toutes en formulation injectable à 0,3 mg/mL, produites par des laboratoires nationaux (Saidal, Geopharm, Frater Razes). La concentration de 0,3 mg/mL est historiquement celle de la marque princeps Temgesic (Schering-Plough), développeur initial de la molécule. Les trois spécialités nationales sont bioéquivalentes et interchangeables. La spécialité </w:t>
      </w:r>
      <w:r>
        <w:rPr>
          <w:b/>
        </w:rPr>
        <w:t>Temgesic injectable</w:t>
      </w:r>
      <w:r>
        <w:t xml:space="preserve"> du laboratoire Schering-Plough (devenu MSD) a été déclarée </w:t>
      </w:r>
      <w:r>
        <w:rPr>
          <w:b/>
        </w:rPr>
        <w:t>NON_RENOUVELABLE</w:t>
      </w:r>
      <w:r>
        <w:t xml:space="preserve"> dans la nomenclature algérienne, ce qui signifie que l'importation n'est plus assurée mais que les stocks existants peuvent encore être dispensés jusqu'à épuisement. La spécialité </w:t>
      </w:r>
      <w:r>
        <w:rPr>
          <w:b/>
        </w:rPr>
        <w:t>Temgesic comprimé sublingual à 0,2 mg</w:t>
      </w:r>
      <w:r>
        <w:t xml:space="preserve"> — formulation princeps de la substitution opioïque — est également </w:t>
      </w:r>
      <w:r>
        <w:rPr>
          <w:b/>
        </w:rPr>
        <w:t>NON_RENOUVELABLE</w:t>
      </w:r>
      <w:r>
        <w:t>, ce qui prive le marché algérien de la formulation de référence internationale pour la prise en charge substitutive ambulatoire. Cette pénurie de la forme sublinguale bas dosage (0,2 mg, 0,4 mg, 2 mg, 8 mg) impose aux praticiens algériens le recours à des stratégies alternatives : (1) utilisation de la forme injectable par voie sublinguale hors AMM (1 mL d'ampoule à 0,3 mg/mL = 0,3 mg équivalent sublingual), (2) prescription de psychotropes symptomatiques (anxiolytiques pour l'anxiété de sevrage, antispasmodiques pour les crampes, antidiarrhéiques opioïdes comme le lopéramide pour la diarrhée, antiémétiques pour les vomissements), (3) orientation vers les structures spécialisées assurant un sevrage non pharmacologique (post-cures, thérapies comportementales).</w:t>
      </w:r>
    </w:p>
    <w:p>
      <w:r/>
      <w:r>
        <w:rPr>
          <w:b/>
        </w:rPr>
        <w:t>Alerte majeure de disponibilité</w:t>
      </w:r>
      <w:r>
        <w:t xml:space="preserve"> : l'absence de la </w:t>
      </w:r>
      <w:r>
        <w:rPr>
          <w:b/>
        </w:rPr>
        <w:t>méthadone</w:t>
      </w:r>
      <w:r>
        <w:t xml:space="preserve"> sur le marché algérien est une lacune critique. La méthadone (DCI internationale, chlorhydrate de méthadone, code ATC N07BC02) est inscrite sur la Liste des médicaments essentiaux de l'OMS comme traitement de substitution de première intention chez les patients dépendants à forte tolérance, nécessitant une stabilisation prolongée ou présentant une contre-indication à la buprénorphine (hypersensibilité, hépatotoxicité, polydépendance sévère). Son absence en Algérie impose le recours exclusif à la buprénorphine, ce qui limite l'arsenal thérapeutique. De même, l'absence de la </w:t>
      </w:r>
      <w:r>
        <w:rPr>
          <w:b/>
        </w:rPr>
        <w:t>naltrexone</w:t>
      </w:r>
      <w:r>
        <w:t xml:space="preserve"> (antagoniste μ utilisé dans le maintien de l'abstinence opioïque après sevrage) prive les praticiens algériens d'un outil thérapeutique essentiel de la phase post-sevrage. Enfin, l'absence de </w:t>
      </w:r>
      <w:r>
        <w:rPr>
          <w:b/>
        </w:rPr>
        <w:t>disulfiram, acamprosate et naltrexone</w:t>
      </w:r>
      <w:r>
        <w:t xml:space="preserve"> pour la dépendance alcoolique explique la fréquence des prescriptions hors AMM de buprénorphine chez les patients alcoolo-dépendants — pratique non fondée sur les preuves.</w:t>
      </w:r>
    </w:p>
    <w:p>
      <w:pPr>
        <w:pStyle w:val="Heading3"/>
      </w:pPr>
      <w:r>
        <w:t>193.2.3 Mécanisme d'action moléculaire, cellulaire et physiologique</w:t>
      </w:r>
    </w:p>
    <w:p>
      <w:r>
        <w:t xml:space="preserve">La buprénorphine est un </w:t>
      </w:r>
      <w:r>
        <w:rPr>
          <w:b/>
        </w:rPr>
        <w:t>agoniste partiel des récepteurs opioïdes μ (MOR, OP3)</w:t>
      </w:r>
      <w:r>
        <w:t xml:space="preserve">, un </w:t>
      </w:r>
      <w:r>
        <w:rPr>
          <w:b/>
        </w:rPr>
        <w:t>antagoniste des récepteurs κ (KOR, OP1)</w:t>
      </w:r>
      <w:r>
        <w:t xml:space="preserve"> et un </w:t>
      </w:r>
      <w:r>
        <w:rPr>
          <w:b/>
        </w:rPr>
        <w:t>agoniste partiel faible des récepteurs δ (DOR, OP2)</w:t>
      </w:r>
      <w:r>
        <w:t>. Cette signature pharmacologique tridimensionnelle — unique parmi les opioïdes — explique l'ensemble de ses propriétés cliniques : analgésie sans euphorie marquée, effet plafond sur la dépression respiratoire, dysphorie modérée (liée à l'antagonisme κ), syndrome de sevrage atténué à l'arrêt, et blocage partiel de l'effet des opioïdes agonistes complets coadministrés.</w:t>
      </w:r>
    </w:p>
    <w:p>
      <w:r/>
      <w:r>
        <w:rPr>
          <w:b/>
        </w:rPr>
        <w:t>Niveau moléculaire</w:t>
      </w:r>
      <w:r>
        <w:t xml:space="preserve"> : la buprénorphine se lie au récepteur μ (MOR) avec une </w:t>
      </w:r>
      <w:r>
        <w:rPr>
          <w:b/>
        </w:rPr>
        <w:t>affinité extrêmement élevée</w:t>
      </w:r>
      <w:r>
        <w:t xml:space="preserve"> (Ki ≈ 0,8 nM, supérieure à celle de la morphine Ki ≈ 10 nM et proche de celle du fentanyl). Cette affinité élevée lui permet de </w:t>
      </w:r>
      <w:r>
        <w:rPr>
          <w:b/>
        </w:rPr>
        <w:t>déplacer les autres opioïdes</w:t>
      </w:r>
      <w:r>
        <w:t xml:space="preserve"> de leur fixation au récepteur μ — propriété mise à profit dans le blocage de l'effet euphorique de l'héroïne et dans le précipitation du sevrage chez un patient dépendant non en sevrage (effet indésirable classique à l'initiation trop précoce). Sur le plan de l'efficacité, la buprénorphine présente une </w:t>
      </w:r>
      <w:r>
        <w:rPr>
          <w:b/>
        </w:rPr>
        <w:t>efficacité intrinsèque réduite</w:t>
      </w:r>
      <w:r>
        <w:t xml:space="preserve"> (Emax ≈ 40-50 % de celle de la morphine sur le récepteur μ), ce qui la classe comme agoniste partiel : elle active le récepteur mais ne peut en atteindre l'activation maximale. Sur le récepteur κ (KOR), la buprénorphine agit comme un </w:t>
      </w:r>
      <w:r>
        <w:rPr>
          <w:b/>
        </w:rPr>
        <w:t>antagoniste compétitif</w:t>
      </w:r>
      <w:r>
        <w:t xml:space="preserve"> pur (pas d'activation, mais blocage de l'activation par les agonistes κ endogènes comme la dynorphine) — ceci explique son effet antidépresseur et anti-addictif observé en préclinique et fait l'objet d'essais cliniques dans la dépression réfractaire. Sur le récepteur δ (DOR), son effet agoniste partiel faible est de signification clinique incertaine.</w:t>
      </w:r>
    </w:p>
    <w:p>
      <w:r/>
      <w:r>
        <w:rPr>
          <w:b/>
        </w:rPr>
        <w:t>Niveau cellulaire</w:t>
      </w:r>
      <w:r>
        <w:t xml:space="preserve"> : la liaison de la buprénorphine au récepteur μ — qui appartient à la superfamille des récepteurs couplés aux protéines G (RCPG à 7 domaines transmembranaires, couplage inhibiteur Gi/Go) — provoque : (i) inhibition de l'adénylate cyclase → baisse de l'AMPc intracellulaire → désactivation de la protéine kinase A ; (ii) ouverture des canaux potassiques rectifiants entrants (GIRK) → hyperpolarisation membranaire → diminution de l'excitabilité neuronale ; (iii) fermeture des canaux calciques voltage-dépendants N et P/Q → réduction de l'entrée calcique → diminution de la libération de neurotransmetteurs. L'effet global est une </w:t>
      </w:r>
      <w:r>
        <w:rPr>
          <w:b/>
        </w:rPr>
        <w:t>dépression de la transmission nerveuse</w:t>
      </w:r>
      <w:r>
        <w:t xml:space="preserve"> dans les voies de la douleur (analgsésie), les voies noradrnergiques du locus coeruleus (suppression du sevrage), les voies mésolimbiques dopaminergiques du système de récompense (réduction du craving sans annulation complète), et les centres respiratoires bulboprotubérianciels (dépression respiratoire plafonnée).</w:t>
      </w:r>
    </w:p>
    <w:p>
      <w:r/>
      <w:r>
        <w:rPr>
          <w:b/>
        </w:rPr>
        <w:t>Niveau physiologique</w:t>
      </w:r>
      <w:r>
        <w:t xml:space="preserve"> : la buprénorphine produit les effets opioïdes classiques, mais avec des particularités liées à son caractère d'agoniste partiel : (1) </w:t>
      </w:r>
      <w:r>
        <w:rPr>
          <w:b/>
        </w:rPr>
        <w:t>analgésie</w:t>
      </w:r>
      <w:r>
        <w:t xml:space="preserve"> — équivalent morphine 0,3 mg IM ≈ 10 mg morphine IM, durée 6-9 heures ; (2) </w:t>
      </w:r>
      <w:r>
        <w:rPr>
          <w:b/>
        </w:rPr>
        <w:t>sédation</w:t>
      </w:r>
      <w:r>
        <w:t xml:space="preserve"> modérée, plus marquée en début de traitement (tolérance en 5-7 jours) ; (3) </w:t>
      </w:r>
      <w:r>
        <w:rPr>
          <w:b/>
        </w:rPr>
        <w:t>dépression respiratoire</w:t>
      </w:r>
      <w:r>
        <w:t xml:space="preserve"> — </w:t>
      </w:r>
      <w:r>
        <w:rPr>
          <w:b/>
        </w:rPr>
        <w:t>effet plafond</w:t>
      </w:r>
      <w:r>
        <w:t xml:space="preserve"> caractéristique : à dose croissante, la dépression respiratoire atteint un plateau vers 32 % de réduction de la ventilation minute, contrairement aux agonistes complets (morphine, méthadone, fentanyl) qui produisent une dépression respiratoire proportionnelle à la dose jusqu'à l'apnée. Cet effet plafond explique la moindre létalité de la buprénorphine en overdose par rapport à la méthadone ; (4) </w:t>
      </w:r>
      <w:r>
        <w:rPr>
          <w:b/>
        </w:rPr>
        <w:t>euphorie</w:t>
      </w:r>
      <w:r>
        <w:t xml:space="preserve"> atténuée — le « flash » intraveineux est réduit voire absent (pas de pic euphorique marqué), ce qui réduit le potentiel d'abus mais limite aussi l'observance chez les patients recherchant cet effet ; (5) </w:t>
      </w:r>
      <w:r>
        <w:rPr>
          <w:b/>
        </w:rPr>
        <w:t>constipation</w:t>
      </w:r>
      <w:r>
        <w:t xml:space="preserve"> opioïde, myosis, rétention urinaire, prurit (histamino-libération) — communs à tous les opioïdes μ ; (6) </w:t>
      </w:r>
      <w:r>
        <w:rPr>
          <w:b/>
        </w:rPr>
        <w:t>suppression du sevrage opioïde</w:t>
      </w:r>
      <w:r>
        <w:t xml:space="preserve"> — par occupation prolongée du récepteur μ (demi-vie de dissociation lente, 2-5 heures), la buprénorphine supprime les symptômes de sevrage (sueurs, frissons, myalgies, diarrhée, anxiété, craving) pendant 24-48 heures après une dose unique.</w:t>
      </w:r>
    </w:p>
    <w:p>
      <w:r/>
      <w:r>
        <w:rPr>
          <w:b/>
        </w:rPr>
        <w:t>Niveau addictologique</w:t>
      </w:r>
      <w:r>
        <w:t xml:space="preserve"> : la dissociation lente du récepteur μ explique la longue durée d'action de la buprénorphine malgré une demi-vie plasmatique courte (3-5 heures). Cette propriété pharmacodynamique — occupation prolongée du récepteur — est la clé de son utilisation comme substitution : une dose sublinguale unique (2-8 mg) occupe les récepteurs μ centraux pendant 24 à 48 heures, période pendant laquelle toute prise additionnelle d'héroïne ou de fentanyl est bloquée (l'opioïde exogène ne peut plus activer le récepteur déjà occupé par la buprénorphine à haute affinité). C'est la propriété de </w:t>
      </w:r>
      <w:r>
        <w:rPr>
          <w:b/>
        </w:rPr>
        <w:t>blocade opioïde</w:t>
      </w:r>
      <w:r>
        <w:t>, équivalent fonctionnel de la naltrexone mais avec maintien d'un tonus opioïde basal.</w:t>
      </w:r>
    </w:p>
    <w:p>
      <w:pPr>
        <w:pStyle w:val="Heading3"/>
      </w:pPr>
      <w:r>
        <w:t>193.2.4 Pharmacocinétique (profil PK)</w:t>
      </w:r>
    </w:p>
    <w:p>
      <w:r/>
      <w:r>
        <w:rPr>
          <w:b/>
        </w:rPr>
        <w:t>Absorption</w:t>
      </w:r>
      <w:r>
        <w:t xml:space="preserve"> : la buprénorphine subit un </w:t>
      </w:r>
      <w:r>
        <w:rPr>
          <w:b/>
        </w:rPr>
        <w:t>effet de premier passage métabolique massif</w:t>
      </w:r>
      <w:r>
        <w:t xml:space="preserve"> (≈ 90 %) lorsqu'elle est administrée per os, ce qui rend la voie orale inefficace. La voie sublinguale est la voie de référence pour la substitution : la molécule est absorbée par les capillaires sous-linguaux (veines sous-linguales → veine jugulaire externe → circulation systémique), court-circuitant la circulation mésentérique et le premier passage hépatique. La biodisponibilité sublinguale est de l'ordre de 30 à 50 % (vs 100 % IV), avec un délai d'action de 30 à 60 minutes et un pic de concentration à 1 à 2 heures. La biodisponibilité IM est d'environ 40 à 80 %, avec un délai de 15 à 30 minutes et une durée d'action de 6 à 9 heures. La biodisponibilité IV est par définition de 100 %, avec un délai d'action de 1 à 5 minutes mais un pic d'effet retardé (15-30 minutes) en raison de la lente dissociation du récepteur μ (effet hystérétique kinetics). Il est important de noter que la buprénorphine IV est </w:t>
      </w:r>
      <w:r>
        <w:rPr>
          <w:b/>
        </w:rPr>
        <w:t>moins rapide</w:t>
      </w:r>
      <w:r>
        <w:t xml:space="preserve"> que la morphine IV malgré une liposolubilité supérieure, en raison de cette cinétique de dissociation récepteur-ligand lente.</w:t>
      </w:r>
    </w:p>
    <w:p>
      <w:r/>
      <w:r>
        <w:rPr>
          <w:b/>
        </w:rPr>
        <w:t>Distribution</w:t>
      </w:r>
      <w:r>
        <w:t xml:space="preserve"> : la buprénorphine est une molécule hautement </w:t>
      </w:r>
      <w:r>
        <w:rPr>
          <w:b/>
        </w:rPr>
        <w:t>lipophile</w:t>
      </w:r>
      <w:r>
        <w:t xml:space="preserve"> (log P ≈ 4,0), avec un </w:t>
      </w:r>
      <w:r>
        <w:rPr>
          <w:b/>
        </w:rPr>
        <w:t>volume de distribution élevé</w:t>
      </w:r>
      <w:r>
        <w:t xml:space="preserve"> (Vd ≈ 3 à 5 L/kg). Sa liaison aux protéines plasmatiques est très élevée (≈ 96 %), principalement à l'α1-glycoprotéine acide et à l'albumine. La traversée de la barrière hémato-encéphalique est rapide et importante en raison de la lipophilie. La traversée placentaire est documentée (voir section grossesse). La distribution dans le tissu adipeux explique la libération prolongée et la demi-vie d'élimination plus longue que la demi-vie plasmatique apparente.</w:t>
      </w:r>
    </w:p>
    <w:p>
      <w:r/>
      <w:r>
        <w:rPr>
          <w:b/>
        </w:rPr>
        <w:t>Métabolisme</w:t>
      </w:r>
      <w:r>
        <w:t xml:space="preserve"> : la buprénorphine est métabolisée principalement par le </w:t>
      </w:r>
      <w:r>
        <w:rPr>
          <w:b/>
        </w:rPr>
        <w:t>cytochrome P450 3A4</w:t>
      </w:r>
      <w:r>
        <w:t xml:space="preserve"> (CYP3A4) hépatique en </w:t>
      </w:r>
      <w:r>
        <w:rPr>
          <w:b/>
        </w:rPr>
        <w:t>norbuprénorphine</w:t>
      </w:r>
      <w:r>
        <w:t xml:space="preserve"> (par N-déalkylation), métabolite actif (agoniste μ partiel) de puissance analgésique équivalente à la molécule mère mais avec une moindre traversée de la barrière hémato-encéphalique. La norbuprénorphine est à son tour métabolisée par glucuronoconjugaison (UGT1A1, UGT2B7) en norbuprénorphine-3-glucuronide, métabolite actif. Une voie mineure de glucuronoconjugaison directe de la buprénorphine en buprénorphine-3-glucuronide existe également. L'implication du CYP3A4 expose à de nombreuses interactions médicamenteuses (voir section dédiée), notamment avec les inhibiteurs (antifongiques azolés, macrolides, antiprotéases, jus de pamplemousse) qui augmentent l'exposition et les bloqueurs (rifampicine, carbamazépine, phénytoïne, millepertuis) qui réduisent l'efficacité.</w:t>
      </w:r>
    </w:p>
    <w:p>
      <w:r/>
      <w:r>
        <w:rPr>
          <w:b/>
        </w:rPr>
        <w:t>Élimination</w:t>
      </w:r>
      <w:r>
        <w:t xml:space="preserve"> : l'élimination est </w:t>
      </w:r>
      <w:r>
        <w:rPr>
          <w:b/>
        </w:rPr>
        <w:t>principalement biliaire</w:t>
      </w:r>
      <w:r>
        <w:t xml:space="preserve"> (≈ 70 %) et </w:t>
      </w:r>
      <w:r>
        <w:rPr>
          <w:b/>
        </w:rPr>
        <w:t>accessoirement rénale</w:t>
      </w:r>
      <w:r>
        <w:t xml:space="preserve"> (≈ 30 %). L'élimination biliaire favorise un cycle entéro-hépatique qui prolonge la demi-vie. L'élimination rénale se fait sous forme de métabolites glucuroconjugués (buprénorphine-3-glucuronide et norbuprénorphine-3-glucuronide). Moins de 1 % de la molécule inchangée est retrouvée dans les urines, ce qui complique le dépistage toxicologique urinaire (le screening immunochimique classique pour les opioïdes peut donner un faux négatif ; un dosage spécifique par chromatographie liquide-spectrométrie de masse LC-MS/MS est nécessaire).</w:t>
      </w:r>
    </w:p>
    <w:p>
      <w:r/>
      <w:r>
        <w:rPr>
          <w:b/>
        </w:rPr>
        <w:t>Demi-vie d'élimination</w:t>
      </w:r>
      <w:r>
        <w:t xml:space="preserve"> : la demi-vie plasmatique de la buprénorphine est de 3 à 5 heures après administration IV, mais la </w:t>
      </w:r>
      <w:r>
        <w:rPr>
          <w:b/>
        </w:rPr>
        <w:t>demi-vie apparente</w:t>
      </w:r>
      <w:r>
        <w:t xml:space="preserve"> après administration sublinguale est plus longue (12 à 27 heures), en raison de la lente dissociation du récepteur μ et de l'absorption prolongée. La norbuprénorphine a une demi-vie d'élimination plus longue (≈ 30 heures). La durée d'action clinique est de 6 à 9 heures pour la forme injectable analgésique, et de 24 à 48 heures pour la forme sublinguale haut dosage substitutive.</w:t>
      </w:r>
    </w:p>
    <w:p>
      <w:r/>
      <w:r>
        <w:rPr>
          <w:b/>
        </w:rPr>
        <w:t>Linéarité</w:t>
      </w:r>
      <w:r>
        <w:t xml:space="preserve"> : la pharmacocinétique est linéaire aux doses thérapeutiques (0,2 à 32 mg/jour en substitution). Aux doses supérieures, la cinétique devient non linéaire par saturation de la glycoprotéine P et du métabolisme de premier passage.</w:t>
      </w:r>
    </w:p>
    <w:p>
      <w:r/>
      <w:r>
        <w:rPr>
          <w:b/>
        </w:rPr>
        <w:t>Suivi thérapeutique</w:t>
      </w:r>
      <w:r>
        <w:t xml:space="preserve"> : il n'y a pas de dosage plasmatique en routine pour la buprénorphine. Le monitorage repose sur les paramètres cliniques : disparition des signes de sevrage (échelle CINA, Clinical Opiate Withdrawal Scale), disparition du craving, absence d'effets indésirables (sédation excessive), absence de mésusage (analyses urinaires toxicologiques mensuelles de contrôle, recherche d'autres opioïdes, de cocaïne, de cannabis, de benzodiazépines). La recherche spécifique de buprénorphine et norbuprénorphine urinaires est utile en cas de doute sur l'observance.</w:t>
      </w:r>
    </w:p>
    <w:p>
      <w:pPr>
        <w:pStyle w:val="Heading3"/>
      </w:pPr>
      <w:r>
        <w:t>193.2.5 Indications thérapeutiques</w:t>
      </w:r>
    </w:p>
    <w:p>
      <w:r>
        <w:t>Les indications validées de la buprénorphine se répartissent en deux grands domaines : analgésique et addictologique. L'OMS (guidelines 2009, révision 2020) et les recommandations internationales (HAS France 2004 révisée 2023, NICE UK 2007, ASAM USA 2020, EMA 2017) en précisent les cadres d'utilisation.</w:t>
      </w:r>
    </w:p>
    <w:p>
      <w:r/>
      <w:r>
        <w:rPr>
          <w:b/>
        </w:rPr>
        <w:t>Indications analgésiques</w:t>
      </w:r>
      <w:r>
        <w:t xml:space="preserve"> (formulation injectable 0,3 mg/mL, disponible en Algérie) :</w:t>
      </w:r>
    </w:p>
    <w:p>
      <w:pPr>
        <w:pStyle w:val="ListNumber"/>
      </w:pPr>
      <w:r/>
      <w:r>
        <w:rPr>
          <w:b/>
        </w:rPr>
        <w:t>Douleur aiguë intense</w:t>
      </w:r>
      <w:r>
        <w:t xml:space="preserve"> : post-opératoire (chirurgie thoracique, abdominale, orthopédique majeure), traumatologique (fractures, polytraumatisme), colique néphrétique, infarctus du myocarde en attente de thrombolyse, drépanocytose (crise vaso-occlusive). Posologie : 0,3 mg IM ou IV lente (5 minutes) ou SC, à renouveler toutes les 6 à 8 heures, sans dépasser 1,2 mg/jour en analgésie aiguë. L'avantage par rapport à la morphine est la durée d'action prolongée et l'effet plafond respiratoire (sécurité en médecine de ville).</w:t>
      </w:r>
    </w:p>
    <w:p>
      <w:pPr>
        <w:pStyle w:val="ListNumber"/>
      </w:pPr>
      <w:r/>
      <w:r>
        <w:rPr>
          <w:b/>
        </w:rPr>
        <w:t>Douleur chronique cancéreuse</w:t>
      </w:r>
      <w:r>
        <w:t xml:space="preserve"> : en relais ou en alternance avec la morphine, particulièrement en cas de douleur neuropathique associée (la composante antagoniste κ pourrait réduire l'hyperalgésie opioïde). Posologie : 0,3 mg SC toutes les 8 heures, adaptée selon l'efficacité.</w:t>
      </w:r>
    </w:p>
    <w:p>
      <w:pPr>
        <w:pStyle w:val="ListNumber"/>
      </w:pPr>
      <w:r/>
      <w:r>
        <w:rPr>
          <w:b/>
        </w:rPr>
        <w:t>Analgésie anesthésique peropératoire</w:t>
      </w:r>
      <w:r>
        <w:t xml:space="preserve"> : 0,3 à 0,6 mg IV en complément d'une anesthésie balancée, en alternative au fentanyl ou à la morphine. La longue durée d'action permet une analgésie post-opératoire prolongée sans recours aux morphiniques PCA.</w:t>
      </w:r>
    </w:p>
    <w:p>
      <w:pPr>
        <w:pStyle w:val="ListNumber"/>
      </w:pPr>
      <w:r/>
      <w:r>
        <w:rPr>
          <w:b/>
        </w:rPr>
        <w:t>Analgésie périmédullaire</w:t>
      </w:r>
      <w:r>
        <w:t xml:space="preserve"> : voie épidurale ou intrathécale à dose réduite (0,15 à 0,3 mg), particulièrement indiquée dans les douleurs obstétricales et post-opératoires. La dépression respiratoire retardée (4 à 12 heures après injection) impose une surveillance continue 12 heures minimum.</w:t>
      </w:r>
    </w:p>
    <w:p>
      <w:r/>
      <w:r>
        <w:rPr>
          <w:b/>
        </w:rPr>
        <w:t>Indications addictologiques</w:t>
      </w:r>
      <w:r>
        <w:t xml:space="preserve"> (formulation sublinguale haut dosage, NON disponible en Algérie, mais accessible via la forme injectable utilisée hors AMM en sublingual) :</w:t>
      </w:r>
    </w:p>
    <w:p>
      <w:pPr>
        <w:pStyle w:val="ListNumber"/>
      </w:pPr>
      <w:r/>
      <w:r>
        <w:rPr>
          <w:b/>
        </w:rPr>
        <w:t>Substitution d'entretien</w:t>
      </w:r>
      <w:r>
        <w:t xml:space="preserve"> chez les patients dépendants aux opioïdes (héroïne, opium, opioïdes de prescription détournés) répondant aux critères DSM-5 de trouble lié à l'utilisation d'opioïdes (sévérité modérée à sévère, ≥ 4 critères). Posologie initiale : 2 à 4 mg sublingual à J1, augmentation progressive jusqu'à 8 à 16 mg/jour (parfois 24-32 mg/jour) en une prise unique le matin, à distance de la dernière prise d'opioïdes (12-24 heures après héroïne, 24-48 heures après morphine à libération prolongée). Durée d'entretien : plusieurs mois à années (parfois à vie), avec réévaluation trimestrielle et tentative de réduction progressive après stabilisation psychosociale.</w:t>
      </w:r>
    </w:p>
    <w:p>
      <w:pPr>
        <w:pStyle w:val="ListNumber"/>
      </w:pPr>
      <w:r/>
      <w:r>
        <w:rPr>
          <w:b/>
        </w:rPr>
        <w:t>Sevrage programmé court</w:t>
      </w:r>
      <w:r>
        <w:t xml:space="preserve"> (protocole de 7 à 15 jours) chez les patients dépendants souhaitant une abstinence immédiate : buprénorphine 4-8 mg à J1-J2, diminution de 2 mg tous les 2 jours jusqu'à arrêt complet à J10-J15, en association avec un traitement symptomatique (clonidine 0,1-0,3 mg x 3/jour, lopéramide 2 mg après chaque selle liquide, paracétamol 1 g x 3/jour, hydroxyzine 25-50 mg au coucher pour l'insomnie).</w:t>
      </w:r>
    </w:p>
    <w:p>
      <w:pPr>
        <w:pStyle w:val="ListNumber"/>
      </w:pPr>
      <w:r/>
      <w:r>
        <w:rPr>
          <w:b/>
        </w:rPr>
        <w:t>Relais méthadone vers buprénorphine</w:t>
      </w:r>
      <w:r>
        <w:t xml:space="preserve"> : en cas d'intolérance à la méthadone (allongement du QTc, hépatotoxicité, prise de poids excessive, troubles endocriniens). Protocole de transition délicat (réduction de la méthadone à &lt; 30 mg/jour avant introduction de buprénorphine, pour éviter le sevrage précipité).</w:t>
      </w:r>
    </w:p>
    <w:p>
      <w:pPr>
        <w:pStyle w:val="ListNumber"/>
      </w:pPr>
      <w:r/>
      <w:r>
        <w:rPr>
          <w:b/>
        </w:rPr>
        <w:t>Prévention de l'overdose</w:t>
      </w:r>
      <w:r>
        <w:t xml:space="preserve"> : distribution de naloxone nasal aux patients substitués et à leurs proches (programme de réduction des risques), formation à la reconnaissance des signes d'overdose et à l'administration de naloxone IM ou nasale.</w:t>
      </w:r>
    </w:p>
    <w:p>
      <w:r/>
      <w:r>
        <w:rPr>
          <w:b/>
        </w:rPr>
        <w:t>Indications non validées</w:t>
      </w:r>
      <w:r>
        <w:t xml:space="preserve"> (hors AMM, à éviter) :</w:t>
      </w:r>
    </w:p>
    <w:p>
      <w:pPr>
        <w:pStyle w:val="ListBullet"/>
      </w:pPr>
      <w:r>
        <w:t>Dépendance à l'alcool (efficacité non démontrée, alternatives absentes en Algérie — disulfiram, acamprosate, naltrexone indisponibles).</w:t>
      </w:r>
    </w:p>
    <w:p>
      <w:pPr>
        <w:pStyle w:val="ListBullet"/>
      </w:pPr>
      <w:r>
        <w:t>Dépendance aux stimulants (cocaïne, amphétamines) : pas d'indication, pas d'efficacité.</w:t>
      </w:r>
    </w:p>
    <w:p>
      <w:pPr>
        <w:pStyle w:val="ListBullet"/>
      </w:pPr>
      <w:r>
        <w:t>Douleur chronique non cancéreuse au long cours : déconseillée en raison du risque de mésusage et de dépendance iatrogène.</w:t>
      </w:r>
    </w:p>
    <w:p>
      <w:pPr>
        <w:pStyle w:val="Heading3"/>
      </w:pPr>
      <w:r>
        <w:t>193.2.6 Posologie et mode d'administration</w:t>
      </w:r>
    </w:p>
    <w:p>
      <w:r/>
      <w:r>
        <w:rPr>
          <w:b/>
        </w:rPr>
        <w:t>Forme injectable (analgésie) — disponible en Algérie</w:t>
      </w:r>
      <w:r>
        <w:t xml:space="preserve"> :</w:t>
      </w:r>
    </w:p>
    <w:p>
      <w:pPr>
        <w:pStyle w:val="ListBullet"/>
      </w:pPr>
      <w:r/>
      <w:r>
        <w:rPr>
          <w:b/>
        </w:rPr>
        <w:t>Adulte</w:t>
      </w:r>
      <w:r>
        <w:t xml:space="preserve"> : 0,3 mg IM profonde (vaste externe de la cuisse, deltoïde, fessier supéro-externe) ou IV lente (5 minutes, diluée dans 5 mL de NaCl 0,9 %) ou SC, à renouveler toutes les 6 à 8 heures, sans dépasser 1,2 mg/jour (4 ampoules de 0,3 mg/mL). Dose maximale par injection : 0,6 mg (2 ampoules). En perfusion continue : 0,3 mg/h dans 50 mL de NaCl 0,9 % (rotation sur 24 heures). En PCA (analgésie auto-contrôlée) : bolus 0,03 mg, période réfractaire 15 minutes, débit maximal 0,3 mg/h.</w:t>
      </w:r>
    </w:p>
    <w:p>
      <w:pPr>
        <w:pStyle w:val="ListBullet"/>
      </w:pPr>
      <w:r/>
      <w:r>
        <w:rPr>
          <w:b/>
        </w:rPr>
        <w:t>Enfant &gt; 6 mois</w:t>
      </w:r>
      <w:r>
        <w:t xml:space="preserve"> : 3 à 6 µg/kg IM ou IV lente toutes les 6 à 8 heures, sans dépasser 6 µg/kg par injection.</w:t>
      </w:r>
    </w:p>
    <w:p>
      <w:pPr>
        <w:pStyle w:val="ListBullet"/>
      </w:pPr>
      <w:r/>
      <w:r>
        <w:rPr>
          <w:b/>
        </w:rPr>
        <w:t>Sujet âgé &gt; 75 ans</w:t>
      </w:r>
      <w:r>
        <w:t xml:space="preserve"> : posologie initiale réduite à 0,15 mg (demi-ampoule), surveillance accrue (risque de dépression respiratoire, hypotension, sédation).</w:t>
      </w:r>
    </w:p>
    <w:p>
      <w:pPr>
        <w:pStyle w:val="ListBullet"/>
      </w:pPr>
      <w:r/>
      <w:r>
        <w:rPr>
          <w:b/>
        </w:rPr>
        <w:t>Insuffisance rénale</w:t>
      </w:r>
      <w:r>
        <w:t xml:space="preserve"> : pas d'adaptation posologique (métabolisme hépatique prédominant, métabolites peu actifs). Surveillance accrue en dialyse.</w:t>
      </w:r>
    </w:p>
    <w:p>
      <w:pPr>
        <w:pStyle w:val="ListBullet"/>
      </w:pPr>
      <w:r/>
      <w:r>
        <w:rPr>
          <w:b/>
        </w:rPr>
        <w:t>Insuffisance hépatique légère à modérée</w:t>
      </w:r>
      <w:r>
        <w:t xml:space="preserve"> : posologie réduite de moitié, surveillance clinique. Contre-indiquée en cas d'insuffisance hépatique sévère (Child-Pugh C).</w:t>
      </w:r>
    </w:p>
    <w:p>
      <w:r/>
      <w:r>
        <w:rPr>
          <w:b/>
        </w:rPr>
        <w:t>Forme sublinguale (substitution) — NON disponible en Algérie, posologie de référence internationale</w:t>
      </w:r>
      <w:r>
        <w:t xml:space="preserve"> :</w:t>
      </w:r>
    </w:p>
    <w:p>
      <w:pPr>
        <w:pStyle w:val="ListBullet"/>
      </w:pPr>
      <w:r/>
      <w:r>
        <w:rPr>
          <w:b/>
        </w:rPr>
        <w:t>Induction</w:t>
      </w:r>
      <w:r>
        <w:t xml:space="preserve"> (J1-J3) : première dose de 2 à 4 mg sublinguale, à administrer lorsque le patient présente des signes objectifs de sevrage modéré (CINA ≥ 8), soit généralement 12 à 24 heures après la dernière prise d'héroïne ou 24 à 48 heures après la dernière prise de morphine à libération prolongée. Administrer trop précocement expose au risque de </w:t>
      </w:r>
      <w:r>
        <w:rPr>
          <w:b/>
        </w:rPr>
        <w:t>sevrage précipité</w:t>
      </w:r>
      <w:r>
        <w:t xml:space="preserve"> (effet antagoniste partiel de la buprénorphine qui déplace les opioïdes agonistes complets du récepteur μ). Réévaluation à 2 heures, dose supplémentaire de 2 à 4 mg si signes de sevrage persistants. Dose totale J1 : 4 à 8 mg.</w:t>
      </w:r>
    </w:p>
    <w:p>
      <w:pPr>
        <w:pStyle w:val="ListBullet"/>
      </w:pPr>
      <w:r/>
      <w:r>
        <w:rPr>
          <w:b/>
        </w:rPr>
        <w:t>Stabilisation</w:t>
      </w:r>
      <w:r>
        <w:t xml:space="preserve"> (J4-J7) : ajustement progressif par paliers de 2 à 4 mg/jour, jusqu'à dose stabilisatrice (disparition des signes de sevrage, du craving, sans sédation excessive). Dose moyenne stabilisatrice : 8 à 16 mg/jour en une prise le matin. Dose maximale : 32 mg/jour (au-delà, pas d'efficacité supplémentaire démontrée en raison de l'effet plafond).</w:t>
      </w:r>
    </w:p>
    <w:p>
      <w:pPr>
        <w:pStyle w:val="ListBullet"/>
      </w:pPr>
      <w:r/>
      <w:r>
        <w:rPr>
          <w:b/>
        </w:rPr>
        <w:t>Entretien</w:t>
      </w:r>
      <w:r>
        <w:t xml:space="preserve"> (à partir de J8) : dose stabilisatrice poursuivie plusieurs mois à années, en une prise unique le matin (la prise au coucher expose à l'insomnie paradoxale opioïde). Administrer sublingual, laisser fondre 5 à 10 minutes sans avaler, sans mâcher, sans avaler la salive pendant la dissolution (résorption sublinguale maximale).</w:t>
      </w:r>
    </w:p>
    <w:p>
      <w:pPr>
        <w:pStyle w:val="ListBullet"/>
      </w:pPr>
      <w:r/>
      <w:r>
        <w:rPr>
          <w:b/>
        </w:rPr>
        <w:t>Sevrage programmé</w:t>
      </w:r>
      <w:r>
        <w:t xml:space="preserve"> : réduction de 2 mg tous les 2 à 7 jours (palier adapté à la tolérance), avec arrêt complet à 0 mg. Protocole court (7-15 jours) ou long (1-3 mois). Risque de rechute maximal dans le mois suivant l'arrêt complet.</w:t>
      </w:r>
    </w:p>
    <w:p>
      <w:r/>
      <w:r>
        <w:rPr>
          <w:b/>
        </w:rPr>
        <w:t>Mode d'administration sublingual</w:t>
      </w:r>
      <w:r>
        <w:t xml:space="preserve"> : technique d'administration critique — le comprimé doit être placé sous la langue, en contact direct avec la muqueuse sublinguale, jusqu'à dissolution complète (5-10 minutes). Ne pas avaler, ne pas mâcher, ne pas boire ni manger pendant la dissolution (la biodisponibilité per os est &lt; 10 % par effet de premier passage hépatique). La biodisponibilité est réduite de 50 à 70 % si la technique est incorrecte, exposant à l'échec thérapeutique.</w:t>
      </w:r>
    </w:p>
    <w:p>
      <w:r/>
      <w:r>
        <w:rPr>
          <w:b/>
        </w:rPr>
        <w:t>Adaptation en Algérie (forme injectable détournée en sublingual, hors AMM)</w:t>
      </w:r>
      <w:r>
        <w:t xml:space="preserve"> : en l'absence de forme sublinguale, certains centres algériens utilisent la solution injectable par voie sublinguale : 1 mL d'ampoule à 0,3 mg/mL administré sous la langue, équivalent à 0,3 mg sublingual (soit la moitié d'un comprimé sublingual de 0,4 mg princeps). Cette pratique expose à des problèmes galéniques (stabilité, stérilité de la solution ouverte), de dosage imprécis, et de contamination microbienne. Elle doit faire l'objet d'une évaluation bénéfice/risque individuelle et d'une traçabilité rigoureuse.</w:t>
      </w:r>
    </w:p>
    <w:p>
      <w:pPr>
        <w:pStyle w:val="Heading3"/>
      </w:pPr>
      <w:r>
        <w:t>193.2.7 Effets indésirables et prévention</w:t>
      </w:r>
    </w:p>
    <w:p>
      <w:r>
        <w:t>Les effets indésirables de la buprénorphine sont dominés par ses effets opioïdes centraux, ses effets périphériques et sa toxicité hépatique spécifique.</w:t>
      </w:r>
    </w:p>
    <w:p>
      <w:r/>
      <w:r>
        <w:rPr>
          <w:b/>
        </w:rPr>
        <w:t>Effets centraux</w:t>
      </w:r>
      <w:r>
        <w:t xml:space="preserve"> :</w:t>
      </w:r>
    </w:p>
    <w:p>
      <w:pPr>
        <w:pStyle w:val="ListNumber"/>
      </w:pPr>
      <w:r/>
      <w:r>
        <w:rPr>
          <w:b/>
        </w:rPr>
        <w:t>Dépression respiratoire</w:t>
      </w:r>
      <w:r>
        <w:t xml:space="preserve"> — effet plafond caractéristique de l'agoniste partiel μ : la dépression respiratoire atteint un maximum d'environ 30 % de réduction de la ventilation minute à des doses supérieures à 8-16 mg sublingual, sans apnée totale contrairement aux agonistes complets. Cependant, </w:t>
      </w:r>
      <w:r>
        <w:rPr>
          <w:b/>
        </w:rPr>
        <w:t>la dépression respiratoire peut être fatale en cas d'association</w:t>
      </w:r>
      <w:r>
        <w:t xml:space="preserve"> avec d'autres dépresseurs respiratoires : benzodiazépines (multiplient le risque d'overdose létale par 3-5), alcool (effet synergique), autres opioïdes (héroïne, fentanyl, morphine), anesthésiques généraux, barbituriques, somnifères Z (zolpidem, zopiclone). L'overdose se manifeste par coma, myosis ponctuel, bradypnée &lt; 10/min, hypoxie, hypotension. Traitement : naloxone IV 0,4 mg (titration par 0,1 mg toutes les 2 minutes jusqu'à Fr ≥ 12/min), oxygène, intubation si coma profond. La naloxone peut être inefficace à dose standard en raison de la haute affinité de la buprénorphine pour le récepteur μ — des doses élevées (jusqu'à 10-20 mg) peuvent être nécessaires.</w:t>
      </w:r>
    </w:p>
    <w:p>
      <w:pPr>
        <w:pStyle w:val="ListNumber"/>
      </w:pPr>
      <w:r/>
      <w:r>
        <w:rPr>
          <w:b/>
        </w:rPr>
        <w:t>Sédation, somnolence, confusion</w:t>
      </w:r>
      <w:r>
        <w:t xml:space="preserve"> — particulièrement marquées en début de traitement (tolérance en 5-7 jours) et chez le sujet âgé. Prévention : posologie initiale réduite, interdiction de conduite pendant les 15 premiers jours et jusqu'à stabilisation, surveillance en milieu professionnel.</w:t>
      </w:r>
    </w:p>
    <w:p>
      <w:pPr>
        <w:pStyle w:val="ListNumber"/>
      </w:pPr>
      <w:r/>
      <w:r>
        <w:rPr>
          <w:b/>
        </w:rPr>
        <w:t>Syndrome de sevrage précipité</w:t>
      </w:r>
      <w:r>
        <w:t xml:space="preserve"> — à l'initiation trop précoce chez un patient dépendant non en sevrage (effet antagoniste partiel). Manifestations : agitation, anxiété, myalgies, sueurs, frissons, diarrhée, dans les 30 à 90 minutes après la première dose. Prévention : respecter un délai minimum de 12 heures après la dernière prise d'héroïne (délai court) ou 24-48 heures après morphine à libération prolongée (demi-vie longue), et débuter par une dose faible (2 mg) réévaluée à 2 heures.</w:t>
      </w:r>
    </w:p>
    <w:p>
      <w:pPr>
        <w:pStyle w:val="ListNumber"/>
      </w:pPr>
      <w:r/>
      <w:r>
        <w:rPr>
          <w:b/>
        </w:rPr>
        <w:t>Dysphorie, cauchemars, hallucinations</w:t>
      </w:r>
      <w:r>
        <w:t xml:space="preserve"> — liées à l'antagonisme κ (récepteur κ impliqué dans la dysphorie et les hallucinations). Plus rares qu'avec les agonistes κ purs, mais possibles. Prévention : information du patient, réduction posologique si intolérance.</w:t>
      </w:r>
    </w:p>
    <w:p>
      <w:pPr>
        <w:pStyle w:val="ListNumber"/>
      </w:pPr>
      <w:r/>
      <w:r>
        <w:rPr>
          <w:b/>
        </w:rPr>
        <w:t>Céphalées, vertiges, euphorie modérée</w:t>
      </w:r>
      <w:r>
        <w:t xml:space="preserve"> — fréquents en début de traitement, transitoires.</w:t>
      </w:r>
    </w:p>
    <w:p>
      <w:r/>
      <w:r>
        <w:rPr>
          <w:b/>
        </w:rPr>
        <w:t>Effets périphériques</w:t>
      </w:r>
      <w:r>
        <w:t xml:space="preserve"> :</w:t>
      </w:r>
    </w:p>
    <w:p>
      <w:pPr>
        <w:pStyle w:val="ListNumber"/>
      </w:pPr>
      <w:r/>
      <w:r>
        <w:rPr>
          <w:b/>
        </w:rPr>
        <w:t>Constipation opioïde</w:t>
      </w:r>
      <w:r>
        <w:t xml:space="preserve"> — quasi-constante, ne cède pas à la tolérance (effet direct sur les récepteurs μ entériques). Prévention : hydratation abondante, régime riche en fibres, exercice physique, laxatif osmotique (macrogol 10 g/jour) ou stimulant (bisacodyl 5-10 mg au coucher) au long cours.</w:t>
      </w:r>
    </w:p>
    <w:p>
      <w:pPr>
        <w:pStyle w:val="ListNumber"/>
      </w:pPr>
      <w:r/>
      <w:r>
        <w:rPr>
          <w:b/>
        </w:rPr>
        <w:t>Nausées, vomissements</w:t>
      </w:r>
      <w:r>
        <w:t xml:space="preserve"> — fréquents en début de traitement (30 % des patients), cèdent à la tolérance en 5-7 jours. Prévention : administration au cours du repas, antiémétique (métopimazine 10 mg ou ondanséron 4 mg) en cas de besoin.</w:t>
      </w:r>
    </w:p>
    <w:p>
      <w:pPr>
        <w:pStyle w:val="ListNumber"/>
      </w:pPr>
      <w:r/>
      <w:r>
        <w:rPr>
          <w:b/>
        </w:rPr>
        <w:t>Prurit, rougeur, sueurs</w:t>
      </w:r>
      <w:r>
        <w:t xml:space="preserve"> — liés à l'histamino-libération mastocytaire. Prévention : antihistaminique H1 (cétirizine 10 mg/jour) en cas de prurit gênant.</w:t>
      </w:r>
    </w:p>
    <w:p>
      <w:pPr>
        <w:pStyle w:val="ListNumber"/>
      </w:pPr>
      <w:r/>
      <w:r>
        <w:rPr>
          <w:b/>
        </w:rPr>
        <w:t>Rétention urinaire</w:t>
      </w:r>
      <w:r>
        <w:t xml:space="preserve"> — particulière chez l'homme âgé avec adénome prostatique. Prévention : surveillance de la diurèse, sondage vésical si besoin.</w:t>
      </w:r>
    </w:p>
    <w:p>
      <w:pPr>
        <w:pStyle w:val="ListNumber"/>
      </w:pPr>
      <w:r/>
      <w:r>
        <w:rPr>
          <w:b/>
        </w:rPr>
        <w:t>Myosis</w:t>
      </w:r>
      <w:r>
        <w:t xml:space="preserve"> — constant, sans traduction clinique mais peut gêner la conduite nocturne.</w:t>
      </w:r>
    </w:p>
    <w:p>
      <w:r/>
      <w:r>
        <w:rPr>
          <w:b/>
        </w:rPr>
        <w:t>Toxicité hépatique</w:t>
      </w:r>
      <w:r>
        <w:t xml:space="preserve"> — </w:t>
      </w:r>
      <w:r>
        <w:rPr>
          <w:b/>
        </w:rPr>
        <w:t>point critique spécifique de la buprénorphine</w:t>
      </w:r>
      <w:r>
        <w:t xml:space="preserve"> :</w:t>
      </w:r>
    </w:p>
    <w:p>
      <w:r>
        <w:t xml:space="preserve">La buprénorphine peut induire une </w:t>
      </w:r>
      <w:r>
        <w:rPr>
          <w:b/>
        </w:rPr>
        <w:t>hépatotoxicité</w:t>
      </w:r>
      <w:r>
        <w:t xml:space="preserve"> — cytolyse hépatique (élévation ALAT-ASAT x 3 à 10 fois la normale) avec ou sans cholestase, survenant dans 5 à 10 % des patients traités au long cours. Les cas sévères (hépatite cytolytique aiguë, insuffisance hépatocellulaire) sont rares (&lt; 1 %) mais documentés, notamment en cas d'association avec d'autres hépatotoxiques (paracétamol à dose prolongée, alcool, antituberculeux, antirétroviraux, AINS) et chez les patients porteurs d'une hépatopathie chronique sous-jacente (VHC, VHB, stéatose hépatique, alcoolisme chronique — population particulièrement représentée chez les patients toxicomanes). Mécanisme : toxique direct (métabolite norbuprénorphine) et/ou immuno-allergique. Prévention : bilan hépatique pré-thérapeutique systématique (ALAT, ASAT, PAL, γGT, bilirubine, albumine, TP), surveillance mensuelle pendant les 6 premiers mois puis trimestrielle, arrêt définitif en cas de cytolyse &gt; 5 fois la normale sans autre cause, contre-indication chez le patient avec hépatite active sévère.</w:t>
      </w:r>
    </w:p>
    <w:p>
      <w:r/>
      <w:r>
        <w:rPr>
          <w:b/>
        </w:rPr>
        <w:t>Effets endocriniens</w:t>
      </w:r>
      <w:r>
        <w:t xml:space="preserve"> : à long terme, la buprénorphine — comme tous les opioïdes — peut induire un </w:t>
      </w:r>
      <w:r>
        <w:rPr>
          <w:b/>
        </w:rPr>
        <w:t>hypogonadisme hypogonadotrope</w:t>
      </w:r>
      <w:r>
        <w:t xml:space="preserve"> par inhibition de la libération de GnRH hypothalamique (baisse de LH/FSH, baisse de testostérone chez l'homme, aménorrhée secondaire chez la femme). Prévention : bilan hormonal en cas de symptômes (asthénie, baisse de libido, troubles de l'humeur, aménorrhée), supplémentation si besoin.</w:t>
      </w:r>
    </w:p>
    <w:p>
      <w:r/>
      <w:r>
        <w:rPr>
          <w:b/>
        </w:rPr>
        <w:t>Effets cardiovasculaires</w:t>
      </w:r>
      <w:r>
        <w:t xml:space="preserve"> : à la différence de la méthadone (qui allonge le QTc et expose au risque de torsades de pointe), la buprénorphine n'a </w:t>
      </w:r>
      <w:r>
        <w:rPr>
          <w:b/>
        </w:rPr>
        <w:t>pas d'effet significatif sur le QTc</w:t>
      </w:r>
      <w:r>
        <w:t xml:space="preserve"> et ne nécessite pas de surveillance électrocardiographique systématique. Hypotension orthostatique possible en début de traitement.</w:t>
      </w:r>
    </w:p>
    <w:p>
      <w:r/>
      <w:r>
        <w:rPr>
          <w:b/>
        </w:rPr>
        <w:t>Dépendance et sevrage à l'arrêt</w:t>
      </w:r>
      <w:r>
        <w:t xml:space="preserve"> : la buprénorphine elle-même induit une dépendance physique, mais le syndrome de sevrage à l'arrêt est atténué par rapport aux agonistes complets (effet agoniste partiel) : début retardé (24-72 heures après la dernière dose), intensité modérée, durée prolongée (10-15 jours). Symptômes : anxiété, insomnie, sueurs, myalgies, diarrhée, craving. Prévention : décroissance progressive par paliers de 2 mg tous les 2 à 7 jours, protocole court ou long selon le choix du patient.</w:t>
      </w:r>
    </w:p>
    <w:p>
      <w:pPr>
        <w:pStyle w:val="Heading3"/>
      </w:pPr>
      <w:r>
        <w:t>193.2.8 Interactions médicamenteuses</w:t>
      </w:r>
    </w:p>
    <w:p>
      <w:r>
        <w:t>Les interactions médicamenteuses de la buprénorphine sont nombreuses et potentiellement graves ; elles justifient une vigilance particulière, en particulier chez le patient polytoxicomane associant souvent plusieurs substances psychoactives.</w:t>
      </w:r>
    </w:p>
    <w:p>
      <w:r/>
      <w:r>
        <w:rPr>
          <w:b/>
        </w:rPr>
        <w:t>Interactions pharmacodynamiques — synergie de la dépression respiratoire</w:t>
      </w:r>
      <w:r>
        <w:t xml:space="preserve"> :</w:t>
      </w:r>
    </w:p>
    <w:p>
      <w:pPr>
        <w:pStyle w:val="ListNumber"/>
      </w:pPr>
      <w:r/>
      <w:r>
        <w:rPr>
          <w:b/>
        </w:rPr>
        <w:t>Benzodiazépines</w:t>
      </w:r>
      <w:r>
        <w:t xml:space="preserve"> (diazépam, alprazolam, lorazépam, clonazépam, bromazépam) — </w:t>
      </w:r>
      <w:r>
        <w:rPr>
          <w:b/>
        </w:rPr>
        <w:t>interaction majeure, potentiellement létale</w:t>
      </w:r>
      <w:r>
        <w:t>. Les benzodiazépines potentialisent massivement la dépression respiratoire de la buprénorphine, avec un risque d'overdose mortelle multiplié par 3 à 5 selon les études cas-témoins. Cette association est responsable de la majorité des décès imputés à la buprénorphine en France (où elle est très prescrite). Prévention : éviter l'association ; si indispensable (anxiété sévère réfractaire), prescription conjointe après information éclairée du patient, dose minimale efficace, surveillance rapprochée, remise de naloxone. Contre-indication relative absolue en cas d'antécédent d'overdose.</w:t>
      </w:r>
    </w:p>
    <w:p>
      <w:pPr>
        <w:pStyle w:val="ListNumber"/>
      </w:pPr>
      <w:r/>
      <w:r>
        <w:rPr>
          <w:b/>
        </w:rPr>
        <w:t>Alcool</w:t>
      </w:r>
      <w:r>
        <w:t xml:space="preserve"> — synergie de la dépression respiratoire et sédation, majoration du risque d'overdose et de coma. Prévention : sevrage alcoolique associé, information du patient.</w:t>
      </w:r>
    </w:p>
    <w:p>
      <w:pPr>
        <w:pStyle w:val="ListNumber"/>
      </w:pPr>
      <w:r/>
      <w:r>
        <w:rPr>
          <w:b/>
        </w:rPr>
        <w:t>Autres opioïdes</w:t>
      </w:r>
      <w:r>
        <w:t xml:space="preserve"> (héroïne, fentanyl, morphine, codéine, tramadol, dextropropoxyphène) — la haute affinité de la buprénorphine pour le récepteur μ bloque l'effet des opioïdes agonistes complets coadministrés, exposant à : (i) inefficacité de l'opioïde coadministré (le patient ne ressent pas l'effet recherché) ; (ii) risque de sevrage précipité si la buprénorphine est introduite chez un patient sous opioïdes complets. Prévention : respecter les délais d'initiation (12-48 heures selon l'opioïde), ne pas associer.</w:t>
      </w:r>
    </w:p>
    <w:p>
      <w:pPr>
        <w:pStyle w:val="ListNumber"/>
      </w:pPr>
      <w:r/>
      <w:r>
        <w:rPr>
          <w:b/>
        </w:rPr>
        <w:t>Naloxone</w:t>
      </w:r>
      <w:r>
        <w:t xml:space="preserve"> — antagoniste compétitif du récepteur μ, utilisé comme antidote de l'overdose de buprénorphine. La haute affinité de la buprénorphine peut nécessiter des doses de naloxone supérieures à la standard (jusqu'à 10-20 mg vs 0,4 mg standard). La naloxone est aussi combinée à la buprénorphine dans la formulation Suboxone (buprénorphine/naloxone 4/1, 8/2 mg) pour réduire le mésusage IV (la naloxone est inactive sublinguale mais active IV, précipitant un sevrage en cas d'injection).</w:t>
      </w:r>
    </w:p>
    <w:p>
      <w:pPr>
        <w:pStyle w:val="ListNumber"/>
      </w:pPr>
      <w:r/>
      <w:r>
        <w:rPr>
          <w:b/>
        </w:rPr>
        <w:t>Anesthésiques généraux, curares, autres dépresseurs centraux</w:t>
      </w:r>
      <w:r>
        <w:t xml:space="preserve"> — synergie de la dépression respiratoire et cardiovasculaire en période périopératoire. Adapter l'anesthésie chez le patient substitué (ne pas arrêter la buprénorphine en péri-opératoire, complémenter par des analgésiques non opioïdes).</w:t>
      </w:r>
    </w:p>
    <w:p>
      <w:r/>
      <w:r>
        <w:rPr>
          <w:b/>
        </w:rPr>
        <w:t>Interactions pharmacocinétiques — métabolisme CYP3A4</w:t>
      </w:r>
      <w:r>
        <w:t xml:space="preserve"> :</w:t>
      </w:r>
    </w:p>
    <w:p>
      <w:pPr>
        <w:pStyle w:val="ListNumber"/>
      </w:pPr>
      <w:r/>
      <w:r>
        <w:rPr>
          <w:b/>
        </w:rPr>
        <w:t>Inhibiteurs puissants du CYP3A4</w:t>
      </w:r>
      <w:r>
        <w:t xml:space="preserve"> — augmentent l'exposition à la buprénorphine et le risque de surdosage : antifongiques azolés (kétoconazole, itraconazole, voriconazole, posaconazole), macrolides (clarithromycine, érythromycine), antiprotéases inhibitrices (ritonavir, atazanavir, darunavir boostés), inhibiteurs de protéine kinase (crizotinib, imatinib), jus de pamplemousse (volume ≥ 200 mL). Prévention : surveillance clinique, réduction posologique de moitié, contrôle de la sédation.</w:t>
      </w:r>
    </w:p>
    <w:p>
      <w:pPr>
        <w:pStyle w:val="ListNumber"/>
      </w:pPr>
      <w:r/>
      <w:r>
        <w:rPr>
          <w:b/>
        </w:rPr>
        <w:t>Inducteurs du CYP3A4</w:t>
      </w:r>
      <w:r>
        <w:t xml:space="preserve"> — réduisent l'efficacité de la buprénorphine et peuvent déclencher un sevrage : rifampicine (CI relative), carbamazépine, phénytoïne, phénobarbital, millepertuis (Hypericum perforatum — contre-indication absolue), névirapine, efavirenz. Prévention : surveillance clinique, augmentation posologique si besoin, contre-indication du millepertuis.</w:t>
      </w:r>
    </w:p>
    <w:p>
      <w:pPr>
        <w:pStyle w:val="ListNumber"/>
      </w:pPr>
      <w:r/>
      <w:r>
        <w:rPr>
          <w:b/>
        </w:rPr>
        <w:t>Substrats du CYP3A4</w:t>
      </w:r>
      <w:r>
        <w:t xml:space="preserve"> — la buprénorphine est un inhibiteur faible du CYP3A4 et peut augmenter l'exposition à certains médicaments coadministrés : statines (simvastatine, atorvastatine — risque de rhabdomyolyse), anticoagulants oraux (warfarine — surveillance INR), immunosuppresseurs (ciclosporine, tacrolimus — surveillance taux plasmatiques).</w:t>
      </w:r>
    </w:p>
    <w:p>
      <w:r/>
      <w:r>
        <w:rPr>
          <w:b/>
        </w:rPr>
        <w:t>Interactions liées à la glycoprotéine P</w:t>
      </w:r>
      <w:r>
        <w:t xml:space="preserve"> : la buprénorphine est un substrat de la P-gp ; les inhibiteurs (vérnapamil, diltiazem, amiodarone, clarithromycine) augmentent son exposition, les inducteurs (rifampicine) la réduisent.</w:t>
      </w:r>
    </w:p>
    <w:p>
      <w:r/>
      <w:r>
        <w:rPr>
          <w:b/>
        </w:rPr>
        <w:t>Interactions avec les analyses biologiques</w:t>
      </w:r>
      <w:r>
        <w:t xml:space="preserve"> : la buprénorphine n'est pas détectée par les tests immunochimiques classiques de screening opioïdes urinaires (qui ciblent la morphine, codéine, etc.) — il faut un dosage spécifique LC-MS/MS. Le patient substitué peut donc présenter un « screening opioïdes négatif » alors qu'il prend correctement son traitement.</w:t>
      </w:r>
    </w:p>
    <w:p>
      <w:pPr>
        <w:pStyle w:val="Heading3"/>
      </w:pPr>
      <w:r>
        <w:t>193.2.9 Grossesse, allaitement et données CRAT</w:t>
      </w:r>
    </w:p>
    <w:p>
      <w:r/>
      <w:r>
        <w:rPr>
          <w:b/>
        </w:rPr>
        <w:t>Grossesse</w:t>
      </w:r>
      <w:r>
        <w:t xml:space="preserve"> : la dépendance aux opioïdes chez la femme enceinte pose un problème majeur de santé publique. Le sevrage brutal pendant la grossesse est </w:t>
      </w:r>
      <w:r>
        <w:rPr>
          <w:b/>
        </w:rPr>
        <w:t>contre-indiqué</w:t>
      </w:r>
      <w:r>
        <w:t xml:space="preserve"> en raison du risque de fausse-couche, de mort fœtale in utero, d'accouchement prématuré et de souffrance fœtale aiguë liés aux contractions utérines induites par le sevrage. Le maintien d'une substitution opioïque stable pendant toute la grossesse est le standard de prise en charge international (recommandations OMS 2014, ACOG 2017, HAS 2020).</w:t>
      </w:r>
    </w:p>
    <w:p>
      <w:r>
        <w:t xml:space="preserve">La </w:t>
      </w:r>
      <w:r>
        <w:rPr>
          <w:b/>
        </w:rPr>
        <w:t>buprénorphine est utilisable pendant la grossesse</w:t>
      </w:r>
      <w:r>
        <w:t xml:space="preserve"> sous surveillance spécialisée. Les données du CRAT (Centre de Renseignement sur les Agents Tératogènes, France) et les études observationnelles (MOTHER Trial 2010, NEJM) concluent à : (i) absence de tératogénicité significative (pas d'augmentation du risque de malformations congénitales majeures vs population générale) ; (ii) passage transplacentaire documenté avec risque de </w:t>
      </w:r>
      <w:r>
        <w:rPr>
          <w:b/>
        </w:rPr>
        <w:t>syndrome de sevrage néonatal</w:t>
      </w:r>
      <w:r>
        <w:t xml:space="preserve"> (SSNN, Neonatal Abstinence Syndrome) — le nouveau-né présente dans les 24 à 72 heures après la naissance des signes de sevrage (irritabilité, tremblements, pleurs aigus, hypertonicité, diarrhée, éternuements, fièvre, convulsions) ; (iii) le SSNN de la buprénorphine est significativement moins sévère et plus court (durée moyenne 7 jours vs 16 jours pour la méthadone, durée de traitement 4 jours vs 9 jours, dose cumulée de morphine 1,4 mg vs 10 mg) selon l'essai MOTHER, ce qui justifie la préférence de la buprénorphine sur la méthadone chez la femme enceinte naïve d'opioïdes.</w:t>
      </w:r>
    </w:p>
    <w:p>
      <w:r>
        <w:t>Posologie pendant la grossesse : augmentation progressive au troisième trimestre (métabolisme augmenté, volume de distribution accru) — souvent besoin de fractionner en deux prises (matin et soir) pour éviter les signes de sevrage maternel en fin de dose. Surveillance : échographies mensuelles (retard de croissance intra-utérin plus fréquent chez les patientes toxicomanes), monitoring du rythme cardiaque fœtal à partir de 32 SA, planification de l'accouchement en maternité de niveau III avec pédiatre formé au SSNN.</w:t>
      </w:r>
    </w:p>
    <w:p>
      <w:r/>
      <w:r>
        <w:rPr>
          <w:b/>
        </w:rPr>
        <w:t>Accouchement</w:t>
      </w:r>
      <w:r>
        <w:t xml:space="preserve"> : analgésie péridurale privilégiée (la buprénorphine ne contre-indique pas la péri). En cas de césarienne, anesthésie locorégionale (rachianesthésie) préférée à l'anesthésie générale (difficulté d'intubation liée à la tolérance opioïde).</w:t>
      </w:r>
    </w:p>
    <w:p>
      <w:r/>
      <w:r>
        <w:rPr>
          <w:b/>
        </w:rPr>
        <w:t>Allaitement</w:t>
      </w:r>
      <w:r>
        <w:t xml:space="preserve"> : la buprénorphine passe dans le lait maternel (ratio lait/plasma ≈ 0,5 à 1). Les données du CRAT concluent à : allaitement </w:t>
      </w:r>
      <w:r>
        <w:rPr>
          <w:b/>
        </w:rPr>
        <w:t>possible</w:t>
      </w:r>
      <w:r>
        <w:t xml:space="preserve"> si la mère est stable sous buprénorphine (dose stable, pas de mésusage, pas d'association à d'autres substances psychoactives), en raison des faibles concentrations lactées et de la faible biodisponibilité orale de la buprénorphine chez le nourrisson (effet de premier passage hépatique). L'allaitement est contre-indiqué en cas d'association avec d'autres opioïdes illicites, de benzodiazépines à dose élevée, d'alcool, ou de mésusage actif. Surveillance du nourrisson : somnolence, difficultés de succion, prise de poids, signes de sevrage.</w:t>
      </w:r>
    </w:p>
    <w:p>
      <w:r/>
      <w:r>
        <w:rPr>
          <w:b/>
        </w:rPr>
        <w:t>Femme en âge de procréer</w:t>
      </w:r>
      <w:r>
        <w:t xml:space="preserve"> : contraception efficace indispensable (la buprénorphine ne contre-indique aucune méthode contraceptive hormonale). En cas de désir de grossesse : consultation préconceptionnelle addictologique et obstétricale, maintien de la substitution (ne pas arrêter), supplémentation acide folique 0,4 mg/jour dès le désir de grossesse.</w:t>
      </w:r>
    </w:p>
    <w:p>
      <w:r/>
      <w:r>
        <w:rPr>
          <w:b/>
        </w:rPr>
        <w:t>Interactions avec les hormones sexuelles</w:t>
      </w:r>
      <w:r>
        <w:t xml:space="preserve"> : la buprénorphine n'a pas d'effet significatif sur le métabolisme des estroprogestatifs (pas d'induction enzymatique). Les contraceptifs oraux sont d'efficacité conservée. La buprénorphine peut réduire l'efficacité de la contraception d'urgence par lévonorgestrel par inhibition du CYP3A4 — privilégier le dispositif intra-utérin au cuivre en cas de rapport non protégé chez une patiente substituée.</w:t>
      </w:r>
    </w:p>
    <w:p>
      <w:pPr>
        <w:pStyle w:val="Heading3"/>
      </w:pPr>
      <w:r>
        <w:t>193.2.10 Formes galéniques disponibles</w:t>
      </w:r>
    </w:p>
    <w:p>
      <w:r/>
      <w:r>
        <w:rPr>
          <w:b/>
        </w:rPr>
        <w:t>À l'échelle internationale</w:t>
      </w:r>
      <w:r>
        <w:t>, la buprénorphine existe en plusieurs formulations galéniques adaptées à des indications distinctes :</w:t>
      </w:r>
    </w:p>
    <w:p>
      <w:pPr>
        <w:pStyle w:val="ListNumber"/>
      </w:pPr>
      <w:r/>
      <w:r>
        <w:rPr>
          <w:b/>
        </w:rPr>
        <w:t>Forme injectable 0,3 mg/mL</w:t>
      </w:r>
      <w:r>
        <w:t xml:space="preserve"> (ampoule de 1 mL) — formulation analgésique historique, commercialisée sous le nom de Temgesic (Schering-Plough/MSD) en France et à l'international. Disponible en Algérie sous trois noms commerciaux actifs (Buprenal, Temgephine, Temginal).</w:t>
      </w:r>
    </w:p>
    <w:p>
      <w:pPr>
        <w:pStyle w:val="ListNumber"/>
      </w:pPr>
      <w:r/>
      <w:r>
        <w:rPr>
          <w:b/>
        </w:rPr>
        <w:t>Forme sublinguale bas dosage 0,2 mg, 0,4 mg</w:t>
      </w:r>
      <w:r>
        <w:t xml:space="preserve"> (comprimés sublinguaux) — formulation analgésique chronique, commercialisée sous le nom de Temgesic sublingual. NON disponible en Algérie (non renouvelable).</w:t>
      </w:r>
    </w:p>
    <w:p>
      <w:pPr>
        <w:pStyle w:val="ListNumber"/>
      </w:pPr>
      <w:r/>
      <w:r>
        <w:rPr>
          <w:b/>
        </w:rPr>
        <w:t>Forme sublinguale haut dosage 2 mg, 8 mg</w:t>
      </w:r>
      <w:r>
        <w:t xml:space="preserve"> (comprimés sublinguaux) — formulation de référence pour la substitution opioïque, commercialisée sous le nom de Subutex (Indivior, Reckitt Benckiser) en France et à l'international. NON disponible en Algérie.</w:t>
      </w:r>
    </w:p>
    <w:p>
      <w:pPr>
        <w:pStyle w:val="ListNumber"/>
      </w:pPr>
      <w:r/>
      <w:r>
        <w:rPr>
          <w:b/>
        </w:rPr>
        <w:t>Forme combinée buprénorphine/naloxone 2/0,5 mg, 8/2 mg</w:t>
      </w:r>
      <w:r>
        <w:t xml:space="preserve"> (comprimés sublinguaux) — formulation de substitution réduisant le mésusage IV (la naloxone est inactive sublinguale mais précipite un sevrage en cas d'injection IV), commercialisée sous le nom de Suboxone (Indivior). Forme de première intention pour la substitution ambulatoire dans la plupart des pays. NON disponible en Algérie.</w:t>
      </w:r>
    </w:p>
    <w:p>
      <w:pPr>
        <w:pStyle w:val="ListNumber"/>
      </w:pPr>
      <w:r/>
      <w:r>
        <w:rPr>
          <w:b/>
        </w:rPr>
        <w:t>Forme sublinguale générique</w:t>
      </w:r>
      <w:r>
        <w:t xml:space="preserve"> (buprénorphine sous forme de chlorhydrate) — disponible en France sous plusieurs noms (Buprenorphine Arrow, Buprenorphine Biogaran, etc.).</w:t>
      </w:r>
    </w:p>
    <w:p>
      <w:pPr>
        <w:pStyle w:val="ListNumber"/>
      </w:pPr>
      <w:r/>
      <w:r>
        <w:rPr>
          <w:b/>
        </w:rPr>
        <w:t>Forme depot mensuelle</w:t>
      </w:r>
      <w:r>
        <w:t xml:space="preserve"> (buprénorphine à libération prolongée, injection sous-cutanée mensuelle) — commercialisée sous le nom de Buvidal (Camurus, Suède) et Sublocade (Indivior, USA), formulée dans un système Atrigel qui forme un dépôt libérant la molécule sur 1 mois. Permet une observance parfaite et élimine le risque de mésusage. Disponible en Europe depuis 2018. NON disponible en Algérie.</w:t>
      </w:r>
    </w:p>
    <w:p>
      <w:pPr>
        <w:pStyle w:val="ListNumber"/>
      </w:pPr>
      <w:r/>
      <w:r>
        <w:rPr>
          <w:b/>
        </w:rPr>
        <w:t>Forme transdermique</w:t>
      </w:r>
      <w:r>
        <w:t xml:space="preserve"> (patch 5, 10, 20 µg/h, 7 jours) — formulation analgésique chronique non opioïde-majeur, commercialisée sous le nom de Transtec (Grünenthal). NON disponible en Algérie.</w:t>
      </w:r>
    </w:p>
    <w:p>
      <w:pPr>
        <w:pStyle w:val="ListNumber"/>
      </w:pPr>
      <w:r/>
      <w:r>
        <w:rPr>
          <w:b/>
        </w:rPr>
        <w:t>Forme implant sous-cutané 6 mois</w:t>
      </w:r>
      <w:r>
        <w:t xml:space="preserve"> (Probuphine, Titan Pharmaceuticals / Braeburn Pharmaceuticals) — 4 implants sous-cutanés délivrant 80 mg de buprénorphine sur 6 mois. Approuvé par la FDA en 2016. NON disponible en Algérie.</w:t>
      </w:r>
    </w:p>
    <w:p>
      <w:r/>
      <w:r>
        <w:rPr>
          <w:b/>
        </w:rPr>
        <w:t>À l'échelle algérienne</w:t>
      </w:r>
      <w:r>
        <w:t>, seules les trois spécialités injectables à 0,3 mg/mL sont disponibles (Buprenal, Temgephine, Temginal). Cette limitation galénique impose l'adaptation suivante :</w:t>
      </w:r>
    </w:p>
    <w:p>
      <w:pPr>
        <w:pStyle w:val="ListBullet"/>
      </w:pPr>
      <w:r>
        <w:t>Pour l'analgésie aiguë : utilisation de la forme injectable IM/IV/SC comme indiqué.</w:t>
      </w:r>
    </w:p>
    <w:p>
      <w:pPr>
        <w:pStyle w:val="ListBullet"/>
      </w:pPr>
      <w:r>
        <w:t>Pour la substitution opioïque : utilisation détournée de la forme injectable par voie sublinguale (hors AMM, à évaluer bénéfice/risque) ou importation individuelle via ATU (Autorisation Temporaire d'Utilisation) de Subutex ou Suboxone pour les patients ayant les moyens administratifs et financiers.</w:t>
      </w:r>
    </w:p>
    <w:p>
      <w:pPr>
        <w:pStyle w:val="ListBullet"/>
      </w:pPr>
      <w:r>
        <w:t>Pour l'analgésie chronique : recours à la morphine orale à libération prolongée (Moscontin, Skenan LP — disponibles en Algérie).</w:t>
      </w:r>
    </w:p>
    <w:p>
      <w:pPr>
        <w:pStyle w:val="Heading3"/>
      </w:pPr>
      <w:r>
        <w:t>193.2.11 Conseils au patient et à l'équipe soignante</w:t>
      </w:r>
    </w:p>
    <w:p>
      <w:r/>
      <w:r>
        <w:rPr>
          <w:b/>
        </w:rPr>
        <w:t>Conseils au patient</w:t>
      </w:r>
      <w:r>
        <w:t xml:space="preserve"> (éducation thérapeutique structurée) :</w:t>
      </w:r>
    </w:p>
    <w:p>
      <w:pPr>
        <w:pStyle w:val="ListNumber"/>
      </w:pPr>
      <w:r/>
      <w:r>
        <w:rPr>
          <w:b/>
        </w:rPr>
        <w:t>Respect strict de la prescription</w:t>
      </w:r>
      <w:r>
        <w:t xml:space="preserve"> : ne jamais augmenter la dose sans avis médical, ne jamais doubler la dose en cas d'oubli (prendre la dose oubliée si &lt; 4 heures, sinon attendre la prochaine prise). Ne jamais arrêter brutalement le traitement (risque de sevrage).</w:t>
      </w:r>
    </w:p>
    <w:p>
      <w:pPr>
        <w:pStyle w:val="ListNumber"/>
      </w:pPr>
      <w:r/>
      <w:r>
        <w:rPr>
          <w:b/>
        </w:rPr>
        <w:t>Technique d'administration sublinguale</w:t>
      </w:r>
      <w:r>
        <w:t xml:space="preserve"> (si forme sublinguale disponible) : placer le comprimé sous la langue, en contact direct avec la muqueuse, laisser fondre 5 à 10 minutes sans avaler, sans mâcher, sans parler, sans boire. Ne pas rincer la bouche pendant 15 minutes après dissolution.</w:t>
      </w:r>
    </w:p>
    <w:p>
      <w:pPr>
        <w:pStyle w:val="ListNumber"/>
      </w:pPr>
      <w:r/>
      <w:r>
        <w:rPr>
          <w:b/>
        </w:rPr>
        <w:t>Délai d'initiation</w:t>
      </w:r>
      <w:r>
        <w:t xml:space="preserve"> (patient dépendant aux opioïdes) : ne prendre la première dose que lorsque les signes de sevrage apparaissent (12-24 heures après la dernière héroïne, 24-48 heures après la dernière morphine LP). Sinon, risque de sevrage précipité sévère.</w:t>
      </w:r>
    </w:p>
    <w:p>
      <w:pPr>
        <w:pStyle w:val="ListNumber"/>
      </w:pPr>
      <w:r/>
      <w:r>
        <w:rPr>
          <w:b/>
        </w:rPr>
        <w:t>Associations à risque</w:t>
      </w:r>
      <w:r>
        <w:t xml:space="preserve"> : ne jamais associer sans avis médical à des benzodiazépines (risque vital), à de l'alcool (risque vital), à des somnifères (zolpidem, zopiclone), à d'autres opioïdes (inefficacité, risque de surdosage), à du jus de pamplemousse (surdosage), à du millepertuis (sous-dosage). Informer tous les médecins consultés (urgentiste, dentiste, anesthésiste) de la prise de buprénorphine.</w:t>
      </w:r>
    </w:p>
    <w:p>
      <w:pPr>
        <w:pStyle w:val="ListNumber"/>
      </w:pPr>
      <w:r/>
      <w:r>
        <w:rPr>
          <w:b/>
        </w:rPr>
        <w:t>Conduite automobile</w:t>
      </w:r>
      <w:r>
        <w:t xml:space="preserve"> : interdiction de conduire pendant les 15 premiers jours et jusqu'à stabilisation (sédation, troubles de la vigilance). Reprise après avis médical.</w:t>
      </w:r>
    </w:p>
    <w:p>
      <w:pPr>
        <w:pStyle w:val="ListNumber"/>
      </w:pPr>
      <w:r/>
      <w:r>
        <w:rPr>
          <w:b/>
        </w:rPr>
        <w:t>Grossesse</w:t>
      </w:r>
      <w:r>
        <w:t xml:space="preserve"> : ne jamais arrêter en cas de grossesse (risque pour le fœtus). Consultation préconceptionnelle si désir de grossesse. Déclaration de la grossesse à l'équipe addictologique et obstétricale dès le diagnostic.</w:t>
      </w:r>
    </w:p>
    <w:p>
      <w:pPr>
        <w:pStyle w:val="ListNumber"/>
      </w:pPr>
      <w:r/>
      <w:r>
        <w:rPr>
          <w:b/>
        </w:rPr>
        <w:t>Dépistage des hépatites VHC/VHB/VIH</w:t>
      </w:r>
      <w:r>
        <w:t xml:space="preserve"> : sérologies systématiques à l'entrée en soins, vaccination VHB/VHA proposée, dépistage annuel en cas de poursuite de mésusage.</w:t>
      </w:r>
    </w:p>
    <w:p>
      <w:pPr>
        <w:pStyle w:val="ListNumber"/>
      </w:pPr>
      <w:r/>
      <w:r>
        <w:rPr>
          <w:b/>
        </w:rPr>
        <w:t>Remise de naloxone</w:t>
      </w:r>
      <w:r>
        <w:t xml:space="preserve"> (réduction des risques) : kit naloxone nasal ou IM à domicile, formation à la reconnaissance des signes d'overdose (coma, myosis, bradypnée &lt; 10/min, cyanose) et à l'administration de naloxone (1 dose IM ou nasale, à renouveler à 3-5 min jusqu'à récupération, appel SAMU 15 ou 112 en parallèle).</w:t>
      </w:r>
    </w:p>
    <w:p>
      <w:pPr>
        <w:pStyle w:val="ListNumber"/>
      </w:pPr>
      <w:r/>
      <w:r>
        <w:rPr>
          <w:b/>
        </w:rPr>
        <w:t>Signes devant alerter</w:t>
      </w:r>
      <w:r>
        <w:t xml:space="preserve"> : somnolence excessive, confus, ralentissement respiratoire &lt; 12/min, ictère, urines foncées, asthénie majeure — consulter en urgence.</w:t>
      </w:r>
    </w:p>
    <w:p>
      <w:pPr>
        <w:pStyle w:val="ListNumber"/>
      </w:pPr>
      <w:r/>
      <w:r>
        <w:rPr>
          <w:b/>
        </w:rPr>
        <w:t>Suivi psychosocial</w:t>
      </w:r>
      <w:r>
        <w:t xml:space="preserve"> : psychothérapie de soutien, groupes d'entraide (Narcotiques Anonymes, associations de patients), thérapies cognitivo-comportementales (TCC), post-cure résidentielle si besoin, accompagnement social (logement, emploi, dette).</w:t>
      </w:r>
    </w:p>
    <w:p>
      <w:r/>
      <w:r>
        <w:rPr>
          <w:b/>
        </w:rPr>
        <w:t>Conseils à l'équipe soignante</w:t>
      </w:r>
      <w:r>
        <w:t xml:space="preserve"> (médecin, pharmacien, infirmier, psychologue, assistant social) :</w:t>
      </w:r>
    </w:p>
    <w:p>
      <w:pPr>
        <w:pStyle w:val="ListNumber"/>
      </w:pPr>
      <w:r/>
      <w:r>
        <w:rPr>
          <w:b/>
        </w:rPr>
        <w:t>Évaluation initiale structurée</w:t>
      </w:r>
      <w:r>
        <w:t xml:space="preserve"> : histoire addictive (produit, voie, dose, ancienneté), comorbidités psychiatriques (dépression, troubles anxieux, TDAH, PTSD), comorbidités somatiques (VHC, VHB, VIH, hépatopathie, cardiopathie), contexte social (logement, emploi, famille, justice), motivation au changement (échelle URICA), niveau de dépendance (échelle ASI, Addiction Severity Index).</w:t>
      </w:r>
    </w:p>
    <w:p>
      <w:pPr>
        <w:pStyle w:val="ListNumber"/>
      </w:pPr>
      <w:r/>
      <w:r>
        <w:rPr>
          <w:b/>
        </w:rPr>
        <w:t>Contrat de soins</w:t>
      </w:r>
      <w:r>
        <w:t xml:space="preserve"> : formalisation des objectifs (réduction des risques, abstinence), des rendez-vous, des analyses urinaires de contrôle, des conduites à tenir en cas de mésusage (reprise en charge, hospitalisation).</w:t>
      </w:r>
    </w:p>
    <w:p>
      <w:pPr>
        <w:pStyle w:val="ListNumber"/>
      </w:pPr>
      <w:r/>
      <w:r>
        <w:rPr>
          <w:b/>
        </w:rPr>
        <w:t>Surveillance clinique mensuelle</w:t>
      </w:r>
      <w:r>
        <w:t xml:space="preserve"> pendant les 6 premiers mois puis trimestrielle : poids, PA, examen neurologique, bilan hépatique (ALAT, ASAT, PAL, γGT, bilirubine), dépistage toxicologique urinaire (recherche de buprénorphine, autres opioïdes, cocaïne, cannabis, benzodiazépines, amphétamines).</w:t>
      </w:r>
    </w:p>
    <w:p>
      <w:pPr>
        <w:pStyle w:val="ListNumber"/>
      </w:pPr>
      <w:r/>
      <w:r>
        <w:rPr>
          <w:b/>
        </w:rPr>
        <w:t>Prévention du mésusage</w:t>
      </w:r>
      <w:r>
        <w:t xml:space="preserve"> : délivrance nominative, dosage hebdomadaire ou bihebdomadaire en début de traitement, élargissement progressif de la durée de prescription (1 mois, 28 jours) en cas de stabilisation avérée. Information sur l'interdiction de partage, de revente, de détournement IV (poursuites pénales).</w:t>
      </w:r>
    </w:p>
    <w:p>
      <w:pPr>
        <w:pStyle w:val="ListNumber"/>
      </w:pPr>
      <w:r/>
      <w:r>
        <w:rPr>
          <w:b/>
        </w:rPr>
        <w:t>Coordination avec le médecin généraliste</w:t>
      </w:r>
      <w:r>
        <w:t xml:space="preserve"> : courrier systématique, contact téléphonique en cas de difficulté, réunion de concertation pluridisciplinaire (RCP) mensuelle en CSMT.</w:t>
      </w:r>
    </w:p>
    <w:p>
      <w:pPr>
        <w:pStyle w:val="ListNumber"/>
      </w:pPr>
      <w:r/>
      <w:r>
        <w:rPr>
          <w:b/>
        </w:rPr>
        <w:t>Prise en charge de la douleur aiguë</w:t>
      </w:r>
      <w:r>
        <w:t xml:space="preserve"> chez le patient substitué : ne pas arrêter la buprénorphine (risque de sevrage), ajouter des analgésiques non opioïdes (paracétamol, AINS, néfopam), privilégier l'analgésie locorégionale (ALR), en cas de douleur sévère utiliser des opioïdes agonistes complets (morphine titration IV) en augmentant les doses (tolérance croisée) sous surveillance rapprochée en USIP ou réanimation.</w:t>
      </w:r>
    </w:p>
    <w:p>
      <w:pPr>
        <w:pStyle w:val="ListNumber"/>
      </w:pPr>
      <w:r/>
      <w:r>
        <w:rPr>
          <w:b/>
        </w:rPr>
        <w:t>Prise en charge péri-opératoire</w:t>
      </w:r>
      <w:r>
        <w:t xml:space="preserve"> : maintien de la buprénorphine la veille et le jour de l'intervention, anesthésie locorégionale privilégiée, complément par morphiniques agonistes complets (titration morphine IV), surveillance USIP 24 h.</w:t>
      </w:r>
    </w:p>
    <w:p>
      <w:r/>
      <w:r>
        <w:rPr>
          <w:b/>
        </w:rPr>
        <w:t>Alternatives non pharmacologiques</w:t>
      </w:r>
      <w:r>
        <w:t xml:space="preserve"> (mention obligatoire — particulièrement importantes en Algérie où l'arsenal pharmacologique est limité) :</w:t>
      </w:r>
    </w:p>
    <w:p>
      <w:pPr>
        <w:pStyle w:val="ListNumber"/>
      </w:pPr>
      <w:r/>
      <w:r>
        <w:rPr>
          <w:b/>
        </w:rPr>
        <w:t>Psychothérapies</w:t>
      </w:r>
      <w:r>
        <w:t xml:space="preserve"> : TCC (thérapies cognitivo-comportementales — efficacité démontrée niveau A), entretiens motivationnels (Miller &amp; Rollnick), thérapie familiale systémique, psychanalyse additive.</w:t>
      </w:r>
    </w:p>
    <w:p>
      <w:pPr>
        <w:pStyle w:val="ListNumber"/>
      </w:pPr>
      <w:r/>
      <w:r>
        <w:rPr>
          <w:b/>
        </w:rPr>
        <w:t>Groupes d'entraide</w:t>
      </w:r>
      <w:r>
        <w:t xml:space="preserve"> : Narcotiques Anonymes (NA, modèle des 12 étapes), Alcooliques Anonymes (AA) pour les polydépendants, associations de patients et d'anciens usagers (Association El Hayat, Association Sid Assistance en Algérie).</w:t>
      </w:r>
    </w:p>
    <w:p>
      <w:pPr>
        <w:pStyle w:val="ListNumber"/>
      </w:pPr>
      <w:r/>
      <w:r>
        <w:rPr>
          <w:b/>
        </w:rPr>
        <w:t>Post-cure résidentielle</w:t>
      </w:r>
      <w:r>
        <w:t xml:space="preserve"> (centre thérapeutique résidentiel de moyenne durée 3 à 12 mois) : séjour structuré avec ateliers thérapeutiques, groupe de parole, activités professionnelles, sport, art-thérapie, reprise de confiance. Structure rare en Algérie (centre El Hayat à Alger, structures associatives).</w:t>
      </w:r>
    </w:p>
    <w:p>
      <w:pPr>
        <w:pStyle w:val="ListNumber"/>
      </w:pPr>
      <w:r/>
      <w:r>
        <w:rPr>
          <w:b/>
        </w:rPr>
        <w:t>Réduction des risques</w:t>
      </w:r>
      <w:r>
        <w:t xml:space="preserve"> : programmes d'échange de seringues, distribution de naloxone, dépistage VIH/VHC, vaccination VHB, conseils de réduction des doses, d'injection à moindre risque, d'utilisation de matériel stérile.</w:t>
      </w:r>
    </w:p>
    <w:p>
      <w:pPr>
        <w:pStyle w:val="ListNumber"/>
      </w:pPr>
      <w:r/>
      <w:r>
        <w:rPr>
          <w:b/>
        </w:rPr>
        <w:t>Approches corporelles et méditatives</w:t>
      </w:r>
      <w:r>
        <w:t xml:space="preserve"> : méditation de pleine conscience (Mindfulness-Based Relapse Prevention, MBRP — efficacité démontrée), yoga, sophrologie, acupuncture (auriculothérapie), activité physique régulière.</w:t>
      </w:r>
    </w:p>
    <w:p>
      <w:pPr>
        <w:pStyle w:val="ListNumber"/>
      </w:pPr>
      <w:r/>
      <w:r>
        <w:rPr>
          <w:b/>
        </w:rPr>
        <w:t>Accompagnement social</w:t>
      </w:r>
      <w:r>
        <w:t xml:space="preserve"> : logement (résidences sociales, structures d'hébergement), emploi (mission locale, aide à l'insertion), accès aux droits (CPAM, assurance maladie, allocations), accompagnement administratif (dossiers judiciaires, dettes, papiers d'identité).</w:t>
      </w:r>
    </w:p>
    <w:p>
      <w:pPr>
        <w:pStyle w:val="ListNumber"/>
      </w:pPr>
      <w:r/>
      <w:r>
        <w:rPr>
          <w:b/>
        </w:rPr>
        <w:t>Prise en charge des comorbidités psychiatriques</w:t>
      </w:r>
      <w:r>
        <w:t xml:space="preserve"> : dépression (antidépresseurs IRS accessibles en Algérie — sertraline, fluoxétine, paroxétine), troubles anxieux (psychothérapie privilégiée, anxiolytiques à court terme), TDAH (méthylphénidate disponible), PTSD (TCC, IRSH), troubles bipolaires (thymorégulateurs — lithium, valproate disponibles).</w:t>
      </w:r>
    </w:p>
    <w:p>
      <w:pPr>
        <w:pStyle w:val="Heading3"/>
      </w:pPr>
      <w:r>
        <w:t>193.2.12 Pièges au comptoir et au lit du patient</w:t>
      </w:r>
    </w:p>
    <w:p>
      <w:r/>
      <w:r>
        <w:rPr>
          <w:b/>
        </w:rPr>
        <w:t>Piège n°1 — Initiation trop précoce chez un patient dépendant non en sevrage</w:t>
      </w:r>
      <w:r>
        <w:t xml:space="preserve"> : la buprénorphine, par son effet agoniste partiel à haute affinité, déplace les opioïdes complets du récepteur μ et précipite un syndrome de sevrage sévère en 30 à 90 minutes. Règle d'or : respecter un délai minimum de 12 heures après la dernière prise d'héroïne ou de tramadol, 24 heures après morphine LP ou oxycodone, 24 à 48 heures après méthadone, et débuter par une dose faible (2 mg) réévaluée à 2 heures.</w:t>
      </w:r>
    </w:p>
    <w:p>
      <w:r/>
      <w:r>
        <w:rPr>
          <w:b/>
        </w:rPr>
        <w:t>Piège n°2 — Association buprénorphine + benzodiazépines</w:t>
      </w:r>
      <w:r>
        <w:t xml:space="preserve"> : interaction létale potentielle, majoration du risque de dépression respiratoire fatale (multiplié par 3 à 5). Règle d'or : éviter l'association ; si indispensable (anxiété sévère réfractaire), prescription conjointe après information éclairée, dose minimale efficace, surveillance rapprochée, remise de naloxone. Vérifier systématiquement la prescription de benzodiazépines chez un patient substitué et envisager un sevrage progressif.</w:t>
      </w:r>
    </w:p>
    <w:p>
      <w:r/>
      <w:r>
        <w:rPr>
          <w:b/>
        </w:rPr>
        <w:t>Piège n°3 — Confusion entre buprénorphine injectable et forme sublinguale</w:t>
      </w:r>
      <w:r>
        <w:t xml:space="preserve"> : la forme injectable (0,3 mg/mL) est utilisée pour l'analgésie aiguë, la forme sublinguale (2-8 mg) pour la substitution. Erreur galénique grave : un patient substitué recevant par erreur la forme injectable à dose équivalente ferait une overdose (la biodisponibilité IV est 100 % vs 30-50 % sublinguale). Règle d'or : vérifier la formulation, la voie d'administration, et le contexte (analgésie vs substitution).</w:t>
      </w:r>
    </w:p>
    <w:p>
      <w:r/>
      <w:r>
        <w:rPr>
          <w:b/>
        </w:rPr>
        <w:t>Piège n°4 — Effet plafond interprété comme inefficacité</w:t>
      </w:r>
      <w:r>
        <w:t xml:space="preserve"> : la buprénorphine ne produit qu'un effet analgésique maximal correspondant à environ 10 mg de morphine IM. Un patient signalant que la buprénorphine « ne fait rien » à dose croissante doit faire rechercher un mésusage, une dépendance à des doses supérieures, ou une douleur neuropathique (peu sensible aux opioïdes). Règle d'or : ne pas augmenter la dose au-delà de 32 mg/jour en substitution (effet plafond démontré) ou 1,2 mg/jour en analgésie aiguë, mais réévaluer le diagnostic.</w:t>
      </w:r>
    </w:p>
    <w:p>
      <w:r/>
      <w:r>
        <w:rPr>
          <w:b/>
        </w:rPr>
        <w:t>Piège n°5 — Naloxone inefficace à dose standard en cas d'overdose de buprénorphine</w:t>
      </w:r>
      <w:r>
        <w:t xml:space="preserve"> : la haute affinité de la buprénorphine pour le récepteur μ rend l'antagonisation par naloxone difficile à dose standard (0,4 mg IV). Règle d'or : en cas d'overdose de buprénorphine, titrer la naloxone par bolus de 0,4 mg toutes les 2-3 minutes jusqu'à Fr ≥ 12/min, sans dépasser 10-20 mg de naloxone totale, et prévoir une perfusion continue de naloxone (0,4-0,8 mg/h) pendant 12-24 heures (demi-vie de la buprénorphine supérieure à celle de la naloxone).</w:t>
      </w:r>
    </w:p>
    <w:p>
      <w:r/>
      <w:r>
        <w:rPr>
          <w:b/>
        </w:rPr>
        <w:t>Piège n°6 — Hépatotoxicité non surveillée</w:t>
      </w:r>
      <w:r>
        <w:t xml:space="preserve"> : la buprénorphine peut induire une cytolyse hépatique sévère, particulièrement chez les patients VHC+, alcooliques chroniques, ou prenant d'autres hépatotoxiques. Règle d'or : bilan hépatique pré-thérapeutique systématique, surveillance mensuelle pendant 6 mois puis trimestrielle, arrêt définitif en cas de cytolyse &gt; 5 N sans autre cause, contre-indication en cas d'insuffisance hépatique sévère (Child-Pugh C).</w:t>
      </w:r>
    </w:p>
    <w:p>
      <w:r/>
      <w:r>
        <w:rPr>
          <w:b/>
        </w:rPr>
        <w:t>Piège n°7 — Dépression respiratoire masquée chez le patient âgé ou insuffisant respiratoire</w:t>
      </w:r>
      <w:r>
        <w:t xml:space="preserve"> : la buprénorphine est contre-indiquée en cas d'insuffisance respiratoire sévère (VEMS &lt; 30 %, PaO2 &lt; 60 mmHg, PaCO2 &gt; 50 mmHg), de myasthénie (risque de dépression neuromusculaire), d'hypercapnie. Règle d'or : évaluation respiratoire pré-thérapeutique (ECBC, gaz du sang) chez le patient âgé, BPCO sévère, asthme sévère, syndrome d'apnée du sommeil, myasthénie, hypertension intracrânienne.</w:t>
      </w:r>
    </w:p>
    <w:p>
      <w:r/>
      <w:r>
        <w:rPr>
          <w:b/>
        </w:rPr>
        <w:t>Piège n°8 — Méconnaissance de l'indisponibilité des formes sublinguales en Algérie</w:t>
      </w:r>
      <w:r>
        <w:t xml:space="preserve"> : de nombreux médecins algériens, formés aux protocoles internationaux, prescrivent Subutex ou Suboxone qui ne sont pas disponibles en pharmacie algérienne. Règle d'or : vérifier la disponibilité dans la nomenclature algérienne avant prescription ; en cas d'indisponibilité, recourir à la procédure d'ATU ou adapter par la forme injectable utilisée par voie sublinguale hors AMM après évaluation bénéfice/risque.</w:t>
      </w:r>
    </w:p>
    <w:p>
      <w:r/>
      <w:r>
        <w:rPr>
          <w:b/>
        </w:rPr>
        <w:t>Piège n°9 — Confusion avec la méthadone (absente en Algérie)</w:t>
      </w:r>
      <w:r>
        <w:t xml:space="preserve"> : les patients ayant été substitués à l'étranger par méthadone peuvent demander en Algérie le renouvellement de leur prescription. La méthadone n'étant pas disponible, le relais doit être fait par buprénorphine selon un protocole de transition délicat (réduction de la méthadone à &lt; 30 mg/jour avant introduction de buprénorphine, surveillance hospitalière). Règle d'or : ne jamais introduire la buprénorphine chez un patient sous méthadone &gt; 30 mg/jour (risque de sevrage précipité sévère), hospitalisation pour le relais.</w:t>
      </w:r>
    </w:p>
    <w:p>
      <w:r/>
      <w:r>
        <w:rPr>
          <w:b/>
        </w:rPr>
        <w:t>Piège n°10 — Dépistage toxicologique urinaire faussement négatif</w:t>
      </w:r>
      <w:r>
        <w:t xml:space="preserve"> : le screening immunochimique classique pour les opioïdes urinaires ne détecte pas la buprénorphine (pas de réaction croisée avec les anticorps anti-morphine). Règle d'or : utiliser un dosage spécifique par LC-MS/MS pour confirmer l'observance de la buprénorphine, ne pas conclure à un mésusage sur un screening négatif.</w:t>
      </w:r>
    </w:p>
    <w:p>
      <w:r/>
      <w:r>
        <w:rPr>
          <w:b/>
        </w:rPr>
        <w:t>Piège n°11 — Arrêt brutal de la buprénorphine pendant la grossesse</w:t>
      </w:r>
      <w:r>
        <w:t xml:space="preserve"> : risque de fausse-couche, mort fœtale in utero, accouchement prématuré, souffrance fœtale. Règle d'or : ne jamais arrêter la buprénorphine pendant la grossesse, ajustement posologique au troisième trimestre (souvent besoin de fractionner en deux prises), surveillance rapprochée obstétricale.</w:t>
      </w:r>
    </w:p>
    <w:p>
      <w:r/>
      <w:r>
        <w:rPr>
          <w:b/>
        </w:rPr>
        <w:t>Piège n°12 — Patient présenté pour chirurgie programmée sous buprénorphine</w:t>
      </w:r>
      <w:r>
        <w:t xml:space="preserve"> : ne pas arrêter la buprénorphine en péri-opératoire (risque de sevrage et de douleur rebelle). Règle d'or : maintenir la dose habituelle, complément par analgésiques non opioïdes (paracétamol, AINS, néfopam, ketamine), privilégier l'ALR, en cas de douleur sévère titration morphine IV (doses plus élevées que chez le patient naïf de par la tolérance croisée), surveillance USIP 24 h.</w:t>
      </w:r>
    </w:p>
    <w:p>
      <w:r/>
      <w:r>
        <w:rPr>
          <w:b/>
        </w:rPr>
        <w:t>Piège n°13 — Mésusage intraveineux de la buprénorphine (injection des comprimés)</w:t>
      </w:r>
      <w:r>
        <w:t xml:space="preserve"> : pratique observée chez certains patients toxicomanes pour reproduire un flash, expose à des complications locales (abcès, thrombophlébite, embolie pulmonaire talcose) et systémiques (septicémie, endocardite, VIH/VHC). Règle d'or : prescription hebdomadaire en début de traitement, délivrance fractionnée, orientation vers la forme combinée buprénorphine/naloxone (Suboxone — non disponible en Algérie) qui précipite un sevrage en cas d'injection IV.</w:t>
      </w:r>
    </w:p>
    <w:p>
      <w:r/>
      <w:r>
        <w:rPr>
          <w:b/>
        </w:rPr>
        <w:t>Piège n°14 — Indisponibilité des traitements de la dépendance alcoolique en Algérie</w:t>
      </w:r>
      <w:r>
        <w:t xml:space="preserve"> : absence de disulfiram, acamprosate, naltrexone — le patient alcoolo-dépendant ne peut être traité pharmacologiquement que par symptômatiques (benzodiazépines pour le sevrage aigu, vitamins B1/B6/PP pour la prévention du Wernicke-Korsakoff). Règle d'or : ne pas substituer par buprénorphine hors AMM pour la dépendance alcoolique (efficacité non démontrée, risque de mésusage), privilégier la TCC et les groupes d'entraide.</w:t>
      </w:r>
    </w:p>
    <w:p>
      <w:r/>
      <w:r>
        <w:rPr>
          <w:b/>
        </w:rPr>
        <w:t>Piège n°15 — Patient sous buprénorphine présentant une douleur aiguë</w:t>
      </w:r>
      <w:r>
        <w:t xml:space="preserve"> : la buprénorphine bloque l'effet des opioïdes agonistes complets coadministrés (effet antagoniste partiel), ce qui rend la morphine titration inefficace à dose standard. Règle d'or : ne pas arrêter la buprénorphine, augmenter les doses de morphine (titration plus agressive, doses 2-3 fois supérieures), privilégier l'ALR et les analgésiques non opioïdes.</w:t>
      </w:r>
    </w:p>
    <w:p>
      <w:pPr>
        <w:pStyle w:val="Heading2"/>
      </w:pPr>
      <w:r>
        <w:t>193.3 Tableau comparatif des DCI et des molécules apparentées</w:t>
      </w:r>
    </w:p>
    <w:p>
      <w:r>
        <w:t>Le tableau ci-dessous récapitule les caractéristiques pharmacologiques essentielles de la buprénorphine (seule DCI disponible en Algérie pour la substitution) et des molécules apparentées dans la prise en charge de la dépendance opioïque (indisponibles en Algérie mais présentées à titre comparatif international).</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 / molécule</w:t>
            </w:r>
          </w:p>
        </w:tc>
        <w:tc>
          <w:tcPr>
            <w:tcW w:type="dxa" w:w="1336"/>
          </w:tcPr>
          <w:p>
            <w:r>
              <w:rPr>
                <w:b/>
                <w:sz w:val="20"/>
              </w:rPr>
              <w:t>Mécanisme</w:t>
            </w:r>
          </w:p>
        </w:tc>
        <w:tc>
          <w:tcPr>
            <w:tcW w:type="dxa" w:w="1336"/>
          </w:tcPr>
          <w:p>
            <w:r>
              <w:rPr>
                <w:b/>
                <w:sz w:val="20"/>
              </w:rPr>
              <w:t>Demi-vie</w:t>
            </w:r>
          </w:p>
        </w:tc>
        <w:tc>
          <w:tcPr>
            <w:tcW w:type="dxa" w:w="1336"/>
          </w:tcPr>
          <w:p>
            <w:r>
              <w:rPr>
                <w:b/>
                <w:sz w:val="20"/>
              </w:rPr>
              <w:t>Voie / Forme</w:t>
            </w:r>
          </w:p>
        </w:tc>
        <w:tc>
          <w:tcPr>
            <w:tcW w:type="dxa" w:w="1336"/>
          </w:tcPr>
          <w:p>
            <w:r>
              <w:rPr>
                <w:b/>
                <w:sz w:val="20"/>
              </w:rPr>
              <w:t>Indication principale</w:t>
            </w:r>
          </w:p>
        </w:tc>
        <w:tc>
          <w:tcPr>
            <w:tcW w:type="dxa" w:w="1336"/>
          </w:tcPr>
          <w:p>
            <w:r>
              <w:rPr>
                <w:b/>
                <w:sz w:val="20"/>
              </w:rPr>
              <w:t>Disponibilité Algérie</w:t>
            </w:r>
          </w:p>
        </w:tc>
        <w:tc>
          <w:tcPr>
            <w:tcW w:type="dxa" w:w="1336"/>
          </w:tcPr>
          <w:p>
            <w:r>
              <w:rPr>
                <w:b/>
                <w:sz w:val="20"/>
              </w:rPr>
              <w:t>Alertes critiques</w:t>
            </w:r>
          </w:p>
        </w:tc>
      </w:tr>
      <w:tr>
        <w:tc>
          <w:tcPr>
            <w:tcW w:type="dxa" w:w="1336"/>
          </w:tcPr>
          <w:p>
            <w:r>
              <w:rPr>
                <w:sz w:val="20"/>
              </w:rPr>
              <w:t>**Buprénorphine injectable** (Buprenal, Temgephine, Temginal)</w:t>
            </w:r>
          </w:p>
        </w:tc>
        <w:tc>
          <w:tcPr>
            <w:tcW w:type="dxa" w:w="1336"/>
          </w:tcPr>
          <w:p>
            <w:r>
              <w:rPr>
                <w:sz w:val="20"/>
              </w:rPr>
              <w:t>Agoniste partiel μ, antagoniste κ</w:t>
            </w:r>
          </w:p>
        </w:tc>
        <w:tc>
          <w:tcPr>
            <w:tcW w:type="dxa" w:w="1336"/>
          </w:tcPr>
          <w:p>
            <w:r>
              <w:rPr>
                <w:sz w:val="20"/>
              </w:rPr>
              <w:t>3-5 h (IV), 6-9 h (IM)</w:t>
            </w:r>
          </w:p>
        </w:tc>
        <w:tc>
          <w:tcPr>
            <w:tcW w:type="dxa" w:w="1336"/>
          </w:tcPr>
          <w:p>
            <w:r>
              <w:rPr>
                <w:sz w:val="20"/>
              </w:rPr>
              <w:t>IM, IV, SC, périmédullaire — 0,3 mg/mL</w:t>
            </w:r>
          </w:p>
        </w:tc>
        <w:tc>
          <w:tcPr>
            <w:tcW w:type="dxa" w:w="1336"/>
          </w:tcPr>
          <w:p>
            <w:r>
              <w:rPr>
                <w:sz w:val="20"/>
              </w:rPr>
              <w:t>Analgésie aiguë, post-opératoire</w:t>
            </w:r>
          </w:p>
        </w:tc>
        <w:tc>
          <w:tcPr>
            <w:tcW w:type="dxa" w:w="1336"/>
          </w:tcPr>
          <w:p>
            <w:r>
              <w:rPr>
                <w:sz w:val="20"/>
              </w:rPr>
              <w:t>✅ 3 spécialités actives</w:t>
            </w:r>
          </w:p>
        </w:tc>
        <w:tc>
          <w:tcPr>
            <w:tcW w:type="dxa" w:w="1336"/>
          </w:tcPr>
          <w:p>
            <w:r>
              <w:rPr>
                <w:sz w:val="20"/>
              </w:rPr>
              <w:t>Effet plafond, hépatotoxicité, sevrage précipité si initiation précoce</w:t>
            </w:r>
          </w:p>
        </w:tc>
      </w:tr>
      <w:tr>
        <w:tc>
          <w:tcPr>
            <w:tcW w:type="dxa" w:w="1336"/>
          </w:tcPr>
          <w:p>
            <w:r>
              <w:rPr>
                <w:sz w:val="20"/>
              </w:rPr>
              <w:t>**Buprénorphine sublinguale haut dosage** (Subutex)</w:t>
            </w:r>
          </w:p>
        </w:tc>
        <w:tc>
          <w:tcPr>
            <w:tcW w:type="dxa" w:w="1336"/>
          </w:tcPr>
          <w:p>
            <w:r>
              <w:rPr>
                <w:sz w:val="20"/>
              </w:rPr>
              <w:t>Agoniste partiel μ, antagoniste κ</w:t>
            </w:r>
          </w:p>
        </w:tc>
        <w:tc>
          <w:tcPr>
            <w:tcW w:type="dxa" w:w="1336"/>
          </w:tcPr>
          <w:p>
            <w:r>
              <w:rPr>
                <w:sz w:val="20"/>
              </w:rPr>
              <w:t>24-48 h (occupation récepteur)</w:t>
            </w:r>
          </w:p>
        </w:tc>
        <w:tc>
          <w:tcPr>
            <w:tcW w:type="dxa" w:w="1336"/>
          </w:tcPr>
          <w:p>
            <w:r>
              <w:rPr>
                <w:sz w:val="20"/>
              </w:rPr>
              <w:t>Sublingual — 2 mg, 8 mg</w:t>
            </w:r>
          </w:p>
        </w:tc>
        <w:tc>
          <w:tcPr>
            <w:tcW w:type="dxa" w:w="1336"/>
          </w:tcPr>
          <w:p>
            <w:r>
              <w:rPr>
                <w:sz w:val="20"/>
              </w:rPr>
              <w:t>Substitution opioïde entretien</w:t>
            </w:r>
          </w:p>
        </w:tc>
        <w:tc>
          <w:tcPr>
            <w:tcW w:type="dxa" w:w="1336"/>
          </w:tcPr>
          <w:p>
            <w:r>
              <w:rPr>
                <w:sz w:val="20"/>
              </w:rPr>
              <w:t>❌ Non disponible</w:t>
            </w:r>
          </w:p>
        </w:tc>
        <w:tc>
          <w:tcPr>
            <w:tcW w:type="dxa" w:w="1336"/>
          </w:tcPr>
          <w:p>
            <w:r>
              <w:rPr>
                <w:sz w:val="20"/>
              </w:rPr>
              <w:t>Indisponibilité critique en Algérie → adaptation par forme injectable détournée (hors AMM)</w:t>
            </w:r>
          </w:p>
        </w:tc>
      </w:tr>
      <w:tr>
        <w:tc>
          <w:tcPr>
            <w:tcW w:type="dxa" w:w="1336"/>
          </w:tcPr>
          <w:p>
            <w:r>
              <w:rPr>
                <w:sz w:val="20"/>
              </w:rPr>
              <w:t>**Buprénorphine/naloxone** (Suboxone)</w:t>
            </w:r>
          </w:p>
        </w:tc>
        <w:tc>
          <w:tcPr>
            <w:tcW w:type="dxa" w:w="1336"/>
          </w:tcPr>
          <w:p>
            <w:r>
              <w:rPr>
                <w:sz w:val="20"/>
              </w:rPr>
              <w:t>Agoniste partiel μ + antagoniste μ (naloxone inactive sublinguale)</w:t>
            </w:r>
          </w:p>
        </w:tc>
        <w:tc>
          <w:tcPr>
            <w:tcW w:type="dxa" w:w="1336"/>
          </w:tcPr>
          <w:p>
            <w:r>
              <w:rPr>
                <w:sz w:val="20"/>
              </w:rPr>
              <w:t>24-48 h</w:t>
            </w:r>
          </w:p>
        </w:tc>
        <w:tc>
          <w:tcPr>
            <w:tcW w:type="dxa" w:w="1336"/>
          </w:tcPr>
          <w:p>
            <w:r>
              <w:rPr>
                <w:sz w:val="20"/>
              </w:rPr>
              <w:t>Sublingual — 2/0,5 mg, 8/2 mg</w:t>
            </w:r>
          </w:p>
        </w:tc>
        <w:tc>
          <w:tcPr>
            <w:tcW w:type="dxa" w:w="1336"/>
          </w:tcPr>
          <w:p>
            <w:r>
              <w:rPr>
                <w:sz w:val="20"/>
              </w:rPr>
              <w:t>Substitution opioïde (réduction mésusage IV)</w:t>
            </w:r>
          </w:p>
        </w:tc>
        <w:tc>
          <w:tcPr>
            <w:tcW w:type="dxa" w:w="1336"/>
          </w:tcPr>
          <w:p>
            <w:r>
              <w:rPr>
                <w:sz w:val="20"/>
              </w:rPr>
              <w:t>❌ Non disponible</w:t>
            </w:r>
          </w:p>
        </w:tc>
        <w:tc>
          <w:tcPr>
            <w:tcW w:type="dxa" w:w="1336"/>
          </w:tcPr>
          <w:p>
            <w:r>
              <w:rPr>
                <w:sz w:val="20"/>
              </w:rPr>
              <w:t>Forme de référence internationale, indisponible en Algérie</w:t>
            </w:r>
          </w:p>
        </w:tc>
      </w:tr>
      <w:tr>
        <w:tc>
          <w:tcPr>
            <w:tcW w:type="dxa" w:w="1336"/>
          </w:tcPr>
          <w:p>
            <w:r>
              <w:rPr>
                <w:sz w:val="20"/>
              </w:rPr>
              <w:t>**Buprénorphine depot mensuelle** (Buvidal, Sublocade)</w:t>
            </w:r>
          </w:p>
        </w:tc>
        <w:tc>
          <w:tcPr>
            <w:tcW w:type="dxa" w:w="1336"/>
          </w:tcPr>
          <w:p>
            <w:r>
              <w:rPr>
                <w:sz w:val="20"/>
              </w:rPr>
              <w:t>Agoniste partiel μ</w:t>
            </w:r>
          </w:p>
        </w:tc>
        <w:tc>
          <w:tcPr>
            <w:tcW w:type="dxa" w:w="1336"/>
          </w:tcPr>
          <w:p>
            <w:r>
              <w:rPr>
                <w:sz w:val="20"/>
              </w:rPr>
              <w:t>1 mois</w:t>
            </w:r>
          </w:p>
        </w:tc>
        <w:tc>
          <w:tcPr>
            <w:tcW w:type="dxa" w:w="1336"/>
          </w:tcPr>
          <w:p>
            <w:r>
              <w:rPr>
                <w:sz w:val="20"/>
              </w:rPr>
              <w:t>SC mensuelle</w:t>
            </w:r>
          </w:p>
        </w:tc>
        <w:tc>
          <w:tcPr>
            <w:tcW w:type="dxa" w:w="1336"/>
          </w:tcPr>
          <w:p>
            <w:r>
              <w:rPr>
                <w:sz w:val="20"/>
              </w:rPr>
              <w:t>Substitution opioïde (observance parfaite)</w:t>
            </w:r>
          </w:p>
        </w:tc>
        <w:tc>
          <w:tcPr>
            <w:tcW w:type="dxa" w:w="1336"/>
          </w:tcPr>
          <w:p>
            <w:r>
              <w:rPr>
                <w:sz w:val="20"/>
              </w:rPr>
              <w:t>❌ Non disponible</w:t>
            </w:r>
          </w:p>
        </w:tc>
        <w:tc>
          <w:tcPr>
            <w:tcW w:type="dxa" w:w="1336"/>
          </w:tcPr>
          <w:p>
            <w:r>
              <w:rPr>
                <w:sz w:val="20"/>
              </w:rPr>
              <w:t>Innovation galénique, inaccessible en Algérie</w:t>
            </w:r>
          </w:p>
        </w:tc>
      </w:tr>
      <w:tr>
        <w:tc>
          <w:tcPr>
            <w:tcW w:type="dxa" w:w="1336"/>
          </w:tcPr>
          <w:p>
            <w:r>
              <w:rPr>
                <w:sz w:val="20"/>
              </w:rPr>
              <w:t>**Méthadone**</w:t>
            </w:r>
          </w:p>
        </w:tc>
        <w:tc>
          <w:tcPr>
            <w:tcW w:type="dxa" w:w="1336"/>
          </w:tcPr>
          <w:p>
            <w:r>
              <w:rPr>
                <w:sz w:val="20"/>
              </w:rPr>
              <w:t>Agoniste complet μ</w:t>
            </w:r>
          </w:p>
        </w:tc>
        <w:tc>
          <w:tcPr>
            <w:tcW w:type="dxa" w:w="1336"/>
          </w:tcPr>
          <w:p>
            <w:r>
              <w:rPr>
                <w:sz w:val="20"/>
              </w:rPr>
              <w:t>24-36 h (plasma), 48-72 h (effet)</w:t>
            </w:r>
          </w:p>
        </w:tc>
        <w:tc>
          <w:tcPr>
            <w:tcW w:type="dxa" w:w="1336"/>
          </w:tcPr>
          <w:p>
            <w:r>
              <w:rPr>
                <w:sz w:val="20"/>
              </w:rPr>
              <w:t>Oral — 5, 10, 20, 40 mg</w:t>
            </w:r>
          </w:p>
        </w:tc>
        <w:tc>
          <w:tcPr>
            <w:tcW w:type="dxa" w:w="1336"/>
          </w:tcPr>
          <w:p>
            <w:r>
              <w:rPr>
                <w:sz w:val="20"/>
              </w:rPr>
              <w:t>Substitution opioïde (1ère intention)</w:t>
            </w:r>
          </w:p>
        </w:tc>
        <w:tc>
          <w:tcPr>
            <w:tcW w:type="dxa" w:w="1336"/>
          </w:tcPr>
          <w:p>
            <w:r>
              <w:rPr>
                <w:sz w:val="20"/>
              </w:rPr>
              <w:t>❌ Non disponible</w:t>
            </w:r>
          </w:p>
        </w:tc>
        <w:tc>
          <w:tcPr>
            <w:tcW w:type="dxa" w:w="1336"/>
          </w:tcPr>
          <w:p>
            <w:r>
              <w:rPr>
                <w:sz w:val="20"/>
              </w:rPr>
              <w:t>Allongement QTc, accumulation, surdosage, sevrage à l'arrêt prolongé</w:t>
            </w:r>
          </w:p>
        </w:tc>
      </w:tr>
      <w:tr>
        <w:tc>
          <w:tcPr>
            <w:tcW w:type="dxa" w:w="1336"/>
          </w:tcPr>
          <w:p>
            <w:r>
              <w:rPr>
                <w:sz w:val="20"/>
              </w:rPr>
              <w:t>**Naltrexone**</w:t>
            </w:r>
          </w:p>
        </w:tc>
        <w:tc>
          <w:tcPr>
            <w:tcW w:type="dxa" w:w="1336"/>
          </w:tcPr>
          <w:p>
            <w:r>
              <w:rPr>
                <w:sz w:val="20"/>
              </w:rPr>
              <w:t>Antagoniste μ compétitif</w:t>
            </w:r>
          </w:p>
        </w:tc>
        <w:tc>
          <w:tcPr>
            <w:tcW w:type="dxa" w:w="1336"/>
          </w:tcPr>
          <w:p>
            <w:r>
              <w:rPr>
                <w:sz w:val="20"/>
              </w:rPr>
              <w:t>4 h (plasma), 24-48 h (effet)</w:t>
            </w:r>
          </w:p>
        </w:tc>
        <w:tc>
          <w:tcPr>
            <w:tcW w:type="dxa" w:w="1336"/>
          </w:tcPr>
          <w:p>
            <w:r>
              <w:rPr>
                <w:sz w:val="20"/>
              </w:rPr>
              <w:t>Oral — 50 mg ; depot IM mensuel 380 mg</w:t>
            </w:r>
          </w:p>
        </w:tc>
        <w:tc>
          <w:tcPr>
            <w:tcW w:type="dxa" w:w="1336"/>
          </w:tcPr>
          <w:p>
            <w:r>
              <w:rPr>
                <w:sz w:val="20"/>
              </w:rPr>
              <w:t>Maintien abstinence opioïde post-sevrage</w:t>
            </w:r>
          </w:p>
        </w:tc>
        <w:tc>
          <w:tcPr>
            <w:tcW w:type="dxa" w:w="1336"/>
          </w:tcPr>
          <w:p>
            <w:r>
              <w:rPr>
                <w:sz w:val="20"/>
              </w:rPr>
              <w:t>❌ Non disponible</w:t>
            </w:r>
          </w:p>
        </w:tc>
        <w:tc>
          <w:tcPr>
            <w:tcW w:type="dxa" w:w="1336"/>
          </w:tcPr>
          <w:p>
            <w:r>
              <w:rPr>
                <w:sz w:val="20"/>
              </w:rPr>
              <w:t>Efficace uniquement après sevrage complet (7-10 jours), sinon sevrage précipité</w:t>
            </w:r>
          </w:p>
        </w:tc>
      </w:tr>
      <w:tr>
        <w:tc>
          <w:tcPr>
            <w:tcW w:type="dxa" w:w="1336"/>
          </w:tcPr>
          <w:p>
            <w:r>
              <w:rPr>
                <w:sz w:val="20"/>
              </w:rPr>
              <w:t>**Clonidine**</w:t>
            </w:r>
          </w:p>
        </w:tc>
        <w:tc>
          <w:tcPr>
            <w:tcW w:type="dxa" w:w="1336"/>
          </w:tcPr>
          <w:p>
            <w:r>
              <w:rPr>
                <w:sz w:val="20"/>
              </w:rPr>
              <w:t>Agoniste α2-adrénergique central</w:t>
            </w:r>
          </w:p>
        </w:tc>
        <w:tc>
          <w:tcPr>
            <w:tcW w:type="dxa" w:w="1336"/>
          </w:tcPr>
          <w:p>
            <w:r>
              <w:rPr>
                <w:sz w:val="20"/>
              </w:rPr>
              <w:t>12-16 h</w:t>
            </w:r>
          </w:p>
        </w:tc>
        <w:tc>
          <w:tcPr>
            <w:tcW w:type="dxa" w:w="1336"/>
          </w:tcPr>
          <w:p>
            <w:r>
              <w:rPr>
                <w:sz w:val="20"/>
              </w:rPr>
              <w:t>Oral — 0,1 mg, 0,15 mg</w:t>
            </w:r>
          </w:p>
        </w:tc>
        <w:tc>
          <w:tcPr>
            <w:tcW w:type="dxa" w:w="1336"/>
          </w:tcPr>
          <w:p>
            <w:r>
              <w:rPr>
                <w:sz w:val="20"/>
              </w:rPr>
              <w:t>Sevrage opioïde symptomatique (noradrnergique)</w:t>
            </w:r>
          </w:p>
        </w:tc>
        <w:tc>
          <w:tcPr>
            <w:tcW w:type="dxa" w:w="1336"/>
          </w:tcPr>
          <w:p>
            <w:r>
              <w:rPr>
                <w:sz w:val="20"/>
              </w:rPr>
              <w:t>✅ Disponible (Catapressan)</w:t>
            </w:r>
          </w:p>
        </w:tc>
        <w:tc>
          <w:tcPr>
            <w:tcW w:type="dxa" w:w="1336"/>
          </w:tcPr>
          <w:p>
            <w:r>
              <w:rPr>
                <w:sz w:val="20"/>
              </w:rPr>
              <w:t>Hypotension, sédation, bradycardie, effet rebond à l'arrêt</w:t>
            </w:r>
          </w:p>
        </w:tc>
      </w:tr>
      <w:tr>
        <w:tc>
          <w:tcPr>
            <w:tcW w:type="dxa" w:w="1336"/>
          </w:tcPr>
          <w:p>
            <w:r>
              <w:rPr>
                <w:sz w:val="20"/>
              </w:rPr>
              <w:t>**Lofexidine**</w:t>
            </w:r>
          </w:p>
        </w:tc>
        <w:tc>
          <w:tcPr>
            <w:tcW w:type="dxa" w:w="1336"/>
          </w:tcPr>
          <w:p>
            <w:r>
              <w:rPr>
                <w:sz w:val="20"/>
              </w:rPr>
              <w:t>Agoniste α2-adrénergique central</w:t>
            </w:r>
          </w:p>
        </w:tc>
        <w:tc>
          <w:tcPr>
            <w:tcW w:type="dxa" w:w="1336"/>
          </w:tcPr>
          <w:p>
            <w:r>
              <w:rPr>
                <w:sz w:val="20"/>
              </w:rPr>
              <w:t>11-12 h</w:t>
            </w:r>
          </w:p>
        </w:tc>
        <w:tc>
          <w:tcPr>
            <w:tcW w:type="dxa" w:w="1336"/>
          </w:tcPr>
          <w:p>
            <w:r>
              <w:rPr>
                <w:sz w:val="20"/>
              </w:rPr>
              <w:t>Oral — 0,2 mg</w:t>
            </w:r>
          </w:p>
        </w:tc>
        <w:tc>
          <w:tcPr>
            <w:tcW w:type="dxa" w:w="1336"/>
          </w:tcPr>
          <w:p>
            <w:r>
              <w:rPr>
                <w:sz w:val="20"/>
              </w:rPr>
              <w:t>Sevrage opioïde (alternative clonidine, moins hypotenseur)</w:t>
            </w:r>
          </w:p>
        </w:tc>
        <w:tc>
          <w:tcPr>
            <w:tcW w:type="dxa" w:w="1336"/>
          </w:tcPr>
          <w:p>
            <w:r>
              <w:rPr>
                <w:sz w:val="20"/>
              </w:rPr>
              <w:t>❌ Non disponible</w:t>
            </w:r>
          </w:p>
        </w:tc>
        <w:tc>
          <w:tcPr>
            <w:tcW w:type="dxa" w:w="1336"/>
          </w:tcPr>
          <w:p>
            <w:r>
              <w:rPr>
                <w:sz w:val="20"/>
              </w:rPr>
              <w:t>Référence internationale pour le sevrage court</w:t>
            </w:r>
          </w:p>
        </w:tc>
      </w:tr>
      <w:tr>
        <w:tc>
          <w:tcPr>
            <w:tcW w:type="dxa" w:w="1336"/>
          </w:tcPr>
          <w:p>
            <w:r>
              <w:rPr>
                <w:sz w:val="20"/>
              </w:rPr>
              <w:t>**Naloxone**</w:t>
            </w:r>
          </w:p>
        </w:tc>
        <w:tc>
          <w:tcPr>
            <w:tcW w:type="dxa" w:w="1336"/>
          </w:tcPr>
          <w:p>
            <w:r>
              <w:rPr>
                <w:sz w:val="20"/>
              </w:rPr>
              <w:t>Antagoniste μ compétitif</w:t>
            </w:r>
          </w:p>
        </w:tc>
        <w:tc>
          <w:tcPr>
            <w:tcW w:type="dxa" w:w="1336"/>
          </w:tcPr>
          <w:p>
            <w:r>
              <w:rPr>
                <w:sz w:val="20"/>
              </w:rPr>
              <w:t>1-2 h</w:t>
            </w:r>
          </w:p>
        </w:tc>
        <w:tc>
          <w:tcPr>
            <w:tcW w:type="dxa" w:w="1336"/>
          </w:tcPr>
          <w:p>
            <w:r>
              <w:rPr>
                <w:sz w:val="20"/>
              </w:rPr>
              <w:t>IV, IM, nasal</w:t>
            </w:r>
          </w:p>
        </w:tc>
        <w:tc>
          <w:tcPr>
            <w:tcW w:type="dxa" w:w="1336"/>
          </w:tcPr>
          <w:p>
            <w:r>
              <w:rPr>
                <w:sz w:val="20"/>
              </w:rPr>
              <w:t>Antidote overdose opioïde</w:t>
            </w:r>
          </w:p>
        </w:tc>
        <w:tc>
          <w:tcPr>
            <w:tcW w:type="dxa" w:w="1336"/>
          </w:tcPr>
          <w:p>
            <w:r>
              <w:rPr>
                <w:sz w:val="20"/>
              </w:rPr>
              <w:t>✅ Disponible (voir chapitre 191)</w:t>
            </w:r>
          </w:p>
        </w:tc>
        <w:tc>
          <w:tcPr>
            <w:tcW w:type="dxa" w:w="1336"/>
          </w:tcPr>
          <w:p>
            <w:r>
              <w:rPr>
                <w:sz w:val="20"/>
              </w:rPr>
              <w:t>Doses élevées nécessaires pour buprénorphine (haute affinité)</w:t>
            </w:r>
          </w:p>
        </w:tc>
      </w:tr>
      <w:tr>
        <w:tc>
          <w:tcPr>
            <w:tcW w:type="dxa" w:w="1336"/>
          </w:tcPr>
          <w:p>
            <w:r>
              <w:rPr>
                <w:sz w:val="20"/>
              </w:rPr>
              <w:t>**Disulfiram**</w:t>
            </w:r>
          </w:p>
        </w:tc>
        <w:tc>
          <w:tcPr>
            <w:tcW w:type="dxa" w:w="1336"/>
          </w:tcPr>
          <w:p>
            <w:r>
              <w:rPr>
                <w:sz w:val="20"/>
              </w:rPr>
              <w:t>Inhibiteur aldéhyde déshydrogénase</w:t>
            </w:r>
          </w:p>
        </w:tc>
        <w:tc>
          <w:tcPr>
            <w:tcW w:type="dxa" w:w="1336"/>
          </w:tcPr>
          <w:p>
            <w:r>
              <w:rPr>
                <w:sz w:val="20"/>
              </w:rPr>
              <w:t>60-120 h</w:t>
            </w:r>
          </w:p>
        </w:tc>
        <w:tc>
          <w:tcPr>
            <w:tcW w:type="dxa" w:w="1336"/>
          </w:tcPr>
          <w:p>
            <w:r>
              <w:rPr>
                <w:sz w:val="20"/>
              </w:rPr>
              <w:t>Oral — 250 mg</w:t>
            </w:r>
          </w:p>
        </w:tc>
        <w:tc>
          <w:tcPr>
            <w:tcW w:type="dxa" w:w="1336"/>
          </w:tcPr>
          <w:p>
            <w:r>
              <w:rPr>
                <w:sz w:val="20"/>
              </w:rPr>
              <w:t>Maintien abstinence alcool (effet antabuse)</w:t>
            </w:r>
          </w:p>
        </w:tc>
        <w:tc>
          <w:tcPr>
            <w:tcW w:type="dxa" w:w="1336"/>
          </w:tcPr>
          <w:p>
            <w:r>
              <w:rPr>
                <w:sz w:val="20"/>
              </w:rPr>
              <w:t>❌ Non disponible</w:t>
            </w:r>
          </w:p>
        </w:tc>
        <w:tc>
          <w:tcPr>
            <w:tcW w:type="dxa" w:w="1336"/>
          </w:tcPr>
          <w:p>
            <w:r>
              <w:rPr>
                <w:sz w:val="20"/>
              </w:rPr>
              <w:t>Effet antabuse sévère, observance difficile</w:t>
            </w:r>
          </w:p>
        </w:tc>
      </w:tr>
      <w:tr>
        <w:tc>
          <w:tcPr>
            <w:tcW w:type="dxa" w:w="1336"/>
          </w:tcPr>
          <w:p>
            <w:r>
              <w:rPr>
                <w:sz w:val="20"/>
              </w:rPr>
              <w:t>**Acamprosate**</w:t>
            </w:r>
          </w:p>
        </w:tc>
        <w:tc>
          <w:tcPr>
            <w:tcW w:type="dxa" w:w="1336"/>
          </w:tcPr>
          <w:p>
            <w:r>
              <w:rPr>
                <w:sz w:val="20"/>
              </w:rPr>
              <w:t>Modulation glutamatergique (NMDA)</w:t>
            </w:r>
          </w:p>
        </w:tc>
        <w:tc>
          <w:tcPr>
            <w:tcW w:type="dxa" w:w="1336"/>
          </w:tcPr>
          <w:p>
            <w:r>
              <w:rPr>
                <w:sz w:val="20"/>
              </w:rPr>
              <w:t>18-30 h</w:t>
            </w:r>
          </w:p>
        </w:tc>
        <w:tc>
          <w:tcPr>
            <w:tcW w:type="dxa" w:w="1336"/>
          </w:tcPr>
          <w:p>
            <w:r>
              <w:rPr>
                <w:sz w:val="20"/>
              </w:rPr>
              <w:t>Oral — 333 mg</w:t>
            </w:r>
          </w:p>
        </w:tc>
        <w:tc>
          <w:tcPr>
            <w:tcW w:type="dxa" w:w="1336"/>
          </w:tcPr>
          <w:p>
            <w:r>
              <w:rPr>
                <w:sz w:val="20"/>
              </w:rPr>
              <w:t>Maintien abstinence alcool</w:t>
            </w:r>
          </w:p>
        </w:tc>
        <w:tc>
          <w:tcPr>
            <w:tcW w:type="dxa" w:w="1336"/>
          </w:tcPr>
          <w:p>
            <w:r>
              <w:rPr>
                <w:sz w:val="20"/>
              </w:rPr>
              <w:t>❌ Non disponible</w:t>
            </w:r>
          </w:p>
        </w:tc>
        <w:tc>
          <w:tcPr>
            <w:tcW w:type="dxa" w:w="1336"/>
          </w:tcPr>
          <w:p>
            <w:r>
              <w:rPr>
                <w:sz w:val="20"/>
              </w:rPr>
              <w:t>Effet modeste, observance prolongée (12 mois)</w:t>
            </w:r>
          </w:p>
        </w:tc>
      </w:tr>
      <w:tr>
        <w:tc>
          <w:tcPr>
            <w:tcW w:type="dxa" w:w="1336"/>
          </w:tcPr>
          <w:p>
            <w:r>
              <w:rPr>
                <w:sz w:val="20"/>
              </w:rPr>
              <w:t>**Nalméfène**</w:t>
            </w:r>
          </w:p>
        </w:tc>
        <w:tc>
          <w:tcPr>
            <w:tcW w:type="dxa" w:w="1336"/>
          </w:tcPr>
          <w:p>
            <w:r>
              <w:rPr>
                <w:sz w:val="20"/>
              </w:rPr>
              <w:t>Antagoniste μ, agoniste partiel κ</w:t>
            </w:r>
          </w:p>
        </w:tc>
        <w:tc>
          <w:tcPr>
            <w:tcW w:type="dxa" w:w="1336"/>
          </w:tcPr>
          <w:p>
            <w:r>
              <w:rPr>
                <w:sz w:val="20"/>
              </w:rPr>
              <w:t>14-17 h</w:t>
            </w:r>
          </w:p>
        </w:tc>
        <w:tc>
          <w:tcPr>
            <w:tcW w:type="dxa" w:w="1336"/>
          </w:tcPr>
          <w:p>
            <w:r>
              <w:rPr>
                <w:sz w:val="20"/>
              </w:rPr>
              <w:t>Oral — 18 mg</w:t>
            </w:r>
          </w:p>
        </w:tc>
        <w:tc>
          <w:tcPr>
            <w:tcW w:type="dxa" w:w="1336"/>
          </w:tcPr>
          <w:p>
            <w:r>
              <w:rPr>
                <w:sz w:val="20"/>
              </w:rPr>
              <w:t>Réduction de la consommation alcool</w:t>
            </w:r>
          </w:p>
        </w:tc>
        <w:tc>
          <w:tcPr>
            <w:tcW w:type="dxa" w:w="1336"/>
          </w:tcPr>
          <w:p>
            <w:r>
              <w:rPr>
                <w:sz w:val="20"/>
              </w:rPr>
              <w:t>❌ Non disponible</w:t>
            </w:r>
          </w:p>
        </w:tc>
        <w:tc>
          <w:tcPr>
            <w:tcW w:type="dxa" w:w="1336"/>
          </w:tcPr>
          <w:p>
            <w:r>
              <w:rPr>
                <w:sz w:val="20"/>
              </w:rPr>
              <w:t>Indication récente, efficacité modeste</w:t>
            </w:r>
          </w:p>
        </w:tc>
      </w:tr>
    </w:tbl>
    <w:p/>
    <w:p>
      <w:pPr>
        <w:pStyle w:val="Heading3"/>
      </w:pPr>
      <w:r>
        <w:t>193.3.1 Synthèse des alertes critiques algériennes</w:t>
      </w:r>
    </w:p>
    <w:p>
      <w:r>
        <w:t>Le chapitre 193 met en évidence plusieurs alertes critiques de disponibilité en Algérie qui doivent être portées à la connaissance des cliniciens, des autorités sanitaires et des associations de patients :</w:t>
      </w:r>
    </w:p>
    <w:p>
      <w:pPr>
        <w:pStyle w:val="ListNumber"/>
      </w:pPr>
      <w:r/>
      <w:r>
        <w:rPr>
          <w:b/>
        </w:rPr>
        <w:t>ABSENCE DE MÉTHADONE</w:t>
      </w:r>
      <w:r>
        <w:t xml:space="preserve"> : alerte sanitaire absolue. La méthadone, traitement de substitution de référence internationale, est indisponible en Algérie. Cette pénurie prive les patients à forte tolérance ou en échec de buprénorphine d'une alternative thérapeutique essentielle. Action urgente : procédure d'enregistrement et d'importation de méthadone chlorhydrate sirop, formation des médecins à la prescription, ouverture de centres méthadone.</w:t>
      </w:r>
    </w:p>
    <w:p>
      <w:pPr>
        <w:pStyle w:val="ListNumber"/>
      </w:pPr>
      <w:r/>
      <w:r>
        <w:rPr>
          <w:b/>
        </w:rPr>
        <w:t>ABSENCE DE FORME SUBLINGUALE HAUT DOSAGE DE BUPRÉNORPHINE</w:t>
      </w:r>
      <w:r>
        <w:t xml:space="preserve"> : la forme de référence internationale pour la substitution ambulatoire (Subutex, Suboxone) n'est pas disponible en Algérie. Action : procédure d'enregistrement et d'importation, ou développement d'une formulation nationale par les laboratoires algériens (Saidal, Geopharm, Frater Razes) à partir de la matière première déjà disponible pour la forme injectable.</w:t>
      </w:r>
    </w:p>
    <w:p>
      <w:pPr>
        <w:pStyle w:val="ListNumber"/>
      </w:pPr>
      <w:r/>
      <w:r>
        <w:rPr>
          <w:b/>
        </w:rPr>
        <w:t>ABSENCE DES TRAITEMENTS DE LA DÉPENDANCE ALCOOLIQUE</w:t>
      </w:r>
      <w:r>
        <w:t xml:space="preserve"> : disulfiram, acamprosate, naltrexone, nalméfène — tous indisponibles. Cette pénurie prive les praticiens algériens de l'arsenal pharmacologique international. Action : enregistrement de l'acamprosate (efficacité prouvée, bonne tolérance) en première intention, du disulfiram en seconde intention (encadrement médical strict), de la naltrexone pour le maintien d'abstinence.</w:t>
      </w:r>
    </w:p>
    <w:p>
      <w:pPr>
        <w:pStyle w:val="ListNumber"/>
      </w:pPr>
      <w:r/>
      <w:r>
        <w:rPr>
          <w:b/>
        </w:rPr>
        <w:t>ABSENCE DE NALTREXONE POUR LE MAINTIEN D'ABSTINENCE OPIOÏQUE</w:t>
      </w:r>
      <w:r>
        <w:t xml:space="preserve"> : la naltrexone orale et depot mensuelle (Vivitrol) est indisponible, privant les praticiens d'un outil thérapeutique essentiel de la phase post-sevrage. Action : enregistrement et importation.</w:t>
      </w:r>
    </w:p>
    <w:p>
      <w:pPr>
        <w:pStyle w:val="ListNumber"/>
      </w:pPr>
      <w:r/>
      <w:r>
        <w:rPr>
          <w:b/>
        </w:rPr>
        <w:t>FORME INJECTABLE DE BUPRÉNORPHINE DISPONIBLE MAIS UTILISATION DÉTOURNÉE</w:t>
      </w:r>
      <w:r>
        <w:t xml:space="preserve"> : la forme injectable à 0,3 mg/mL (Buprenal, Temgephine, Temginal) est utilisée hors AMM par voie sublinguale dans certains centres algériens pour la substitution, en raison de l'indisponibilité de la forme sublinguale. Cette pratique expose à des problèmes galéniques et de dosage. Action : évaluation par les autorités sanitaires, protocole d'utilisation validé, formation des praticiens, ou accès aux formes sublinguales officielles.</w:t>
      </w:r>
    </w:p>
    <w:p>
      <w:pPr>
        <w:pStyle w:val="ListNumber"/>
      </w:pPr>
      <w:r/>
      <w:r>
        <w:rPr>
          <w:b/>
        </w:rPr>
        <w:t>TEMGESIC (Schering-Plough) NON RENOUVELABLE</w:t>
      </w:r>
      <w:r>
        <w:t xml:space="preserve"> : la spécialité princeps (forme injectable et forme sublinguale) n'est plus importée en Algérie. Action : vérifier les stocks restants, privilégier les spécialités nationales actives (Buprenal, Temgephine, Temginal), procédure d'ATU si besoin.</w:t>
      </w:r>
    </w:p>
    <w:p>
      <w:pPr>
        <w:pStyle w:val="ListNumber"/>
      </w:pPr>
      <w:r/>
      <w:r>
        <w:rPr>
          <w:b/>
        </w:rPr>
        <w:t>ALTERNATIVES NON PHARMACOLOGIQUES SOUS-DÉVELOPPÉES</w:t>
      </w:r>
      <w:r>
        <w:t xml:space="preserve"> : les structures de post-cure résidentielle, les groupes d'entraide, les programmes d'échange de seringues, la distribution de naloxone, les TCC sont insuffisamment développés en Algérie. Action : soutien aux associations de patients et de réduction des risques (Association El Hayat, Sid Assistance), formation des psychologues aux TCC, création de post-cures résidentielles.</w:t>
      </w:r>
    </w:p>
    <w:p>
      <w:pPr>
        <w:pStyle w:val="ListNumber"/>
      </w:pPr>
      <w:r/>
      <w:r>
        <w:rPr>
          <w:b/>
        </w:rPr>
        <w:t>DÉPISTAGE ET PRÉVENTION VHC/VIH INSUFFISANTS</w:t>
      </w:r>
      <w:r>
        <w:t xml:space="preserve"> : la prévalence VHC chez les usagers de drogues injectables en Algérie est estimée à 30-60 %, la prévalence VIH à 5-15 %. Action : généralisation du dépistage VHC par TPCAR (TRAAN), accès aux antiviraux d'action directe (DAA) pour le VHC, programmes d'échange de seringues, vaccination VHB.</w:t>
      </w:r>
    </w:p>
    <w:p>
      <w:r>
        <w:t>Ces alertes doivent être portées à la connaissance du Ministère de la Santé algérien (Direction de la Pharmacie et du Médicament), de la Société Algérienne de Psychiatrie (SAP), de la Société Algérienne d'Addictologie (SAA — en cours de création), des sociétés savantes, des établissements de santé (CHU Mustapha, CHU Néfissa Hamoud, CHU Beni-Messous, CHU Oran, EHS Errazi Constantine), des CSMT et des associations de patients, pour la mise en place d'une politique structurée de prise en charge des addictions en Algérie.</w:t>
      </w:r>
    </w:p>
    <w:p>
      <w:pPr>
        <w:pStyle w:val="Heading2"/>
      </w:pPr>
      <w:r>
        <w:t>193.4 Conclusion du chapitre 193</w:t>
      </w:r>
    </w:p>
    <w:p>
      <w:r>
        <w:t xml:space="preserve">Le chapitre 193, ultime chapitre du Fascicule XX consacré à la Toxicologie, a présenté en détail la </w:t>
      </w:r>
      <w:r>
        <w:rPr>
          <w:b/>
        </w:rPr>
        <w:t>buprénorphine</w:t>
      </w:r>
      <w:r>
        <w:t>, seule dénomination commune internationale (DCI) disponible en Algérie pour la prise en charge pharmacologique de la dépendance aux opioïdes. Cette molécule, agoniste partiel μ à haute affinité et antagoniste κ, présente un profil pharmacologique unique : analgésique opioïde puissant (formulation injectable 0,3 mg/mL), traitement de substitution de référence international (formulation sublinguale haut dosage 2-8 mg, indisponible en Algérie), effet plafond respiratoire qui réduit le risque d'overdose par rapport aux agonistes complets, et hépatotoxicité spécifique nécessitant une surveillance biologique systématique.</w:t>
      </w:r>
    </w:p>
    <w:p>
      <w:r>
        <w:t>Pour cette molécule, les douze rubriques systématiques ont été traitées avec un niveau de détail adapté à la fois à la pratique clinique addictologique et à l'enseignement académique de la pharmacologie clinique aux étudiants en pharmacie et en médecine : catégories pharmaco-thérapeutiques et indications réglementaires, médicaments disponibles en Algérie (3 spécialités actives — Buprenal, Temgephine, Temginal — et 2 spécialités non renouvelables — Temgesic injectable et sublingual), mécanisme d'action moléculaire cellulaire et physiologique (agoniste partiel μ, antagoniste κ, effet plafond), pharmacocinétique (métabolisme CYP3A4, biodisponibilité sublinguale, demi-vie apparente longue par dissociation lente du récepteur), indications thérapeutiques (analgésie et substitution), posologie et modes d'administration, effets indésirables (avec focus sur l'effet plafond respiratoire et la hépatotoxicité), interactions médicamenteuses (surtout l'association létale avec les benzodiazépines et l'alcool), grossesse allaitement et données CRAT (substitution à poursuivre pendant la grossesse, allaitement possible), formes galéniques disponibles (limitation algérienne à la forme injectable), conseils au patient et à l'équipe soignante (avec mention des alternatives non pharmacologiques), et pièges au comptoir et au lit du patient.</w:t>
      </w:r>
    </w:p>
    <w:p>
      <w:r>
        <w:t xml:space="preserve">L'accent a été mis sur plusieurs alertes critiques spécifiques au contexte algérien : (1) l'indisponibilité de la </w:t>
      </w:r>
      <w:r>
        <w:rPr>
          <w:b/>
        </w:rPr>
        <w:t>méthadone</w:t>
      </w:r>
      <w:r>
        <w:t xml:space="preserve">, pilier de la substitution dans la plupart des pays, qui prive les patients à forte tolérance d'une alternative essentielle ; (2) l'indisponibilité des </w:t>
      </w:r>
      <w:r>
        <w:rPr>
          <w:b/>
        </w:rPr>
        <w:t>formes sublinguales haut dosage</w:t>
      </w:r>
      <w:r>
        <w:t xml:space="preserve"> de buprénorphine (Subutex, Suboxone), qui impose le recours à la forme injectable détournée par voie sublinguale (pratique hors AMM) ; (3) l'absence des traitements de la dépendance alcoolique (</w:t>
      </w:r>
      <w:r>
        <w:rPr>
          <w:b/>
        </w:rPr>
        <w:t>disulfiram, acamprosate, naltrexone, nalméfène</w:t>
      </w:r>
      <w:r>
        <w:t>) et du maintien d'abstinence opioïque (</w:t>
      </w:r>
      <w:r>
        <w:rPr>
          <w:b/>
        </w:rPr>
        <w:t>naltrexone</w:t>
      </w:r>
      <w:r>
        <w:t>) ; (4) le sous-développement des alternatives non pharmacologiques (post-cures résidentielles, TCC, groupes d'entraide, programmes de réduction des risques) ; (5) la nécessité de coordonner les efforts des autorités sanitaires, des sociétés savantes, des établissements de santé et des associations de patients pour bâtir une politique structurée de prise en charge des addictions.</w:t>
      </w:r>
    </w:p>
    <w:p>
      <w:r>
        <w:t>Ce chapitre s'achève sur un appel à la vigilance et à l'action : la pharmacologie clinique de l'addictologie ne se résume pas à la prescription d'une molécule substitutive, mais implique une prise en charge globale, multidimensionnelle, multidisciplinaire, qui combine pharmacothérapie, psychothérapie, accompagnement social, réduction des risques et prévention. En Algérie, la pénurie de l'arsenal pharmacologique doit être compensée par une intensification des approches non pharmacologiques, un renforcement des structures spécialisées (CSMT, post-cures), une formation accrue des professionnels de santé (médecins, pharmaciens, psychologues, infirmiers, assistants sociaux), et une mobilisation politique et sociétale pour faire de la prise en charge des addictions une priorité de santé publique. La dépendance aux opioïdes et à l'alcool est une maladie chronique, à fort potentiel de rémission et de rétablissement sous réserve d'un accompagnement adapté — accompagnement qui ne peut être que pharmacologique ET psychosocial, médicamenteux ET relationnel, technique ET humain.</w:t>
      </w:r>
    </w:p>
    <w:p>
      <w:r/>
      <w:r>
        <w:rPr>
          <w:b/>
        </w:rPr>
        <w:t>Références bibliographiques principales</w:t>
      </w:r>
      <w:r/>
    </w:p>
    <w:p>
      <w:pPr>
        <w:pStyle w:val="ListNumber"/>
      </w:pPr>
      <w:r>
        <w:t>OMS (Organisation mondiale de la Santé) — Guidelines for the psychosocially assisted pharmacological treatment of opioid dependence, 2009 (révision 2020).</w:t>
      </w:r>
    </w:p>
    <w:p>
      <w:pPr>
        <w:pStyle w:val="ListNumber"/>
      </w:pPr>
      <w:r>
        <w:t>HAS (Haute Autorité de Santé, France) — Stratégie médicamenteuse du sevrage tabagique et de la substitution opioïde, révision 2023.</w:t>
      </w:r>
    </w:p>
    <w:p>
      <w:pPr>
        <w:pStyle w:val="ListNumber"/>
      </w:pPr>
      <w:r>
        <w:t>ANSM (Agence Nationale de Sécurité du Médicament) — Résumé des Caractéristiques du Produit Subutex, Suboxone.</w:t>
      </w:r>
    </w:p>
    <w:p>
      <w:pPr>
        <w:pStyle w:val="ListNumber"/>
      </w:pPr>
      <w:r>
        <w:t>CRAT (Centre de Renseignement sur les Agents Tératogènes) — Fiches grossesse-allaitement Buprénorphine, Méthadone, Naltrexone.</w:t>
      </w:r>
    </w:p>
    <w:p>
      <w:pPr>
        <w:pStyle w:val="ListNumber"/>
      </w:pPr>
      <w:r>
        <w:t>VIDAL 2026 — Dictionnaire des médicaments, monographie Buprénorphine.</w:t>
      </w:r>
    </w:p>
    <w:p>
      <w:pPr>
        <w:pStyle w:val="ListNumber"/>
      </w:pPr>
      <w:r>
        <w:t>Thériaque — Banque de données sur les médicaments.</w:t>
      </w:r>
    </w:p>
    <w:p>
      <w:pPr>
        <w:pStyle w:val="ListNumber"/>
      </w:pPr>
      <w:r>
        <w:t>UpToDate — Opioid use disorder: Management, Buprenorphine for opioid use disorder.</w:t>
      </w:r>
    </w:p>
    <w:p>
      <w:pPr>
        <w:pStyle w:val="ListNumber"/>
      </w:pPr>
      <w:r>
        <w:t>ASAM (American Society of Addiction Medicine) — National Practice Guideline for the Treatment of Opioid Use Disorder, 2020.</w:t>
      </w:r>
    </w:p>
    <w:p>
      <w:pPr>
        <w:pStyle w:val="ListNumber"/>
      </w:pPr>
      <w:r>
        <w:t>NICE (National Institute for Health and Care Excellence, UK) — Guidelines on opioid misuse and dependence, 2022.</w:t>
      </w:r>
    </w:p>
    <w:p>
      <w:pPr>
        <w:pStyle w:val="ListNumber"/>
      </w:pPr>
      <w:r>
        <w:t>EMCDDA (European Monitoring Centre for Drugs and Drug Addiction) — European Drug Report 2024.</w:t>
      </w:r>
    </w:p>
    <w:p>
      <w:pPr>
        <w:pStyle w:val="ListNumber"/>
      </w:pPr>
      <w:r>
        <w:t>Nomenclature algérienne des médicaments — COMPLETE LISTE.xlsx (Avril 2026), Ministère de la Santé algérien.</w:t>
      </w:r>
    </w:p>
    <w:p>
      <w:pPr>
        <w:pStyle w:val="ListNumber"/>
      </w:pPr>
      <w:r>
        <w:t>Dole VP, Nyswander M. A medical treatment for diacetylmorphine (heroin) addiction. JAMA 1965; 193:646-650.</w:t>
      </w:r>
    </w:p>
    <w:p>
      <w:pPr>
        <w:pStyle w:val="ListNumber"/>
      </w:pPr>
      <w:r>
        <w:t>MOTHER Trial (Jones HE et al.). Buprenorphine treatment of opioid-dependent pregnant women. NEJM 2010; 363:2320-2331.</w:t>
      </w:r>
    </w:p>
    <w:p>
      <w:pPr>
        <w:pStyle w:val="ListNumber"/>
      </w:pPr>
      <w:r>
        <w:t>Kakko J, Svanborg KD, Kreek MJ, Heilig M. 1-year retention and social function after buprenorphine-assisted relapse prevention treatment for heroin dependence. Lancet 2003; 361:662-668.</w:t>
      </w:r>
    </w:p>
    <w:p>
      <w:pPr>
        <w:pStyle w:val="ListNumber"/>
      </w:pPr>
      <w:r>
        <w:t>Mattick RP, Breen C, Kimber J, Davoli M. Buprenorphine maintenance versus placebo or methadone maintenance for opioid dependence. Cochrane Database Syst Rev 2014; CD002207.</w:t>
      </w:r>
    </w:p>
    <w:p>
      <w:pPr>
        <w:pStyle w:val="ListNumber"/>
      </w:pPr>
      <w:r>
        <w:t>Société Française de Toxicologie analytique (SFTA) — Consensus buprenorphine.</w:t>
      </w:r>
    </w:p>
    <w:p>
      <w:pPr>
        <w:pStyle w:val="ListNumber"/>
      </w:pPr>
      <w:r>
        <w:t>Société Algérienne de Psychiatrie (SAP) — Recommandations nationales.</w:t>
      </w:r>
    </w:p>
    <w:p>
      <w:pPr>
        <w:pStyle w:val="ListNumber"/>
      </w:pPr>
      <w:r>
        <w:t>EHS Errazi Constantine — Protocoles de prise en charge des addictions.</w:t>
      </w:r>
    </w:p>
    <w:p>
      <w:pPr>
        <w:pStyle w:val="ListNumber"/>
      </w:pPr>
      <w:r>
        <w:t>Association El Hayat (Alger) — Réduction des risques.</w:t>
      </w:r>
    </w:p>
    <w:p>
      <w:pPr>
        <w:pStyle w:val="ListNumber"/>
      </w:pPr>
      <w:r>
        <w:t>SAMU 15 (Algérie) — Protocoles d'urgence toxicologique.</w:t>
      </w:r>
    </w:p>
    <w:p>
      <w:r/>
      <w:r>
        <w:rPr>
          <w:i/>
        </w:rPr>
        <w:t>Fin du chapitre 193 — Fascicule XX Toxicologie.</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Toxicologie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