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i w:val="0"/>
          <w:color w:val="000000"/>
          <w:sz w:val="24"/>
        </w:rPr>
      </w:r>
    </w:p>
    <w:p>
      <w:pPr>
        <w:spacing w:after="240"/>
        <w:jc w:val="center"/>
      </w:pPr>
      <w:r>
        <w:rPr>
          <w:rFonts w:ascii="Times New Roman" w:hAnsi="Times New Roman"/>
          <w:b/>
          <w:i w:val="0"/>
          <w:color w:val="0B3D91"/>
          <w:sz w:val="72"/>
        </w:rPr>
        <w:t>LIVRE TECHNIQUE</w:t>
        <w:br/>
        <w:t>DE PHARMACOLOGIE CLINIQUE</w:t>
      </w:r>
    </w:p>
    <w:p>
      <w:pPr>
        <w:spacing w:before="240" w:after="120"/>
        <w:jc w:val="center"/>
      </w:pPr>
      <w:r>
        <w:rPr>
          <w:rFonts w:ascii="Times New Roman" w:hAnsi="Times New Roman"/>
          <w:b/>
          <w:i w:val="0"/>
          <w:color w:val="8B1A1A"/>
          <w:sz w:val="48"/>
        </w:rPr>
        <w:t>PRODUITS SANGUINS,</w:t>
        <w:br/>
        <w:t>FACTEURS DE COAGULATION</w:t>
        <w:br/>
        <w:t>&amp; DÉRIVÉS SANGUINS</w:t>
      </w:r>
    </w:p>
    <w:p>
      <w:pPr>
        <w:jc w:val="center"/>
      </w:pPr>
      <w:r>
        <w:rPr>
          <w:rFonts w:ascii="Times New Roman" w:hAnsi="Times New Roman"/>
          <w:b w:val="0"/>
          <w:i/>
          <w:color w:val="606060"/>
          <w:sz w:val="40"/>
        </w:rPr>
        <w:t>en Algérie</w:t>
      </w:r>
    </w:p>
    <w:p>
      <w:pPr>
        <w:spacing w:before="400" w:after="400"/>
        <w:jc w:val="center"/>
      </w:pPr>
      <w:r>
        <w:rPr>
          <w:rFonts w:ascii="Times New Roman" w:hAnsi="Times New Roman"/>
          <w:b/>
          <w:i w:val="0"/>
          <w:color w:val="8B1A1A"/>
          <w:sz w:val="28"/>
        </w:rPr>
        <w:t>━━━━━━━━━━━━━━━━━━━━━━━━━━━━━━</w:t>
      </w:r>
    </w:p>
    <w:p>
      <w:pPr>
        <w:jc w:val="center"/>
      </w:pPr>
      <w:r>
        <w:rPr>
          <w:rFonts w:ascii="Times New Roman" w:hAnsi="Times New Roman"/>
          <w:b/>
          <w:i w:val="0"/>
          <w:color w:val="8B1A1A"/>
          <w:sz w:val="36"/>
        </w:rPr>
        <w:t>Fascicule XXIII</w:t>
      </w:r>
    </w:p>
    <w:p>
      <w:pPr>
        <w:jc w:val="center"/>
      </w:pPr>
      <w:r>
        <w:rPr>
          <w:rFonts w:ascii="Times New Roman" w:hAnsi="Times New Roman"/>
          <w:b w:val="0"/>
          <w:i/>
          <w:color w:val="606060"/>
          <w:sz w:val="28"/>
        </w:rPr>
        <w:t>Produits Sanguins, Facteurs de Coagulation &amp; Dérivés Sanguins</w:t>
      </w:r>
    </w:p>
    <w:p>
      <w:pPr>
        <w:spacing w:before="1600"/>
        <w:jc w:val="center"/>
      </w:pPr>
      <w:r>
        <w:rPr>
          <w:rFonts w:ascii="Times New Roman" w:hAnsi="Times New Roman"/>
          <w:b/>
          <w:i w:val="0"/>
          <w:color w:val="000000"/>
          <w:sz w:val="24"/>
        </w:rPr>
      </w:r>
    </w:p>
    <w:p>
      <w:pPr>
        <w:jc w:val="center"/>
      </w:pPr>
      <w:r>
        <w:rPr>
          <w:rFonts w:ascii="Times New Roman" w:hAnsi="Times New Roman"/>
          <w:b w:val="0"/>
          <w:i w:val="0"/>
          <w:color w:val="404040"/>
          <w:sz w:val="24"/>
        </w:rPr>
        <w:t>Manuel académique et pratique pour étudiants en pharmacie d'officine</w:t>
      </w:r>
    </w:p>
    <w:p>
      <w:pPr>
        <w:jc w:val="center"/>
      </w:pPr>
      <w:r>
        <w:rPr>
          <w:rFonts w:ascii="Times New Roman" w:hAnsi="Times New Roman"/>
          <w:b w:val="0"/>
          <w:i/>
          <w:color w:val="606060"/>
          <w:sz w:val="22"/>
        </w:rPr>
        <w:t>Basé sur la nomenclature officielle des médicaments enregistrés en Algérie (Avril 2026)</w:t>
      </w:r>
    </w:p>
    <w:p>
      <w:pPr>
        <w:spacing w:before="1200"/>
        <w:jc w:val="center"/>
      </w:pPr>
      <w:r>
        <w:rPr>
          <w:rFonts w:ascii="Times New Roman" w:hAnsi="Times New Roman"/>
          <w:b/>
          <w:i w:val="0"/>
          <w:color w:val="000000"/>
          <w:sz w:val="24"/>
        </w:rPr>
      </w:r>
    </w:p>
    <w:p>
      <w:pPr>
        <w:jc w:val="center"/>
      </w:pPr>
      <w:r>
        <w:rPr>
          <w:rFonts w:ascii="Times New Roman" w:hAnsi="Times New Roman"/>
          <w:b/>
          <w:i w:val="0"/>
          <w:color w:val="8B1A1A"/>
          <w:sz w:val="22"/>
        </w:rPr>
        <w:t>17 DCI traitées  •  48 spécialités commerciales  •  6 sous-classes pharmacologiques</w:t>
      </w:r>
    </w:p>
    <w:p>
      <w:pPr>
        <w:spacing w:before="1600"/>
        <w:jc w:val="center"/>
      </w:pPr>
      <w:r>
        <w:rPr>
          <w:rFonts w:ascii="Times New Roman" w:hAnsi="Times New Roman"/>
          <w:b/>
          <w:i w:val="0"/>
          <w:color w:val="000000"/>
          <w:sz w:val="24"/>
        </w:rPr>
      </w:r>
    </w:p>
    <w:p>
      <w:pPr>
        <w:jc w:val="center"/>
      </w:pPr>
      <w:r>
        <w:rPr>
          <w:rFonts w:ascii="Times New Roman" w:hAnsi="Times New Roman"/>
          <w:b/>
          <w:i w:val="0"/>
          <w:color w:val="404040"/>
          <w:sz w:val="28"/>
        </w:rPr>
        <w:t>Édition : 28 août 2026</w:t>
      </w:r>
    </w:p>
    <w:p>
      <w:pPr>
        <w:jc w:val="center"/>
      </w:pPr>
      <w:r>
        <w:rPr>
          <w:rFonts w:ascii="Times New Roman" w:hAnsi="Times New Roman"/>
          <w:b/>
          <w:i w:val="0"/>
          <w:color w:val="404040"/>
          <w:sz w:val="26"/>
        </w:rPr>
        <w:t>Version : v1</w:t>
      </w:r>
    </w:p>
    <w:p>
      <w:pPr>
        <w:spacing w:before="1600"/>
        <w:jc w:val="center"/>
      </w:pPr>
      <w:r>
        <w:rPr>
          <w:rFonts w:ascii="Times New Roman" w:hAnsi="Times New Roman"/>
          <w:b/>
          <w:i w:val="0"/>
          <w:color w:val="000000"/>
          <w:sz w:val="24"/>
        </w:rPr>
      </w:r>
    </w:p>
    <w:p>
      <w:pPr>
        <w:jc w:val="center"/>
      </w:pPr>
      <w:r>
        <w:rPr>
          <w:rFonts w:ascii="Times New Roman" w:hAnsi="Times New Roman"/>
          <w:b w:val="0"/>
          <w:i/>
          <w:color w:val="808080"/>
          <w:sz w:val="18"/>
        </w:rPr>
        <w:t>Sources : WFH • EHC • EMA • HAS • ANSM • CRAT • SFH • SFAR • CNTS Algérie • Nomenclature Algérie Avril 2026</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XXIII : Produits Sanguins, Facteurs de Coagulation &amp; Dérivés Sanguins</w:t>
      </w:r>
    </w:p>
    <w:p>
      <w:pPr>
        <w:pStyle w:val="Heading2"/>
      </w:pPr>
      <w:r>
        <w:t>Avant-propos et méthodologie du Fascicule XXIII</w:t>
      </w:r>
    </w:p>
    <w:p>
      <w:pPr>
        <w:pStyle w:val="Heading3"/>
      </w:pPr>
      <w:r>
        <w:t>1. Objet et périmètre du fascicule</w:t>
      </w:r>
    </w:p>
    <w:p>
      <w:r>
        <w:t xml:space="preserve">Le présent fascicule constitue le vingt-troisième volet du traité technique de pharmacologie clinique destiné aux étudiants en pharmacie d'officine et aux praticiens hospitaliers algériens. Il poursuit la démarche entreprise dans les Fascicules I à XXII et traite de manière exhaustive les </w:t>
      </w:r>
      <w:r>
        <w:rPr>
          <w:b/>
        </w:rPr>
        <w:t>produits sanguins stables (PSS)</w:t>
      </w:r>
      <w:r>
        <w:t xml:space="preserve">, </w:t>
      </w:r>
      <w:r>
        <w:rPr>
          <w:b/>
        </w:rPr>
        <w:t>facteurs de coagulation recombinants et plasmatiques</w:t>
      </w:r>
      <w:r>
        <w:t xml:space="preserve"> et </w:t>
      </w:r>
      <w:r>
        <w:rPr>
          <w:b/>
        </w:rPr>
        <w:t>dérivés sanguins</w:t>
      </w:r>
      <w:r>
        <w:t xml:space="preserve"> enregistrés auprès du Ministère de la Santé algérien. La base réglementaire de référence est le fichier officiel </w:t>
      </w:r>
      <w:r>
        <w:rPr>
          <w:b/>
        </w:rPr>
        <w:t>« COMPLETE LISTE.xlsx »</w:t>
      </w:r>
      <w:r>
        <w:t xml:space="preserve"> (nomenclature algérienne Avril 2026), dont la feuille « Nomenclature Avril 2026 » a été filtrée pour extraire 48 entrées correspondant à </w:t>
      </w:r>
      <w:r>
        <w:rPr>
          <w:b/>
        </w:rPr>
        <w:t>17 libellés DCI distincts</w:t>
      </w:r>
      <w:r>
        <w:t>. Chaque entrée a été enrichie par les données pharmacologiques, pharmacocinétiques, cliniques et réglementaires issues des référentiels internationaux (EMA, WFH, EHC, HAS, ANSM, CRAT) et adaptée au contexte épidémiologique algérien.</w:t>
      </w:r>
    </w:p>
    <w:p>
      <w:r>
        <w:t xml:space="preserve">Ce fascicule se distingue volontairement du Fascicule XVIII (Immunologie &amp; Transplantation), qui traitait l'albumine humaine et le complexe prothrombinique (PCC) sous l'angle des « substituts plasmatiques » au sein d'un chapitre plus large incluant les immunoglobulines spécifiques anti-D et anti-HBs. Ici, l'angle d'attaque est </w:t>
      </w:r>
      <w:r>
        <w:rPr>
          <w:b/>
        </w:rPr>
        <w:t>hémostatique et coagulologique</w:t>
      </w:r>
      <w:r>
        <w:t xml:space="preserve"> : l'albumine y est abordée pour ses indications d'expansion volémique en contexte hémorragique réfractaire, et le PCC y est détaillé en profondeur comme antidote de l'antivitamine K (AVK) et comme élément de la stratégie thérapeutique de la coagulation intravasculaire disséminée (CIVD). Les neuf fiches consacrées aux facteurs de coagulation recombinants (octocog alfa, turoctocog alfa, moroctocog alfa, nonacog alpha, eftrenonacog alpha) et aux complexes plasmatiques (FVIII/vWF, FIX humain, fibrinogène, colle biologique) sont </w:t>
      </w:r>
      <w:r>
        <w:rPr>
          <w:b/>
        </w:rPr>
        <w:t>inédites</w:t>
      </w:r>
      <w:r>
        <w:t xml:space="preserve"> dans la collection.</w:t>
      </w:r>
    </w:p>
    <w:p>
      <w:pPr>
        <w:pStyle w:val="Heading3"/>
      </w:pPr>
      <w:r>
        <w:t>2. Contexte épidémiologique algérien</w:t>
      </w:r>
    </w:p>
    <w:p>
      <w:r>
        <w:t xml:space="preserve">L'Algérie connaît une prévalence estimée des maladies hémorragiques constitutionnelles conforme à la moyenne mondiale : </w:t>
      </w:r>
      <w:r>
        <w:rPr>
          <w:b/>
        </w:rPr>
        <w:t>hémophilie A</w:t>
      </w:r>
      <w:r>
        <w:t xml:space="preserve"> (~1/5 000 naissances masculines, soit ~4 000 patients hémophiles A en Algérie), </w:t>
      </w:r>
      <w:r>
        <w:rPr>
          <w:b/>
        </w:rPr>
        <w:t>hémophilie B</w:t>
      </w:r>
      <w:r>
        <w:t xml:space="preserve"> (~1/30 000 naissances masculines, soit ~700 patients), et </w:t>
      </w:r>
      <w:r>
        <w:rPr>
          <w:b/>
        </w:rPr>
        <w:t>maladie de Willebrand</w:t>
      </w:r>
      <w:r>
        <w:t xml:space="preserve"> (~1/1 000 symptomatic, prévalence plus élevée mais sous-diagnostiquée). Le </w:t>
      </w:r>
      <w:r>
        <w:rPr>
          <w:b/>
        </w:rPr>
        <w:t>Centre National Transfusionnel et d'Hémobiologie</w:t>
      </w:r>
      <w:r>
        <w:t xml:space="preserve"> (CNTH) et la </w:t>
      </w:r>
      <w:r>
        <w:rPr>
          <w:b/>
        </w:rPr>
        <w:t>Société Algérienne d'Hémostase et de Thrombose</w:t>
      </w:r>
      <w:r>
        <w:t xml:space="preserve"> (SAHT) coordonnent les réseaux de soins, le dépistage néonatal des troubles de la coagulation et le suivi des inhibiteurs anti-FVIII (~25-30 % des hémophiles A sévères développeront un inhibiteur).</w:t>
      </w:r>
    </w:p>
    <w:p>
      <w:r>
        <w:t xml:space="preserve">La </w:t>
      </w:r>
      <w:r>
        <w:rPr>
          <w:b/>
        </w:rPr>
        <w:t>transplantation d'organes</w:t>
      </w:r>
      <w:r>
        <w:t xml:space="preserve"> (rein, foie, cœur) progresse en Algérie avec un besoin croissant de PCC et de fibrinogène en peropératoire ; la chirurgie cardiovasculaire lourde (pontages, remplacements valvulaires) sous circulation extra-corporelle (CEC) consomme également des volumes importants de fibrinogène humain et de colle biologique. Le surdosage en AVK (warfarine, acénocoumarol) reste fréquent en raison de la forte prévalence de fibrillation auriculaire (~1 % de la population générale adulte) et du suivi encore largement empirique de l'INR en pratique de ville.</w:t>
      </w:r>
    </w:p>
    <w:p>
      <w:r>
        <w:t xml:space="preserve">La </w:t>
      </w:r>
      <w:r>
        <w:rPr>
          <w:b/>
        </w:rPr>
        <w:t>culture transfusionnelle</w:t>
      </w:r>
      <w:r>
        <w:t xml:space="preserve"> algérienne est encadrée par le Centre National de Transfusion Sanguine (CNTS), qui garantit la traçabilité des produits sanguins labiles (PSL : CGR, PFC, CPA) et des PSS. Toutefois, l'accès aux facteurs recombinants de coagulation et aux EHL (Extended Half-Life) reste </w:t>
      </w:r>
      <w:r>
        <w:rPr>
          <w:b/>
        </w:rPr>
        <w:t>inégal selon les régions</w:t>
      </w:r>
      <w:r>
        <w:t>, concentré dans les centres hospitalo-universitaires (CHU) d'Alger, Oran, Constantine, Annaba et Sétif. Le coût élevé des facteurs recombinants (≈ 1-2 €/UI, soit 50 000 à 100 000 € par an pour un adulte hémophile sévère en prophylaxie primaire) explique la persistance de l'usage des facteurs plasmatiques moins onéreux.</w:t>
      </w:r>
    </w:p>
    <w:p>
      <w:pPr>
        <w:pStyle w:val="Heading3"/>
      </w:pPr>
      <w:r>
        <w:t>3. Articulation avec les autres fascicules</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Concept traité</w:t>
            </w:r>
          </w:p>
        </w:tc>
        <w:tc>
          <w:tcPr>
            <w:tcW w:type="dxa" w:w="2771"/>
            <w:shd w:val="clear" w:color="auto" w:fill="F2F2F2"/>
          </w:tcPr>
          <w:p>
            <w:r>
              <w:rPr>
                <w:rFonts w:ascii="Times New Roman" w:hAnsi="Times New Roman"/>
                <w:b/>
                <w:sz w:val="20"/>
              </w:rPr>
              <w:t>Fascicule antérieur</w:t>
            </w:r>
          </w:p>
        </w:tc>
        <w:tc>
          <w:tcPr>
            <w:tcW w:type="dxa" w:w="2771"/>
            <w:shd w:val="clear" w:color="auto" w:fill="F2F2F2"/>
          </w:tcPr>
          <w:p>
            <w:r>
              <w:rPr>
                <w:rFonts w:ascii="Times New Roman" w:hAnsi="Times New Roman"/>
                <w:b/>
                <w:sz w:val="20"/>
              </w:rPr>
              <w:t>Fascicule XXIII</w:t>
            </w:r>
          </w:p>
        </w:tc>
      </w:tr>
      <w:tr>
        <w:tc>
          <w:tcPr>
            <w:tcW w:type="dxa" w:w="2771"/>
          </w:tcPr>
          <w:p>
            <w:r>
              <w:rPr>
                <w:rFonts w:ascii="Times New Roman" w:hAnsi="Times New Roman"/>
                <w:sz w:val="20"/>
              </w:rPr>
              <w:t>Albumine humaine (4 %, 20 %)</w:t>
            </w:r>
          </w:p>
        </w:tc>
        <w:tc>
          <w:tcPr>
            <w:tcW w:type="dxa" w:w="2771"/>
          </w:tcPr>
          <w:p>
            <w:r>
              <w:rPr>
                <w:rFonts w:ascii="Times New Roman" w:hAnsi="Times New Roman"/>
                <w:sz w:val="20"/>
              </w:rPr>
              <w:t>XVIII § 173.6.3 (fiche synthétique)</w:t>
            </w:r>
          </w:p>
        </w:tc>
        <w:tc>
          <w:tcPr>
            <w:tcW w:type="dxa" w:w="2771"/>
          </w:tcPr>
          <w:p>
            <w:r>
              <w:rPr>
                <w:rFonts w:ascii="Times New Roman" w:hAnsi="Times New Roman"/>
                <w:sz w:val="20"/>
              </w:rPr>
              <w:t>XXIII § 231 (fiche exhaustive 12 sections)</w:t>
            </w:r>
          </w:p>
        </w:tc>
      </w:tr>
      <w:tr>
        <w:tc>
          <w:tcPr>
            <w:tcW w:type="dxa" w:w="2771"/>
          </w:tcPr>
          <w:p>
            <w:r>
              <w:rPr>
                <w:rFonts w:ascii="Times New Roman" w:hAnsi="Times New Roman"/>
                <w:sz w:val="20"/>
              </w:rPr>
              <w:t>PCC (Complexe prothrombinique)</w:t>
            </w:r>
          </w:p>
        </w:tc>
        <w:tc>
          <w:tcPr>
            <w:tcW w:type="dxa" w:w="2771"/>
          </w:tcPr>
          <w:p>
            <w:r>
              <w:rPr>
                <w:rFonts w:ascii="Times New Roman" w:hAnsi="Times New Roman"/>
                <w:sz w:val="20"/>
              </w:rPr>
              <w:t>XVIII § 173.6.4 (fiche synthétique)</w:t>
            </w:r>
          </w:p>
        </w:tc>
        <w:tc>
          <w:tcPr>
            <w:tcW w:type="dxa" w:w="2771"/>
          </w:tcPr>
          <w:p>
            <w:r>
              <w:rPr>
                <w:rFonts w:ascii="Times New Roman" w:hAnsi="Times New Roman"/>
                <w:sz w:val="20"/>
              </w:rPr>
              <w:t>XXIII § 235 (fiche exhaustive 12 sections)</w:t>
            </w:r>
          </w:p>
        </w:tc>
      </w:tr>
      <w:tr>
        <w:tc>
          <w:tcPr>
            <w:tcW w:type="dxa" w:w="2771"/>
          </w:tcPr>
          <w:p>
            <w:r>
              <w:rPr>
                <w:rFonts w:ascii="Times New Roman" w:hAnsi="Times New Roman"/>
                <w:sz w:val="20"/>
              </w:rPr>
              <w:t>Facteurs VIII, IX, vWF recombinants/plasmatiques</w:t>
            </w:r>
          </w:p>
        </w:tc>
        <w:tc>
          <w:tcPr>
            <w:tcW w:type="dxa" w:w="2771"/>
          </w:tcPr>
          <w:p>
            <w:r>
              <w:rPr>
                <w:rFonts w:ascii="Times New Roman" w:hAnsi="Times New Roman"/>
                <w:sz w:val="20"/>
              </w:rPr>
              <w:t>—</w:t>
            </w:r>
          </w:p>
        </w:tc>
        <w:tc>
          <w:tcPr>
            <w:tcW w:type="dxa" w:w="2771"/>
          </w:tcPr>
          <w:p>
            <w:r>
              <w:rPr>
                <w:rFonts w:ascii="Times New Roman" w:hAnsi="Times New Roman"/>
                <w:sz w:val="20"/>
              </w:rPr>
              <w:t>XXIII § 232, § 233, § 234 (inédits)</w:t>
            </w:r>
          </w:p>
        </w:tc>
      </w:tr>
      <w:tr>
        <w:tc>
          <w:tcPr>
            <w:tcW w:type="dxa" w:w="2771"/>
          </w:tcPr>
          <w:p>
            <w:r>
              <w:rPr>
                <w:rFonts w:ascii="Times New Roman" w:hAnsi="Times New Roman"/>
                <w:sz w:val="20"/>
              </w:rPr>
              <w:t>Fibrinogène humain, colle biologique (Tisseel)</w:t>
            </w:r>
          </w:p>
        </w:tc>
        <w:tc>
          <w:tcPr>
            <w:tcW w:type="dxa" w:w="2771"/>
          </w:tcPr>
          <w:p>
            <w:r>
              <w:rPr>
                <w:rFonts w:ascii="Times New Roman" w:hAnsi="Times New Roman"/>
                <w:sz w:val="20"/>
              </w:rPr>
              <w:t>—</w:t>
            </w:r>
          </w:p>
        </w:tc>
        <w:tc>
          <w:tcPr>
            <w:tcW w:type="dxa" w:w="2771"/>
          </w:tcPr>
          <w:p>
            <w:r>
              <w:rPr>
                <w:rFonts w:ascii="Times New Roman" w:hAnsi="Times New Roman"/>
                <w:sz w:val="20"/>
              </w:rPr>
              <w:t>XXIII § 236 (inédits)</w:t>
            </w:r>
          </w:p>
        </w:tc>
      </w:tr>
      <w:tr>
        <w:tc>
          <w:tcPr>
            <w:tcW w:type="dxa" w:w="2771"/>
          </w:tcPr>
          <w:p>
            <w:r>
              <w:rPr>
                <w:rFonts w:ascii="Times New Roman" w:hAnsi="Times New Roman"/>
                <w:sz w:val="20"/>
              </w:rPr>
              <w:t>Antivitamines K (warfarine, acénocoumarol)</w:t>
            </w:r>
          </w:p>
        </w:tc>
        <w:tc>
          <w:tcPr>
            <w:tcW w:type="dxa" w:w="2771"/>
          </w:tcPr>
          <w:p>
            <w:r>
              <w:rPr>
                <w:rFonts w:ascii="Times New Roman" w:hAnsi="Times New Roman"/>
                <w:sz w:val="20"/>
              </w:rPr>
              <w:t>VI § 36 (Cardiologie — anticoagulants oraux)</w:t>
            </w:r>
          </w:p>
        </w:tc>
        <w:tc>
          <w:tcPr>
            <w:tcW w:type="dxa" w:w="2771"/>
          </w:tcPr>
          <w:p>
            <w:r>
              <w:rPr>
                <w:rFonts w:ascii="Times New Roman" w:hAnsi="Times New Roman"/>
                <w:sz w:val="20"/>
              </w:rPr>
              <w:t>XXIII § 235 (antidote PCC uniquement)</w:t>
            </w:r>
          </w:p>
        </w:tc>
      </w:tr>
      <w:tr>
        <w:tc>
          <w:tcPr>
            <w:tcW w:type="dxa" w:w="2771"/>
          </w:tcPr>
          <w:p>
            <w:r>
              <w:rPr>
                <w:rFonts w:ascii="Times New Roman" w:hAnsi="Times New Roman"/>
                <w:sz w:val="20"/>
              </w:rPr>
              <w:t>Acide tranexamique (antifibrinolytique)</w:t>
            </w:r>
          </w:p>
        </w:tc>
        <w:tc>
          <w:tcPr>
            <w:tcW w:type="dxa" w:w="2771"/>
          </w:tcPr>
          <w:p>
            <w:r>
              <w:rPr>
                <w:rFonts w:ascii="Times New Roman" w:hAnsi="Times New Roman"/>
                <w:sz w:val="20"/>
              </w:rPr>
              <w:t>XX § 191 (antidotes)</w:t>
            </w:r>
          </w:p>
        </w:tc>
        <w:tc>
          <w:tcPr>
            <w:tcW w:type="dxa" w:w="2771"/>
          </w:tcPr>
          <w:p>
            <w:r>
              <w:rPr>
                <w:rFonts w:ascii="Times New Roman" w:hAnsi="Times New Roman"/>
                <w:sz w:val="20"/>
              </w:rPr>
              <w:t>Non repris ici</w:t>
            </w:r>
          </w:p>
        </w:tc>
      </w:tr>
      <w:tr>
        <w:tc>
          <w:tcPr>
            <w:tcW w:type="dxa" w:w="2771"/>
          </w:tcPr>
          <w:p>
            <w:r>
              <w:rPr>
                <w:rFonts w:ascii="Times New Roman" w:hAnsi="Times New Roman"/>
                <w:sz w:val="20"/>
              </w:rPr>
              <w:t>Vitamine K1 (phytoménadione)</w:t>
            </w:r>
          </w:p>
        </w:tc>
        <w:tc>
          <w:tcPr>
            <w:tcW w:type="dxa" w:w="2771"/>
          </w:tcPr>
          <w:p>
            <w:r>
              <w:rPr>
                <w:rFonts w:ascii="Times New Roman" w:hAnsi="Times New Roman"/>
                <w:sz w:val="20"/>
              </w:rPr>
              <w:t>XX § 191 (antidotes)</w:t>
            </w:r>
          </w:p>
        </w:tc>
        <w:tc>
          <w:tcPr>
            <w:tcW w:type="dxa" w:w="2771"/>
          </w:tcPr>
          <w:p>
            <w:r>
              <w:rPr>
                <w:rFonts w:ascii="Times New Roman" w:hAnsi="Times New Roman"/>
                <w:sz w:val="20"/>
              </w:rPr>
              <w:t>Mention croisée § 235</w:t>
            </w:r>
          </w:p>
        </w:tc>
      </w:tr>
    </w:tbl>
    <w:p/>
    <w:p>
      <w:pPr>
        <w:pStyle w:val="Heading3"/>
      </w:pPr>
      <w:r>
        <w:t>4. Périmètre : 17 DCI traitées</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Sous-groupe pharmacologique</w:t>
            </w:r>
          </w:p>
        </w:tc>
        <w:tc>
          <w:tcPr>
            <w:tcW w:type="dxa" w:w="2771"/>
            <w:shd w:val="clear" w:color="auto" w:fill="F2F2F2"/>
          </w:tcPr>
          <w:p>
            <w:r>
              <w:rPr>
                <w:rFonts w:ascii="Times New Roman" w:hAnsi="Times New Roman"/>
                <w:b/>
                <w:sz w:val="20"/>
              </w:rPr>
              <w:t>DCI</w:t>
            </w:r>
          </w:p>
        </w:tc>
        <w:tc>
          <w:tcPr>
            <w:tcW w:type="dxa" w:w="2771"/>
            <w:shd w:val="clear" w:color="auto" w:fill="F2F2F2"/>
          </w:tcPr>
          <w:p>
            <w:r>
              <w:rPr>
                <w:rFonts w:ascii="Times New Roman" w:hAnsi="Times New Roman"/>
                <w:b/>
                <w:sz w:val="20"/>
              </w:rPr>
              <w:t>Section</w:t>
            </w:r>
          </w:p>
        </w:tc>
      </w:tr>
      <w:tr>
        <w:tc>
          <w:tcPr>
            <w:tcW w:type="dxa" w:w="2771"/>
          </w:tcPr>
          <w:p>
            <w:r>
              <w:rPr>
                <w:rFonts w:ascii="Times New Roman" w:hAnsi="Times New Roman"/>
                <w:sz w:val="20"/>
              </w:rPr>
              <w:t>Substitute plasmatique oncotique</w:t>
            </w:r>
          </w:p>
        </w:tc>
        <w:tc>
          <w:tcPr>
            <w:tcW w:type="dxa" w:w="2771"/>
          </w:tcPr>
          <w:p>
            <w:r>
              <w:rPr>
                <w:rFonts w:ascii="Times New Roman" w:hAnsi="Times New Roman"/>
                <w:sz w:val="20"/>
              </w:rPr>
              <w:t>Albumine humaine</w:t>
            </w:r>
          </w:p>
        </w:tc>
        <w:tc>
          <w:tcPr>
            <w:tcW w:type="dxa" w:w="2771"/>
          </w:tcPr>
          <w:p>
            <w:r>
              <w:rPr>
                <w:rFonts w:ascii="Times New Roman" w:hAnsi="Times New Roman"/>
                <w:sz w:val="20"/>
              </w:rPr>
              <w:t>231</w:t>
            </w:r>
          </w:p>
        </w:tc>
      </w:tr>
      <w:tr>
        <w:tc>
          <w:tcPr>
            <w:tcW w:type="dxa" w:w="2771"/>
          </w:tcPr>
          <w:p>
            <w:r>
              <w:rPr>
                <w:rFonts w:ascii="Times New Roman" w:hAnsi="Times New Roman"/>
                <w:sz w:val="20"/>
              </w:rPr>
              <w:t>Facteur VIII anti-hémophilique A — plasma-derived</w:t>
            </w:r>
          </w:p>
        </w:tc>
        <w:tc>
          <w:tcPr>
            <w:tcW w:type="dxa" w:w="2771"/>
          </w:tcPr>
          <w:p>
            <w:r>
              <w:rPr>
                <w:rFonts w:ascii="Times New Roman" w:hAnsi="Times New Roman"/>
                <w:sz w:val="20"/>
              </w:rPr>
              <w:t>Octocog alfa (Facteur humain VIII anti hémophilique)</w:t>
            </w:r>
          </w:p>
        </w:tc>
        <w:tc>
          <w:tcPr>
            <w:tcW w:type="dxa" w:w="2771"/>
          </w:tcPr>
          <w:p>
            <w:r>
              <w:rPr>
                <w:rFonts w:ascii="Times New Roman" w:hAnsi="Times New Roman"/>
                <w:sz w:val="20"/>
              </w:rPr>
              <w:t>232.1</w:t>
            </w:r>
          </w:p>
        </w:tc>
      </w:tr>
      <w:tr>
        <w:tc>
          <w:tcPr>
            <w:tcW w:type="dxa" w:w="2771"/>
          </w:tcPr>
          <w:p>
            <w:r>
              <w:rPr>
                <w:rFonts w:ascii="Times New Roman" w:hAnsi="Times New Roman"/>
                <w:sz w:val="20"/>
              </w:rPr>
              <w:t>Facteur VIII recombinant full-length</w:t>
            </w:r>
          </w:p>
        </w:tc>
        <w:tc>
          <w:tcPr>
            <w:tcW w:type="dxa" w:w="2771"/>
          </w:tcPr>
          <w:p>
            <w:r>
              <w:rPr>
                <w:rFonts w:ascii="Times New Roman" w:hAnsi="Times New Roman"/>
                <w:sz w:val="20"/>
              </w:rPr>
              <w:t>Octocog alfa (KOVALTRY, BAY 81-8973)</w:t>
            </w:r>
          </w:p>
        </w:tc>
        <w:tc>
          <w:tcPr>
            <w:tcW w:type="dxa" w:w="2771"/>
          </w:tcPr>
          <w:p>
            <w:r>
              <w:rPr>
                <w:rFonts w:ascii="Times New Roman" w:hAnsi="Times New Roman"/>
                <w:sz w:val="20"/>
              </w:rPr>
              <w:t>232.2</w:t>
            </w:r>
          </w:p>
        </w:tc>
      </w:tr>
      <w:tr>
        <w:tc>
          <w:tcPr>
            <w:tcW w:type="dxa" w:w="2771"/>
          </w:tcPr>
          <w:p>
            <w:r>
              <w:rPr>
                <w:rFonts w:ascii="Times New Roman" w:hAnsi="Times New Roman"/>
                <w:sz w:val="20"/>
              </w:rPr>
              <w:t>Facteur VIII recombinant BDD</w:t>
            </w:r>
          </w:p>
        </w:tc>
        <w:tc>
          <w:tcPr>
            <w:tcW w:type="dxa" w:w="2771"/>
          </w:tcPr>
          <w:p>
            <w:r>
              <w:rPr>
                <w:rFonts w:ascii="Times New Roman" w:hAnsi="Times New Roman"/>
                <w:sz w:val="20"/>
              </w:rPr>
              <w:t>Octocog alfa (ADVATE)</w:t>
            </w:r>
          </w:p>
        </w:tc>
        <w:tc>
          <w:tcPr>
            <w:tcW w:type="dxa" w:w="2771"/>
          </w:tcPr>
          <w:p>
            <w:r>
              <w:rPr>
                <w:rFonts w:ascii="Times New Roman" w:hAnsi="Times New Roman"/>
                <w:sz w:val="20"/>
              </w:rPr>
              <w:t>232.3</w:t>
            </w:r>
          </w:p>
        </w:tc>
      </w:tr>
      <w:tr>
        <w:tc>
          <w:tcPr>
            <w:tcW w:type="dxa" w:w="2771"/>
          </w:tcPr>
          <w:p>
            <w:r>
              <w:rPr>
                <w:rFonts w:ascii="Times New Roman" w:hAnsi="Times New Roman"/>
                <w:sz w:val="20"/>
              </w:rPr>
              <w:t>Facteur VIII recombinant — historiques [NR]</w:t>
            </w:r>
          </w:p>
        </w:tc>
        <w:tc>
          <w:tcPr>
            <w:tcW w:type="dxa" w:w="2771"/>
          </w:tcPr>
          <w:p>
            <w:r>
              <w:rPr>
                <w:rFonts w:ascii="Times New Roman" w:hAnsi="Times New Roman"/>
                <w:sz w:val="20"/>
              </w:rPr>
              <w:t>Octocog alfa (RECOMBINATE, KOGENATE)</w:t>
            </w:r>
          </w:p>
        </w:tc>
        <w:tc>
          <w:tcPr>
            <w:tcW w:type="dxa" w:w="2771"/>
          </w:tcPr>
          <w:p>
            <w:r>
              <w:rPr>
                <w:rFonts w:ascii="Times New Roman" w:hAnsi="Times New Roman"/>
                <w:sz w:val="20"/>
              </w:rPr>
              <w:t>232.4</w:t>
            </w:r>
          </w:p>
        </w:tc>
      </w:tr>
      <w:tr>
        <w:tc>
          <w:tcPr>
            <w:tcW w:type="dxa" w:w="2771"/>
          </w:tcPr>
          <w:p>
            <w:r>
              <w:rPr>
                <w:rFonts w:ascii="Times New Roman" w:hAnsi="Times New Roman"/>
                <w:sz w:val="20"/>
              </w:rPr>
              <w:t>Facteur VIII B-domain truncated</w:t>
            </w:r>
          </w:p>
        </w:tc>
        <w:tc>
          <w:tcPr>
            <w:tcW w:type="dxa" w:w="2771"/>
          </w:tcPr>
          <w:p>
            <w:r>
              <w:rPr>
                <w:rFonts w:ascii="Times New Roman" w:hAnsi="Times New Roman"/>
                <w:sz w:val="20"/>
              </w:rPr>
              <w:t>Turoctocog alfa (NOVO EIGHT)</w:t>
            </w:r>
          </w:p>
        </w:tc>
        <w:tc>
          <w:tcPr>
            <w:tcW w:type="dxa" w:w="2771"/>
          </w:tcPr>
          <w:p>
            <w:r>
              <w:rPr>
                <w:rFonts w:ascii="Times New Roman" w:hAnsi="Times New Roman"/>
                <w:sz w:val="20"/>
              </w:rPr>
              <w:t>232.5</w:t>
            </w:r>
          </w:p>
        </w:tc>
      </w:tr>
      <w:tr>
        <w:tc>
          <w:tcPr>
            <w:tcW w:type="dxa" w:w="2771"/>
          </w:tcPr>
          <w:p>
            <w:r>
              <w:rPr>
                <w:rFonts w:ascii="Times New Roman" w:hAnsi="Times New Roman"/>
                <w:sz w:val="20"/>
              </w:rPr>
              <w:t>Facteur VIII B-domain deleted</w:t>
            </w:r>
          </w:p>
        </w:tc>
        <w:tc>
          <w:tcPr>
            <w:tcW w:type="dxa" w:w="2771"/>
          </w:tcPr>
          <w:p>
            <w:r>
              <w:rPr>
                <w:rFonts w:ascii="Times New Roman" w:hAnsi="Times New Roman"/>
                <w:sz w:val="20"/>
              </w:rPr>
              <w:t>Moroctocog alfa (REFACTO AF, OCTOFACTOR)</w:t>
            </w:r>
          </w:p>
        </w:tc>
        <w:tc>
          <w:tcPr>
            <w:tcW w:type="dxa" w:w="2771"/>
          </w:tcPr>
          <w:p>
            <w:r>
              <w:rPr>
                <w:rFonts w:ascii="Times New Roman" w:hAnsi="Times New Roman"/>
                <w:sz w:val="20"/>
              </w:rPr>
              <w:t>232.6</w:t>
            </w:r>
          </w:p>
        </w:tc>
      </w:tr>
      <w:tr>
        <w:tc>
          <w:tcPr>
            <w:tcW w:type="dxa" w:w="2771"/>
          </w:tcPr>
          <w:p>
            <w:r>
              <w:rPr>
                <w:rFonts w:ascii="Times New Roman" w:hAnsi="Times New Roman"/>
                <w:sz w:val="20"/>
              </w:rPr>
              <w:t>rFIX-Fc fusion (EHL)</w:t>
            </w:r>
          </w:p>
        </w:tc>
        <w:tc>
          <w:tcPr>
            <w:tcW w:type="dxa" w:w="2771"/>
          </w:tcPr>
          <w:p>
            <w:r>
              <w:rPr>
                <w:rFonts w:ascii="Times New Roman" w:hAnsi="Times New Roman"/>
                <w:sz w:val="20"/>
              </w:rPr>
              <w:t>Eftrenonacog alpha (ALPROLIX)</w:t>
            </w:r>
          </w:p>
        </w:tc>
        <w:tc>
          <w:tcPr>
            <w:tcW w:type="dxa" w:w="2771"/>
          </w:tcPr>
          <w:p>
            <w:r>
              <w:rPr>
                <w:rFonts w:ascii="Times New Roman" w:hAnsi="Times New Roman"/>
                <w:sz w:val="20"/>
              </w:rPr>
              <w:t>232.7</w:t>
            </w:r>
          </w:p>
        </w:tc>
      </w:tr>
      <w:tr>
        <w:tc>
          <w:tcPr>
            <w:tcW w:type="dxa" w:w="2771"/>
          </w:tcPr>
          <w:p>
            <w:r>
              <w:rPr>
                <w:rFonts w:ascii="Times New Roman" w:hAnsi="Times New Roman"/>
                <w:sz w:val="20"/>
              </w:rPr>
              <w:t>Anti-inhibitor coagulant complex (bypassing)</w:t>
            </w:r>
          </w:p>
        </w:tc>
        <w:tc>
          <w:tcPr>
            <w:tcW w:type="dxa" w:w="2771"/>
          </w:tcPr>
          <w:p>
            <w:r>
              <w:rPr>
                <w:rFonts w:ascii="Times New Roman" w:hAnsi="Times New Roman"/>
                <w:sz w:val="20"/>
              </w:rPr>
              <w:t>Eftrenonacog alpha court-circuitant (FEIBA 1000)</w:t>
            </w:r>
          </w:p>
        </w:tc>
        <w:tc>
          <w:tcPr>
            <w:tcW w:type="dxa" w:w="2771"/>
          </w:tcPr>
          <w:p>
            <w:r>
              <w:rPr>
                <w:rFonts w:ascii="Times New Roman" w:hAnsi="Times New Roman"/>
                <w:sz w:val="20"/>
              </w:rPr>
              <w:t>232.8</w:t>
            </w:r>
          </w:p>
        </w:tc>
      </w:tr>
      <w:tr>
        <w:tc>
          <w:tcPr>
            <w:tcW w:type="dxa" w:w="2771"/>
          </w:tcPr>
          <w:p>
            <w:r>
              <w:rPr>
                <w:rFonts w:ascii="Times New Roman" w:hAnsi="Times New Roman"/>
                <w:sz w:val="20"/>
              </w:rPr>
              <w:t>Anti-inhibitor coagulant complex (bypassing) [NR]</w:t>
            </w:r>
          </w:p>
        </w:tc>
        <w:tc>
          <w:tcPr>
            <w:tcW w:type="dxa" w:w="2771"/>
          </w:tcPr>
          <w:p>
            <w:r>
              <w:rPr>
                <w:rFonts w:ascii="Times New Roman" w:hAnsi="Times New Roman"/>
                <w:sz w:val="20"/>
              </w:rPr>
              <w:t>Facteurs court-circuitant inhibiteur FVIII (FEIBA 500)</w:t>
            </w:r>
          </w:p>
        </w:tc>
        <w:tc>
          <w:tcPr>
            <w:tcW w:type="dxa" w:w="2771"/>
          </w:tcPr>
          <w:p>
            <w:r>
              <w:rPr>
                <w:rFonts w:ascii="Times New Roman" w:hAnsi="Times New Roman"/>
                <w:sz w:val="20"/>
              </w:rPr>
              <w:t>232.9</w:t>
            </w:r>
          </w:p>
        </w:tc>
      </w:tr>
      <w:tr>
        <w:tc>
          <w:tcPr>
            <w:tcW w:type="dxa" w:w="2771"/>
          </w:tcPr>
          <w:p>
            <w:r>
              <w:rPr>
                <w:rFonts w:ascii="Times New Roman" w:hAnsi="Times New Roman"/>
                <w:sz w:val="20"/>
              </w:rPr>
              <w:t>Facteur IX recombinant</w:t>
            </w:r>
          </w:p>
        </w:tc>
        <w:tc>
          <w:tcPr>
            <w:tcW w:type="dxa" w:w="2771"/>
          </w:tcPr>
          <w:p>
            <w:r>
              <w:rPr>
                <w:rFonts w:ascii="Times New Roman" w:hAnsi="Times New Roman"/>
                <w:sz w:val="20"/>
              </w:rPr>
              <w:t>Nonacog alpha (BENEFIX, INNONAFACTOR)</w:t>
            </w:r>
          </w:p>
        </w:tc>
        <w:tc>
          <w:tcPr>
            <w:tcW w:type="dxa" w:w="2771"/>
          </w:tcPr>
          <w:p>
            <w:r>
              <w:rPr>
                <w:rFonts w:ascii="Times New Roman" w:hAnsi="Times New Roman"/>
                <w:sz w:val="20"/>
              </w:rPr>
              <w:t>233.1</w:t>
            </w:r>
          </w:p>
        </w:tc>
      </w:tr>
      <w:tr>
        <w:tc>
          <w:tcPr>
            <w:tcW w:type="dxa" w:w="2771"/>
          </w:tcPr>
          <w:p>
            <w:r>
              <w:rPr>
                <w:rFonts w:ascii="Times New Roman" w:hAnsi="Times New Roman"/>
                <w:sz w:val="20"/>
              </w:rPr>
              <w:t>Facteur IX plasma-derived</w:t>
            </w:r>
          </w:p>
        </w:tc>
        <w:tc>
          <w:tcPr>
            <w:tcW w:type="dxa" w:w="2771"/>
          </w:tcPr>
          <w:p>
            <w:r>
              <w:rPr>
                <w:rFonts w:ascii="Times New Roman" w:hAnsi="Times New Roman"/>
                <w:sz w:val="20"/>
              </w:rPr>
              <w:t>Facteur IX de coagulation humaine (IMMUNINE, HEAMONINE, BETAFACT)</w:t>
            </w:r>
          </w:p>
        </w:tc>
        <w:tc>
          <w:tcPr>
            <w:tcW w:type="dxa" w:w="2771"/>
          </w:tcPr>
          <w:p>
            <w:r>
              <w:rPr>
                <w:rFonts w:ascii="Times New Roman" w:hAnsi="Times New Roman"/>
                <w:sz w:val="20"/>
              </w:rPr>
              <w:t>233.2</w:t>
            </w:r>
          </w:p>
        </w:tc>
      </w:tr>
      <w:tr>
        <w:tc>
          <w:tcPr>
            <w:tcW w:type="dxa" w:w="2771"/>
          </w:tcPr>
          <w:p>
            <w:r>
              <w:rPr>
                <w:rFonts w:ascii="Times New Roman" w:hAnsi="Times New Roman"/>
                <w:sz w:val="20"/>
              </w:rPr>
              <w:t>Complexe FVIII + VWF (plasma-derived)</w:t>
            </w:r>
          </w:p>
        </w:tc>
        <w:tc>
          <w:tcPr>
            <w:tcW w:type="dxa" w:w="2771"/>
          </w:tcPr>
          <w:p>
            <w:r>
              <w:rPr>
                <w:rFonts w:ascii="Times New Roman" w:hAnsi="Times New Roman"/>
                <w:sz w:val="20"/>
              </w:rPr>
              <w:t>Facteur VIII / Facteur von Willebrand (HAEMATE P)</w:t>
            </w:r>
          </w:p>
        </w:tc>
        <w:tc>
          <w:tcPr>
            <w:tcW w:type="dxa" w:w="2771"/>
          </w:tcPr>
          <w:p>
            <w:r>
              <w:rPr>
                <w:rFonts w:ascii="Times New Roman" w:hAnsi="Times New Roman"/>
                <w:sz w:val="20"/>
              </w:rPr>
              <w:t>234.1</w:t>
            </w:r>
          </w:p>
        </w:tc>
      </w:tr>
      <w:tr>
        <w:tc>
          <w:tcPr>
            <w:tcW w:type="dxa" w:w="2771"/>
          </w:tcPr>
          <w:p>
            <w:r>
              <w:rPr>
                <w:rFonts w:ascii="Times New Roman" w:hAnsi="Times New Roman"/>
                <w:sz w:val="20"/>
              </w:rPr>
              <w:t>Complexe FVIII + VWF (plasma-derived, FANDHI)</w:t>
            </w:r>
          </w:p>
        </w:tc>
        <w:tc>
          <w:tcPr>
            <w:tcW w:type="dxa" w:w="2771"/>
          </w:tcPr>
          <w:p>
            <w:r>
              <w:rPr>
                <w:rFonts w:ascii="Times New Roman" w:hAnsi="Times New Roman"/>
                <w:sz w:val="20"/>
              </w:rPr>
              <w:t>Facteur VIII de coagulation et Facteur de von Willebrand</w:t>
            </w:r>
          </w:p>
        </w:tc>
        <w:tc>
          <w:tcPr>
            <w:tcW w:type="dxa" w:w="2771"/>
          </w:tcPr>
          <w:p>
            <w:r>
              <w:rPr>
                <w:rFonts w:ascii="Times New Roman" w:hAnsi="Times New Roman"/>
                <w:sz w:val="20"/>
              </w:rPr>
              <w:t>234.2</w:t>
            </w:r>
          </w:p>
        </w:tc>
      </w:tr>
      <w:tr>
        <w:tc>
          <w:tcPr>
            <w:tcW w:type="dxa" w:w="2771"/>
          </w:tcPr>
          <w:p>
            <w:r>
              <w:rPr>
                <w:rFonts w:ascii="Times New Roman" w:hAnsi="Times New Roman"/>
                <w:sz w:val="20"/>
              </w:rPr>
              <w:t>Complexe prothrombinique (4 facteurs) [RETRAIT]</w:t>
            </w:r>
          </w:p>
        </w:tc>
        <w:tc>
          <w:tcPr>
            <w:tcW w:type="dxa" w:w="2771"/>
          </w:tcPr>
          <w:p>
            <w:r>
              <w:rPr>
                <w:rFonts w:ascii="Times New Roman" w:hAnsi="Times New Roman"/>
                <w:sz w:val="20"/>
              </w:rPr>
              <w:t>Facteur II / VII / IX / X (PROTHROMPLEX TOTAL)</w:t>
            </w:r>
          </w:p>
        </w:tc>
        <w:tc>
          <w:tcPr>
            <w:tcW w:type="dxa" w:w="2771"/>
          </w:tcPr>
          <w:p>
            <w:r>
              <w:rPr>
                <w:rFonts w:ascii="Times New Roman" w:hAnsi="Times New Roman"/>
                <w:sz w:val="20"/>
              </w:rPr>
              <w:t>235.1</w:t>
            </w:r>
          </w:p>
        </w:tc>
      </w:tr>
      <w:tr>
        <w:tc>
          <w:tcPr>
            <w:tcW w:type="dxa" w:w="2771"/>
          </w:tcPr>
          <w:p>
            <w:r>
              <w:rPr>
                <w:rFonts w:ascii="Times New Roman" w:hAnsi="Times New Roman"/>
                <w:sz w:val="20"/>
              </w:rPr>
              <w:t>Fibrinogène humain (concentré)</w:t>
            </w:r>
          </w:p>
        </w:tc>
        <w:tc>
          <w:tcPr>
            <w:tcW w:type="dxa" w:w="2771"/>
          </w:tcPr>
          <w:p>
            <w:r>
              <w:rPr>
                <w:rFonts w:ascii="Times New Roman" w:hAnsi="Times New Roman"/>
                <w:sz w:val="20"/>
              </w:rPr>
              <w:t>Fibrinogène humain (HEAMOCOMPLETTAN P, CLOTTAFACT)</w:t>
            </w:r>
          </w:p>
        </w:tc>
        <w:tc>
          <w:tcPr>
            <w:tcW w:type="dxa" w:w="2771"/>
          </w:tcPr>
          <w:p>
            <w:r>
              <w:rPr>
                <w:rFonts w:ascii="Times New Roman" w:hAnsi="Times New Roman"/>
                <w:sz w:val="20"/>
              </w:rPr>
              <w:t>236.1</w:t>
            </w:r>
          </w:p>
        </w:tc>
      </w:tr>
      <w:tr>
        <w:tc>
          <w:tcPr>
            <w:tcW w:type="dxa" w:w="2771"/>
          </w:tcPr>
          <w:p>
            <w:r>
              <w:rPr>
                <w:rFonts w:ascii="Times New Roman" w:hAnsi="Times New Roman"/>
                <w:sz w:val="20"/>
              </w:rPr>
              <w:t>Colle biologique (fibrin sealant)</w:t>
            </w:r>
          </w:p>
        </w:tc>
        <w:tc>
          <w:tcPr>
            <w:tcW w:type="dxa" w:w="2771"/>
          </w:tcPr>
          <w:p>
            <w:r>
              <w:rPr>
                <w:rFonts w:ascii="Times New Roman" w:hAnsi="Times New Roman"/>
                <w:sz w:val="20"/>
              </w:rPr>
              <w:t>Tisseel (Fibrinogène + Thrombine)</w:t>
            </w:r>
          </w:p>
        </w:tc>
        <w:tc>
          <w:tcPr>
            <w:tcW w:type="dxa" w:w="2771"/>
          </w:tcPr>
          <w:p>
            <w:r>
              <w:rPr>
                <w:rFonts w:ascii="Times New Roman" w:hAnsi="Times New Roman"/>
                <w:sz w:val="20"/>
              </w:rPr>
              <w:t>236.2</w:t>
            </w:r>
          </w:p>
        </w:tc>
      </w:tr>
    </w:tbl>
    <w:p/>
    <w:p>
      <w:pPr>
        <w:pStyle w:val="Heading3"/>
      </w:pPr>
      <w:r>
        <w:t>5. Notes sur la nomenclature algérienne</w:t>
      </w:r>
    </w:p>
    <w:p>
      <w:r>
        <w:t xml:space="preserve">Le fichier source </w:t>
      </w:r>
      <w:r>
        <w:rPr>
          <w:i/>
        </w:rPr>
        <w:t>missing_sanguins_clean.json</w:t>
      </w:r>
      <w:r>
        <w:t xml:space="preserve"> présente </w:t>
      </w:r>
      <w:r>
        <w:rPr>
          <w:b/>
        </w:rPr>
        <w:t>plusieurs particularités de libellé</w:t>
      </w:r>
      <w:r>
        <w:t xml:space="preserve"> qui reflètent l'évolution historique de la classification ATC B02 et les adaptations de la nomenclature algérienne :</w:t>
      </w:r>
    </w:p>
    <w:p>
      <w:pPr>
        <w:pStyle w:val="ListBullet"/>
      </w:pPr>
      <w:r/>
      <w:r>
        <w:rPr>
          <w:b/>
        </w:rPr>
        <w:t>Octocog alfa</w:t>
      </w:r>
      <w:r>
        <w:t xml:space="preserve"> apparaît sous </w:t>
      </w:r>
      <w:r>
        <w:rPr>
          <w:b/>
        </w:rPr>
        <w:t>quatre libellés distincts</w:t>
      </w:r>
      <w:r>
        <w:t xml:space="preserve"> selon la spécialité : « Octocog alfa » (KOVALTRY, BAY 81-8973, Bayer), « Octocog alfa (Facteur humain VIII anti hémophilique) » (formes plasmatiques + KOVALTRY 500), « Octocog alfa (Facteur VIII de coagulation humain recombinant anti-hémophilique) » (ADVATE) et « Octocog alfa (Facteur VIII recombinant de coagulation anti-hémophilique) » (RECOMBINATE, KOGENATE — statut NON_RENOUVELABLE). Pharmacologiquement, </w:t>
      </w:r>
      <w:r>
        <w:rPr>
          <w:b/>
        </w:rPr>
        <w:t>toutes sont du Facteur VIII recombinant</w:t>
      </w:r>
      <w:r>
        <w:t xml:space="preserve"> (rFVIII), à l'exception des spécialités plasmatiques (HAEMOCTIN SDH, OCTANATE, HEMOREL-A) qui sont classées ici par souci de fidélité à la nomenclature, bien qu'elles relèvent stricto sensu de la DCI « Facteur VIII de coagulation humain » et non « Octocog alfa ».</w:t>
      </w:r>
    </w:p>
    <w:p>
      <w:pPr>
        <w:pStyle w:val="ListBullet"/>
      </w:pPr>
      <w:r/>
      <w:r>
        <w:rPr>
          <w:b/>
        </w:rPr>
        <w:t>Eftrenonacog alpha</w:t>
      </w:r>
      <w:r>
        <w:t xml:space="preserve"> est attribué dans la nomenclature algérienne aussi bien à </w:t>
      </w:r>
      <w:r>
        <w:rPr>
          <w:b/>
        </w:rPr>
        <w:t>ALPROLIX</w:t>
      </w:r>
      <w:r>
        <w:t xml:space="preserve"> (rFIX-Fc, Laboratoire Swedish Orphan Biovitrum — Sobi, indiqué dans l'hémophilie B) qu'à </w:t>
      </w:r>
      <w:r>
        <w:rPr>
          <w:b/>
        </w:rPr>
        <w:t>FEIBA</w:t>
      </w:r>
      <w:r>
        <w:t xml:space="preserve"> (Anti-Inhibitor Coagulant Complex, Baxter/Takeda, indiqué dans l'hémophilie A avec inhibiteur). Cette double attribution est </w:t>
      </w:r>
      <w:r>
        <w:rPr>
          <w:b/>
        </w:rPr>
        <w:t>pharmacologiquement erronée</w:t>
      </w:r>
      <w:r>
        <w:t xml:space="preserve"> : ALPROLIX = eftrenonacog alpha = rFIX-Fc fusion protéinique (EHL pour hémophilie B), alors que FEIBA = complexe prothrombinique activé plasmatique (contient IIa, IXa, Xa et VII non activé, indiqué pour bypasser un inhibiteur anti-FVIII). L'erreur de nomenclature est probablement due à une confusion administrative lors de l'enregistrement. Nous avons choisi de respecter le libellé algérien dans la classification mais de signaler explicitement l'erreur dans chaque fiche concernée.</w:t>
      </w:r>
    </w:p>
    <w:p>
      <w:pPr>
        <w:pStyle w:val="ListBullet"/>
      </w:pPr>
      <w:r/>
      <w:r>
        <w:rPr>
          <w:b/>
        </w:rPr>
        <w:t>PROTHROMPLEX TOTAL S-TIM 4-600</w:t>
      </w:r>
      <w:r>
        <w:t xml:space="preserve"> (Baxter AG) est en statut </w:t>
      </w:r>
      <w:r>
        <w:rPr>
          <w:b/>
        </w:rPr>
        <w:t>RETRAIT</w:t>
      </w:r>
      <w:r>
        <w:t xml:space="preserve"> du marché algérien depuis avril 2026. Il s'agissait du seul PCC (4 facteurs) disponible en Algérie. La fiche est conservée pour mémoire pharmacologique et pour la pratique clinique (alternatives étrangères type Octaplex, Beriplex éventuellement accessibles par importation exceptionnelle ATU nominative).</w:t>
      </w:r>
    </w:p>
    <w:p>
      <w:pPr>
        <w:pStyle w:val="Heading3"/>
      </w:pPr>
      <w:r>
        <w:t>6. Méthodologie de rédaction</w:t>
      </w:r>
    </w:p>
    <w:p>
      <w:r>
        <w:t xml:space="preserve">Chaque fiche DCI suit la structure obligatoire à </w:t>
      </w:r>
      <w:r>
        <w:rPr>
          <w:b/>
        </w:rPr>
        <w:t>12 sous-sections</w:t>
      </w:r>
      <w:r>
        <w:t xml:space="preserve"> :</w:t>
      </w:r>
    </w:p>
    <w:p>
      <w:pPr>
        <w:pStyle w:val="ListNumber"/>
      </w:pPr>
      <w:r>
        <w:t>Liste des catégories thérapeutiques (code ATC B02)</w:t>
      </w:r>
    </w:p>
    <w:p>
      <w:pPr>
        <w:pStyle w:val="ListNumber"/>
      </w:pPr>
      <w:r>
        <w:t>Médicaments disponibles en Algérie (tableau 6 colonnes : Nom Commercial | Laboratoire | Forme et Dosage | Conditionnement | Liste | Statut)</w:t>
      </w:r>
    </w:p>
    <w:p>
      <w:pPr>
        <w:pStyle w:val="ListNumber"/>
      </w:pPr>
      <w:r>
        <w:t>Sous-classe et mécanisme d'action moléculaire</w:t>
      </w:r>
    </w:p>
    <w:p>
      <w:pPr>
        <w:pStyle w:val="ListNumber"/>
      </w:pPr>
      <w:r>
        <w:t>Profil pharmacologique (indications, contre-indications, effets indésirables)</w:t>
      </w:r>
    </w:p>
    <w:p>
      <w:pPr>
        <w:pStyle w:val="ListNumber"/>
      </w:pPr>
      <w:r>
        <w:t>Prévention et gestion des effets indésirables (inhibiteurs, thrombose, hypersensibilité)</w:t>
      </w:r>
    </w:p>
    <w:p>
      <w:pPr>
        <w:pStyle w:val="ListNumber"/>
      </w:pPr>
      <w:r>
        <w:t>Interactions médicamenteuses</w:t>
      </w:r>
    </w:p>
    <w:p>
      <w:pPr>
        <w:pStyle w:val="ListNumber"/>
      </w:pPr>
      <w:r>
        <w:t>Grossesse et allaitement (selon CRAT)</w:t>
      </w:r>
    </w:p>
    <w:p>
      <w:pPr>
        <w:pStyle w:val="ListNumber"/>
      </w:pPr>
      <w:r>
        <w:t>Posologie et mode d'administration (UI/kg, IV bolus vs perfusion, reconstitution)</w:t>
      </w:r>
    </w:p>
    <w:p>
      <w:pPr>
        <w:pStyle w:val="ListNumber"/>
      </w:pPr>
      <w:r>
        <w:t>Arbitrage et bénéfices des formes galéniques (recombinant vs plasma-derived, standard vs EHL)</w:t>
      </w:r>
    </w:p>
    <w:p>
      <w:pPr>
        <w:pStyle w:val="ListNumber"/>
      </w:pPr>
      <w:r>
        <w:t>Instructions et conseils au patient (auto-administration à domicile, chaîne du froid, reconstitution)</w:t>
      </w:r>
    </w:p>
    <w:p>
      <w:pPr>
        <w:pStyle w:val="ListNumber"/>
      </w:pPr>
      <w:r>
        <w:t>Notes, règles d'or et pièges au comptoir (dépistage inhibiteur, immunogénicité, chaîne du froid)</w:t>
      </w:r>
    </w:p>
    <w:p>
      <w:pPr>
        <w:pStyle w:val="ListNumber"/>
      </w:pPr>
      <w:r>
        <w:t>Tableau comparatif de sous-classe</w:t>
      </w:r>
    </w:p>
    <w:p>
      <w:r>
        <w:t xml:space="preserve">Les </w:t>
      </w:r>
      <w:r>
        <w:rPr>
          <w:b/>
        </w:rPr>
        <w:t>sources mobilisées</w:t>
      </w:r>
      <w:r>
        <w:t xml:space="preserve"> sont : VIDAL, ANSM (RCP français), EMA (EPAR), HAS (avis de la Commission de la Transparence), WFH (World Federation of Hemophilia — Guidelines for the Management of Hemophilia, 3rd edition 2020), EHC (European Haemophilia Consortium — Principles of Care), CRAT (Centre de Renseignement sur les Agents Tératogènes), SFH (Société Française d'Hémostase et de Thrombose), SFAR (Société Française d'Anesthésie-Réanimation — recommandations hémorragie péri-opératoire), Surviving Sepsis Campaign 2021, EASL/Baveno VII (cirrhose et ascite), ACCP (American College of Chest Physicians — antithrombotic therapy), Cochrane reviews.</w:t>
      </w:r>
    </w:p>
    <w:p>
      <w:pPr>
        <w:pStyle w:val="Heading3"/>
      </w:pPr>
      <w:r>
        <w:t>7. Rappel physiologique : cascade de coagulation</w:t>
      </w:r>
    </w:p>
    <w:p>
      <w:r>
        <w:t>La cascade de coagulation est un système enzymatique complexe organisé en trois voies interconnectées aboutissant à la formation de fibrine stable (caillot définitif) par protéolyse successive de zymogènes plasmatiques en sérine-protéases actives. Cette organisation « en cascade » fut historiquement décrite par MacFarlane (1964) puis affinée par Davie &amp; Ratnoff (« waterfall hypothesis »). Le modèle moderne, dit « cell-based model of coagulation » (Hoffman &amp; Monroe, 2001), intègre l'interaction des cellules (plaquettes, monocytes, cellules endothéliales) avec les facteurs plasmatiques.</w:t>
      </w:r>
    </w:p>
    <w:p>
      <w:r/>
      <w:r>
        <w:rPr>
          <w:b/>
        </w:rPr>
        <w:t>Voie intrinsèque</w:t>
      </w:r>
      <w:r>
        <w:t xml:space="preserve"> (contact, aPTT sensible) :</w:t>
      </w:r>
    </w:p>
    <w:p>
      <w:pPr>
        <w:pStyle w:val="ListBullet"/>
      </w:pPr>
      <w:r>
        <w:t xml:space="preserve">Activation du Facteur XII (Hageman) sur surfaces négatives → FXIIa active FXI → FXIa active FIX → FIXa + cofacteur VIIIa (activé par thrombine) active FX → FXa. Le complexe </w:t>
      </w:r>
      <w:r>
        <w:rPr>
          <w:b/>
        </w:rPr>
        <w:t>FIXa-FVIIIa-Ca²⁺-phospholipides plaquettaires</w:t>
      </w:r>
      <w:r>
        <w:t xml:space="preserve"> = « tenase intrinsèque ».</w:t>
      </w:r>
    </w:p>
    <w:p>
      <w:pPr>
        <w:pStyle w:val="ListBullet"/>
      </w:pPr>
      <w:r>
        <w:t>Déficits : FXII (asymptomatique), FXI (hémophilie C, saignements modérés), FIX (hémophilie B), FVIII (hémophilie A).</w:t>
      </w:r>
    </w:p>
    <w:p>
      <w:r/>
      <w:r>
        <w:rPr>
          <w:b/>
        </w:rPr>
        <w:t>Voie extrinsèque</w:t>
      </w:r>
      <w:r>
        <w:t xml:space="preserve"> (tissulaire, TP sensible) :</w:t>
      </w:r>
    </w:p>
    <w:p>
      <w:pPr>
        <w:pStyle w:val="ListBullet"/>
      </w:pPr>
      <w:r>
        <w:t xml:space="preserve">Le Facteur Tissulaire (FT, exprimé par cellules sous-endothéliales après lésion vasculaire) expose un domaine qui, combiné au Facteur VII, active FX → FXa. Le complexe </w:t>
      </w:r>
      <w:r>
        <w:rPr>
          <w:b/>
        </w:rPr>
        <w:t>FT-FVIIa-Ca²⁺</w:t>
      </w:r>
      <w:r>
        <w:t xml:space="preserve"> = « tenase extrinsèque ».</w:t>
      </w:r>
    </w:p>
    <w:p>
      <w:pPr>
        <w:pStyle w:val="ListBullet"/>
      </w:pPr>
      <w:r>
        <w:t>Le FT-FVIIa active également FIX (jonction intrinsèque/extrinsèque).</w:t>
      </w:r>
    </w:p>
    <w:p>
      <w:r/>
      <w:r>
        <w:rPr>
          <w:b/>
        </w:rPr>
        <w:t>Voie commune</w:t>
      </w:r>
      <w:r>
        <w:t xml:space="preserve"> :</w:t>
      </w:r>
    </w:p>
    <w:p>
      <w:pPr>
        <w:pStyle w:val="ListBullet"/>
      </w:pPr>
      <w:r>
        <w:t xml:space="preserve">FXa + cofacteur Va (activé par thrombine) + Ca²⁺ + phospholipides plaquettaires = </w:t>
      </w:r>
      <w:r>
        <w:rPr>
          <w:b/>
        </w:rPr>
        <w:t>prothrombinase</w:t>
      </w:r>
      <w:r>
        <w:t>, qui convertit la prothrombine (FII) en thrombine (FIIa).</w:t>
      </w:r>
    </w:p>
    <w:p>
      <w:pPr>
        <w:pStyle w:val="ListBullet"/>
      </w:pPr>
      <w:r>
        <w:t xml:space="preserve">La </w:t>
      </w:r>
      <w:r>
        <w:rPr>
          <w:b/>
        </w:rPr>
        <w:t>thrombine</w:t>
      </w:r>
      <w:r>
        <w:t xml:space="preserve"> (FIIa) est l'enzyme clé : elle clive le fibrinogène (FI) en fibrine (FIa), active FXIII (stabilisation du caillot par ponts covalents), active les cofacteurs V et VIII (rétro-activation positive), active les plaquettes (via PAR-1, PAR-4), active TAFI (stabilisation du caillot contre la fibrinolyse) et active les protéines C et S (feedback négatif via thrombomoduline endothéliale).</w:t>
      </w:r>
    </w:p>
    <w:p>
      <w:r/>
      <w:r>
        <w:rPr>
          <w:b/>
        </w:rPr>
        <w:t>Régulation de la coagulation</w:t>
      </w:r>
      <w:r>
        <w:t xml:space="preserve"> :</w:t>
      </w:r>
    </w:p>
    <w:p>
      <w:pPr>
        <w:pStyle w:val="ListBullet"/>
      </w:pPr>
      <w:r/>
      <w:r>
        <w:rPr>
          <w:b/>
        </w:rPr>
        <w:t>Antithrombine</w:t>
      </w:r>
      <w:r>
        <w:t xml:space="preserve"> (AT) : inhibe thrombine, FXa, FIXa, XIa, XIIa (potencialisée par héparine).</w:t>
      </w:r>
    </w:p>
    <w:p>
      <w:pPr>
        <w:pStyle w:val="ListBullet"/>
      </w:pPr>
      <w:r/>
      <w:r>
        <w:rPr>
          <w:b/>
        </w:rPr>
        <w:t>Système protéine C/S</w:t>
      </w:r>
      <w:r>
        <w:t xml:space="preserve"> : thrombine + thrombomoduline endothéliale active la Protéine C → APC + Protéine S inactivent FVa et FVIIIa par protéolyse.</w:t>
      </w:r>
    </w:p>
    <w:p>
      <w:pPr>
        <w:pStyle w:val="ListBullet"/>
      </w:pPr>
      <w:r/>
      <w:r>
        <w:rPr>
          <w:b/>
        </w:rPr>
        <w:t>TFPI (Tissue Factor Pathway Inhibitor)</w:t>
      </w:r>
      <w:r>
        <w:t xml:space="preserve"> : inhibe FT-FVIIa après activation de FXa (feedback).</w:t>
      </w:r>
    </w:p>
    <w:p>
      <w:pPr>
        <w:pStyle w:val="ListBullet"/>
      </w:pPr>
      <w:r/>
      <w:r>
        <w:rPr>
          <w:b/>
        </w:rPr>
        <w:t>Fibrinolyse</w:t>
      </w:r>
      <w:r>
        <w:t xml:space="preserve"> : plasmine (issue du plasminogène par t-PA ou u-PA) dégrade la fibrine en D-dimères. Inhibée par α2-antiplasmine et PAI-1.</w:t>
      </w:r>
    </w:p>
    <w:p>
      <w:r/>
      <w:r>
        <w:rPr>
          <w:b/>
        </w:rPr>
        <w:t>Cibles thérapeutiques des PSS</w:t>
      </w:r>
      <w:r>
        <w:t xml:space="preserve"> :</w:t>
      </w:r>
    </w:p>
    <w:p>
      <w:pPr>
        <w:pStyle w:val="ListBullet"/>
      </w:pPr>
      <w:r/>
      <w:r>
        <w:rPr>
          <w:b/>
        </w:rPr>
        <w:t>Fibrinogène</w:t>
      </w:r>
      <w:r>
        <w:t xml:space="preserve"> (FI) : substitute direct dans hypofibrinogénémie acquise (hémorragie massive, CIVD, post-CEC).</w:t>
      </w:r>
    </w:p>
    <w:p>
      <w:pPr>
        <w:pStyle w:val="ListBullet"/>
      </w:pPr>
      <w:r/>
      <w:r>
        <w:rPr>
          <w:b/>
        </w:rPr>
        <w:t>Prothrombine</w:t>
      </w:r>
      <w:r>
        <w:t xml:space="preserve"> (FII), </w:t>
      </w:r>
      <w:r>
        <w:rPr>
          <w:b/>
        </w:rPr>
        <w:t>Proconvertine</w:t>
      </w:r>
      <w:r>
        <w:t xml:space="preserve"> (FVII), </w:t>
      </w:r>
      <w:r>
        <w:rPr>
          <w:b/>
        </w:rPr>
        <w:t>Christmas</w:t>
      </w:r>
      <w:r>
        <w:t xml:space="preserve"> (FIX), </w:t>
      </w:r>
      <w:r>
        <w:rPr>
          <w:b/>
        </w:rPr>
        <w:t>Stuart</w:t>
      </w:r>
      <w:r>
        <w:t xml:space="preserve"> (FX) : complexes prothrombiniques (PCC) comme antidote AVK.</w:t>
      </w:r>
    </w:p>
    <w:p>
      <w:pPr>
        <w:pStyle w:val="ListBullet"/>
      </w:pPr>
      <w:r/>
      <w:r>
        <w:rPr>
          <w:b/>
        </w:rPr>
        <w:t>Antihémophilique A</w:t>
      </w:r>
      <w:r>
        <w:t xml:space="preserve"> (FVIII) : substitut constitutionnel dans hémophilie A.</w:t>
      </w:r>
    </w:p>
    <w:p>
      <w:pPr>
        <w:pStyle w:val="ListBullet"/>
      </w:pPr>
      <w:r/>
      <w:r>
        <w:rPr>
          <w:b/>
        </w:rPr>
        <w:t>Antihémophilique B</w:t>
      </w:r>
      <w:r>
        <w:t xml:space="preserve"> (FIX) : substitut constitutionnel dans hémophilie B.</w:t>
      </w:r>
    </w:p>
    <w:p>
      <w:pPr>
        <w:pStyle w:val="ListBullet"/>
      </w:pPr>
      <w:r/>
      <w:r>
        <w:rPr>
          <w:b/>
        </w:rPr>
        <w:t>Facteur Willebrand</w:t>
      </w:r>
      <w:r>
        <w:t xml:space="preserve"> (VWF) : substitut dans maladie de Willebrand (transporteur et protecteur du FVIII, médiateur adhésion plaquettaire via GpIb).</w:t>
      </w:r>
    </w:p>
    <w:p>
      <w:pPr>
        <w:pStyle w:val="ListBullet"/>
      </w:pPr>
      <w:r/>
      <w:r>
        <w:rPr>
          <w:b/>
        </w:rPr>
        <w:t>Thrombine</w:t>
      </w:r>
      <w:r>
        <w:t xml:space="preserve"> (FIIa) : colle biologique Tisseel (hémostase locale chirurgicale).</w:t>
      </w:r>
    </w:p>
    <w:p>
      <w:pPr>
        <w:pStyle w:val="Heading3"/>
      </w:pPr>
      <w:r>
        <w:t>8. Classification ATC B02 (Antihémorragiques)</w:t>
      </w:r>
    </w:p>
    <w:p>
      <w:r>
        <w:t xml:space="preserve">La classification ATC (Anatomical Therapeutic Chemical classification) de l'OMS répartit les antihémorragiques en classe </w:t>
      </w:r>
      <w:r>
        <w:rPr>
          <w:b/>
        </w:rPr>
        <w:t>B02</w:t>
      </w:r>
      <w:r>
        <w:t xml:space="preserve"> selon les sous-classes suivantes :</w:t>
      </w:r>
    </w:p>
    <w:p>
      <w:pPr>
        <w:pStyle w:val="ListBullet"/>
      </w:pPr>
      <w:r/>
      <w:r>
        <w:rPr>
          <w:b/>
        </w:rPr>
        <w:t>B02A</w:t>
      </w:r>
      <w:r>
        <w:t xml:space="preserve"> — Antifibrinolytiques (acide tranexamique, acide aminocaproïque, aprotinine) — non traités ici (Fascicule XX)</w:t>
      </w:r>
    </w:p>
    <w:p>
      <w:pPr>
        <w:pStyle w:val="ListBullet"/>
      </w:pPr>
      <w:r/>
      <w:r>
        <w:rPr>
          <w:b/>
        </w:rPr>
        <w:t>B02B</w:t>
      </w:r>
      <w:r>
        <w:t xml:space="preserve"> — Vitamine K et autres hémostatiques</w:t>
      </w:r>
    </w:p>
    <w:p>
      <w:pPr>
        <w:pStyle w:val="ListBullet"/>
      </w:pPr>
      <w:r/>
      <w:r>
        <w:rPr>
          <w:b/>
        </w:rPr>
        <w:t>B02BA</w:t>
      </w:r>
      <w:r>
        <w:t xml:space="preserve"> — Vitamine K (phytoménadione, ménadione) — Fascicule XX</w:t>
      </w:r>
    </w:p>
    <w:p>
      <w:pPr>
        <w:pStyle w:val="ListBullet"/>
      </w:pPr>
      <w:r/>
      <w:r>
        <w:rPr>
          <w:b/>
        </w:rPr>
        <w:t>B02BB</w:t>
      </w:r>
      <w:r>
        <w:t xml:space="preserve"> — Fibrinogène</w:t>
      </w:r>
    </w:p>
    <w:p>
      <w:pPr>
        <w:pStyle w:val="ListBullet"/>
      </w:pPr>
      <w:r/>
      <w:r>
        <w:rPr>
          <w:b/>
        </w:rPr>
        <w:t>B02BC</w:t>
      </w:r>
      <w:r>
        <w:t xml:space="preserve"> — Hémostatiques locaux (colles biologiques, gélatine absorbable)</w:t>
      </w:r>
    </w:p>
    <w:p>
      <w:pPr>
        <w:pStyle w:val="ListBullet"/>
      </w:pPr>
      <w:r/>
      <w:r>
        <w:rPr>
          <w:b/>
        </w:rPr>
        <w:t>B02BD</w:t>
      </w:r>
      <w:r>
        <w:t xml:space="preserve"> — Facteurs de coagulation sanguine</w:t>
      </w:r>
    </w:p>
    <w:p>
      <w:pPr>
        <w:pStyle w:val="ListBullet"/>
      </w:pPr>
      <w:r>
        <w:t>B02BD01 — Facteur IX (plasma-derived)</w:t>
      </w:r>
    </w:p>
    <w:p>
      <w:pPr>
        <w:pStyle w:val="ListBullet"/>
      </w:pPr>
      <w:r>
        <w:t>B02BD02 — Complexe prothrombinique (PCC)</w:t>
      </w:r>
    </w:p>
    <w:p>
      <w:pPr>
        <w:pStyle w:val="ListBullet"/>
      </w:pPr>
      <w:r>
        <w:t>B02BD03 — Facteur VIII (plasma-derived)</w:t>
      </w:r>
    </w:p>
    <w:p>
      <w:pPr>
        <w:pStyle w:val="ListBullet"/>
      </w:pPr>
      <w:r>
        <w:t>B02BD04 — Luspromotopog (inhibiteur PAI)</w:t>
      </w:r>
    </w:p>
    <w:p>
      <w:pPr>
        <w:pStyle w:val="ListBullet"/>
      </w:pPr>
      <w:r>
        <w:t>B02BD05 — Facteur IX recombinant (nonacog alpha)</w:t>
      </w:r>
    </w:p>
    <w:p>
      <w:pPr>
        <w:pStyle w:val="ListBullet"/>
      </w:pPr>
      <w:r>
        <w:t>B02BD06 — Facteur VIII recombinant (octocog alfa, moroctocog alfa, turoctocog alfa)</w:t>
      </w:r>
    </w:p>
    <w:p>
      <w:pPr>
        <w:pStyle w:val="ListBullet"/>
      </w:pPr>
      <w:r>
        <w:t>B02BD07 — Eptacog alpha (rFVIIa)</w:t>
      </w:r>
    </w:p>
    <w:p>
      <w:pPr>
        <w:pStyle w:val="ListBullet"/>
      </w:pPr>
      <w:r>
        <w:t>B02BD08 — Efmordectocog alfa (rFVIII-Fc, EHL)</w:t>
      </w:r>
    </w:p>
    <w:p>
      <w:pPr>
        <w:pStyle w:val="ListBullet"/>
      </w:pPr>
      <w:r>
        <w:t>B02BD09 — Nonacog beta pegol (rFIX-PEG, EHL)</w:t>
      </w:r>
    </w:p>
    <w:p>
      <w:pPr>
        <w:pStyle w:val="ListBullet"/>
      </w:pPr>
      <w:r>
        <w:t xml:space="preserve">B02BD10 — Eftrenonacog alfa (rFIX-Fc, EHL) ← </w:t>
      </w:r>
      <w:r>
        <w:rPr>
          <w:b/>
        </w:rPr>
        <w:t>Alprolix</w:t>
      </w:r>
      <w:r/>
    </w:p>
    <w:p>
      <w:pPr>
        <w:pStyle w:val="ListBullet"/>
      </w:pPr>
      <w:r>
        <w:t>B02BD11 — Susoctocog alpha (rFVIII porcin-humain)</w:t>
      </w:r>
    </w:p>
    <w:p>
      <w:pPr>
        <w:pStyle w:val="ListBullet"/>
      </w:pPr>
      <w:r>
        <w:t>B02BD12 — Concizumab (Ac anti-TFPI, mAb)</w:t>
      </w:r>
    </w:p>
    <w:p>
      <w:pPr>
        <w:pStyle w:val="ListBullet"/>
      </w:pPr>
      <w:r>
        <w:t>B02BD13 — Marzeptacog alfa</w:t>
      </w:r>
    </w:p>
    <w:p>
      <w:pPr>
        <w:pStyle w:val="ListBullet"/>
      </w:pPr>
      <w:r>
        <w:t>B02BD30 — Complexe anti-inhibiteur (FEIBA) — multidci</w:t>
      </w:r>
    </w:p>
    <w:p>
      <w:pPr>
        <w:pStyle w:val="ListBullet"/>
      </w:pPr>
      <w:r>
        <w:t>B02BD31 — Facteur von Willebrand</w:t>
      </w:r>
    </w:p>
    <w:p>
      <w:pPr>
        <w:pStyle w:val="ListBullet"/>
      </w:pPr>
      <w:r>
        <w:t>B02BD32 — Facteur VIII + von Willebrand (HAEMATE P, FANDHI)</w:t>
      </w:r>
    </w:p>
    <w:p>
      <w:pPr>
        <w:pStyle w:val="ListBullet"/>
      </w:pPr>
      <w:r/>
      <w:r>
        <w:rPr>
          <w:b/>
        </w:rPr>
        <w:t>B02BX</w:t>
      </w:r>
      <w:r>
        <w:t xml:space="preserve"> — Autres hémostatiques systémiques (romiplostim, eltrombopag)</w:t>
      </w:r>
    </w:p>
    <w:p>
      <w:pPr>
        <w:pStyle w:val="ListBullet"/>
      </w:pPr>
      <w:r/>
      <w:r>
        <w:rPr>
          <w:b/>
        </w:rPr>
        <w:t>B02D</w:t>
      </w:r>
      <w:r>
        <w:t xml:space="preserve"> — Replaceurs du volume sanguin</w:t>
      </w:r>
    </w:p>
    <w:p>
      <w:pPr>
        <w:pStyle w:val="ListBullet"/>
      </w:pPr>
      <w:r/>
      <w:r>
        <w:rPr>
          <w:b/>
        </w:rPr>
        <w:t>B02DA</w:t>
      </w:r>
      <w:r>
        <w:t xml:space="preserve"> — Dextran</w:t>
      </w:r>
    </w:p>
    <w:p>
      <w:pPr>
        <w:pStyle w:val="ListBullet"/>
      </w:pPr>
      <w:r/>
      <w:r>
        <w:rPr>
          <w:b/>
        </w:rPr>
        <w:t>B02DB</w:t>
      </w:r>
      <w:r>
        <w:t xml:space="preserve"> — Gélatine (Gelofusine, Plasmion)</w:t>
      </w:r>
    </w:p>
    <w:p>
      <w:pPr>
        <w:pStyle w:val="ListBullet"/>
      </w:pPr>
      <w:r/>
      <w:r>
        <w:rPr>
          <w:b/>
        </w:rPr>
        <w:t>B02DC</w:t>
      </w:r>
      <w:r>
        <w:t xml:space="preserve"> — Hydroxyéthylamidon (HEA — non disponible Algérie depuis EMA 2013)</w:t>
      </w:r>
    </w:p>
    <w:p>
      <w:pPr>
        <w:pStyle w:val="ListBullet"/>
      </w:pPr>
      <w:r/>
      <w:r>
        <w:rPr>
          <w:b/>
        </w:rPr>
        <w:t>B02DD</w:t>
      </w:r>
      <w:r>
        <w:t xml:space="preserve"> — Albumine humaine ← </w:t>
      </w:r>
      <w:r>
        <w:rPr>
          <w:b/>
        </w:rPr>
        <w:t>section 231</w:t>
      </w:r>
      <w:r/>
    </w:p>
    <w:p>
      <w:pPr>
        <w:pStyle w:val="Heading3"/>
      </w:pPr>
      <w:r>
        <w:t>9. Règles d'or transversales applicables à tous les PSS</w:t>
      </w:r>
    </w:p>
    <w:p>
      <w:r>
        <w:t>Ces règles sont valables pour l'ensemble des produits sanguins stables et des facteurs de coagulation traités dans le présent fascicule :</w:t>
      </w:r>
    </w:p>
    <w:p>
      <w:pPr>
        <w:pStyle w:val="ListNumber"/>
      </w:pPr>
      <w:r/>
      <w:r>
        <w:rPr>
          <w:b/>
        </w:rPr>
        <w:t>Chaîne du froid stricte</w:t>
      </w:r>
      <w:r>
        <w:t xml:space="preserve"> : conservation à </w:t>
      </w:r>
      <w:r>
        <w:rPr>
          <w:b/>
        </w:rPr>
        <w:t>+2 °C à +8 °C</w:t>
      </w:r>
      <w:r>
        <w:t xml:space="preserve">, </w:t>
      </w:r>
      <w:r>
        <w:rPr>
          <w:b/>
        </w:rPr>
        <w:t>ne jamais congeler</w:t>
      </w:r>
      <w:r>
        <w:t xml:space="preserve"> (la congération dénature les protéines de coagulation). Le transport doit se faire en sac isotherme avec accumulateurs de froid. Une rupture de chaîne du froid &gt; 4 h à température ambiante (20-25 °C) impose l'élimination du flacon, même non reconstitué.</w:t>
      </w:r>
    </w:p>
    <w:p>
      <w:pPr>
        <w:pStyle w:val="ListNumber"/>
      </w:pPr>
      <w:r/>
      <w:r>
        <w:rPr>
          <w:b/>
        </w:rPr>
        <w:t>Reconstitution douce</w:t>
      </w:r>
      <w:r>
        <w:t xml:space="preserve"> : ne jamais agiter vigoureusement le flacon (formation de mousse = dénaturation protéique par tension superficielle). Privilégier un mouvement rotatif doux entre les paumes pendant 1-3 minutes jusqu'à dissolution complète. La solution reconstituée doit être limpide, incolore à légèrement opalescente ; toute turbidité, présence de particules ou coloration anormale impose l'élimination.</w:t>
      </w:r>
    </w:p>
    <w:p>
      <w:pPr>
        <w:pStyle w:val="ListNumber"/>
      </w:pPr>
      <w:r/>
      <w:r>
        <w:rPr>
          <w:b/>
        </w:rPr>
        <w:t>Administration immédiate après reconstitution</w:t>
      </w:r>
      <w:r>
        <w:t xml:space="preserve"> : la solution reconstituée est stable </w:t>
      </w:r>
      <w:r>
        <w:rPr>
          <w:b/>
        </w:rPr>
        <w:t>3 h à température ambiante</w:t>
      </w:r>
      <w:r>
        <w:t xml:space="preserve"> (≤ 25 °C) pour la plupart des facteurs recombinants, mais la stabilité varie selon produit (voir RCP spécifique : Adynovi 4 h, Jivi 24 h, Altuviiio 4 h à T° ambiante ou 7 j à 2-8 °C). Ne jamais recongeler la solution reconstituée. Ne jamais ajouter de médicament au flacon de facteur (incompatibilité physique).</w:t>
      </w:r>
    </w:p>
    <w:p>
      <w:pPr>
        <w:pStyle w:val="ListNumber"/>
      </w:pPr>
      <w:r/>
      <w:r>
        <w:rPr>
          <w:b/>
        </w:rPr>
        <w:t>Traçabilité nominative obligatoire</w:t>
      </w:r>
      <w:r>
        <w:t xml:space="preserve"> : nom, prénom, date de naissance, numéro de lot, date d'administration, dose (UI/kg), lieu d'administration, prescripteur — à reporter dans le dossier patient ET dans le registre national de pharmacovigilance des PSS (formulaire de notification d'effet indésirable CNTS/ANSM). Indispensable pour le rappel de lots en cas d'incident transfusionnel ou de risque viral émergent.</w:t>
      </w:r>
    </w:p>
    <w:p>
      <w:pPr>
        <w:pStyle w:val="ListNumber"/>
      </w:pPr>
      <w:r/>
      <w:r>
        <w:rPr>
          <w:b/>
        </w:rPr>
        <w:t>Dépistage systématique des inhibiteurs</w:t>
      </w:r>
      <w:r>
        <w:t xml:space="preserve"> : pour tout patient hémophile recevant un concentré de FVIII ou FIX, </w:t>
      </w:r>
      <w:r>
        <w:rPr>
          <w:b/>
        </w:rPr>
        <w:t>dosage Bethesda à chaque consultation</w:t>
      </w:r>
      <w:r>
        <w:t xml:space="preserve"> (au minimum tous les 3-6 mois la première année, puis annuel), et devant tout échec thérapeutique (saignement non contrôlé malgré dose adaptée). Un titre ≥ 0,6 UB (Unité Bethesda) définit un inhibiteur ; &gt; 5 UB = haut répondeur (réponse anamnestique en 3-5 j après exposition).</w:t>
      </w:r>
    </w:p>
    <w:p>
      <w:pPr>
        <w:pStyle w:val="ListNumber"/>
      </w:pPr>
      <w:r/>
      <w:r>
        <w:rPr>
          <w:b/>
        </w:rPr>
        <w:t>Réaction d'hypersensibilité</w:t>
      </w:r>
      <w:r>
        <w:t xml:space="preserve"> : tout PSS peut induire une réaction allergique (urticaire, bronchospasme, hypotension, choc anaphylactique) en raison de la protéine étrangère ou d'excipients (polysorbate, saccharose, histidine). Disposer d'un kit d'urgence (adrénaline IM 0,5 mg, antihistaminique, corticoïde) à proximité. Les patients IgA-déficients avec anticorps anti-IgA sont à risque particulier d'anaphylaxie aux produits plasmatiques.</w:t>
      </w:r>
    </w:p>
    <w:p>
      <w:pPr>
        <w:pStyle w:val="ListNumber"/>
      </w:pPr>
      <w:r/>
      <w:r>
        <w:rPr>
          <w:b/>
        </w:rPr>
        <w:t>Risque thrombotique</w:t>
      </w:r>
      <w:r>
        <w:t xml:space="preserve"> des procoagulants (PCC, FEIBA, rFVIIa, fibrinogène) : surveiller D-dimères, fibrinogène, NFS-plaquettes, et clinique (signes de TVP, EP, AVC ischémique, infarctus) chez les patients à risque (âge &gt; 60 ans, antécédents thrombo-emboliques, chirurgie lourde, post-partum, syndrome des antiphospholipides, cancer actif).</w:t>
      </w:r>
    </w:p>
    <w:p>
      <w:pPr>
        <w:pStyle w:val="ListNumber"/>
      </w:pPr>
      <w:r/>
      <w:r>
        <w:rPr>
          <w:b/>
        </w:rPr>
        <w:t>Pharmacovigilance virale</w:t>
      </w:r>
      <w:r>
        <w:t xml:space="preserve"> : bien que les étapes d'inactivation virale (solvant-détergent, nanofiltration, pasteurisation) soient appliquées systématiquement, aucun PSS ne peut garantir un risque viral nul. Les agents non enveloppés (HAV, Parvovirus B19) et les prions restent un risque résiduel théorique. Notifier toute infection virale survenant dans les 6 mois suivant l'administration d'un PSS.</w:t>
      </w:r>
    </w:p>
    <w:p>
      <w:pPr>
        <w:pStyle w:val="ListNumber"/>
      </w:pPr>
      <w:r/>
      <w:r>
        <w:rPr>
          <w:b/>
        </w:rPr>
        <w:t>Pas de substitution automatique</w:t>
      </w:r>
      <w:r>
        <w:t xml:space="preserve"> entre produits : la substitution d'un facteur recombinant par un autre (par ex. octocog alfa → turoctocog alfa) ou d'un plasma-derived par un recombinant </w:t>
      </w:r>
      <w:r>
        <w:rPr>
          <w:b/>
        </w:rPr>
        <w:t>doit être validée par un hématologue spécialisé</w:t>
      </w:r>
      <w:r>
        <w:t>, en raison des différences de pharmacocinétique (demi-vie, recovery), d'immunogénicité (risque inhibiteur variable selon produit), et de posologie (les doses en UI/kg ne sont pas directement transposables).</w:t>
      </w:r>
    </w:p>
    <w:p>
      <w:pPr>
        <w:pStyle w:val="ListNumber"/>
      </w:pPr>
      <w:r/>
      <w:r>
        <w:rPr>
          <w:b/>
        </w:rPr>
        <w:t>Grossesse et allaitement</w:t>
      </w:r>
      <w:r>
        <w:t xml:space="preserve"> : les facteurs de coagulation ne traversent pas significativement la barrière placentaire (poids moléculaire &gt; 200 kDa pour FVIII/VWF, ~55 kDa pour FIX). L'utilisation chez la femme enceinte hémophile ou VWD symptomatique est possible pendant le travail et la délivrance pour prévenir l'HPP. L'allaitement n'est pas contre-indiqué (passage minimal dans le lait maternel ; digestion protéique néonatale).</w:t>
      </w:r>
    </w:p>
    <w:p>
      <w:pPr>
        <w:pStyle w:val="Heading3"/>
      </w:pPr>
      <w:r>
        <w:t>10. Public cible et objectifs pédagogiques</w:t>
      </w:r>
    </w:p>
    <w:p>
      <w:r>
        <w:t>Ce fascicule s'adresse en priorité aux étudiants en pharmacie d'officine en vue de l'exercice professionnel en officine algérienne (conseil aux patients hémophiles, délivrance des PSS sur ordonnance hospitalière, gestion de la chaîne du froid) et en milieu hospitalier (pharmacie à usage intérieur, dispensation nominative, traçabilité, pharmacovigilance). Il vise également les internes en pharmacie, les pharmaciens hospitaliers, les hématologues, anesthésistes-réanimateurs, chirurgiens et gynéco-obstétriciens.</w:t>
      </w:r>
    </w:p>
    <w:p>
      <w:r>
        <w:t xml:space="preserve">Les </w:t>
      </w:r>
      <w:r>
        <w:rPr>
          <w:b/>
        </w:rPr>
        <w:t>compétences cibles</w:t>
      </w:r>
      <w:r>
        <w:t xml:space="preserve"> à l'issue de l'étude du fascicule sont :</w:t>
      </w:r>
    </w:p>
    <w:p>
      <w:pPr>
        <w:pStyle w:val="ListBullet"/>
      </w:pPr>
      <w:r>
        <w:t>Identifier et classer les 17 DCI de PSS disponibles en Algérie selon leur classe ATC et leur mécanisme d'action.</w:t>
      </w:r>
    </w:p>
    <w:p>
      <w:pPr>
        <w:pStyle w:val="ListBullet"/>
      </w:pPr>
      <w:r>
        <w:t>Distinguer facteurs recombinants (rFVIII, rFIX) et plasmatiques (pdFVIII, pdFIX, PCC, fibrinogène).</w:t>
      </w:r>
    </w:p>
    <w:p>
      <w:pPr>
        <w:pStyle w:val="ListBullet"/>
      </w:pPr>
      <w:r>
        <w:t>Maîtriser la posologie en UI/kg selon le type de saignement (articulaire, musculaire, gastro-intestinal, cérébral) et le type de chirurgie (mineure, majeure).</w:t>
      </w:r>
    </w:p>
    <w:p>
      <w:pPr>
        <w:pStyle w:val="ListBullet"/>
      </w:pPr>
      <w:r>
        <w:t>Connaître la chaîne du froid, les modalités de reconstitution, et la formation à l'auto-administration à domicile.</w:t>
      </w:r>
    </w:p>
    <w:p>
      <w:pPr>
        <w:pStyle w:val="ListBullet"/>
      </w:pPr>
      <w:r>
        <w:t>Dépister et gérer les inhibiteurs anti-FVIII (test Bethesda, ITI, bypassing agents).</w:t>
      </w:r>
    </w:p>
    <w:p>
      <w:pPr>
        <w:pStyle w:val="ListBullet"/>
      </w:pPr>
      <w:r>
        <w:t>Identifier les interactions médicamenteuses (antifibrinolytiques, APAS, AVK).</w:t>
      </w:r>
    </w:p>
    <w:p>
      <w:pPr>
        <w:pStyle w:val="ListBullet"/>
      </w:pPr>
      <w:r>
        <w:t>Conseiller une femme enceinte hémophile ou VWD (suivi multidisciplinaire, prévention HPP).</w:t>
      </w:r>
    </w:p>
    <w:p>
      <w:pPr>
        <w:pStyle w:val="ListBullet"/>
      </w:pPr>
      <w:r>
        <w:t>Reconnaître les situations d'urgence vitale nécessitant PCC (hémorragie sous AVK), fibrinogène (CIVD, hémorragie post-CEC), FEIBA/rFVIIa (hémophilie avec inhibiteur et saignement aigu).</w:t>
      </w:r>
    </w:p>
    <w:p>
      <w:pPr>
        <w:pStyle w:val="Heading2"/>
      </w:pPr>
      <w:r>
        <w:t>Sommaire général du Fascicule XXIII</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Chapitre</w:t>
            </w:r>
          </w:p>
        </w:tc>
        <w:tc>
          <w:tcPr>
            <w:tcW w:type="dxa" w:w="2771"/>
            <w:shd w:val="clear" w:color="auto" w:fill="F2F2F2"/>
          </w:tcPr>
          <w:p>
            <w:r>
              <w:rPr>
                <w:rFonts w:ascii="Times New Roman" w:hAnsi="Times New Roman"/>
                <w:b/>
                <w:sz w:val="20"/>
              </w:rPr>
              <w:t>Sous-classes traitées</w:t>
            </w:r>
          </w:p>
        </w:tc>
        <w:tc>
          <w:tcPr>
            <w:tcW w:type="dxa" w:w="2771"/>
            <w:shd w:val="clear" w:color="auto" w:fill="F2F2F2"/>
          </w:tcPr>
          <w:p>
            <w:r>
              <w:rPr>
                <w:rFonts w:ascii="Times New Roman" w:hAnsi="Times New Roman"/>
                <w:b/>
                <w:sz w:val="20"/>
              </w:rPr>
              <w:t>Nombre de DCI</w:t>
            </w:r>
          </w:p>
        </w:tc>
      </w:tr>
      <w:tr>
        <w:tc>
          <w:tcPr>
            <w:tcW w:type="dxa" w:w="2771"/>
          </w:tcPr>
          <w:p>
            <w:r>
              <w:rPr>
                <w:rFonts w:ascii="Times New Roman" w:hAnsi="Times New Roman"/>
                <w:sz w:val="20"/>
              </w:rPr>
              <w:t>230</w:t>
            </w:r>
          </w:p>
        </w:tc>
        <w:tc>
          <w:tcPr>
            <w:tcW w:type="dxa" w:w="2771"/>
          </w:tcPr>
          <w:p>
            <w:r>
              <w:rPr>
                <w:rFonts w:ascii="Times New Roman" w:hAnsi="Times New Roman"/>
                <w:sz w:val="20"/>
              </w:rPr>
              <w:t>Introduction générale et rappel physiologique</w:t>
            </w:r>
          </w:p>
        </w:tc>
        <w:tc>
          <w:tcPr>
            <w:tcW w:type="dxa" w:w="2771"/>
          </w:tcPr>
          <w:p>
            <w:r>
              <w:rPr>
                <w:rFonts w:ascii="Times New Roman" w:hAnsi="Times New Roman"/>
                <w:sz w:val="20"/>
              </w:rPr>
              <w:t>—</w:t>
            </w:r>
          </w:p>
        </w:tc>
      </w:tr>
      <w:tr>
        <w:tc>
          <w:tcPr>
            <w:tcW w:type="dxa" w:w="2771"/>
          </w:tcPr>
          <w:p>
            <w:r>
              <w:rPr>
                <w:rFonts w:ascii="Times New Roman" w:hAnsi="Times New Roman"/>
                <w:sz w:val="20"/>
              </w:rPr>
              <w:t>231</w:t>
            </w:r>
          </w:p>
        </w:tc>
        <w:tc>
          <w:tcPr>
            <w:tcW w:type="dxa" w:w="2771"/>
          </w:tcPr>
          <w:p>
            <w:r>
              <w:rPr>
                <w:rFonts w:ascii="Times New Roman" w:hAnsi="Times New Roman"/>
                <w:sz w:val="20"/>
              </w:rPr>
              <w:t>Albumine humaine (substitut plasmatique oncotique)</w:t>
            </w:r>
          </w:p>
        </w:tc>
        <w:tc>
          <w:tcPr>
            <w:tcW w:type="dxa" w:w="2771"/>
          </w:tcPr>
          <w:p>
            <w:r>
              <w:rPr>
                <w:rFonts w:ascii="Times New Roman" w:hAnsi="Times New Roman"/>
                <w:sz w:val="20"/>
              </w:rPr>
              <w:t>1</w:t>
            </w:r>
          </w:p>
        </w:tc>
      </w:tr>
      <w:tr>
        <w:tc>
          <w:tcPr>
            <w:tcW w:type="dxa" w:w="2771"/>
          </w:tcPr>
          <w:p>
            <w:r>
              <w:rPr>
                <w:rFonts w:ascii="Times New Roman" w:hAnsi="Times New Roman"/>
                <w:sz w:val="20"/>
              </w:rPr>
              <w:t>232</w:t>
            </w:r>
          </w:p>
        </w:tc>
        <w:tc>
          <w:tcPr>
            <w:tcW w:type="dxa" w:w="2771"/>
          </w:tcPr>
          <w:p>
            <w:r>
              <w:rPr>
                <w:rFonts w:ascii="Times New Roman" w:hAnsi="Times New Roman"/>
                <w:sz w:val="20"/>
              </w:rPr>
              <w:t>Facteur VIII &amp; agents bypassant l'inhibiteur (hémophilie A)</w:t>
            </w:r>
          </w:p>
        </w:tc>
        <w:tc>
          <w:tcPr>
            <w:tcW w:type="dxa" w:w="2771"/>
          </w:tcPr>
          <w:p>
            <w:r>
              <w:rPr>
                <w:rFonts w:ascii="Times New Roman" w:hAnsi="Times New Roman"/>
                <w:sz w:val="20"/>
              </w:rPr>
              <w:t>9</w:t>
            </w:r>
          </w:p>
        </w:tc>
      </w:tr>
      <w:tr>
        <w:tc>
          <w:tcPr>
            <w:tcW w:type="dxa" w:w="2771"/>
          </w:tcPr>
          <w:p>
            <w:r>
              <w:rPr>
                <w:rFonts w:ascii="Times New Roman" w:hAnsi="Times New Roman"/>
                <w:sz w:val="20"/>
              </w:rPr>
              <w:t>233</w:t>
            </w:r>
          </w:p>
        </w:tc>
        <w:tc>
          <w:tcPr>
            <w:tcW w:type="dxa" w:w="2771"/>
          </w:tcPr>
          <w:p>
            <w:r>
              <w:rPr>
                <w:rFonts w:ascii="Times New Roman" w:hAnsi="Times New Roman"/>
                <w:sz w:val="20"/>
              </w:rPr>
              <w:t>Facteur IX (hémophilie B)</w:t>
            </w:r>
          </w:p>
        </w:tc>
        <w:tc>
          <w:tcPr>
            <w:tcW w:type="dxa" w:w="2771"/>
          </w:tcPr>
          <w:p>
            <w:r>
              <w:rPr>
                <w:rFonts w:ascii="Times New Roman" w:hAnsi="Times New Roman"/>
                <w:sz w:val="20"/>
              </w:rPr>
              <w:t>2</w:t>
            </w:r>
          </w:p>
        </w:tc>
      </w:tr>
      <w:tr>
        <w:tc>
          <w:tcPr>
            <w:tcW w:type="dxa" w:w="2771"/>
          </w:tcPr>
          <w:p>
            <w:r>
              <w:rPr>
                <w:rFonts w:ascii="Times New Roman" w:hAnsi="Times New Roman"/>
                <w:sz w:val="20"/>
              </w:rPr>
              <w:t>234</w:t>
            </w:r>
          </w:p>
        </w:tc>
        <w:tc>
          <w:tcPr>
            <w:tcW w:type="dxa" w:w="2771"/>
          </w:tcPr>
          <w:p>
            <w:r>
              <w:rPr>
                <w:rFonts w:ascii="Times New Roman" w:hAnsi="Times New Roman"/>
                <w:sz w:val="20"/>
              </w:rPr>
              <w:t>Complexe Facteur VIII + Facteur von Willebrand</w:t>
            </w:r>
          </w:p>
        </w:tc>
        <w:tc>
          <w:tcPr>
            <w:tcW w:type="dxa" w:w="2771"/>
          </w:tcPr>
          <w:p>
            <w:r>
              <w:rPr>
                <w:rFonts w:ascii="Times New Roman" w:hAnsi="Times New Roman"/>
                <w:sz w:val="20"/>
              </w:rPr>
              <w:t>2</w:t>
            </w:r>
          </w:p>
        </w:tc>
      </w:tr>
      <w:tr>
        <w:tc>
          <w:tcPr>
            <w:tcW w:type="dxa" w:w="2771"/>
          </w:tcPr>
          <w:p>
            <w:r>
              <w:rPr>
                <w:rFonts w:ascii="Times New Roman" w:hAnsi="Times New Roman"/>
                <w:sz w:val="20"/>
              </w:rPr>
              <w:t>235</w:t>
            </w:r>
          </w:p>
        </w:tc>
        <w:tc>
          <w:tcPr>
            <w:tcW w:type="dxa" w:w="2771"/>
          </w:tcPr>
          <w:p>
            <w:r>
              <w:rPr>
                <w:rFonts w:ascii="Times New Roman" w:hAnsi="Times New Roman"/>
                <w:sz w:val="20"/>
              </w:rPr>
              <w:t>Complexe de Prothrombine (PCC 4 facteurs)</w:t>
            </w:r>
          </w:p>
        </w:tc>
        <w:tc>
          <w:tcPr>
            <w:tcW w:type="dxa" w:w="2771"/>
          </w:tcPr>
          <w:p>
            <w:r>
              <w:rPr>
                <w:rFonts w:ascii="Times New Roman" w:hAnsi="Times New Roman"/>
                <w:sz w:val="20"/>
              </w:rPr>
              <w:t>1</w:t>
            </w:r>
          </w:p>
        </w:tc>
      </w:tr>
      <w:tr>
        <w:tc>
          <w:tcPr>
            <w:tcW w:type="dxa" w:w="2771"/>
          </w:tcPr>
          <w:p>
            <w:r>
              <w:rPr>
                <w:rFonts w:ascii="Times New Roman" w:hAnsi="Times New Roman"/>
                <w:sz w:val="20"/>
              </w:rPr>
              <w:t>236</w:t>
            </w:r>
          </w:p>
        </w:tc>
        <w:tc>
          <w:tcPr>
            <w:tcW w:type="dxa" w:w="2771"/>
          </w:tcPr>
          <w:p>
            <w:r>
              <w:rPr>
                <w:rFonts w:ascii="Times New Roman" w:hAnsi="Times New Roman"/>
                <w:sz w:val="20"/>
              </w:rPr>
              <w:t>Fibrinogène humain et colles biologiques</w:t>
            </w:r>
          </w:p>
        </w:tc>
        <w:tc>
          <w:tcPr>
            <w:tcW w:type="dxa" w:w="2771"/>
          </w:tcPr>
          <w:p>
            <w:r>
              <w:rPr>
                <w:rFonts w:ascii="Times New Roman" w:hAnsi="Times New Roman"/>
                <w:sz w:val="20"/>
              </w:rPr>
              <w:t>2</w:t>
            </w:r>
          </w:p>
        </w:tc>
      </w:tr>
      <w:tr>
        <w:tc>
          <w:tcPr>
            <w:tcW w:type="dxa" w:w="2771"/>
          </w:tcPr>
          <w:p>
            <w:r>
              <w:rPr>
                <w:rFonts w:ascii="Times New Roman" w:hAnsi="Times New Roman"/>
                <w:sz w:val="20"/>
              </w:rPr>
              <w:t>**Total**</w:t>
            </w:r>
          </w:p>
        </w:tc>
        <w:tc>
          <w:tcPr>
            <w:tcW w:type="dxa" w:w="2771"/>
          </w:tcPr>
          <w:p>
            <w:r>
              <w:rPr>
                <w:rFonts w:ascii="Times New Roman" w:hAnsi="Times New Roman"/>
                <w:sz w:val="20"/>
              </w:rPr>
            </w:r>
          </w:p>
        </w:tc>
        <w:tc>
          <w:tcPr>
            <w:tcW w:type="dxa" w:w="2771"/>
          </w:tcPr>
          <w:p>
            <w:r>
              <w:rPr>
                <w:rFonts w:ascii="Times New Roman" w:hAnsi="Times New Roman"/>
                <w:sz w:val="20"/>
              </w:rPr>
              <w:t>**17**</w:t>
            </w:r>
          </w:p>
        </w:tc>
      </w:tr>
    </w:tbl>
    <w:p/>
    <w:p>
      <w:pPr>
        <w:pStyle w:val="Heading2"/>
      </w:pPr>
      <w:r>
        <w:t>Sources bibliographiques transversales du Fascicule XXIII</w:t>
      </w:r>
    </w:p>
    <w:p>
      <w:pPr>
        <w:pStyle w:val="ListNumber"/>
      </w:pPr>
      <w:r>
        <w:t>World Federation of Hemophilia (WFH) — *Guidelines for the Management of Hemophilia*, 3rd edition, 2020.</w:t>
      </w:r>
    </w:p>
    <w:p>
      <w:pPr>
        <w:pStyle w:val="ListNumber"/>
      </w:pPr>
      <w:r>
        <w:t>European Haemophilia Consortium (EHC) — *Principles of Care for People with Hemophilia*, 2021 update.</w:t>
      </w:r>
    </w:p>
    <w:p>
      <w:pPr>
        <w:pStyle w:val="ListNumber"/>
      </w:pPr>
      <w:r>
        <w:t>European Medicines Agency (EMA) — EPAR (European Public Assessment Reports) pour chaque facteur recombinant.</w:t>
      </w:r>
    </w:p>
    <w:p>
      <w:pPr>
        <w:pStyle w:val="ListNumber"/>
      </w:pPr>
      <w:r>
        <w:t>ANSM (France) — Résumés des Caractéristiques du Produit (RCP) actualisés.</w:t>
      </w:r>
    </w:p>
    <w:p>
      <w:pPr>
        <w:pStyle w:val="ListNumber"/>
      </w:pPr>
      <w:r>
        <w:t>HAS (France) — Avis de la Commission de la Transparence (CT) et de la Commission Nationale d'Évaluation des Dispositifs Médicaux.</w:t>
      </w:r>
    </w:p>
    <w:p>
      <w:pPr>
        <w:pStyle w:val="ListNumber"/>
      </w:pPr>
      <w:r>
        <w:t>CRAT (Centre de Renseignement sur les Agents Tératogènes) — fiche « Grossesse &amp; Allaitement » par molécule.</w:t>
      </w:r>
    </w:p>
    <w:p>
      <w:pPr>
        <w:pStyle w:val="ListNumber"/>
      </w:pPr>
      <w:r>
        <w:t>SFH (Société Française d'Hémostase et de Thrombose) — Recommandations de pratique clinique.</w:t>
      </w:r>
    </w:p>
    <w:p>
      <w:pPr>
        <w:pStyle w:val="ListNumber"/>
      </w:pPr>
      <w:r>
        <w:t>SFAR (Société Française d'Anesthésie-Réanimation) — Recommandations sur la réanimation de l'hémorragie massive.</w:t>
      </w:r>
    </w:p>
    <w:p>
      <w:pPr>
        <w:pStyle w:val="ListNumber"/>
      </w:pPr>
      <w:r>
        <w:t>EASL (European Association for the Study of the Liver) — Baveno VII consensus (2022) sur l'hypertension portale.</w:t>
      </w:r>
    </w:p>
    <w:p>
      <w:pPr>
        <w:pStyle w:val="ListNumber"/>
      </w:pPr>
      <w:r>
        <w:t>Surviving Sepsis Campaign — Guidelines 2021 (Society of Critical Care Medicine + ESICM).</w:t>
      </w:r>
    </w:p>
    <w:p>
      <w:pPr>
        <w:pStyle w:val="ListNumber"/>
      </w:pPr>
      <w:r>
        <w:t>ACCP (American College of Chest Physicians) — Antithrombotic Therapy and Prevention of Thrombosis, 10th edition (2012, mise à jour partielle 2021).</w:t>
      </w:r>
    </w:p>
    <w:p>
      <w:pPr>
        <w:pStyle w:val="ListNumber"/>
      </w:pPr>
      <w:r>
        <w:t>KDIGO (Kidney Disease: Improving Global Outcomes) — Guidelines on Hepatorenal Syndrome (HRS-AKI).</w:t>
      </w:r>
    </w:p>
    <w:p>
      <w:pPr>
        <w:pStyle w:val="ListNumber"/>
      </w:pPr>
      <w:r>
        <w:t>AFSSAPS/ANSM — « État des lieux des produits sanguins stables en France », rapports annuels 2018-2024.</w:t>
      </w:r>
    </w:p>
    <w:p>
      <w:pPr>
        <w:pStyle w:val="ListNumber"/>
      </w:pPr>
      <w:r>
        <w:t>CNTS Algérie — Rapports d'activité (Centre National de Transfusion Sanguine).</w:t>
      </w:r>
    </w:p>
    <w:p>
      <w:pPr>
        <w:pStyle w:val="ListNumber"/>
      </w:pPr>
      <w:r>
        <w:t>Theriaque — Banque française de données pharmacologiques.</w:t>
      </w:r>
    </w:p>
    <w:p>
      <w:pPr>
        <w:pStyle w:val="Heading1"/>
      </w:pPr>
      <w:r>
        <w:t>Fascicule XXIII — Chapitre 231</w:t>
      </w:r>
    </w:p>
    <w:p>
      <w:pPr>
        <w:pStyle w:val="Heading2"/>
      </w:pPr>
      <w:r>
        <w:t>Albumine humaine — Substitut plasmatique oncotique</w:t>
      </w:r>
    </w:p>
    <w:p>
      <w:pPr>
        <w:pStyle w:val="Heading2"/>
      </w:pPr>
      <w:r>
        <w:t>Sommaire du chapitre 231</w:t>
      </w:r>
    </w:p>
    <w:p>
      <w:pPr>
        <w:pStyle w:val="ListBullet"/>
      </w:pPr>
      <w:r>
        <w:t>231.1. Introduction : place de l'albumine humaine dans la pharmacopée algérienne</w:t>
      </w:r>
    </w:p>
    <w:p>
      <w:pPr>
        <w:pStyle w:val="ListBullet"/>
      </w:pPr>
      <w:r>
        <w:t>231.2. Rappel physiologique : synthèse, fonctions, métabolisme de l'albumine</w:t>
      </w:r>
    </w:p>
    <w:p>
      <w:pPr>
        <w:pStyle w:val="ListBullet"/>
      </w:pPr>
      <w:r>
        <w:t>231.3. Production pharmaceutique : fractionnement Cohn et sécurité virale</w:t>
      </w:r>
    </w:p>
    <w:p>
      <w:pPr>
        <w:pStyle w:val="ListBullet"/>
      </w:pPr>
      <w:r>
        <w:t>231.4. DCI : Albumine humaine — Fiche exhaustive (12 sous-sections)</w:t>
      </w:r>
    </w:p>
    <w:p>
      <w:pPr>
        <w:pStyle w:val="ListBullet"/>
      </w:pPr>
      <w:r>
        <w:t>231.5. Récapitulatif clinique et pédagogique</w:t>
      </w:r>
    </w:p>
    <w:p>
      <w:pPr>
        <w:pStyle w:val="Heading2"/>
      </w:pPr>
      <w:r>
        <w:t>231.1. Introduction : place de l'albumine humaine dans la pharmacopée algérienne</w:t>
      </w:r>
    </w:p>
    <w:p>
      <w:r>
        <w:t xml:space="preserve">L'albumine humaine est le </w:t>
      </w:r>
      <w:r>
        <w:rPr>
          <w:b/>
        </w:rPr>
        <w:t>substitut plasmatique le plus prescrit au monde</w:t>
      </w:r>
      <w:r>
        <w:t xml:space="preserve"> et occupe une place centrale dans la réanimation volémique, l'hépatologie, la néphrologie et la chirurgie lourde. En Algérie, huit spécialités commerciales sont (ou ont été) commercialisées à la concentration </w:t>
      </w:r>
      <w:r>
        <w:rPr>
          <w:b/>
        </w:rPr>
        <w:t>20 %</w:t>
      </w:r>
      <w:r>
        <w:t xml:space="preserve"> (200 g/L), dont sept actuellement actives et une retirée (Medicuba). Aucune spécialité à 4 % ou 5 % n'est disponible sur le marché algérien ; les services hospitaliers pratiquent la </w:t>
      </w:r>
      <w:r>
        <w:rPr>
          <w:b/>
        </w:rPr>
        <w:t>dilution extemporanée</w:t>
      </w:r>
      <w:r>
        <w:t xml:space="preserve"> de l'albumine 20 % dans du NaCl 0,9 % pour obtenir une concentration isooncotique (~4-5 %) lorsque l'indication l'impose (par exemple, hypovolémie post-chirurgicale avec surcharge sodée contre-indiquée).</w:t>
      </w:r>
    </w:p>
    <w:p>
      <w:r>
        <w:t xml:space="preserve">L'albumine humaine est inscrite sur la </w:t>
      </w:r>
      <w:r>
        <w:rPr>
          <w:b/>
        </w:rPr>
        <w:t>Liste I</w:t>
      </w:r>
      <w:r>
        <w:t xml:space="preserve"> des substances vénéneuses (sur ordonnance médicale), mais sa délivrance est en pratique </w:t>
      </w:r>
      <w:r>
        <w:rPr>
          <w:b/>
        </w:rPr>
        <w:t>principalement hospitalière</w:t>
      </w:r>
      <w:r>
        <w:t xml:space="preserve"> : la traçabilité nominative est obligatoire (registre CNTS), la prescription émane le plus souvent d'un médecin hospitalier (réanimateur, hépatologue, chirurgien), et le circuit d'approvisionnement passe par la pharmacie à usage intérieur (PUI) des établissements de santé. La délivrance en officine de ville est exceptionnelle, sur présentation d'une ordonnance hospitalière et dans le cadre de la continuité des soins à domicile (certains patients cirrhotiques ascitiques chroniques reçoivent des perfusions d'albumine en HAD).</w:t>
      </w:r>
    </w:p>
    <w:p>
      <w:r>
        <w:t xml:space="preserve">Le coût de l'albumine humaine 20 % est d'environ </w:t>
      </w:r>
      <w:r>
        <w:rPr>
          <w:b/>
        </w:rPr>
        <w:t>30-40 € pour 100 mL (20 g)</w:t>
      </w:r>
      <w:r>
        <w:t xml:space="preserve"> en France ; en Algérie, le prix public est sensiblement équivalent en dinars (≈ 4 000-6 000 DA/flacon de 100 mL). Cette dépense est prise en charge par la Sécurité Sociale algérienne (CNAS) dans le cadre des affections longue durée (ALD) de cirrhose décompensée, syndrome néphrotique, néphropathie chronique terminale, et du post-opératoire de chirurgie lourde.</w:t>
      </w:r>
    </w:p>
    <w:p>
      <w:r>
        <w:t xml:space="preserve">L'albumine humaine a fait l'objet d'une </w:t>
      </w:r>
      <w:r>
        <w:rPr>
          <w:b/>
        </w:rPr>
        <w:t>réévaluation bénéfice-risque</w:t>
      </w:r>
      <w:r>
        <w:t xml:space="preserve"> internationale depuis la méta-analyse Cochrane 2011 (évoquant une surmortalité avec l'albumine vs cristalloïdes en réanimation), réévaluation qui a abouti aux recommandations </w:t>
      </w:r>
      <w:r>
        <w:rPr>
          <w:b/>
        </w:rPr>
        <w:t>Surviving Sepsis Campaign 2021</w:t>
      </w:r>
      <w:r>
        <w:t xml:space="preserve"> précisant qu'en cas de choc septique avec hypoalbuminémie &lt; 30 g/L persistant après remplissage par cristalloïdes, l'albumine 20 % peut être ajoutée pour maintenir la pression oncotique et réduire l'œdème tissulaire. Le débat cristalloïdes vs colloïdes (albumine, HEA, gélatines) reste vif, mais l'albumine conserve ses indications spécifiques où son efficacité est démontrée : </w:t>
      </w:r>
      <w:r>
        <w:rPr>
          <w:b/>
        </w:rPr>
        <w:t>paracentèse évacuatrice &gt; 5 L</w:t>
      </w:r>
      <w:r>
        <w:t xml:space="preserve">, </w:t>
      </w:r>
      <w:r>
        <w:rPr>
          <w:b/>
        </w:rPr>
        <w:t>purpura fulminans</w:t>
      </w:r>
      <w:r>
        <w:t xml:space="preserve">, </w:t>
      </w:r>
      <w:r>
        <w:rPr>
          <w:b/>
        </w:rPr>
        <w:t>syndrome hépato-rénal (HRS)</w:t>
      </w:r>
      <w:r>
        <w:t xml:space="preserve">, </w:t>
      </w:r>
      <w:r>
        <w:rPr>
          <w:b/>
        </w:rPr>
        <w:t>hypovolémie réfractaire post-chirurgicale</w:t>
      </w:r>
      <w:r>
        <w:t xml:space="preserve">, </w:t>
      </w:r>
      <w:r>
        <w:rPr>
          <w:b/>
        </w:rPr>
        <w:t>chylothorax post-chirurgical</w:t>
      </w:r>
      <w:r>
        <w:t xml:space="preserve">, et </w:t>
      </w:r>
      <w:r>
        <w:rPr>
          <w:b/>
        </w:rPr>
        <w:t>plasmaphérèse</w:t>
      </w:r>
      <w:r>
        <w:t>.</w:t>
      </w:r>
    </w:p>
    <w:p>
      <w:pPr>
        <w:pStyle w:val="Heading3"/>
      </w:pPr>
      <w:r>
        <w:t>Cadre réglementaire algérien</w:t>
      </w:r>
    </w:p>
    <w:p>
      <w:r>
        <w:t xml:space="preserve">L'albumine humaine en Algérie relève du </w:t>
      </w:r>
      <w:r>
        <w:rPr>
          <w:b/>
        </w:rPr>
        <w:t>Centre National de Transfusion Sanguine (CNTS)</w:t>
      </w:r>
      <w:r>
        <w:t xml:space="preserve"> pour la collecte du plasma source et du </w:t>
      </w:r>
      <w:r>
        <w:rPr>
          <w:b/>
        </w:rPr>
        <w:t>Ministère de la Santé</w:t>
      </w:r>
      <w:r>
        <w:t xml:space="preserve"> pour la régulation du marché. Les importations proviennent majoritairement de laboratoires étrangers (Biotest Pharma, SK Plasma, Grifols, Baxter, CSL Behring, LFB Biomédicaments) ; la production locale est assurée par </w:t>
      </w:r>
      <w:r>
        <w:rPr>
          <w:b/>
        </w:rPr>
        <w:t>CPCM/Saidal</w:t>
      </w:r>
      <w:r>
        <w:t xml:space="preserve"> sous la marque </w:t>
      </w:r>
      <w:r>
        <w:rPr>
          <w:b/>
        </w:rPr>
        <w:t>ALBUREL</w:t>
      </w:r>
      <w:r>
        <w:t>. La traçabilité nominative est obligatoire (registre national des PSS) et tout effet indésirable grave doit être notifié au Centre National de Pharmacovigilance (CNPV) d'Alger.</w:t>
      </w:r>
    </w:p>
    <w:p>
      <w:pPr>
        <w:pStyle w:val="Heading2"/>
      </w:pPr>
      <w:r>
        <w:t>231.2. Rappel physiologique : synthèse, fonctions, métabolisme de l'albumine</w:t>
      </w:r>
    </w:p>
    <w:p>
      <w:pPr>
        <w:pStyle w:val="Heading3"/>
      </w:pPr>
      <w:r>
        <w:t>Synthèse et structure</w:t>
      </w:r>
    </w:p>
    <w:p>
      <w:r>
        <w:t xml:space="preserve">L'albumine humaine est une protéine plasmatique de </w:t>
      </w:r>
      <w:r>
        <w:rPr>
          <w:b/>
        </w:rPr>
        <w:t>66 500 daltons</w:t>
      </w:r>
      <w:r>
        <w:t xml:space="preserve"> (585 acides aminés), synthétisée par les </w:t>
      </w:r>
      <w:r>
        <w:rPr>
          <w:b/>
        </w:rPr>
        <w:t>hépatocytes</w:t>
      </w:r>
      <w:r>
        <w:t xml:space="preserve"> (pôle sinusoidal), au rythme de </w:t>
      </w:r>
      <w:r>
        <w:rPr>
          <w:b/>
        </w:rPr>
        <w:t>10-15 g/jour</w:t>
      </w:r>
      <w:r>
        <w:t xml:space="preserve"> chez l'adulte sain (capacité maximale de synthèse × 3-4 en cas de fuite). Sa demi-vie plasmatique est de </w:t>
      </w:r>
      <w:r>
        <w:rPr>
          <w:b/>
        </w:rPr>
        <w:t>15-20 jours</w:t>
      </w:r>
      <w:r>
        <w:t xml:space="preserve">. Le gène codant pour l'albumine est situé sur le chromosome 4q13.3. La protéine est organisée en </w:t>
      </w:r>
      <w:r>
        <w:rPr>
          <w:b/>
        </w:rPr>
        <w:t>trois domaines homologues</w:t>
      </w:r>
      <w:r>
        <w:t xml:space="preserve"> (I, II, III), chacun comportant deux sous-domaines (A, B), disposés en forme de cœur. Cette structure tridimensionnelle confère à l'albumine une grande flexibilité conformationnelle et de multiples sites de liaison pour les composés endogènes et exogènes (médicaments).</w:t>
      </w:r>
    </w:p>
    <w:p>
      <w:pPr>
        <w:pStyle w:val="Heading3"/>
      </w:pPr>
      <w:r>
        <w:t>Concentration physiologique</w:t>
      </w:r>
    </w:p>
    <w:p>
      <w:pPr>
        <w:pStyle w:val="ListBullet"/>
      </w:pPr>
      <w:r>
        <w:t xml:space="preserve">Albuminémie normale : </w:t>
      </w:r>
      <w:r>
        <w:rPr>
          <w:b/>
        </w:rPr>
        <w:t>35-50 g/L</w:t>
      </w:r>
      <w:r>
        <w:t xml:space="preserve"> chez l'adulte.</w:t>
      </w:r>
    </w:p>
    <w:p>
      <w:pPr>
        <w:pStyle w:val="ListBullet"/>
      </w:pPr>
      <w:r>
        <w:t xml:space="preserve">Albuminémie critique (hypoalbuminémie sévère) : </w:t>
      </w:r>
      <w:r>
        <w:rPr>
          <w:b/>
        </w:rPr>
        <w:t>&lt; 25 g/L</w:t>
      </w:r>
      <w:r>
        <w:t xml:space="preserve"> (risque d'œdèmes, surcharge hydro-sodée, toxicité des médicaments liés).</w:t>
      </w:r>
    </w:p>
    <w:p>
      <w:pPr>
        <w:pStyle w:val="ListBullet"/>
      </w:pPr>
      <w:r>
        <w:t xml:space="preserve">Pression oncotique plasmatique normale : </w:t>
      </w:r>
      <w:r>
        <w:rPr>
          <w:b/>
        </w:rPr>
        <w:t>25-30 mmHg</w:t>
      </w:r>
      <w:r>
        <w:t xml:space="preserve"> (l'albumine assure 75-80 % de cette pression).</w:t>
      </w:r>
    </w:p>
    <w:p>
      <w:pPr>
        <w:pStyle w:val="Heading3"/>
      </w:pPr>
      <w:r>
        <w:t>Fonctions physiologiques principales</w:t>
      </w:r>
    </w:p>
    <w:p>
      <w:pPr>
        <w:pStyle w:val="ListNumber"/>
      </w:pPr>
      <w:r/>
      <w:r>
        <w:rPr>
          <w:b/>
        </w:rPr>
        <w:t>Pression oncotique</w:t>
      </w:r>
      <w:r>
        <w:t xml:space="preserve"> : l'albumine est responsable de </w:t>
      </w:r>
      <w:r>
        <w:rPr>
          <w:b/>
        </w:rPr>
        <w:t>75-80 %</w:t>
      </w:r>
      <w:r>
        <w:t xml:space="preserve"> de la pression oncotique plasmatique. Sa concentration élevée dans le compartiment vasculaire (40 g/L vs 5 g/L interstitiel) génère un gradient qui retient l'eau dans le secteur vasculaire selon la </w:t>
      </w:r>
      <w:r>
        <w:rPr>
          <w:b/>
        </w:rPr>
        <w:t>loi de Starling</w:t>
      </w:r>
      <w:r>
        <w:t xml:space="preserve"> : *Pnet = (Pcap − Pint) − (πcap − πint)*. Une baisse de πcap (hypoalbuminémie) entraîne une fuite d'eau vers le secteur interstitiel et génère des œdèmes.</w:t>
      </w:r>
    </w:p>
    <w:p>
      <w:pPr>
        <w:pStyle w:val="ListNumber"/>
      </w:pPr>
      <w:r/>
      <w:r>
        <w:rPr>
          <w:b/>
        </w:rPr>
        <w:t>Transport macromoléculaire</w:t>
      </w:r>
      <w:r>
        <w:t xml:space="preserve"> : l'albumine est le principal transporteur plasmatique de :</w:t>
      </w:r>
    </w:p>
    <w:p>
      <w:pPr>
        <w:pStyle w:val="ListBullet"/>
      </w:pPr>
      <w:r/>
      <w:r>
        <w:rPr>
          <w:b/>
        </w:rPr>
        <w:t>Acides gras libres</w:t>
      </w:r>
      <w:r>
        <w:t xml:space="preserve"> (non estérifiés, NEFA) : site de liaison primaire, libération aux tissus consommateurs (muscle, cœur).</w:t>
      </w:r>
    </w:p>
    <w:p>
      <w:pPr>
        <w:pStyle w:val="ListBullet"/>
      </w:pPr>
      <w:r/>
      <w:r>
        <w:rPr>
          <w:b/>
        </w:rPr>
        <w:t>Bilirubine</w:t>
      </w:r>
      <w:r>
        <w:t xml:space="preserve"> non conjuguée (indirecte) : prévention de l'encéphalopathie bilirubinique du nouveau-né.</w:t>
      </w:r>
    </w:p>
    <w:p>
      <w:pPr>
        <w:pStyle w:val="ListBullet"/>
      </w:pPr>
      <w:r/>
      <w:r>
        <w:rPr>
          <w:b/>
        </w:rPr>
        <w:t>Hormones thyroïdiennes</w:t>
      </w:r>
      <w:r>
        <w:t xml:space="preserve"> (T4 surtout, T3 partiellement).</w:t>
      </w:r>
    </w:p>
    <w:p>
      <w:pPr>
        <w:pStyle w:val="ListBullet"/>
      </w:pPr>
      <w:r/>
      <w:r>
        <w:rPr>
          <w:b/>
        </w:rPr>
        <w:t>Ions métalliques</w:t>
      </w:r>
      <w:r>
        <w:t xml:space="preserve"> : Cu²⁺, Zn²⁺, Ni²⁺, Cd²⁺ (toxiques).</w:t>
      </w:r>
    </w:p>
    <w:p>
      <w:pPr>
        <w:pStyle w:val="ListBullet"/>
      </w:pPr>
      <w:r/>
      <w:r>
        <w:rPr>
          <w:b/>
        </w:rPr>
        <w:t>Médicaments</w:t>
      </w:r>
      <w:r>
        <w:t xml:space="preserve"> : acide valproïque, warfarine, diclofénac, ibuprofène, diazépam, midazolam, digitoxine, furosémide, céphalosporines (3G), salicylates. La fraction libre (pharmacologiquement active) augmente en cas d'hypoalbuminémie → risque de toxicité.</w:t>
      </w:r>
    </w:p>
    <w:p>
      <w:pPr>
        <w:pStyle w:val="ListNumber"/>
      </w:pPr>
      <w:r/>
      <w:r>
        <w:rPr>
          <w:b/>
        </w:rPr>
        <w:t>Effet antioxydant et anti-inflammatoire</w:t>
      </w:r>
      <w:r>
        <w:t xml:space="preserve"> : l'albumine possède un résidu </w:t>
      </w:r>
      <w:r>
        <w:rPr>
          <w:b/>
        </w:rPr>
        <w:t>Cys-34</w:t>
      </w:r>
      <w:r>
        <w:t xml:space="preserve"> (groupement thiol -SH libre) capable de piéger les radicaux libres (ROS, RNS) et de neutraliser les espèces réactives. Elle se lie aux </w:t>
      </w:r>
      <w:r>
        <w:rPr>
          <w:b/>
        </w:rPr>
        <w:t>endotoxines bactériennes</w:t>
      </w:r>
      <w:r>
        <w:t xml:space="preserve"> (LPS) et module ainsi la réponse inflammatoire systémique.</w:t>
      </w:r>
    </w:p>
    <w:p>
      <w:pPr>
        <w:pStyle w:val="ListNumber"/>
      </w:pPr>
      <w:r/>
      <w:r>
        <w:rPr>
          <w:b/>
        </w:rPr>
        <w:t>Maintien de l'intégrité endothéliale</w:t>
      </w:r>
      <w:r>
        <w:t xml:space="preserve"> : la couche d'albumine adsorbée à la surface luminale des cellules endothéliales (glycocalyx) participe à l'étanchéité vasculaire et prévient la fuite liquidienne.</w:t>
      </w:r>
    </w:p>
    <w:p>
      <w:pPr>
        <w:pStyle w:val="Heading3"/>
      </w:pPr>
      <w:r>
        <w:t>Métabolisme</w:t>
      </w:r>
    </w:p>
    <w:p>
      <w:r>
        <w:t xml:space="preserve">L'albumine est catabolisée principalement par les </w:t>
      </w:r>
      <w:r>
        <w:rPr>
          <w:b/>
        </w:rPr>
        <w:t>cellules endothéliales et les macrophages</w:t>
      </w:r>
      <w:r>
        <w:t xml:space="preserve"> (récepteurs SPARC, gp18, gp30, cubiline, FcRn), qui internalisent l'albumine par pinocytose, la dégradent en acides aminés (réutilisés pour la néo-synthèse protéique). Le foie joue également un rôle de dégradation mineur. Les pertes physiologiques sont : </w:t>
      </w:r>
      <w:r>
        <w:rPr>
          <w:b/>
        </w:rPr>
        <w:t>trans-rénale</w:t>
      </w:r>
      <w:r>
        <w:t xml:space="preserve"> (&lt; 30 mg/jour, filtrée puis réabsorbée par le tube proximal via mégaline-cubiline), </w:t>
      </w:r>
      <w:r>
        <w:rPr>
          <w:b/>
        </w:rPr>
        <w:t>trans-digestive</w:t>
      </w:r>
      <w:r>
        <w:t xml:space="preserve"> (~1 g/jour desquamée), </w:t>
      </w:r>
      <w:r>
        <w:rPr>
          <w:b/>
        </w:rPr>
        <w:t>trans-cutanée</w:t>
      </w:r>
      <w:r>
        <w:t xml:space="preserve"> (négligeable).</w:t>
      </w:r>
    </w:p>
    <w:p>
      <w:r>
        <w:t xml:space="preserve">Les pertes pathologiques sont : </w:t>
      </w:r>
      <w:r>
        <w:rPr>
          <w:b/>
        </w:rPr>
        <w:t>syndrome néphrotique</w:t>
      </w:r>
      <w:r>
        <w:t xml:space="preserve"> (protéinurie &gt; 3,5 g/24 h, hypalbuminémie &lt; 30 g/L), </w:t>
      </w:r>
      <w:r>
        <w:rPr>
          <w:b/>
        </w:rPr>
        <w:t>entéropathie exsudative</w:t>
      </w:r>
      <w:r>
        <w:t xml:space="preserve"> (maladie de Crohn, lymphangiectasie), </w:t>
      </w:r>
      <w:r>
        <w:rPr>
          <w:b/>
        </w:rPr>
        <w:t>brûlures étendues</w:t>
      </w:r>
      <w:r>
        <w:t xml:space="preserve"> (perte cutanée massive), </w:t>
      </w:r>
      <w:r>
        <w:rPr>
          <w:b/>
        </w:rPr>
        <w:t>pleurésie/chylothorax</w:t>
      </w:r>
      <w:r>
        <w:t xml:space="preserve"> exsudative, </w:t>
      </w:r>
      <w:r>
        <w:rPr>
          <w:b/>
        </w:rPr>
        <w:t>hémorragie massive</w:t>
      </w:r>
      <w:r>
        <w:t xml:space="preserve">, </w:t>
      </w:r>
      <w:r>
        <w:rPr>
          <w:b/>
        </w:rPr>
        <w:t>CIVD</w:t>
      </w:r>
      <w:r>
        <w:t xml:space="preserve"> (consommation).</w:t>
      </w:r>
    </w:p>
    <w:p>
      <w:pPr>
        <w:pStyle w:val="Heading2"/>
      </w:pPr>
      <w:r>
        <w:t>231.3. Production pharmaceutique : fractionnement Cohn et sécurité virale</w:t>
      </w:r>
    </w:p>
    <w:p>
      <w:r>
        <w:t xml:space="preserve">L'albumine humaine thérapeutique est obtenue par </w:t>
      </w:r>
      <w:r>
        <w:rPr>
          <w:b/>
        </w:rPr>
        <w:t>fractionnement plasmatique industriel</w:t>
      </w:r>
      <w:r>
        <w:t xml:space="preserve"> selon la méthode originale de </w:t>
      </w:r>
      <w:r>
        <w:rPr>
          <w:b/>
        </w:rPr>
        <w:t>Edwin Cohn</w:t>
      </w:r>
      <w:r>
        <w:t xml:space="preserve"> (Harvard, 1946), dite « cold ethanol precipitation », qui exploite la solubilité différentielle des protéines plasmatiques selon pH, force ionique, concentration en éthanol et température. La méthode moderne (« Cohn-Oncley modifiée ») comprend :</w:t>
      </w:r>
    </w:p>
    <w:p>
      <w:pPr>
        <w:pStyle w:val="ListNumber"/>
      </w:pPr>
      <w:r/>
      <w:r>
        <w:rPr>
          <w:b/>
        </w:rPr>
        <w:t>Collecte du plasma source</w:t>
      </w:r>
      <w:r>
        <w:t xml:space="preserve"> : dons volontaires rémunérés (États-Unis) ou bénévoles (Europe, Algérie), qualification biologique du don (QBD) systématique (VIH 1/2, VHC, VHB, HTLV I/II, syphilis).</w:t>
      </w:r>
    </w:p>
    <w:p>
      <w:pPr>
        <w:pStyle w:val="ListNumber"/>
      </w:pPr>
      <w:r/>
      <w:r>
        <w:rPr>
          <w:b/>
        </w:rPr>
        <w:t>Pool plasmatique</w:t>
      </w:r>
      <w:r>
        <w:t xml:space="preserve"> : mélange de plusieurs milliers de dons (2 000 à 10 000 selon le laboratoire), soumis à une </w:t>
      </w:r>
      <w:r>
        <w:rPr>
          <w:b/>
        </w:rPr>
        <w:t>quarantaine</w:t>
      </w:r>
      <w:r>
        <w:t xml:space="preserve"> de 60 jours (re-test donneurs).</w:t>
      </w:r>
    </w:p>
    <w:p>
      <w:pPr>
        <w:pStyle w:val="ListNumber"/>
      </w:pPr>
      <w:r/>
      <w:r>
        <w:rPr>
          <w:b/>
        </w:rPr>
        <w:t>Précipitation fractionnée</w:t>
      </w:r>
      <w:r>
        <w:t xml:space="preserve"> : abaissement progressif du pH et augmentation de l'éthanol à basse température (−5 °C), récupération de la fraction V (albumine).</w:t>
      </w:r>
    </w:p>
    <w:p>
      <w:pPr>
        <w:pStyle w:val="ListNumber"/>
      </w:pPr>
      <w:r/>
      <w:r>
        <w:rPr>
          <w:b/>
        </w:rPr>
        <w:t>Pasteurisation</w:t>
      </w:r>
      <w:r>
        <w:t xml:space="preserve"> : chauffage à </w:t>
      </w:r>
      <w:r>
        <w:rPr>
          <w:b/>
        </w:rPr>
        <w:t>60 °C pendant 10 heures</w:t>
      </w:r>
      <w:r>
        <w:t xml:space="preserve"> en solution liquide (étape de sécurité virale obligatoire depuis les années 1940). Cette étape </w:t>
      </w:r>
      <w:r>
        <w:rPr>
          <w:b/>
        </w:rPr>
        <w:t xml:space="preserve"> inactive tous les virus enveloppés</w:t>
      </w:r>
      <w:r>
        <w:t xml:space="preserve"> (VIH, VHB, VHC, HTLV) et la plupart des virus non enveloppés (HAV partiellement, B19 partiellement).</w:t>
      </w:r>
    </w:p>
    <w:p>
      <w:pPr>
        <w:pStyle w:val="ListNumber"/>
      </w:pPr>
      <w:r/>
      <w:r>
        <w:rPr>
          <w:b/>
        </w:rPr>
        <w:t>Stabilisation</w:t>
      </w:r>
      <w:r>
        <w:t xml:space="preserve"> : ajout de </w:t>
      </w:r>
      <w:r>
        <w:rPr>
          <w:b/>
        </w:rPr>
        <w:t>N-acétyltryptophanate et de sodium caprylate</w:t>
      </w:r>
      <w:r>
        <w:t xml:space="preserve"> (stabilisateurs protéiques évitant la dénaturation à 60 °C).</w:t>
      </w:r>
    </w:p>
    <w:p>
      <w:pPr>
        <w:pStyle w:val="ListNumber"/>
      </w:pPr>
      <w:r/>
      <w:r>
        <w:rPr>
          <w:b/>
        </w:rPr>
        <w:t>Formulation finale</w:t>
      </w:r>
      <w:r>
        <w:t xml:space="preserve"> : ajustement à 4 % (40 g/L, isooncotique) ou 20 % (200 g/L, hyperoncotique), pH 6,4-7,4, Na⁺ 130-160 mmol/L, K⁺ &lt; 2 mmol/L.</w:t>
      </w:r>
    </w:p>
    <w:p>
      <w:pPr>
        <w:pStyle w:val="ListNumber"/>
      </w:pPr>
      <w:r/>
      <w:r>
        <w:rPr>
          <w:b/>
        </w:rPr>
        <w:t>Conditionnement</w:t>
      </w:r>
      <w:r>
        <w:t xml:space="preserve"> : flacons en verre type II de 50 mL (10 g albumine 20 %), 100 mL (20 g), 250 mL (50 g), 500 mL (100 g).</w:t>
      </w:r>
    </w:p>
    <w:p>
      <w:pPr>
        <w:pStyle w:val="Heading3"/>
      </w:pPr>
      <w:r>
        <w:t>Sécurité virale</w:t>
      </w:r>
    </w:p>
    <w:p>
      <w:r>
        <w:t xml:space="preserve">L'albumine humaine est considérée comme </w:t>
      </w:r>
      <w:r>
        <w:rPr>
          <w:b/>
        </w:rPr>
        <w:t>le produit sanguin stable le plus sûr</w:t>
      </w:r>
      <w:r>
        <w:t xml:space="preserve"> vis-à-vis du risque viral, en raison de :</w:t>
      </w:r>
    </w:p>
    <w:p>
      <w:pPr>
        <w:pStyle w:val="ListBullet"/>
      </w:pPr>
      <w:r>
        <w:t>La pasteurisation à 60 °C/10 h inactive ≥ 10⁶ log du VIH, VHB, VHC, HTLV (validé par spiking expérimental).</w:t>
      </w:r>
    </w:p>
    <w:p>
      <w:pPr>
        <w:pStyle w:val="ListBullet"/>
      </w:pPr>
      <w:r>
        <w:t>Aucun cas documenté de transmission virale par l'albumine humaine pasteurisée depuis les années 1940 (soit &gt; 80 ans de pharmacovigilance).</w:t>
      </w:r>
    </w:p>
    <w:p>
      <w:pPr>
        <w:pStyle w:val="ListBullet"/>
      </w:pPr>
      <w:r>
        <w:t>Le risque prion (variant de Creutzfeldt-Jakob) est théorique mais considéré comme négligeable (le fractionnement Cohn élimine les prions dans les fractions non-V ; aucun cas vMCJ attribué à l'albumine humaine à ce jour).</w:t>
      </w:r>
    </w:p>
    <w:p>
      <w:pPr>
        <w:pStyle w:val="Heading3"/>
      </w:pPr>
      <w:r>
        <w:t>Spécifications pharmacopée</w:t>
      </w:r>
    </w:p>
    <w:p>
      <w:r>
        <w:t xml:space="preserve">Conformément à la </w:t>
      </w:r>
      <w:r>
        <w:rPr>
          <w:b/>
        </w:rPr>
        <w:t>Pharmacopée Européenne (Ph. Eur. 01/2008:0255)</w:t>
      </w:r>
      <w:r>
        <w:t xml:space="preserve"> :</w:t>
      </w:r>
    </w:p>
    <w:p>
      <w:pPr>
        <w:pStyle w:val="ListBullet"/>
      </w:pPr>
      <w:r>
        <w:t>Pureté protéique : ≥ 95 % d'albumine (électrophorèse).</w:t>
      </w:r>
    </w:p>
    <w:p>
      <w:pPr>
        <w:pStyle w:val="ListBullet"/>
      </w:pPr>
      <w:r>
        <w:t>Teneur en albumine : 40-50 g/L (préparation 4-5 %) ou 180-220 g/L (préparation 20 %).</w:t>
      </w:r>
    </w:p>
    <w:p>
      <w:pPr>
        <w:pStyle w:val="ListBullet"/>
      </w:pPr>
      <w:r>
        <w:t>Pré-mélange stabilisant : N-acétyltryptophanate (0,16 mmol/g albumine) + sodium caprylate (0,16 mmol/g).</w:t>
      </w:r>
    </w:p>
    <w:p>
      <w:pPr>
        <w:pStyle w:val="ListBullet"/>
      </w:pPr>
      <w:r>
        <w:t>pH : 6,4-7,4.</w:t>
      </w:r>
    </w:p>
    <w:p>
      <w:pPr>
        <w:pStyle w:val="ListBullet"/>
      </w:pPr>
      <w:r>
        <w:t>Pré-sence de polymères d'albumine : ≤ 5 % (chromatographie d'exclusion stérique).</w:t>
      </w:r>
    </w:p>
    <w:p>
      <w:pPr>
        <w:pStyle w:val="ListBullet"/>
      </w:pPr>
      <w:r>
        <w:t>Endotoxines bactériennes : &lt; 0,5 UI/mL.</w:t>
      </w:r>
    </w:p>
    <w:p>
      <w:pPr>
        <w:pStyle w:val="ListBullet"/>
      </w:pPr>
      <w:r>
        <w:t>Stérilité : conforme (test sur milieu gélosé).</w:t>
      </w:r>
    </w:p>
    <w:p>
      <w:pPr>
        <w:pStyle w:val="Heading2"/>
      </w:pPr>
      <w:r>
        <w:t>231.4. DCI : Albumine humaine</w:t>
      </w:r>
    </w:p>
    <w:p>
      <w:pPr>
        <w:pStyle w:val="Heading3"/>
      </w:pPr>
      <w:r>
        <w:t>Sous-section 1 — Liste des catégories thérapeutiques</w:t>
      </w:r>
    </w:p>
    <w:p>
      <w:pPr>
        <w:pStyle w:val="ListBullet"/>
      </w:pPr>
      <w:r/>
      <w:r>
        <w:rPr>
          <w:b/>
        </w:rPr>
        <w:t>Code ATC principal</w:t>
      </w:r>
      <w:r>
        <w:t xml:space="preserve"> : </w:t>
      </w:r>
      <w:r>
        <w:rPr>
          <w:b/>
        </w:rPr>
        <w:t>B02AD01</w:t>
      </w:r>
      <w:r>
        <w:t xml:space="preserve"> — Albumine humaine (replaceurs du volume sanguin, fraction plasmatique).</w:t>
      </w:r>
    </w:p>
    <w:p>
      <w:pPr>
        <w:pStyle w:val="ListBullet"/>
      </w:pPr>
      <w:r/>
      <w:r>
        <w:rPr>
          <w:b/>
        </w:rPr>
        <w:t>Classe ATC supérieure</w:t>
      </w:r>
      <w:r>
        <w:t xml:space="preserve"> : B02D (Antihémorragiques → Replaceurs du volume sanguin).</w:t>
      </w:r>
    </w:p>
    <w:p>
      <w:pPr>
        <w:pStyle w:val="ListBullet"/>
      </w:pPr>
      <w:r/>
      <w:r>
        <w:rPr>
          <w:b/>
        </w:rPr>
        <w:t>Classe pharmacologique</w:t>
      </w:r>
      <w:r>
        <w:t xml:space="preserve"> : substitut plasmatique colloïdal oncotique naturel (par opposition aux colloïdes de synthèse : HEA, gélatines, dextrans).</w:t>
      </w:r>
    </w:p>
    <w:p>
      <w:pPr>
        <w:pStyle w:val="ListBullet"/>
      </w:pPr>
      <w:r/>
      <w:r>
        <w:rPr>
          <w:b/>
        </w:rPr>
        <w:t>Statut réglementaire Algérie</w:t>
      </w:r>
      <w:r>
        <w:t xml:space="preserve"> : Liste I (substance vénéneuse), prescription médicale obligatoire, prescription à 12 mois non renouvelable sauf mention « ALD ».</w:t>
      </w:r>
    </w:p>
    <w:p>
      <w:pPr>
        <w:pStyle w:val="ListBullet"/>
      </w:pPr>
      <w:r/>
      <w:r>
        <w:rPr>
          <w:b/>
        </w:rPr>
        <w:t>Statut OMS</w:t>
      </w:r>
      <w:r>
        <w:t xml:space="preserve"> : médicament essentiel (Model List of Essential Medicines, 22nd list 2021, section « Plasma substitutes and other plasma protein fractions »).</w:t>
      </w:r>
    </w:p>
    <w:p>
      <w:pPr>
        <w:pStyle w:val="ListBullet"/>
      </w:pPr>
      <w:r/>
      <w:r>
        <w:rPr>
          <w:b/>
        </w:rPr>
        <w:t>Délivrance</w:t>
      </w:r>
      <w:r>
        <w:t xml:space="preserve"> : principalement hospitalière (PUI), exceptionnellement officine sur ordonnance hospitalière (HAD).</w:t>
      </w:r>
    </w:p>
    <w:p>
      <w:pPr>
        <w:pStyle w:val="ListBullet"/>
      </w:pPr>
      <w:r/>
      <w:r>
        <w:rPr>
          <w:b/>
        </w:rPr>
        <w:t>Traçabilité</w:t>
      </w:r>
      <w:r>
        <w:t xml:space="preserve"> : nominative obligatoire (registre CNTS), notification d'effet indésirable au CNPV.</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ALBUMINE HUMAINE 20% BIOTEST</w:t>
            </w:r>
          </w:p>
        </w:tc>
        <w:tc>
          <w:tcPr>
            <w:tcW w:type="dxa" w:w="1385"/>
          </w:tcPr>
          <w:p>
            <w:r>
              <w:rPr>
                <w:rFonts w:ascii="Times New Roman" w:hAnsi="Times New Roman"/>
                <w:sz w:val="20"/>
              </w:rPr>
              <w:t>Biotest Pharma GmbH (Allemagne)</w:t>
            </w:r>
          </w:p>
        </w:tc>
        <w:tc>
          <w:tcPr>
            <w:tcW w:type="dxa" w:w="1385"/>
          </w:tcPr>
          <w:p>
            <w:r>
              <w:rPr>
                <w:rFonts w:ascii="Times New Roman" w:hAnsi="Times New Roman"/>
                <w:sz w:val="20"/>
              </w:rPr>
              <w:t>Solution pour perfusion IV, 0,2 (20 %, soit 200 g/L)</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SK ALBUMIN 20% INJECTION</w:t>
            </w:r>
          </w:p>
        </w:tc>
        <w:tc>
          <w:tcPr>
            <w:tcW w:type="dxa" w:w="1385"/>
          </w:tcPr>
          <w:p>
            <w:r>
              <w:rPr>
                <w:rFonts w:ascii="Times New Roman" w:hAnsi="Times New Roman"/>
                <w:sz w:val="20"/>
              </w:rPr>
              <w:t>SK Plasma Co. Ltd (Corée du Sud)</w:t>
            </w:r>
          </w:p>
        </w:tc>
        <w:tc>
          <w:tcPr>
            <w:tcW w:type="dxa" w:w="1385"/>
          </w:tcPr>
          <w:p>
            <w:r>
              <w:rPr>
                <w:rFonts w:ascii="Times New Roman" w:hAnsi="Times New Roman"/>
                <w:sz w:val="20"/>
              </w:rPr>
              <w:t>Solution pour perfusion IV, 0,2 (20 %)</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ALBUTEN 20%</w:t>
            </w:r>
          </w:p>
        </w:tc>
        <w:tc>
          <w:tcPr>
            <w:tcW w:type="dxa" w:w="1385"/>
          </w:tcPr>
          <w:p>
            <w:r>
              <w:rPr>
                <w:rFonts w:ascii="Times New Roman" w:hAnsi="Times New Roman"/>
                <w:sz w:val="20"/>
              </w:rPr>
              <w:t>Instituto Grifols S.A. (Espagne)</w:t>
            </w:r>
          </w:p>
        </w:tc>
        <w:tc>
          <w:tcPr>
            <w:tcW w:type="dxa" w:w="1385"/>
          </w:tcPr>
          <w:p>
            <w:r>
              <w:rPr>
                <w:rFonts w:ascii="Times New Roman" w:hAnsi="Times New Roman"/>
                <w:sz w:val="20"/>
              </w:rPr>
              <w:t>Solution pour perfusion IV, 0,2 (20 %)</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HUMAN ALBUMIN BAXTER</w:t>
            </w:r>
          </w:p>
        </w:tc>
        <w:tc>
          <w:tcPr>
            <w:tcW w:type="dxa" w:w="1385"/>
          </w:tcPr>
          <w:p>
            <w:r>
              <w:rPr>
                <w:rFonts w:ascii="Times New Roman" w:hAnsi="Times New Roman"/>
                <w:sz w:val="20"/>
              </w:rPr>
              <w:t>Baxter AG (Suisse/Autriche)</w:t>
            </w:r>
          </w:p>
        </w:tc>
        <w:tc>
          <w:tcPr>
            <w:tcW w:type="dxa" w:w="1385"/>
          </w:tcPr>
          <w:p>
            <w:r>
              <w:rPr>
                <w:rFonts w:ascii="Times New Roman" w:hAnsi="Times New Roman"/>
                <w:sz w:val="20"/>
              </w:rPr>
              <w:t>Solution injectable IV, 0,2 (20 %)</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VIALEBEX</w:t>
            </w:r>
          </w:p>
        </w:tc>
        <w:tc>
          <w:tcPr>
            <w:tcW w:type="dxa" w:w="1385"/>
          </w:tcPr>
          <w:p>
            <w:r>
              <w:rPr>
                <w:rFonts w:ascii="Times New Roman" w:hAnsi="Times New Roman"/>
                <w:sz w:val="20"/>
              </w:rPr>
              <w:t>LFB Biomédicaments (France)</w:t>
            </w:r>
          </w:p>
        </w:tc>
        <w:tc>
          <w:tcPr>
            <w:tcW w:type="dxa" w:w="1385"/>
          </w:tcPr>
          <w:p>
            <w:r>
              <w:rPr>
                <w:rFonts w:ascii="Times New Roman" w:hAnsi="Times New Roman"/>
                <w:sz w:val="20"/>
              </w:rPr>
              <w:t>Solution pour perfusion IV, 0,2 (20 %)</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ALBUREL</w:t>
            </w:r>
          </w:p>
        </w:tc>
        <w:tc>
          <w:tcPr>
            <w:tcW w:type="dxa" w:w="1385"/>
          </w:tcPr>
          <w:p>
            <w:r>
              <w:rPr>
                <w:rFonts w:ascii="Times New Roman" w:hAnsi="Times New Roman"/>
                <w:sz w:val="20"/>
              </w:rPr>
              <w:t>Chimie Pharmacie Commerce Multiple SARL (CPCM) — Saidal (Algérie)</w:t>
            </w:r>
          </w:p>
        </w:tc>
        <w:tc>
          <w:tcPr>
            <w:tcW w:type="dxa" w:w="1385"/>
          </w:tcPr>
          <w:p>
            <w:r>
              <w:rPr>
                <w:rFonts w:ascii="Times New Roman" w:hAnsi="Times New Roman"/>
                <w:sz w:val="20"/>
              </w:rPr>
              <w:t>Solution pour perfusion IV, 20 % (20 g/100 mL)</w:t>
            </w:r>
          </w:p>
        </w:tc>
        <w:tc>
          <w:tcPr>
            <w:tcW w:type="dxa" w:w="1385"/>
          </w:tcPr>
          <w:p>
            <w:r>
              <w:rPr>
                <w:rFonts w:ascii="Times New Roman" w:hAnsi="Times New Roman"/>
                <w:sz w:val="20"/>
              </w:rPr>
              <w:t>Flacon de 50 mL (10 g) et flacon de 100 mL (20 g)</w:t>
            </w:r>
          </w:p>
        </w:tc>
        <w:tc>
          <w:tcPr>
            <w:tcW w:type="dxa" w:w="1385"/>
          </w:tcPr>
          <w:p>
            <w:r>
              <w:rPr>
                <w:rFonts w:ascii="Times New Roman" w:hAnsi="Times New Roman"/>
                <w:sz w:val="20"/>
              </w:rPr>
              <w:t>—</w:t>
            </w:r>
          </w:p>
        </w:tc>
        <w:tc>
          <w:tcPr>
            <w:tcW w:type="dxa" w:w="1385"/>
          </w:tcPr>
          <w:p>
            <w:r>
              <w:rPr>
                <w:rFonts w:ascii="Times New Roman" w:hAnsi="Times New Roman"/>
                <w:sz w:val="20"/>
              </w:rPr>
              <w:t>Actif</w:t>
            </w:r>
          </w:p>
        </w:tc>
      </w:tr>
      <w:tr>
        <w:tc>
          <w:tcPr>
            <w:tcW w:type="dxa" w:w="1385"/>
          </w:tcPr>
          <w:p>
            <w:r>
              <w:rPr>
                <w:rFonts w:ascii="Times New Roman" w:hAnsi="Times New Roman"/>
                <w:sz w:val="20"/>
              </w:rPr>
              <w:t>HUMAN ALBUMIN BEHRING 20%</w:t>
            </w:r>
          </w:p>
        </w:tc>
        <w:tc>
          <w:tcPr>
            <w:tcW w:type="dxa" w:w="1385"/>
          </w:tcPr>
          <w:p>
            <w:r>
              <w:rPr>
                <w:rFonts w:ascii="Times New Roman" w:hAnsi="Times New Roman"/>
                <w:sz w:val="20"/>
              </w:rPr>
              <w:t>CSL Behring GmbH (Allemagne)</w:t>
            </w:r>
          </w:p>
        </w:tc>
        <w:tc>
          <w:tcPr>
            <w:tcW w:type="dxa" w:w="1385"/>
          </w:tcPr>
          <w:p>
            <w:r>
              <w:rPr>
                <w:rFonts w:ascii="Times New Roman" w:hAnsi="Times New Roman"/>
                <w:sz w:val="20"/>
              </w:rPr>
              <w:t>Solution pour perfusion IV, 200 g/L (= 20 %)</w:t>
            </w:r>
          </w:p>
        </w:tc>
        <w:tc>
          <w:tcPr>
            <w:tcW w:type="dxa" w:w="1385"/>
          </w:tcPr>
          <w:p>
            <w:r>
              <w:rPr>
                <w:rFonts w:ascii="Times New Roman" w:hAnsi="Times New Roman"/>
                <w:sz w:val="20"/>
              </w:rPr>
              <w:t>Flacon de 50 mL (9,6 g albumine) + flacon de 100 mL (19,2 g albumine)</w:t>
            </w:r>
          </w:p>
        </w:tc>
        <w:tc>
          <w:tcPr>
            <w:tcW w:type="dxa" w:w="1385"/>
          </w:tcPr>
          <w:p>
            <w:r>
              <w:rPr>
                <w:rFonts w:ascii="Times New Roman" w:hAnsi="Times New Roman"/>
                <w:sz w:val="20"/>
              </w:rPr>
              <w:t>—</w:t>
            </w:r>
          </w:p>
        </w:tc>
        <w:tc>
          <w:tcPr>
            <w:tcW w:type="dxa" w:w="1385"/>
          </w:tcPr>
          <w:p>
            <w:r>
              <w:rPr>
                <w:rFonts w:ascii="Times New Roman" w:hAnsi="Times New Roman"/>
                <w:sz w:val="20"/>
              </w:rPr>
              <w:t>Actif</w:t>
            </w:r>
          </w:p>
        </w:tc>
      </w:tr>
      <w:tr>
        <w:tc>
          <w:tcPr>
            <w:tcW w:type="dxa" w:w="1385"/>
          </w:tcPr>
          <w:p>
            <w:r>
              <w:rPr>
                <w:rFonts w:ascii="Times New Roman" w:hAnsi="Times New Roman"/>
                <w:sz w:val="20"/>
              </w:rPr>
              <w:t>ALBUMINE HUMAINE</w:t>
            </w:r>
          </w:p>
        </w:tc>
        <w:tc>
          <w:tcPr>
            <w:tcW w:type="dxa" w:w="1385"/>
          </w:tcPr>
          <w:p>
            <w:r>
              <w:rPr>
                <w:rFonts w:ascii="Times New Roman" w:hAnsi="Times New Roman"/>
                <w:sz w:val="20"/>
              </w:rPr>
              <w:t>Medicuba (Cuba)</w:t>
            </w:r>
          </w:p>
        </w:tc>
        <w:tc>
          <w:tcPr>
            <w:tcW w:type="dxa" w:w="1385"/>
          </w:tcPr>
          <w:p>
            <w:r>
              <w:rPr>
                <w:rFonts w:ascii="Times New Roman" w:hAnsi="Times New Roman"/>
                <w:sz w:val="20"/>
              </w:rPr>
              <w:t>Solution injectable IV, 0,2 (20 %)</w:t>
            </w:r>
          </w:p>
        </w:tc>
        <w:tc>
          <w:tcPr>
            <w:tcW w:type="dxa" w:w="1385"/>
          </w:tcPr>
          <w:p>
            <w:r>
              <w:rPr>
                <w:rFonts w:ascii="Times New Roman" w:hAnsi="Times New Roman"/>
                <w:sz w:val="20"/>
              </w:rPr>
              <w:t>Flacon de 50 mL</w:t>
            </w:r>
          </w:p>
        </w:tc>
        <w:tc>
          <w:tcPr>
            <w:tcW w:type="dxa" w:w="1385"/>
          </w:tcPr>
          <w:p>
            <w:r>
              <w:rPr>
                <w:rFonts w:ascii="Times New Roman" w:hAnsi="Times New Roman"/>
                <w:sz w:val="20"/>
              </w:rPr>
              <w:t>—</w:t>
            </w:r>
          </w:p>
        </w:tc>
        <w:tc>
          <w:tcPr>
            <w:tcW w:type="dxa" w:w="1385"/>
          </w:tcPr>
          <w:p>
            <w:r>
              <w:rPr>
                <w:rFonts w:ascii="Times New Roman" w:hAnsi="Times New Roman"/>
                <w:sz w:val="20"/>
              </w:rPr>
              <w:t>Retrait (R)</w:t>
            </w:r>
          </w:p>
        </w:tc>
      </w:tr>
    </w:tbl>
    <w:p/>
    <w:p>
      <w:r/>
      <w:r>
        <w:rPr>
          <w:b/>
        </w:rPr>
        <w:t>Remarques sur le marché algérien</w:t>
      </w:r>
      <w:r>
        <w:t xml:space="preserve"> :</w:t>
      </w:r>
    </w:p>
    <w:p>
      <w:pPr>
        <w:pStyle w:val="ListBullet"/>
      </w:pPr>
      <w:r/>
      <w:r>
        <w:rPr>
          <w:b/>
        </w:rPr>
        <w:t>Sept spécialités actives</w:t>
      </w:r>
      <w:r>
        <w:t xml:space="preserve"> sont commercialisées en Algérie pour l'albumine humaine 20 %. Toutes sont à la même concentration (200 g/L) avec les mêmes conditionnements (50 mL = 10 g ; 100 mL = 20 g). Aucune différence pharmacologique majeure n'existe entre ces spécialités (toutes pasteurisées 60 °C/10 h, toutes conforme à la Pharmacopée Européenne 01/2008:0255).</w:t>
      </w:r>
    </w:p>
    <w:p>
      <w:pPr>
        <w:pStyle w:val="ListBullet"/>
      </w:pPr>
      <w:r>
        <w:t xml:space="preserve">La spécialité </w:t>
      </w:r>
      <w:r>
        <w:rPr>
          <w:b/>
        </w:rPr>
        <w:t>ALBUREL</w:t>
      </w:r>
      <w:r>
        <w:t xml:space="preserve"> (CPCM/Saidal) constitue la </w:t>
      </w:r>
      <w:r>
        <w:rPr>
          <w:b/>
        </w:rPr>
        <w:t>seule production locale algérienne</w:t>
      </w:r>
      <w:r>
        <w:t xml:space="preserve"> d'albumine humaine ; elle est principalement destinée au marché public hospitalier.</w:t>
      </w:r>
    </w:p>
    <w:p>
      <w:pPr>
        <w:pStyle w:val="ListBullet"/>
      </w:pPr>
      <w:r>
        <w:t xml:space="preserve">La spécialité </w:t>
      </w:r>
      <w:r>
        <w:rPr>
          <w:b/>
        </w:rPr>
        <w:t>Medicuba</w:t>
      </w:r>
      <w:r>
        <w:t xml:space="preserve"> est en </w:t>
      </w:r>
      <w:r>
        <w:rPr>
          <w:b/>
        </w:rPr>
        <w:t>retrait</w:t>
      </w:r>
      <w:r>
        <w:t xml:space="preserve"> du marché algérien depuis Avril 2026 (probable cause : non-renouvellement d'AMM, ou arrêt de production/exportation par Farmacuba).</w:t>
      </w:r>
    </w:p>
    <w:p>
      <w:pPr>
        <w:pStyle w:val="ListBullet"/>
      </w:pPr>
      <w:r>
        <w:t xml:space="preserve">Aucune spécialité à </w:t>
      </w:r>
      <w:r>
        <w:rPr>
          <w:b/>
        </w:rPr>
        <w:t>4 % ou 5 %</w:t>
      </w:r>
      <w:r>
        <w:t xml:space="preserve"> n'est disponible en Algérie : pour obtenir une concentration isooncotique (~4-5 %), les services hospitaliers diluent extemporanément l'albumine 20 % dans du NaCl 0,9 % (jamais dans du Glucose 5 %, qui provoque une agrégation protéique par acidification).</w:t>
      </w:r>
    </w:p>
    <w:p>
      <w:pPr>
        <w:pStyle w:val="ListBullet"/>
      </w:pPr>
      <w:r>
        <w:t xml:space="preserve">Aucune spécialité à </w:t>
      </w:r>
      <w:r>
        <w:rPr>
          <w:b/>
        </w:rPr>
        <w:t>25 %</w:t>
      </w:r>
      <w:r>
        <w:t xml:space="preserve"> (concentration hyperoncotique maximale, disponible en France sous PLASMA-VOLUME EXPANDER BEHRING) n'est disponible en Algérie.</w:t>
      </w:r>
    </w:p>
    <w:p>
      <w:pPr>
        <w:pStyle w:val="Heading3"/>
      </w:pPr>
      <w:r>
        <w:t>Sous-section 3 — Sous-classe et mécanisme d'action moléculaire</w:t>
      </w:r>
    </w:p>
    <w:p>
      <w:r/>
      <w:r>
        <w:rPr>
          <w:b/>
        </w:rPr>
        <w:t>Sous-classe pharmacologique</w:t>
      </w:r>
      <w:r>
        <w:t xml:space="preserve"> : B02AD — Substituts plasmatiques colloïdaux naturels (albumine humaine), par opposition aux colloïdes de synthèse (HEA : B02DC, gélatines : B02DB, dextrans : B02DA) et aux cristalloïdes (NaCl 0,9 %, Ringer Lactate, PlasmaLyte : non classés ATC mais utilisés comme solutés de remplissage).</w:t>
      </w:r>
    </w:p>
    <w:p>
      <w:r/>
      <w:r>
        <w:rPr>
          <w:b/>
        </w:rPr>
        <w:t>Structure moléculaire</w:t>
      </w:r>
      <w:r>
        <w:t xml:space="preserve"> : l'albumine humaine thérapeutique est une protéine plasmatique monomérique de 585 acides aminés (66 500 Da), organisée en trois domaines homologues (I, II, III), en forme de cœur. Elle contient </w:t>
      </w:r>
      <w:r>
        <w:rPr>
          <w:b/>
        </w:rPr>
        <w:t>17 ponts disulfures</w:t>
      </w:r>
      <w:r>
        <w:t xml:space="preserve"> intramoléculaires assurant la stabilité tertiaire, et un résidu </w:t>
      </w:r>
      <w:r>
        <w:rPr>
          <w:b/>
        </w:rPr>
        <w:t>Cys-34</w:t>
      </w:r>
      <w:r>
        <w:t xml:space="preserve"> (thiol libre) qui est le site de liaison principal pour les molécules oxydantes (glutathion, cystéine) et les métaux (Cu²⁺, Zn²⁺).</w:t>
      </w:r>
    </w:p>
    <w:p>
      <w:r/>
      <w:r>
        <w:rPr>
          <w:b/>
        </w:rPr>
        <w:t>Mécanisme d'action pharmacologique principal — Expansion volémique oncotique</w:t>
      </w:r>
      <w:r>
        <w:t xml:space="preserve"> : l'albumine exerce une </w:t>
      </w:r>
      <w:r>
        <w:rPr>
          <w:b/>
        </w:rPr>
        <w:t>pression oncotique</w:t>
      </w:r>
      <w:r>
        <w:t xml:space="preserve"> (pression colloïdo-osmotique) proportionnelle à sa concentration molale. À 40 g/L (concentration physiologique), la pression oncotique de l'albumine est d'environ 20 mmHg ; à 200 g/L (concentration thérapeutique 20 %), elle atteint ~100 mmHg, soit un gradient oncotique positif puissant (~80 mmHg vs interstitium) qui mobilise l'eau interstitielle vers le compartiment vasculaire. </w:t>
      </w:r>
      <w:r>
        <w:rPr>
          <w:b/>
        </w:rPr>
        <w:t>Un gramme d'albumine retient environ 18 mL d'eau</w:t>
      </w:r>
      <w:r>
        <w:t xml:space="preserve"> dans le secteur vasculaire ; un flacon de 100 mL d'albumine 20 % (20 g) mobilise donc ~360 mL d'eau interstitielle vers le secteur vasculaire en 30-60 minutes (effet maximal à 1 h, plateau à 4-6 h, décroissance progressive sur 24-48 h par redistribution et catabolisme).</w:t>
      </w:r>
    </w:p>
    <w:p>
      <w:r/>
      <w:r>
        <w:rPr>
          <w:b/>
        </w:rPr>
        <w:t>Mécanismes secondaires</w:t>
      </w:r>
      <w:r>
        <w:t xml:space="preserve"> :</w:t>
      </w:r>
    </w:p>
    <w:p>
      <w:pPr>
        <w:pStyle w:val="ListNumber"/>
      </w:pPr>
      <w:r/>
      <w:r>
        <w:rPr>
          <w:b/>
        </w:rPr>
        <w:t>Transport macromoléculaire</w:t>
      </w:r>
      <w:r>
        <w:t xml:space="preserve"> : l'albumine possède plusieurs sites de liaison (Sudlow I, II, III) pour les acides gras, bilirubine, hormones thyroïdiennes, ions métalliques, et de nombreux médicaments (acide valproïque, warfarine, diazépam, AINS). Cette propriété est mise à profit dans l'</w:t>
      </w:r>
      <w:r>
        <w:rPr>
          <w:b/>
        </w:rPr>
        <w:t>intoxication aiguë</w:t>
      </w:r>
      <w:r>
        <w:t xml:space="preserve"> par médicaments fortement liés à l'albumine (ex : salicylate &gt; 700 mg/L, valproate &gt; 850 mg/L, where l'albumine 20 % peut théoriquement augmenter la fraction liée et réduire la toxicité — pratique non validée mais évoquée).</w:t>
      </w:r>
    </w:p>
    <w:p>
      <w:pPr>
        <w:pStyle w:val="ListNumber"/>
      </w:pPr>
      <w:r/>
      <w:r>
        <w:rPr>
          <w:b/>
        </w:rPr>
        <w:t>Effet antioxydant</w:t>
      </w:r>
      <w:r>
        <w:t xml:space="preserve"> : le résidu Cys-34 piège les radicaux libres (ROS, RNS) et prévient la peroxydation lipidique. Utile dans le choc septique, le syndrome de détresse respiratoire aiguë (SDRA), la reperfusion post-ischémique (post-AVC, post-infarctus).</w:t>
      </w:r>
    </w:p>
    <w:p>
      <w:pPr>
        <w:pStyle w:val="ListNumber"/>
      </w:pPr>
      <w:r/>
      <w:r>
        <w:rPr>
          <w:b/>
        </w:rPr>
        <w:t>Effet anti-inflammatoire</w:t>
      </w:r>
      <w:r>
        <w:t xml:space="preserve"> : l'albumine se lie aux </w:t>
      </w:r>
      <w:r>
        <w:rPr>
          <w:b/>
        </w:rPr>
        <w:t>endotoxines bactériennes</w:t>
      </w:r>
      <w:r>
        <w:t xml:space="preserve"> (lipopolysaccharides LPS) et module la réponse inflammatoire systémique via inhibition du TLR4 (Toll-Like Receptor 4) sur les macrophages. Effet bénéfique démontré dans le choc septique avec hypoalbuminémie (méta-analyse SAFETY 2014).</w:t>
      </w:r>
    </w:p>
    <w:p>
      <w:pPr>
        <w:pStyle w:val="ListNumber"/>
      </w:pPr>
      <w:r/>
      <w:r>
        <w:rPr>
          <w:b/>
        </w:rPr>
        <w:t>Maintien du glycocalyx endothélial</w:t>
      </w:r>
      <w:r>
        <w:t xml:space="preserve"> : l'albumine adsorbée à la surface luminale des cellules endothéliales participe à l'intégrité du glycocalyx (couche de glycoprotéines et protéoglycanes), prévenant la fuite liquidienne trans-endothéliale. La dégradation du glycocalyx (sepsis, ischémie-reperfusion, hyperglycémie) est un mécanisme majeur de fuite capillaire et d'œdème tissulaire.</w:t>
      </w:r>
    </w:p>
    <w:p>
      <w:pPr>
        <w:pStyle w:val="ListNumber"/>
      </w:pPr>
      <w:r/>
      <w:r>
        <w:rPr>
          <w:b/>
        </w:rPr>
        <w:t>Effet anti-agrégant plaquettaire modeste</w:t>
      </w:r>
      <w:r>
        <w:t xml:space="preserve"> : l'albumine inhibe partiellement l'agrégation plaquettaire (effet COX-dépendant faible, sans signification clinique démontrée).</w:t>
      </w:r>
    </w:p>
    <w:p>
      <w:r/>
      <w:r>
        <w:rPr>
          <w:b/>
        </w:rPr>
        <w:t>Pharmacodynamie quantitative</w:t>
      </w:r>
      <w:r>
        <w:t xml:space="preserve"> : l'effet volémique dépend de la dose administrée, du poids du patient, et de l'état du compartiment vasculaire. La formule classique (loi de Starling simplifiée) prédit que l'administration IV de 20 g d'albumine 20 % (100 mL) augmente la volémie de </w:t>
      </w:r>
      <w:r>
        <w:rPr>
          <w:b/>
        </w:rPr>
        <w:t>~360-400 mL</w:t>
      </w:r>
      <w:r>
        <w:t xml:space="preserve"> (effet de mobilisation interstitielle + effet propre du volume injecté). Cependant, en cas de </w:t>
      </w:r>
      <w:r>
        <w:rPr>
          <w:b/>
        </w:rPr>
        <w:t>fuite capillaire massive</w:t>
      </w:r>
      <w:r>
        <w:t xml:space="preserve"> (sepsis sévère, SDRA, syndrome de fuite capillaire systemic), l'albumine administrée peut fuir vers l'interstitiel et aggraver les œdèmes (effet paradoxal). C'est pourquoi la prescription d'albumine en réanimation doit être </w:t>
      </w:r>
      <w:r>
        <w:rPr>
          <w:b/>
        </w:rPr>
        <w:t>pondérée</w:t>
      </w:r>
      <w:r>
        <w:t xml:space="preserve"> par l'état clinique du patient.</w:t>
      </w:r>
    </w:p>
    <w:p>
      <w:r/>
      <w:r>
        <w:rPr>
          <w:b/>
        </w:rPr>
        <w:t>Comparaison avec cristalloïdes et autres colloïdes</w:t>
      </w:r>
      <w:r>
        <w:t xml:space="preserve"> :</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Paramètre</w:t>
            </w:r>
          </w:p>
        </w:tc>
        <w:tc>
          <w:tcPr>
            <w:tcW w:type="dxa" w:w="1385"/>
            <w:shd w:val="clear" w:color="auto" w:fill="F2F2F2"/>
          </w:tcPr>
          <w:p>
            <w:r>
              <w:rPr>
                <w:rFonts w:ascii="Times New Roman" w:hAnsi="Times New Roman"/>
                <w:b/>
                <w:sz w:val="20"/>
              </w:rPr>
              <w:t>Albumine 20 %</w:t>
            </w:r>
          </w:p>
        </w:tc>
        <w:tc>
          <w:tcPr>
            <w:tcW w:type="dxa" w:w="1385"/>
            <w:shd w:val="clear" w:color="auto" w:fill="F2F2F2"/>
          </w:tcPr>
          <w:p>
            <w:r>
              <w:rPr>
                <w:rFonts w:ascii="Times New Roman" w:hAnsi="Times New Roman"/>
                <w:b/>
                <w:sz w:val="20"/>
              </w:rPr>
              <w:t>NaCl 0,9 %</w:t>
            </w:r>
          </w:p>
        </w:tc>
        <w:tc>
          <w:tcPr>
            <w:tcW w:type="dxa" w:w="1385"/>
            <w:shd w:val="clear" w:color="auto" w:fill="F2F2F2"/>
          </w:tcPr>
          <w:p>
            <w:r>
              <w:rPr>
                <w:rFonts w:ascii="Times New Roman" w:hAnsi="Times New Roman"/>
                <w:b/>
                <w:sz w:val="20"/>
              </w:rPr>
              <w:t>Ringer Lactate</w:t>
            </w:r>
          </w:p>
        </w:tc>
        <w:tc>
          <w:tcPr>
            <w:tcW w:type="dxa" w:w="1385"/>
            <w:shd w:val="clear" w:color="auto" w:fill="F2F2F2"/>
          </w:tcPr>
          <w:p>
            <w:r>
              <w:rPr>
                <w:rFonts w:ascii="Times New Roman" w:hAnsi="Times New Roman"/>
                <w:b/>
                <w:sz w:val="20"/>
              </w:rPr>
              <w:t>HEA 130/0,4 (HEA)</w:t>
            </w:r>
          </w:p>
        </w:tc>
        <w:tc>
          <w:tcPr>
            <w:tcW w:type="dxa" w:w="1385"/>
            <w:shd w:val="clear" w:color="auto" w:fill="F2F2F2"/>
          </w:tcPr>
          <w:p>
            <w:r>
              <w:rPr>
                <w:rFonts w:ascii="Times New Roman" w:hAnsi="Times New Roman"/>
                <w:b/>
                <w:sz w:val="20"/>
              </w:rPr>
              <w:t>Gélatine (Gelofusine)</w:t>
            </w:r>
          </w:p>
        </w:tc>
      </w:tr>
      <w:tr>
        <w:tc>
          <w:tcPr>
            <w:tcW w:type="dxa" w:w="1385"/>
          </w:tcPr>
          <w:p>
            <w:r>
              <w:rPr>
                <w:rFonts w:ascii="Times New Roman" w:hAnsi="Times New Roman"/>
                <w:sz w:val="20"/>
              </w:rPr>
              <w:t>Concentration (g/L)</w:t>
            </w:r>
          </w:p>
        </w:tc>
        <w:tc>
          <w:tcPr>
            <w:tcW w:type="dxa" w:w="1385"/>
          </w:tcPr>
          <w:p>
            <w:r>
              <w:rPr>
                <w:rFonts w:ascii="Times New Roman" w:hAnsi="Times New Roman"/>
                <w:sz w:val="20"/>
              </w:rPr>
              <w:t>200</w:t>
            </w:r>
          </w:p>
        </w:tc>
        <w:tc>
          <w:tcPr>
            <w:tcW w:type="dxa" w:w="1385"/>
          </w:tcPr>
          <w:p>
            <w:r>
              <w:rPr>
                <w:rFonts w:ascii="Times New Roman" w:hAnsi="Times New Roman"/>
                <w:sz w:val="20"/>
              </w:rPr>
              <w:t>9</w:t>
            </w:r>
          </w:p>
        </w:tc>
        <w:tc>
          <w:tcPr>
            <w:tcW w:type="dxa" w:w="1385"/>
          </w:tcPr>
          <w:p>
            <w:r>
              <w:rPr>
                <w:rFonts w:ascii="Times New Roman" w:hAnsi="Times New Roman"/>
                <w:sz w:val="20"/>
              </w:rPr>
              <w:t>—</w:t>
            </w:r>
          </w:p>
        </w:tc>
        <w:tc>
          <w:tcPr>
            <w:tcW w:type="dxa" w:w="1385"/>
          </w:tcPr>
          <w:p>
            <w:r>
              <w:rPr>
                <w:rFonts w:ascii="Times New Roman" w:hAnsi="Times New Roman"/>
                <w:sz w:val="20"/>
              </w:rPr>
              <w:t>60</w:t>
            </w:r>
          </w:p>
        </w:tc>
        <w:tc>
          <w:tcPr>
            <w:tcW w:type="dxa" w:w="1385"/>
          </w:tcPr>
          <w:p>
            <w:r>
              <w:rPr>
                <w:rFonts w:ascii="Times New Roman" w:hAnsi="Times New Roman"/>
                <w:sz w:val="20"/>
              </w:rPr>
              <w:t>40</w:t>
            </w:r>
          </w:p>
        </w:tc>
      </w:tr>
      <w:tr>
        <w:tc>
          <w:tcPr>
            <w:tcW w:type="dxa" w:w="1385"/>
          </w:tcPr>
          <w:p>
            <w:r>
              <w:rPr>
                <w:rFonts w:ascii="Times New Roman" w:hAnsi="Times New Roman"/>
                <w:sz w:val="20"/>
              </w:rPr>
              <w:t>Pression oncotique (mmHg)</w:t>
            </w:r>
          </w:p>
        </w:tc>
        <w:tc>
          <w:tcPr>
            <w:tcW w:type="dxa" w:w="1385"/>
          </w:tcPr>
          <w:p>
            <w:r>
              <w:rPr>
                <w:rFonts w:ascii="Times New Roman" w:hAnsi="Times New Roman"/>
                <w:sz w:val="20"/>
              </w:rPr>
              <w:t>~100</w:t>
            </w:r>
          </w:p>
        </w:tc>
        <w:tc>
          <w:tcPr>
            <w:tcW w:type="dxa" w:w="1385"/>
          </w:tcPr>
          <w:p>
            <w:r>
              <w:rPr>
                <w:rFonts w:ascii="Times New Roman" w:hAnsi="Times New Roman"/>
                <w:sz w:val="20"/>
              </w:rPr>
              <w:t>0</w:t>
            </w:r>
          </w:p>
        </w:tc>
        <w:tc>
          <w:tcPr>
            <w:tcW w:type="dxa" w:w="1385"/>
          </w:tcPr>
          <w:p>
            <w:r>
              <w:rPr>
                <w:rFonts w:ascii="Times New Roman" w:hAnsi="Times New Roman"/>
                <w:sz w:val="20"/>
              </w:rPr>
              <w:t>0</w:t>
            </w:r>
          </w:p>
        </w:tc>
        <w:tc>
          <w:tcPr>
            <w:tcW w:type="dxa" w:w="1385"/>
          </w:tcPr>
          <w:p>
            <w:r>
              <w:rPr>
                <w:rFonts w:ascii="Times New Roman" w:hAnsi="Times New Roman"/>
                <w:sz w:val="20"/>
              </w:rPr>
              <w:t>~30-40</w:t>
            </w:r>
          </w:p>
        </w:tc>
        <w:tc>
          <w:tcPr>
            <w:tcW w:type="dxa" w:w="1385"/>
          </w:tcPr>
          <w:p>
            <w:r>
              <w:rPr>
                <w:rFonts w:ascii="Times New Roman" w:hAnsi="Times New Roman"/>
                <w:sz w:val="20"/>
              </w:rPr>
              <w:t>~25</w:t>
            </w:r>
          </w:p>
        </w:tc>
      </w:tr>
      <w:tr>
        <w:tc>
          <w:tcPr>
            <w:tcW w:type="dxa" w:w="1385"/>
          </w:tcPr>
          <w:p>
            <w:r>
              <w:rPr>
                <w:rFonts w:ascii="Times New Roman" w:hAnsi="Times New Roman"/>
                <w:sz w:val="20"/>
              </w:rPr>
              <w:t>Expansion volémique initiale</w:t>
            </w:r>
          </w:p>
        </w:tc>
        <w:tc>
          <w:tcPr>
            <w:tcW w:type="dxa" w:w="1385"/>
          </w:tcPr>
          <w:p>
            <w:r>
              <w:rPr>
                <w:rFonts w:ascii="Times New Roman" w:hAnsi="Times New Roman"/>
                <w:sz w:val="20"/>
              </w:rPr>
              <w:t>3-4× volume</w:t>
            </w:r>
          </w:p>
        </w:tc>
        <w:tc>
          <w:tcPr>
            <w:tcW w:type="dxa" w:w="1385"/>
          </w:tcPr>
          <w:p>
            <w:r>
              <w:rPr>
                <w:rFonts w:ascii="Times New Roman" w:hAnsi="Times New Roman"/>
                <w:sz w:val="20"/>
              </w:rPr>
              <w:t>0,3×</w:t>
            </w:r>
          </w:p>
        </w:tc>
        <w:tc>
          <w:tcPr>
            <w:tcW w:type="dxa" w:w="1385"/>
          </w:tcPr>
          <w:p>
            <w:r>
              <w:rPr>
                <w:rFonts w:ascii="Times New Roman" w:hAnsi="Times New Roman"/>
                <w:sz w:val="20"/>
              </w:rPr>
              <w:t>0,2×</w:t>
            </w:r>
          </w:p>
        </w:tc>
        <w:tc>
          <w:tcPr>
            <w:tcW w:type="dxa" w:w="1385"/>
          </w:tcPr>
          <w:p>
            <w:r>
              <w:rPr>
                <w:rFonts w:ascii="Times New Roman" w:hAnsi="Times New Roman"/>
                <w:sz w:val="20"/>
              </w:rPr>
              <w:t>1×</w:t>
            </w:r>
          </w:p>
        </w:tc>
        <w:tc>
          <w:tcPr>
            <w:tcW w:type="dxa" w:w="1385"/>
          </w:tcPr>
          <w:p>
            <w:r>
              <w:rPr>
                <w:rFonts w:ascii="Times New Roman" w:hAnsi="Times New Roman"/>
                <w:sz w:val="20"/>
              </w:rPr>
              <w:t>1×</w:t>
            </w:r>
          </w:p>
        </w:tc>
      </w:tr>
      <w:tr>
        <w:tc>
          <w:tcPr>
            <w:tcW w:type="dxa" w:w="1385"/>
          </w:tcPr>
          <w:p>
            <w:r>
              <w:rPr>
                <w:rFonts w:ascii="Times New Roman" w:hAnsi="Times New Roman"/>
                <w:sz w:val="20"/>
              </w:rPr>
              <w:t>Demi-vie plasmatique</w:t>
            </w:r>
          </w:p>
        </w:tc>
        <w:tc>
          <w:tcPr>
            <w:tcW w:type="dxa" w:w="1385"/>
          </w:tcPr>
          <w:p>
            <w:r>
              <w:rPr>
                <w:rFonts w:ascii="Times New Roman" w:hAnsi="Times New Roman"/>
                <w:sz w:val="20"/>
              </w:rPr>
              <w:t>15-20 jours</w:t>
            </w:r>
          </w:p>
        </w:tc>
        <w:tc>
          <w:tcPr>
            <w:tcW w:type="dxa" w:w="1385"/>
          </w:tcPr>
          <w:p>
            <w:r>
              <w:rPr>
                <w:rFonts w:ascii="Times New Roman" w:hAnsi="Times New Roman"/>
                <w:sz w:val="20"/>
              </w:rPr>
              <w:t>&lt; 30 min</w:t>
            </w:r>
          </w:p>
        </w:tc>
        <w:tc>
          <w:tcPr>
            <w:tcW w:type="dxa" w:w="1385"/>
          </w:tcPr>
          <w:p>
            <w:r>
              <w:rPr>
                <w:rFonts w:ascii="Times New Roman" w:hAnsi="Times New Roman"/>
                <w:sz w:val="20"/>
              </w:rPr>
              <w:t>&lt; 30 min</w:t>
            </w:r>
          </w:p>
        </w:tc>
        <w:tc>
          <w:tcPr>
            <w:tcW w:type="dxa" w:w="1385"/>
          </w:tcPr>
          <w:p>
            <w:r>
              <w:rPr>
                <w:rFonts w:ascii="Times New Roman" w:hAnsi="Times New Roman"/>
                <w:sz w:val="20"/>
              </w:rPr>
              <w:t>12-24 h</w:t>
            </w:r>
          </w:p>
        </w:tc>
        <w:tc>
          <w:tcPr>
            <w:tcW w:type="dxa" w:w="1385"/>
          </w:tcPr>
          <w:p>
            <w:r>
              <w:rPr>
                <w:rFonts w:ascii="Times New Roman" w:hAnsi="Times New Roman"/>
                <w:sz w:val="20"/>
              </w:rPr>
              <w:t>4-6 h</w:t>
            </w:r>
          </w:p>
        </w:tc>
      </w:tr>
      <w:tr>
        <w:tc>
          <w:tcPr>
            <w:tcW w:type="dxa" w:w="1385"/>
          </w:tcPr>
          <w:p>
            <w:r>
              <w:rPr>
                <w:rFonts w:ascii="Times New Roman" w:hAnsi="Times New Roman"/>
                <w:sz w:val="20"/>
              </w:rPr>
              <w:t>Risque allergique</w:t>
            </w:r>
          </w:p>
        </w:tc>
        <w:tc>
          <w:tcPr>
            <w:tcW w:type="dxa" w:w="1385"/>
          </w:tcPr>
          <w:p>
            <w:r>
              <w:rPr>
                <w:rFonts w:ascii="Times New Roman" w:hAnsi="Times New Roman"/>
                <w:sz w:val="20"/>
              </w:rPr>
              <w:t>Très faible</w:t>
            </w:r>
          </w:p>
        </w:tc>
        <w:tc>
          <w:tcPr>
            <w:tcW w:type="dxa" w:w="1385"/>
          </w:tcPr>
          <w:p>
            <w:r>
              <w:rPr>
                <w:rFonts w:ascii="Times New Roman" w:hAnsi="Times New Roman"/>
                <w:sz w:val="20"/>
              </w:rPr>
              <w:t>Nul</w:t>
            </w:r>
          </w:p>
        </w:tc>
        <w:tc>
          <w:tcPr>
            <w:tcW w:type="dxa" w:w="1385"/>
          </w:tcPr>
          <w:p>
            <w:r>
              <w:rPr>
                <w:rFonts w:ascii="Times New Roman" w:hAnsi="Times New Roman"/>
                <w:sz w:val="20"/>
              </w:rPr>
              <w:t>Nul</w:t>
            </w:r>
          </w:p>
        </w:tc>
        <w:tc>
          <w:tcPr>
            <w:tcW w:type="dxa" w:w="1385"/>
          </w:tcPr>
          <w:p>
            <w:r>
              <w:rPr>
                <w:rFonts w:ascii="Times New Roman" w:hAnsi="Times New Roman"/>
                <w:sz w:val="20"/>
              </w:rPr>
              <w:t>Faible</w:t>
            </w:r>
          </w:p>
        </w:tc>
        <w:tc>
          <w:tcPr>
            <w:tcW w:type="dxa" w:w="1385"/>
          </w:tcPr>
          <w:p>
            <w:r>
              <w:rPr>
                <w:rFonts w:ascii="Times New Roman" w:hAnsi="Times New Roman"/>
                <w:sz w:val="20"/>
              </w:rPr>
              <w:t>Faible-moyen</w:t>
            </w:r>
          </w:p>
        </w:tc>
      </w:tr>
      <w:tr>
        <w:tc>
          <w:tcPr>
            <w:tcW w:type="dxa" w:w="1385"/>
          </w:tcPr>
          <w:p>
            <w:r>
              <w:rPr>
                <w:rFonts w:ascii="Times New Roman" w:hAnsi="Times New Roman"/>
                <w:sz w:val="20"/>
              </w:rPr>
              <w:t>Risque rénal (IRA)</w:t>
            </w:r>
          </w:p>
        </w:tc>
        <w:tc>
          <w:tcPr>
            <w:tcW w:type="dxa" w:w="1385"/>
          </w:tcPr>
          <w:p>
            <w:r>
              <w:rPr>
                <w:rFonts w:ascii="Times New Roman" w:hAnsi="Times New Roman"/>
                <w:sz w:val="20"/>
              </w:rPr>
              <w:t>Très faible</w:t>
            </w:r>
          </w:p>
        </w:tc>
        <w:tc>
          <w:tcPr>
            <w:tcW w:type="dxa" w:w="1385"/>
          </w:tcPr>
          <w:p>
            <w:r>
              <w:rPr>
                <w:rFonts w:ascii="Times New Roman" w:hAnsi="Times New Roman"/>
                <w:sz w:val="20"/>
              </w:rPr>
              <w:t>Œdème périop</w:t>
            </w:r>
          </w:p>
        </w:tc>
        <w:tc>
          <w:tcPr>
            <w:tcW w:type="dxa" w:w="1385"/>
          </w:tcPr>
          <w:p>
            <w:r>
              <w:rPr>
                <w:rFonts w:ascii="Times New Roman" w:hAnsi="Times New Roman"/>
                <w:sz w:val="20"/>
              </w:rPr>
              <w:t>Œdème périop</w:t>
            </w:r>
          </w:p>
        </w:tc>
        <w:tc>
          <w:tcPr>
            <w:tcW w:type="dxa" w:w="1385"/>
          </w:tcPr>
          <w:p>
            <w:r>
              <w:rPr>
                <w:rFonts w:ascii="Times New Roman" w:hAnsi="Times New Roman"/>
                <w:sz w:val="20"/>
              </w:rPr>
              <w:t>Modéré (HEMEA)</w:t>
            </w:r>
          </w:p>
        </w:tc>
        <w:tc>
          <w:tcPr>
            <w:tcW w:type="dxa" w:w="1385"/>
          </w:tcPr>
          <w:p>
            <w:r>
              <w:rPr>
                <w:rFonts w:ascii="Times New Roman" w:hAnsi="Times New Roman"/>
                <w:sz w:val="20"/>
              </w:rPr>
              <w:t>Faible</w:t>
            </w:r>
          </w:p>
        </w:tc>
      </w:tr>
      <w:tr>
        <w:tc>
          <w:tcPr>
            <w:tcW w:type="dxa" w:w="1385"/>
          </w:tcPr>
          <w:p>
            <w:r>
              <w:rPr>
                <w:rFonts w:ascii="Times New Roman" w:hAnsi="Times New Roman"/>
                <w:sz w:val="20"/>
              </w:rPr>
              <w:t>Risque de surcharge</w:t>
            </w:r>
          </w:p>
        </w:tc>
        <w:tc>
          <w:tcPr>
            <w:tcW w:type="dxa" w:w="1385"/>
          </w:tcPr>
          <w:p>
            <w:r>
              <w:rPr>
                <w:rFonts w:ascii="Times New Roman" w:hAnsi="Times New Roman"/>
                <w:sz w:val="20"/>
              </w:rPr>
              <w:t>Modéré (NaCl)</w:t>
            </w:r>
          </w:p>
        </w:tc>
        <w:tc>
          <w:tcPr>
            <w:tcW w:type="dxa" w:w="1385"/>
          </w:tcPr>
          <w:p>
            <w:r>
              <w:rPr>
                <w:rFonts w:ascii="Times New Roman" w:hAnsi="Times New Roman"/>
                <w:sz w:val="20"/>
              </w:rPr>
              <w:t>Élevé (Na⁺, Cl⁻)</w:t>
            </w:r>
          </w:p>
        </w:tc>
        <w:tc>
          <w:tcPr>
            <w:tcW w:type="dxa" w:w="1385"/>
          </w:tcPr>
          <w:p>
            <w:r>
              <w:rPr>
                <w:rFonts w:ascii="Times New Roman" w:hAnsi="Times New Roman"/>
                <w:sz w:val="20"/>
              </w:rPr>
              <w:t>Élevé</w:t>
            </w:r>
          </w:p>
        </w:tc>
        <w:tc>
          <w:tcPr>
            <w:tcW w:type="dxa" w:w="1385"/>
          </w:tcPr>
          <w:p>
            <w:r>
              <w:rPr>
                <w:rFonts w:ascii="Times New Roman" w:hAnsi="Times New Roman"/>
                <w:sz w:val="20"/>
              </w:rPr>
              <w:t>Faible</w:t>
            </w:r>
          </w:p>
        </w:tc>
        <w:tc>
          <w:tcPr>
            <w:tcW w:type="dxa" w:w="1385"/>
          </w:tcPr>
          <w:p>
            <w:r>
              <w:rPr>
                <w:rFonts w:ascii="Times New Roman" w:hAnsi="Times New Roman"/>
                <w:sz w:val="20"/>
              </w:rPr>
              <w:t>Modéré</w:t>
            </w:r>
          </w:p>
        </w:tc>
      </w:tr>
      <w:tr>
        <w:tc>
          <w:tcPr>
            <w:tcW w:type="dxa" w:w="1385"/>
          </w:tcPr>
          <w:p>
            <w:r>
              <w:rPr>
                <w:rFonts w:ascii="Times New Roman" w:hAnsi="Times New Roman"/>
                <w:sz w:val="20"/>
              </w:rPr>
              <w:t>Coût relatif</w:t>
            </w:r>
          </w:p>
        </w:tc>
        <w:tc>
          <w:tcPr>
            <w:tcW w:type="dxa" w:w="1385"/>
          </w:tcPr>
          <w:p>
            <w:r>
              <w:rPr>
                <w:rFonts w:ascii="Times New Roman" w:hAnsi="Times New Roman"/>
                <w:sz w:val="20"/>
              </w:rPr>
              <w:t>×10-15</w:t>
            </w:r>
          </w:p>
        </w:tc>
        <w:tc>
          <w:tcPr>
            <w:tcW w:type="dxa" w:w="1385"/>
          </w:tcPr>
          <w:p>
            <w:r>
              <w:rPr>
                <w:rFonts w:ascii="Times New Roman" w:hAnsi="Times New Roman"/>
                <w:sz w:val="20"/>
              </w:rPr>
              <w:t>×1</w:t>
            </w:r>
          </w:p>
        </w:tc>
        <w:tc>
          <w:tcPr>
            <w:tcW w:type="dxa" w:w="1385"/>
          </w:tcPr>
          <w:p>
            <w:r>
              <w:rPr>
                <w:rFonts w:ascii="Times New Roman" w:hAnsi="Times New Roman"/>
                <w:sz w:val="20"/>
              </w:rPr>
              <w:t>×1-2</w:t>
            </w:r>
          </w:p>
        </w:tc>
        <w:tc>
          <w:tcPr>
            <w:tcW w:type="dxa" w:w="1385"/>
          </w:tcPr>
          <w:p>
            <w:r>
              <w:rPr>
                <w:rFonts w:ascii="Times New Roman" w:hAnsi="Times New Roman"/>
                <w:sz w:val="20"/>
              </w:rPr>
              <w:t>×5</w:t>
            </w:r>
          </w:p>
        </w:tc>
        <w:tc>
          <w:tcPr>
            <w:tcW w:type="dxa" w:w="1385"/>
          </w:tcPr>
          <w:p>
            <w:r>
              <w:rPr>
                <w:rFonts w:ascii="Times New Roman" w:hAnsi="Times New Roman"/>
                <w:sz w:val="20"/>
              </w:rPr>
              <w:t>×3-5</w:t>
            </w:r>
          </w:p>
        </w:tc>
      </w:tr>
      <w:tr>
        <w:tc>
          <w:tcPr>
            <w:tcW w:type="dxa" w:w="1385"/>
          </w:tcPr>
          <w:p>
            <w:r>
              <w:rPr>
                <w:rFonts w:ascii="Times New Roman" w:hAnsi="Times New Roman"/>
                <w:sz w:val="20"/>
              </w:rPr>
              <w:t>Recommandations 2024</w:t>
            </w:r>
          </w:p>
        </w:tc>
        <w:tc>
          <w:tcPr>
            <w:tcW w:type="dxa" w:w="1385"/>
          </w:tcPr>
          <w:p>
            <w:r>
              <w:rPr>
                <w:rFonts w:ascii="Times New Roman" w:hAnsi="Times New Roman"/>
                <w:sz w:val="20"/>
              </w:rPr>
              <w:t>Spécialités définies</w:t>
            </w:r>
          </w:p>
        </w:tc>
        <w:tc>
          <w:tcPr>
            <w:tcW w:type="dxa" w:w="1385"/>
          </w:tcPr>
          <w:p>
            <w:r>
              <w:rPr>
                <w:rFonts w:ascii="Times New Roman" w:hAnsi="Times New Roman"/>
                <w:sz w:val="20"/>
              </w:rPr>
              <w:t>Réanimation initiale</w:t>
            </w:r>
          </w:p>
        </w:tc>
        <w:tc>
          <w:tcPr>
            <w:tcW w:type="dxa" w:w="1385"/>
          </w:tcPr>
          <w:p>
            <w:r>
              <w:rPr>
                <w:rFonts w:ascii="Times New Roman" w:hAnsi="Times New Roman"/>
                <w:sz w:val="20"/>
              </w:rPr>
              <w:t>Réanimation initiale</w:t>
            </w:r>
          </w:p>
        </w:tc>
        <w:tc>
          <w:tcPr>
            <w:tcW w:type="dxa" w:w="1385"/>
          </w:tcPr>
          <w:p>
            <w:r>
              <w:rPr>
                <w:rFonts w:ascii="Times New Roman" w:hAnsi="Times New Roman"/>
                <w:sz w:val="20"/>
              </w:rPr>
              <w:t>Décisionnel</w:t>
            </w:r>
          </w:p>
        </w:tc>
        <w:tc>
          <w:tcPr>
            <w:tcW w:type="dxa" w:w="1385"/>
          </w:tcPr>
          <w:p>
            <w:r>
              <w:rPr>
                <w:rFonts w:ascii="Times New Roman" w:hAnsi="Times New Roman"/>
                <w:sz w:val="20"/>
              </w:rPr>
              <w:t>Décisionnel</w:t>
            </w:r>
          </w:p>
        </w:tc>
      </w:tr>
    </w:tbl>
    <w:p/>
    <w:p>
      <w:pPr>
        <w:pStyle w:val="Heading3"/>
      </w:pPr>
      <w:r>
        <w:t>Sous-section 4 — Profil pharmacologique : indications, contre-indications, effets indésirables</w:t>
      </w:r>
    </w:p>
    <w:p>
      <w:pPr>
        <w:pStyle w:val="Heading4"/>
      </w:pPr>
      <w:r>
        <w:t>Indications thérapeutiques validées (RCP + HAS)</w:t>
      </w:r>
    </w:p>
    <w:p>
      <w:pPr>
        <w:pStyle w:val="ListNumber"/>
      </w:pPr>
      <w:r/>
      <w:r>
        <w:rPr>
          <w:b/>
        </w:rPr>
        <w:t>Hypovolémie réfractaire</w:t>
      </w:r>
      <w:r>
        <w:t xml:space="preserve"> au remplissage par cristalloïdes seuls, en particulier :</w:t>
      </w:r>
    </w:p>
    <w:p>
      <w:pPr>
        <w:pStyle w:val="ListBullet"/>
      </w:pPr>
      <w:r/>
      <w:r>
        <w:rPr>
          <w:b/>
        </w:rPr>
        <w:t>Choc hémorragique</w:t>
      </w:r>
      <w:r>
        <w:t xml:space="preserve"> après restauration de la masse globulaire (transfusion CGR) : albumine 20 % si hypoalbuminémie &lt; 25 g/L persistante.</w:t>
      </w:r>
    </w:p>
    <w:p>
      <w:pPr>
        <w:pStyle w:val="ListBullet"/>
      </w:pPr>
      <w:r/>
      <w:r>
        <w:rPr>
          <w:b/>
        </w:rPr>
        <w:t>Choc septique</w:t>
      </w:r>
      <w:r>
        <w:t xml:space="preserve"> avec hypoalbuminémie &lt; 30 g/L (Surviving Sepsis Campaign 2021, recommandation *weak, low quality*) : albumine 20 % en complément des cristalloïdes.</w:t>
      </w:r>
    </w:p>
    <w:p>
      <w:pPr>
        <w:pStyle w:val="ListBullet"/>
      </w:pPr>
      <w:r/>
      <w:r>
        <w:rPr>
          <w:b/>
        </w:rPr>
        <w:t>Choc cardiogénique réfractaire</w:t>
      </w:r>
      <w:r>
        <w:t xml:space="preserve"> avec hypoalbuminémie (post-CEC, post-ECMO).</w:t>
      </w:r>
    </w:p>
    <w:p>
      <w:pPr>
        <w:pStyle w:val="ListNumber"/>
      </w:pPr>
      <w:r/>
      <w:r>
        <w:rPr>
          <w:b/>
        </w:rPr>
        <w:t>Hypoalbuminémie symptomatique</w:t>
      </w:r>
      <w:r>
        <w:t xml:space="preserve"> :</w:t>
      </w:r>
    </w:p>
    <w:p>
      <w:pPr>
        <w:pStyle w:val="ListBullet"/>
      </w:pPr>
      <w:r/>
      <w:r>
        <w:rPr>
          <w:b/>
        </w:rPr>
        <w:t>Cirrhose décompensée</w:t>
      </w:r>
      <w:r>
        <w:t xml:space="preserve"> : ascite réfractaire, hyponatrémie dilutionnelle, syndrome hépato-rénal (HRS-AKI).</w:t>
      </w:r>
    </w:p>
    <w:p>
      <w:pPr>
        <w:pStyle w:val="ListBullet"/>
      </w:pPr>
      <w:r/>
      <w:r>
        <w:rPr>
          <w:b/>
        </w:rPr>
        <w:t>Syndrome néphrotique</w:t>
      </w:r>
      <w:r>
        <w:t xml:space="preserve"> : hypoalbuminémie &lt; 20 g/L avec œdèmes massifs réfractaires aux diurétiques seuls.</w:t>
      </w:r>
    </w:p>
    <w:p>
      <w:pPr>
        <w:pStyle w:val="ListBullet"/>
      </w:pPr>
      <w:r/>
      <w:r>
        <w:rPr>
          <w:b/>
        </w:rPr>
        <w:t>Entéropathies exsudatives</w:t>
      </w:r>
      <w:r>
        <w:t xml:space="preserve"> : maladie de Crohn active, lymphangiectasie intestinale.</w:t>
      </w:r>
    </w:p>
    <w:p>
      <w:pPr>
        <w:pStyle w:val="ListBullet"/>
      </w:pPr>
      <w:r/>
      <w:r>
        <w:rPr>
          <w:b/>
        </w:rPr>
        <w:t>Dénutrition sévère</w:t>
      </w:r>
      <w:r>
        <w:t xml:space="preserve"> : albuminémie &lt; 25 g/L avec cachexie (attention : l'albumine IV n'est PAS un apport nutritionnel protéique ; privilégier la nutrition entérale ou parentérale).</w:t>
      </w:r>
    </w:p>
    <w:p>
      <w:pPr>
        <w:pStyle w:val="ListNumber"/>
      </w:pPr>
      <w:r/>
      <w:r>
        <w:rPr>
          <w:b/>
        </w:rPr>
        <w:t>Prévention de l'hypovolémie post-paracentèse évacuatrice</w:t>
      </w:r>
      <w:r>
        <w:t xml:space="preserve"> :</w:t>
      </w:r>
    </w:p>
    <w:p>
      <w:pPr>
        <w:pStyle w:val="ListBullet"/>
      </w:pPr>
      <w:r>
        <w:t xml:space="preserve">Recommandations EASL/Baveno VII (2022) : </w:t>
      </w:r>
      <w:r>
        <w:rPr>
          <w:b/>
        </w:rPr>
        <w:t>6-8 g d'albumine 20 % par litre d'ascite évacuée au-delà de 5 L</w:t>
      </w:r>
      <w:r>
        <w:t xml:space="preserve"> (donc 100 mL = 20 g pour 5 L ; 200 mL = 40 g pour 8 L ; 300 mL = 60 g pour 10 L).</w:t>
      </w:r>
    </w:p>
    <w:p>
      <w:pPr>
        <w:pStyle w:val="ListBullet"/>
      </w:pPr>
      <w:r>
        <w:t>Indication validée et préventive : réduit le risque d'hypovolémie circulaire post-paracentèse (HCP), d'insuffisance rénale aiguë (IRA), et de décès.</w:t>
      </w:r>
    </w:p>
    <w:p>
      <w:pPr>
        <w:pStyle w:val="ListNumber"/>
      </w:pPr>
      <w:r/>
      <w:r>
        <w:rPr>
          <w:b/>
        </w:rPr>
        <w:t>Syndrome hépato-rénal (HRS-AKI)</w:t>
      </w:r>
      <w:r>
        <w:t xml:space="preserve"> :</w:t>
      </w:r>
    </w:p>
    <w:p>
      <w:pPr>
        <w:pStyle w:val="ListBullet"/>
      </w:pPr>
      <w:r>
        <w:t xml:space="preserve">Protocole </w:t>
      </w:r>
      <w:r>
        <w:rPr>
          <w:b/>
        </w:rPr>
        <w:t>albumine + terlipressine</w:t>
      </w:r>
      <w:r>
        <w:t xml:space="preserve"> (ou noradrénaline si terlipressine indisponible) : albumine 20 % à </w:t>
      </w:r>
      <w:r>
        <w:rPr>
          <w:b/>
        </w:rPr>
        <w:t>1 g/kg (50 g chez l'adulte de 70 kg) en bolus IV le jour 1, puis 20-40 g/jour pendant 14 jours maximum</w:t>
      </w:r>
      <w:r>
        <w:t>, en association avec vasoconstricteur splanchnique. Recommandations EASL 2018, AASLD 2021.</w:t>
      </w:r>
    </w:p>
    <w:p>
      <w:pPr>
        <w:pStyle w:val="ListNumber"/>
      </w:pPr>
      <w:r/>
      <w:r>
        <w:rPr>
          <w:b/>
        </w:rPr>
        <w:t>Purpura fulminans</w:t>
      </w:r>
      <w:r>
        <w:t xml:space="preserve"> (méningococcémie, septicémie à pneumocoque) :</w:t>
      </w:r>
    </w:p>
    <w:p>
      <w:pPr>
        <w:pStyle w:val="ListBullet"/>
      </w:pPr>
      <w:r>
        <w:t>Albumine 20 % en perfusion continue pour maintenir la pression oncotique en cas de CIVD et de fuite capillaire massive.</w:t>
      </w:r>
    </w:p>
    <w:p>
      <w:pPr>
        <w:pStyle w:val="ListBullet"/>
      </w:pPr>
      <w:r>
        <w:t>Dose : 0,5-1 g/kg/jour (soit 1-2 flacons de 100 mL pour adulte 70 kg), à ajuster selon albuminémie et état hémodynamique.</w:t>
      </w:r>
    </w:p>
    <w:p>
      <w:pPr>
        <w:pStyle w:val="ListNumber"/>
      </w:pPr>
      <w:r/>
      <w:r>
        <w:rPr>
          <w:b/>
        </w:rPr>
        <w:t>Plasmaphérèse / échange plasmatique</w:t>
      </w:r>
      <w:r>
        <w:t xml:space="preserve"> :</w:t>
      </w:r>
    </w:p>
    <w:p>
      <w:pPr>
        <w:pStyle w:val="ListBullet"/>
      </w:pPr>
      <w:r>
        <w:t>Substitution volémique lors des échanges plasmatiques pour purpura thrombotique thrombocytopénique (PTT), syndrome de Goodpasture, myasthénie grave, syndrome de Guillain-Barré. La solution de substitution peut comporter 4-5 % d'albumine (diluée extemporanément à partir d'albumine 20 %), en complément du PFC si nécessaire.</w:t>
      </w:r>
    </w:p>
    <w:p>
      <w:pPr>
        <w:pStyle w:val="ListNumber"/>
      </w:pPr>
      <w:r/>
      <w:r>
        <w:rPr>
          <w:b/>
        </w:rPr>
        <w:t>Syndrome de détresse respiratoire aiguë (SDRA)</w:t>
      </w:r>
      <w:r>
        <w:t xml:space="preserve"> :</w:t>
      </w:r>
    </w:p>
    <w:p>
      <w:pPr>
        <w:pStyle w:val="ListBullet"/>
      </w:pPr>
      <w:r>
        <w:t>Albumine 20 % + furosémide : protocole de Martin 2002, 2005 (effet bénéfique sur l'oxygénation en cas d'hypoalbuminémie &lt; 30 g/L, mais controverse sur la mortalité).</w:t>
      </w:r>
    </w:p>
    <w:p>
      <w:pPr>
        <w:pStyle w:val="ListNumber"/>
      </w:pPr>
      <w:r/>
      <w:r>
        <w:rPr>
          <w:b/>
        </w:rPr>
        <w:t>Chirurgie cardiovasculaire sous CEC</w:t>
      </w:r>
      <w:r>
        <w:t xml:space="preserve"> :</w:t>
      </w:r>
    </w:p>
    <w:p>
      <w:pPr>
        <w:pStyle w:val="ListBullet"/>
      </w:pPr>
      <w:r>
        <w:t>Prime de la pompe CEC avec adjonction d'albumine (4-5 %) pour maintenir la pression oncotique pendant la CEC et prévenir l'œdème tissulaire post-opératoire.</w:t>
      </w:r>
    </w:p>
    <w:p>
      <w:pPr>
        <w:pStyle w:val="ListNumber"/>
      </w:pPr>
      <w:r/>
      <w:r>
        <w:rPr>
          <w:b/>
        </w:rPr>
        <w:t>Œdème cérébral post-traumatique ou post-AVC hémorragique</w:t>
      </w:r>
      <w:r>
        <w:t xml:space="preserve"> :</w:t>
      </w:r>
    </w:p>
    <w:p>
      <w:pPr>
        <w:pStyle w:val="ListBullet"/>
      </w:pPr>
      <w:r>
        <w:t>Utilisation controversée d'albumine 20 % comme soluté hypertonique oncotique (essai ALIAS 2007-2013, résultats négatifs sur la mortalité à 90 j). Indication non retenue par les recommandations européennes 2024.</w:t>
      </w:r>
    </w:p>
    <w:p>
      <w:pPr>
        <w:pStyle w:val="ListNumber"/>
      </w:pPr>
      <w:r/>
      <w:r>
        <w:rPr>
          <w:b/>
        </w:rPr>
        <w:t>Chylothorax post-chirurgical</w:t>
      </w:r>
      <w:r>
        <w:t xml:space="preserve"> :</w:t>
      </w:r>
    </w:p>
    <w:p>
      <w:pPr>
        <w:pStyle w:val="ListBullet"/>
      </w:pPr>
      <w:r>
        <w:t>Compensation des pertes protidiques par albumine 20 % IV en attendant la cicatrisation spontanée ou chirurgicale du canal thoracique.</w:t>
      </w:r>
    </w:p>
    <w:p>
      <w:pPr>
        <w:pStyle w:val="Heading4"/>
      </w:pPr>
      <w:r>
        <w:t>Contre-indications absolues</w:t>
      </w:r>
    </w:p>
    <w:p>
      <w:pPr>
        <w:pStyle w:val="ListNumber"/>
      </w:pPr>
      <w:r/>
      <w:r>
        <w:rPr>
          <w:b/>
        </w:rPr>
        <w:t>Hypersensibilité avérée</w:t>
      </w:r>
      <w:r>
        <w:t xml:space="preserve"> à l'albumine humaine ou à l'un des excipients (N-acétyltryptophanate, sodium caprylate, sodium, ions traces).</w:t>
      </w:r>
    </w:p>
    <w:p>
      <w:pPr>
        <w:pStyle w:val="ListNumber"/>
      </w:pPr>
      <w:r/>
      <w:r>
        <w:rPr>
          <w:b/>
        </w:rPr>
        <w:t>Œdème aigu du poumon cardiogénique</w:t>
      </w:r>
      <w:r>
        <w:t xml:space="preserve"> (sauf formes réfractaires au furosémide avec hypoalbuminémie marquée, sous surveillance hémodynamique rapprochée en réanimation).</w:t>
      </w:r>
    </w:p>
    <w:p>
      <w:pPr>
        <w:pStyle w:val="ListNumber"/>
      </w:pPr>
      <w:r/>
      <w:r>
        <w:rPr>
          <w:b/>
        </w:rPr>
        <w:t>Hypervolémie</w:t>
      </w:r>
      <w:r>
        <w:t xml:space="preserve"> franche (insuffisance cardiaque congestive décompensée, surcharge hydrosodée).</w:t>
      </w:r>
    </w:p>
    <w:p>
      <w:pPr>
        <w:pStyle w:val="ListNumber"/>
      </w:pPr>
      <w:r/>
      <w:r>
        <w:rPr>
          <w:b/>
        </w:rPr>
        <w:t>Anémie sévère non corrigée</w:t>
      </w:r>
      <w:r>
        <w:t xml:space="preserve"> (l'expansion volémique majore l'anémie relative et l'hypoxie tissulaire).</w:t>
      </w:r>
    </w:p>
    <w:p>
      <w:pPr>
        <w:pStyle w:val="ListNumber"/>
      </w:pPr>
      <w:r/>
      <w:r>
        <w:rPr>
          <w:b/>
        </w:rPr>
        <w:t>Insuffisance cardiaque NYHA IV</w:t>
      </w:r>
      <w:r>
        <w:t xml:space="preserve"> décompensée.</w:t>
      </w:r>
    </w:p>
    <w:p>
      <w:pPr>
        <w:pStyle w:val="ListNumber"/>
      </w:pPr>
      <w:r/>
      <w:r>
        <w:rPr>
          <w:b/>
        </w:rPr>
        <w:t>Insuffisance rénale chronique terminale</w:t>
      </w:r>
      <w:r>
        <w:t xml:space="preserve"> sans épuration extra-rénale ( risque de surcharge volémique).</w:t>
      </w:r>
    </w:p>
    <w:p>
      <w:pPr>
        <w:pStyle w:val="ListNumber"/>
      </w:pPr>
      <w:r/>
      <w:r>
        <w:rPr>
          <w:b/>
        </w:rPr>
        <w:t>Déshydratation hypertonique pure</w:t>
      </w:r>
      <w:r>
        <w:t xml:space="preserve"> (l'albumine 20 % apporte du sodium et mobilise l'eau interstitielle, ce qui peut aggraver la déshydratation intracellulaire ; corriger d'abord la déshydratation par solutés hypotoniques).</w:t>
      </w:r>
    </w:p>
    <w:p>
      <w:pPr>
        <w:pStyle w:val="Heading4"/>
      </w:pPr>
      <w:r>
        <w:t>Contre-indications relatives (à discuter au cas par cas)</w:t>
      </w:r>
    </w:p>
    <w:p>
      <w:pPr>
        <w:pStyle w:val="ListNumber"/>
      </w:pPr>
      <w:r/>
      <w:r>
        <w:rPr>
          <w:b/>
        </w:rPr>
        <w:t>Hypertension artérielle non contrôlée</w:t>
      </w:r>
      <w:r>
        <w:t xml:space="preserve"> (risque d'aggravation par expansion volémique).</w:t>
      </w:r>
    </w:p>
    <w:p>
      <w:pPr>
        <w:pStyle w:val="ListNumber"/>
      </w:pPr>
      <w:r/>
      <w:r>
        <w:rPr>
          <w:b/>
        </w:rPr>
        <w:t>Cirrhose avec encéphalopathie hépatique</w:t>
      </w:r>
      <w:r>
        <w:t xml:space="preserve"> (l'albumine contient des acides aminés aromatiques théoriquement délétères, mais le risque est minime aux doses recommandées).</w:t>
      </w:r>
    </w:p>
    <w:p>
      <w:pPr>
        <w:pStyle w:val="ListNumber"/>
      </w:pPr>
      <w:r/>
      <w:r>
        <w:rPr>
          <w:b/>
        </w:rPr>
        <w:t>Coagulopathie sévère</w:t>
      </w:r>
      <w:r>
        <w:t xml:space="preserve"> (l'albumine contient des facteurs de coagulation résiduels à l'état de traces, mais aucune interaction clinique significative n'a été documentée).</w:t>
      </w:r>
    </w:p>
    <w:p>
      <w:pPr>
        <w:pStyle w:val="ListNumber"/>
      </w:pPr>
      <w:r/>
      <w:r>
        <w:rPr>
          <w:b/>
        </w:rPr>
        <w:t>Allaitement</w:t>
      </w:r>
      <w:r>
        <w:t xml:space="preserve"> : pas de CI formelle (vide CRAT).</w:t>
      </w:r>
    </w:p>
    <w:p>
      <w:pPr>
        <w:pStyle w:val="ListNumber"/>
      </w:pPr>
      <w:r/>
      <w:r>
        <w:rPr>
          <w:b/>
        </w:rPr>
        <w:t>Grossesse</w:t>
      </w:r>
      <w:r>
        <w:t xml:space="preserve"> : pas de CI formelle (vide CRAT).</w:t>
      </w:r>
    </w:p>
    <w:p>
      <w:pPr>
        <w:pStyle w:val="Heading4"/>
      </w:pPr>
      <w:r>
        <w:t>Effets indésirables</w:t>
      </w:r>
    </w:p>
    <w:p>
      <w:r/>
      <w:r>
        <w:rPr>
          <w:b/>
        </w:rPr>
        <w:t>Effets indésirables fréquents (≥ 1/100 à &lt; 1/10)</w:t>
      </w:r>
      <w:r>
        <w:t xml:space="preserve"> :</w:t>
      </w:r>
    </w:p>
    <w:p>
      <w:pPr>
        <w:pStyle w:val="ListBullet"/>
      </w:pPr>
      <w:r>
        <w:t>Frissons, fièvre transitoire (réaction pyrogène non spécifique).</w:t>
      </w:r>
    </w:p>
    <w:p>
      <w:pPr>
        <w:pStyle w:val="ListBullet"/>
      </w:pPr>
      <w:r>
        <w:t>Urticaire, rash cutané, prurit (réaction d'hypersensibilité légère).</w:t>
      </w:r>
    </w:p>
    <w:p>
      <w:pPr>
        <w:pStyle w:val="ListBullet"/>
      </w:pPr>
      <w:r>
        <w:t>Nausées, vomissements.</w:t>
      </w:r>
    </w:p>
    <w:p>
      <w:pPr>
        <w:pStyle w:val="ListBullet"/>
      </w:pPr>
      <w:r>
        <w:t>Tachycardie, hypotension transitoire (effet vasodilatateur lié à la perfusion rapide).</w:t>
      </w:r>
    </w:p>
    <w:p>
      <w:r/>
      <w:r>
        <w:rPr>
          <w:b/>
        </w:rPr>
        <w:t>Effets indésirables peu fréquents (≥ 1/1 000 à &lt; 1/100)</w:t>
      </w:r>
      <w:r>
        <w:t xml:space="preserve"> :</w:t>
      </w:r>
    </w:p>
    <w:p>
      <w:pPr>
        <w:pStyle w:val="ListBullet"/>
      </w:pPr>
      <w:r>
        <w:t>Réactions anaphylactiques (bronchospasme, urticaire géante, hypotension, choc).</w:t>
      </w:r>
    </w:p>
    <w:p>
      <w:pPr>
        <w:pStyle w:val="ListBullet"/>
      </w:pPr>
      <w:r>
        <w:t>Surcharge volémique (Œdème aigu du poumon iatrogène) — surtout en cas de perfusion trop rapide ou de posologie excessive.</w:t>
      </w:r>
    </w:p>
    <w:p>
      <w:pPr>
        <w:pStyle w:val="ListBullet"/>
      </w:pPr>
      <w:r>
        <w:t>Hypertension artérielle transitoire.</w:t>
      </w:r>
    </w:p>
    <w:p>
      <w:r/>
      <w:r>
        <w:rPr>
          <w:b/>
        </w:rPr>
        <w:t>Effets indésirables rares (≥ 1/10 000 à &lt; 1/1 000)</w:t>
      </w:r>
      <w:r>
        <w:t xml:space="preserve"> :</w:t>
      </w:r>
    </w:p>
    <w:p>
      <w:pPr>
        <w:pStyle w:val="ListBullet"/>
      </w:pPr>
      <w:r>
        <w:t>Hypersensibilité immédiate sévère (choc anaphylactique).</w:t>
      </w:r>
    </w:p>
    <w:p>
      <w:pPr>
        <w:pStyle w:val="ListBullet"/>
      </w:pPr>
      <w:r>
        <w:t>Réaction hémodynamique paradoxale (hypotension brutale par vasodilatation.</w:t>
      </w:r>
    </w:p>
    <w:p>
      <w:pPr>
        <w:pStyle w:val="ListBullet"/>
      </w:pPr>
      <w:r>
        <w:t>Alcalose métabolique (l'albumine contient du sodium caprylate métabolisé en bicarbonate).</w:t>
      </w:r>
    </w:p>
    <w:p>
      <w:pPr>
        <w:pStyle w:val="ListBullet"/>
      </w:pPr>
      <w:r>
        <w:t>Hypernatrémie de dilution (l'albumine 20 % contient 130-160 mmol/L de Na⁺).</w:t>
      </w:r>
    </w:p>
    <w:p>
      <w:r/>
      <w:r>
        <w:rPr>
          <w:b/>
        </w:rPr>
        <w:t>Effets indésirables très rares (&lt; 1/10 000)</w:t>
      </w:r>
      <w:r>
        <w:t xml:space="preserve"> :</w:t>
      </w:r>
    </w:p>
    <w:p>
      <w:pPr>
        <w:pStyle w:val="ListBullet"/>
      </w:pPr>
      <w:r>
        <w:t>Transmission théorique d'agents infectieux (VIH, VHB, VHC, Parvovirus B19, prions) — aucun cas documenté à ce jour avec l'albumine pasteurisée.</w:t>
      </w:r>
    </w:p>
    <w:p>
      <w:pPr>
        <w:pStyle w:val="ListBullet"/>
      </w:pPr>
      <w:r>
        <w:t>Réaction cytotoxique (leucopénie transitoire, thrombopénie transitoire) — exceptionnel.</w:t>
      </w:r>
    </w:p>
    <w:p>
      <w:r/>
      <w:r>
        <w:rPr>
          <w:b/>
        </w:rPr>
        <w:t>Effets liés au mode d'administration</w:t>
      </w:r>
      <w:r>
        <w:t xml:space="preserve"> :</w:t>
      </w:r>
    </w:p>
    <w:p>
      <w:pPr>
        <w:pStyle w:val="ListBullet"/>
      </w:pPr>
      <w:r>
        <w:t>Douleur au point d'injection, phlébite (rare avec albumine 20 % isotonique).</w:t>
      </w:r>
    </w:p>
    <w:p>
      <w:pPr>
        <w:pStyle w:val="ListBullet"/>
      </w:pPr>
      <w:r>
        <w:t>Embolie gazeuse (en cas de perfusion sans purge correcte de la tubulure).</w:t>
      </w:r>
    </w:p>
    <w:p>
      <w:pPr>
        <w:pStyle w:val="Heading3"/>
      </w:pPr>
      <w:r>
        <w:t>Sous-section 5 — Prévention et gestion des effets indésirables</w:t>
      </w:r>
    </w:p>
    <w:p>
      <w:pPr>
        <w:pStyle w:val="Heading4"/>
      </w:pPr>
      <w:r>
        <w:t>Prévention de la surcharge volémique (Œdème aigu du poumon iatrogène)</w:t>
      </w:r>
    </w:p>
    <w:p>
      <w:r>
        <w:t>C'est le principal risque de l'albumine 20 %, particulièrement chez les patients à risque (sujet âgé &gt; 75 ans, insuffisance cardiaque, insuffisance rénale, cirrhose avec ascite réfractaire). Mesures préventives :</w:t>
      </w:r>
    </w:p>
    <w:p>
      <w:pPr>
        <w:pStyle w:val="ListBullet"/>
      </w:pPr>
      <w:r/>
      <w:r>
        <w:rPr>
          <w:b/>
        </w:rPr>
        <w:t>Débit de perfusion lent</w:t>
      </w:r>
      <w:r>
        <w:t xml:space="preserve"> : ≤ 1-2 mL/min chez l'adulte (≤ 0,2 mL/kg/h chez l'enfant, ≤ 1 mL/kg/h chez le nourrisson), jamais en bolus rapide sauf urgence vitale absolue (purpura fulminans, choc hémorragique massif).</w:t>
      </w:r>
    </w:p>
    <w:p>
      <w:pPr>
        <w:pStyle w:val="ListBullet"/>
      </w:pPr>
      <w:r/>
      <w:r>
        <w:rPr>
          <w:b/>
        </w:rPr>
        <w:t>Surveillance clinique continue</w:t>
      </w:r>
      <w:r>
        <w:t xml:space="preserve"> : tension artérielle, fréquence cardiaque, fréquence respiratoire, auscultation pulmonaire (recherche de crépitants), diurèse horaire (sonde vésicale).</w:t>
      </w:r>
    </w:p>
    <w:p>
      <w:pPr>
        <w:pStyle w:val="ListBullet"/>
      </w:pPr>
      <w:r/>
      <w:r>
        <w:rPr>
          <w:b/>
        </w:rPr>
        <w:t>Surveillance biologique</w:t>
      </w:r>
      <w:r>
        <w:t xml:space="preserve"> : ionogramme sanguin, urée, créatinine, albuminémie, protidémie avant et après perfusion (toutes les 6-12 h si perfusion prolongée).</w:t>
      </w:r>
    </w:p>
    <w:p>
      <w:pPr>
        <w:pStyle w:val="ListBullet"/>
      </w:pPr>
      <w:r/>
      <w:r>
        <w:rPr>
          <w:b/>
        </w:rPr>
        <w:t>Diurétique d'appoint</w:t>
      </w:r>
      <w:r>
        <w:t xml:space="preserve"> : furosémide IV (20-40 mg) en cas de signes de surcharge (rales crépitants, désaturation, prise de poids rapide) — à discuter selon le contexte (le furosémide peut être délétère en cas d'hypovolémie vraie).</w:t>
      </w:r>
    </w:p>
    <w:p>
      <w:pPr>
        <w:pStyle w:val="ListBullet"/>
      </w:pPr>
      <w:r/>
      <w:r>
        <w:rPr>
          <w:b/>
        </w:rPr>
        <w:t>Patients à très haut risque</w:t>
      </w:r>
      <w:r>
        <w:t xml:space="preserve"> (IC NYHA IV) : monitorage hémodynamique invasif (cathéter artériel, éventuellement Swan-Ganz si indication) + perfusion en réanimation.</w:t>
      </w:r>
    </w:p>
    <w:p>
      <w:pPr>
        <w:pStyle w:val="Heading4"/>
      </w:pPr>
      <w:r>
        <w:t>Prévention des réactions d'hypersensibilité</w:t>
      </w:r>
    </w:p>
    <w:p>
      <w:pPr>
        <w:pStyle w:val="ListBullet"/>
      </w:pPr>
      <w:r/>
      <w:r>
        <w:rPr>
          <w:b/>
        </w:rPr>
        <w:t>Interrogatoire allergologique</w:t>
      </w:r>
      <w:r>
        <w:t xml:space="preserve"> préalable : antécédents d'allergie aux PSS, déficit en IgA avec anticorps anti-IgA (à dépister chez les patients polytransfusés ou ayant eu des réactions antérieures).</w:t>
      </w:r>
    </w:p>
    <w:p>
      <w:pPr>
        <w:pStyle w:val="ListBullet"/>
      </w:pPr>
      <w:r/>
      <w:r>
        <w:rPr>
          <w:b/>
        </w:rPr>
        <w:t>Disponibilité du matériel de réanimation</w:t>
      </w:r>
      <w:r>
        <w:t xml:space="preserve"> à proximité immédiate : adrénaline IM (1 mg/mL, seringue pré-remplie), antihistaminique (polaramine IV 2 mg/amp), corticoïde (Solumédrol IV 60-120 mg), oxygène, masque, intubation.</w:t>
      </w:r>
    </w:p>
    <w:p>
      <w:pPr>
        <w:pStyle w:val="ListBullet"/>
      </w:pPr>
      <w:r/>
      <w:r>
        <w:rPr>
          <w:b/>
        </w:rPr>
        <w:t>Surveillance rapprochée</w:t>
      </w:r>
      <w:r>
        <w:t xml:space="preserve"> pendant les 15 premières minutes de perfusion (période à risque maximal de réaction anaphylactique).</w:t>
      </w:r>
    </w:p>
    <w:p>
      <w:pPr>
        <w:pStyle w:val="ListBullet"/>
      </w:pPr>
      <w:r/>
      <w:r>
        <w:rPr>
          <w:b/>
        </w:rPr>
        <w:t>Test cutané</w:t>
      </w:r>
      <w:r>
        <w:t xml:space="preserve"> préalable (prick-test) non systématique mais recommandé en cas d'antécédents d'allergie aux PSS.</w:t>
      </w:r>
    </w:p>
    <w:p>
      <w:pPr>
        <w:pStyle w:val="Heading4"/>
      </w:pPr>
      <w:r>
        <w:t>Prévention des troubles hydro-électrolytiques</w:t>
      </w:r>
    </w:p>
    <w:p>
      <w:pPr>
        <w:pStyle w:val="ListBullet"/>
      </w:pPr>
      <w:r/>
      <w:r>
        <w:rPr>
          <w:b/>
        </w:rPr>
        <w:t>Hypernatrémie</w:t>
      </w:r>
      <w:r>
        <w:t xml:space="preserve"> : l'albumine 20 % contient 130-160 mmol/L de Na⁺. Un flacon de 100 mL apporte ~13-16 mmol de Na⁺ (soit l'équivalent de 100 mL de NaCl 0,9 %). Surveiller la natrémie toutes les 12-24 h en cas d'administration répétée.</w:t>
      </w:r>
    </w:p>
    <w:p>
      <w:pPr>
        <w:pStyle w:val="ListBullet"/>
      </w:pPr>
      <w:r/>
      <w:r>
        <w:rPr>
          <w:b/>
        </w:rPr>
        <w:t>Alcalose métabolique</w:t>
      </w:r>
      <w:r>
        <w:t xml:space="preserve"> : le sodium caprylate stabilisateur est métabolisé en bicarbonate ; surveiller l'équilibre acido-basique (gaz du sang) en cas de perfusion prolongée &gt; 5 jours.</w:t>
      </w:r>
    </w:p>
    <w:p>
      <w:pPr>
        <w:pStyle w:val="ListBullet"/>
      </w:pPr>
      <w:r/>
      <w:r>
        <w:rPr>
          <w:b/>
        </w:rPr>
        <w:t>Hypokaliémie</w:t>
      </w:r>
      <w:r>
        <w:t xml:space="preserve"> : l'expansion volémique dilue le potassium plasmatique et augmente la diurèse (fuite urinaire de K⁺) ; supplémentation potassique à discuter.</w:t>
      </w:r>
    </w:p>
    <w:p>
      <w:pPr>
        <w:pStyle w:val="Heading4"/>
      </w:pPr>
      <w:r>
        <w:t>Gestion des effets indésirables aigus</w:t>
      </w:r>
    </w:p>
    <w:p>
      <w:pPr>
        <w:pStyle w:val="ListBullet"/>
      </w:pPr>
      <w:r/>
      <w:r>
        <w:rPr>
          <w:b/>
        </w:rPr>
        <w:t>Choc anaphylactique</w:t>
      </w:r>
      <w:r>
        <w:t xml:space="preserve"> : arrêt immédiat de la perfusion, position Trendelenburg, </w:t>
      </w:r>
      <w:r>
        <w:rPr>
          <w:b/>
        </w:rPr>
        <w:t>adrénaline IM 0,5 mg</w:t>
      </w:r>
      <w:r>
        <w:t xml:space="preserve"> (0,3 mg chez l'enfant &gt; 6 ans, 0,15 mg chez l'enfant &lt; 6 ans) à répéter toutes les 5-15 minutes si nécessaire, antihistaminique + corticoïde IV, oxygénothérapie à haut débit, intubation si détresse respiratoire, appel du réanimateur.</w:t>
      </w:r>
    </w:p>
    <w:p>
      <w:pPr>
        <w:pStyle w:val="ListBullet"/>
      </w:pPr>
      <w:r/>
      <w:r>
        <w:rPr>
          <w:b/>
        </w:rPr>
        <w:t>Œdème aigu du poumon iatrogène</w:t>
      </w:r>
      <w:r>
        <w:t xml:space="preserve"> : arrêt immédiat de la perfusion, position semi-assise, oxygène à haut débit (masque haute concentration 15 L/min), furosémide IV 40-80 mg, dérivés nitrés (Risordan IV 1-2 mg/h) si TA le permet, VNI en cas de détresse respiratoire sévère.</w:t>
      </w:r>
    </w:p>
    <w:p>
      <w:pPr>
        <w:pStyle w:val="ListBullet"/>
      </w:pPr>
      <w:r/>
      <w:r>
        <w:rPr>
          <w:b/>
        </w:rPr>
        <w:t>Réaction pyrogène</w:t>
      </w:r>
      <w:r>
        <w:t xml:space="preserve"> : arrêt transitoire de la perfusion, paracétamol IV 1 g, antihistaminique, surveillance ; reprise éventuelle à débit plus lent après 30 minutes.</w:t>
      </w:r>
    </w:p>
    <w:p>
      <w:pPr>
        <w:pStyle w:val="Heading3"/>
      </w:pPr>
      <w:r>
        <w:t>Sous-section 6 — Interactions médicamenteuses</w:t>
      </w:r>
    </w:p>
    <w:p>
      <w:r>
        <w:t>Les interactions médicamenteuses de l'albumine humaine sont principalement pharmacocinétiques (modification de la fraction libre des médicaments fortement liés à l'albumine) et pharmacodynamiques (potentialisation de l'effet des antihypertenseurs et des diurétiques par expansion volémique).</w:t>
      </w:r>
    </w:p>
    <w:p>
      <w:pPr>
        <w:pStyle w:val="Heading4"/>
      </w:pPr>
      <w:r>
        <w:t>Interactions pharmacocinétiques (lié à la liaison protéique)</w:t>
      </w:r>
    </w:p>
    <w:p>
      <w:r>
        <w:t xml:space="preserve">L'albumine administrée IV augmente transitoirement la capacité de liaison plasmatique des médicaments fortement liés (&gt; 90 %). Cela se traduit par une </w:t>
      </w:r>
      <w:r>
        <w:rPr>
          <w:b/>
        </w:rPr>
        <w:t>diminution de la fraction libre</w:t>
      </w:r>
      <w:r>
        <w:t xml:space="preserve"> (active) et donc une réduction potentielle de l'effet pharmacologique. Les médicaments concernés sont :</w:t>
      </w:r>
    </w:p>
    <w:p>
      <w:pPr>
        <w:pStyle w:val="ListBullet"/>
      </w:pPr>
      <w:r/>
      <w:r>
        <w:rPr>
          <w:b/>
        </w:rPr>
        <w:t>Warfarine</w:t>
      </w:r>
      <w:r>
        <w:t xml:space="preserve"> (liée à 99 % à l'albumine) : l'administration d'albumine peut réduire l'INR transitoirement, mais l'effet est généralement mineur et cliniquement non significatif aux doses recommandées.</w:t>
      </w:r>
    </w:p>
    <w:p>
      <w:pPr>
        <w:pStyle w:val="ListBullet"/>
      </w:pPr>
      <w:r/>
      <w:r>
        <w:rPr>
          <w:b/>
        </w:rPr>
        <w:t>Acide valproïque</w:t>
      </w:r>
      <w:r>
        <w:t xml:space="preserve"> (lié à 90-95 %) : la fraction libre augmente en cas d'hypoalbuminémie (toxicité neurologique, hépatique) ; l'administration d'albumine peut réduire la fraction libre et donc la toxicité — effet théoriquement bénéfique dans l'intoxication aiguë.</w:t>
      </w:r>
    </w:p>
    <w:p>
      <w:pPr>
        <w:pStyle w:val="ListBullet"/>
      </w:pPr>
      <w:r/>
      <w:r>
        <w:rPr>
          <w:b/>
        </w:rPr>
        <w:t>AINS</w:t>
      </w:r>
      <w:r>
        <w:t xml:space="preserve"> (diclofénac, ibuprofène, indométacine) : liés à 99 % à l'albumine ; l'albumine IV ne modifie pas significativement l'effet pharmacologique.</w:t>
      </w:r>
    </w:p>
    <w:p>
      <w:pPr>
        <w:pStyle w:val="ListBullet"/>
      </w:pPr>
      <w:r/>
      <w:r>
        <w:rPr>
          <w:b/>
        </w:rPr>
        <w:t>Benzodiazépines</w:t>
      </w:r>
      <w:r>
        <w:t xml:space="preserve"> (diazépam, midazolam) : idem.</w:t>
      </w:r>
    </w:p>
    <w:p>
      <w:pPr>
        <w:pStyle w:val="ListBullet"/>
      </w:pPr>
      <w:r/>
      <w:r>
        <w:rPr>
          <w:b/>
        </w:rPr>
        <w:t>Céphalosporines 3G</w:t>
      </w:r>
      <w:r>
        <w:t xml:space="preserve"> (ceftriaxone, céfotaxime) : liées à 60-95 % ; effet non significatif.</w:t>
      </w:r>
    </w:p>
    <w:p>
      <w:pPr>
        <w:pStyle w:val="ListBullet"/>
      </w:pPr>
      <w:r/>
      <w:r>
        <w:rPr>
          <w:b/>
        </w:rPr>
        <w:t>Furosémide</w:t>
      </w:r>
      <w:r>
        <w:t xml:space="preserve"> : lié à 95 % ; l'albumine IV peut potentialiser l'effet diurétique en augmentant le débit de filtration glomérulaire (DFG) et la fraction libre filtrée (effet synergique : albumine + furosémide = protocole de Martin 2002, 2005 dans le SDRA avec hypoalbuminémie).</w:t>
      </w:r>
    </w:p>
    <w:p>
      <w:pPr>
        <w:pStyle w:val="Heading4"/>
      </w:pPr>
      <w:r>
        <w:t>Interactions pharmacodynamiques</w:t>
      </w:r>
    </w:p>
    <w:p>
      <w:pPr>
        <w:pStyle w:val="ListBullet"/>
      </w:pPr>
      <w:r/>
      <w:r>
        <w:rPr>
          <w:b/>
        </w:rPr>
        <w:t>Diurétiques de l'anse</w:t>
      </w:r>
      <w:r>
        <w:t xml:space="preserve"> (furosémide, bumétanide) : synergie dans le syndrome néphrotique et la cirrhose ascitique (l'albumine restaure la volémie efficace et le flux tubulaire rénal, le furosémide inhibe la réabsorption de NaCl dans l'anse de Henle).</w:t>
      </w:r>
    </w:p>
    <w:p>
      <w:pPr>
        <w:pStyle w:val="ListBullet"/>
      </w:pPr>
      <w:r/>
      <w:r>
        <w:rPr>
          <w:b/>
        </w:rPr>
        <w:t>Inhibiteurs de l'enzyme de conversion (IEC)</w:t>
      </w:r>
      <w:r>
        <w:t xml:space="preserve"> et </w:t>
      </w:r>
      <w:r>
        <w:rPr>
          <w:b/>
        </w:rPr>
        <w:t>ARA-2</w:t>
      </w:r>
      <w:r>
        <w:t xml:space="preserve"> : risque d'hypotension excessive en cas d'administration concomitante d'albumine (expansion volémique + vasodilatation).</w:t>
      </w:r>
    </w:p>
    <w:p>
      <w:pPr>
        <w:pStyle w:val="ListBullet"/>
      </w:pPr>
      <w:r/>
      <w:r>
        <w:rPr>
          <w:b/>
        </w:rPr>
        <w:t>Diurétiques thiazidiques</w:t>
      </w:r>
      <w:r>
        <w:t xml:space="preserve"> (hydrochlorothiazide, indapamide) : potentialisation de l'effet antihypertenseur.</w:t>
      </w:r>
    </w:p>
    <w:p>
      <w:pPr>
        <w:pStyle w:val="ListBullet"/>
      </w:pPr>
      <w:r/>
      <w:r>
        <w:rPr>
          <w:b/>
        </w:rPr>
        <w:t>Antihypertenseurs centraux</w:t>
      </w:r>
      <w:r>
        <w:t xml:space="preserve"> (clonidine, méthyldopa) : risque d'hypotension excessive.</w:t>
      </w:r>
    </w:p>
    <w:p>
      <w:pPr>
        <w:pStyle w:val="ListBullet"/>
      </w:pPr>
      <w:r/>
      <w:r>
        <w:rPr>
          <w:b/>
        </w:rPr>
        <w:t>Dérivés nitrés</w:t>
      </w:r>
      <w:r>
        <w:t xml:space="preserve"> (nitroglycérine, isosorbide) : risque d'hypotension sévère.</w:t>
      </w:r>
    </w:p>
    <w:p>
      <w:pPr>
        <w:pStyle w:val="ListBullet"/>
      </w:pPr>
      <w:r/>
      <w:r>
        <w:rPr>
          <w:b/>
        </w:rPr>
        <w:t>Vasoconstricteurs</w:t>
      </w:r>
      <w:r>
        <w:t xml:space="preserve"> (noradrénaline, adrénaline) : effet synergique sur la pression artérielle (utilisé dans le syndrome hépato-rénal : albumine + terlipressine ou noradrénaline).</w:t>
      </w:r>
    </w:p>
    <w:p>
      <w:pPr>
        <w:pStyle w:val="Heading4"/>
      </w:pPr>
      <w:r>
        <w:t>Incompatibilités physiques (à ne jamais mélanger dans la même tubulure)</w:t>
      </w:r>
    </w:p>
    <w:p>
      <w:pPr>
        <w:pStyle w:val="ListBullet"/>
      </w:pPr>
      <w:r/>
      <w:r>
        <w:rPr>
          <w:b/>
        </w:rPr>
        <w:t>Alcool</w:t>
      </w:r>
      <w:r>
        <w:t xml:space="preserve"> : précipitation de l'albumine (l'alcool dénature les protéines).</w:t>
      </w:r>
    </w:p>
    <w:p>
      <w:pPr>
        <w:pStyle w:val="ListBullet"/>
      </w:pPr>
      <w:r/>
      <w:r>
        <w:rPr>
          <w:b/>
        </w:rPr>
        <w:t>Solutés acides</w:t>
      </w:r>
      <w:r>
        <w:t xml:space="preserve"> (glucose 5 % sans tampon, amino-acides hypertoniques) : précipitation de l'albumine par acidification.</w:t>
      </w:r>
    </w:p>
    <w:p>
      <w:pPr>
        <w:pStyle w:val="ListBullet"/>
      </w:pPr>
      <w:r/>
      <w:r>
        <w:rPr>
          <w:b/>
        </w:rPr>
        <w:t>Solutions contenant des cations divalents en forte concentration</w:t>
      </w:r>
      <w:r>
        <w:t xml:space="preserve"> (Ca²⁺, Mg²⁺) : risque de précipitation.</w:t>
      </w:r>
    </w:p>
    <w:p>
      <w:pPr>
        <w:pStyle w:val="ListBullet"/>
      </w:pPr>
      <w:r/>
      <w:r>
        <w:rPr>
          <w:b/>
        </w:rPr>
        <w:t>Médicaments sensibles au pH alcalin</w:t>
      </w:r>
      <w:r>
        <w:t xml:space="preserve"> (insuline, noradrénaline, vasopressine) : incompatibilité possible.</w:t>
      </w:r>
    </w:p>
    <w:p>
      <w:pPr>
        <w:pStyle w:val="ListBullet"/>
      </w:pPr>
      <w:r/>
      <w:r>
        <w:rPr>
          <w:b/>
        </w:rPr>
        <w:t>PFC (plasma frais congelé)</w:t>
      </w:r>
      <w:r>
        <w:t xml:space="preserve"> : pas de mélange direct (administrer sur voies veineuses séparées).</w:t>
      </w:r>
    </w:p>
    <w:p>
      <w:pPr>
        <w:pStyle w:val="ListBullet"/>
      </w:pPr>
      <w:r/>
      <w:r>
        <w:rPr>
          <w:b/>
        </w:rPr>
        <w:t>CGR (culot globulaire rouge)</w:t>
      </w:r>
      <w:r>
        <w:t xml:space="preserve"> : pas de mélange direct (administrer sur voies séparées ; risque d'agrégation érythrocytaire).</w:t>
      </w:r>
    </w:p>
    <w:p>
      <w:pPr>
        <w:pStyle w:val="Heading4"/>
      </w:pPr>
      <w:r>
        <w:t>Précautions d'administration</w:t>
      </w:r>
    </w:p>
    <w:p>
      <w:pPr>
        <w:pStyle w:val="ListBullet"/>
      </w:pPr>
      <w:r/>
      <w:r>
        <w:rPr>
          <w:b/>
        </w:rPr>
        <w:t>Voie veineuse périphérique</w:t>
      </w:r>
      <w:r>
        <w:t xml:space="preserve"> : autorisée pour l'albumine 4 % (isotonique) ; pour l'albumine 20 % (hypertonique, hyperoncotique), préférer une </w:t>
      </w:r>
      <w:r>
        <w:rPr>
          <w:b/>
        </w:rPr>
        <w:t>voie veineuse centrale</w:t>
      </w:r>
      <w:r>
        <w:t xml:space="preserve"> en cas de perfusion prolongée &gt; 100 mL/h pour réduire le risque de phlébite.</w:t>
      </w:r>
    </w:p>
    <w:p>
      <w:pPr>
        <w:pStyle w:val="ListBullet"/>
      </w:pPr>
      <w:r/>
      <w:r>
        <w:rPr>
          <w:b/>
        </w:rPr>
        <w:t>Soluté de dilution</w:t>
      </w:r>
      <w:r>
        <w:t xml:space="preserve"> : NaCl 0,9 % (jamais glucose 5 % qui provoque une agrégation protéique).</w:t>
      </w:r>
    </w:p>
    <w:p>
      <w:pPr>
        <w:pStyle w:val="ListBullet"/>
      </w:pPr>
      <w:r/>
      <w:r>
        <w:rPr>
          <w:b/>
        </w:rPr>
        <w:t>Filtre</w:t>
      </w:r>
      <w:r>
        <w:t xml:space="preserve"> : pas de filtre spécifique requis (à l'inverse des IgIV).</w:t>
      </w:r>
    </w:p>
    <w:p>
      <w:pPr>
        <w:pStyle w:val="Heading3"/>
      </w:pPr>
      <w:r>
        <w:t>Sous-section 7 — Grossesse et allaitement (CRAT)</w:t>
      </w:r>
    </w:p>
    <w:p>
      <w:pPr>
        <w:pStyle w:val="Heading4"/>
      </w:pPr>
      <w:r>
        <w:t>Données CRAT</w:t>
      </w:r>
    </w:p>
    <w:p>
      <w:r>
        <w:t>D'après le Centre de Renseignement sur les Agents Tératogènes (CRAT, France), l'albumine humaine :</w:t>
      </w:r>
    </w:p>
    <w:p>
      <w:pPr>
        <w:pStyle w:val="ListBullet"/>
      </w:pPr>
      <w:r/>
      <w:r>
        <w:rPr>
          <w:b/>
        </w:rPr>
        <w:t>Grossesse</w:t>
      </w:r>
      <w:r>
        <w:t xml:space="preserve"> : </w:t>
      </w:r>
      <w:r>
        <w:rPr>
          <w:b/>
        </w:rPr>
        <w:t>utilisable si nécessaire</w:t>
      </w:r>
      <w:r>
        <w:t xml:space="preserve"> (catégorie « utilisable »). L'albumine est une protéine endogène qui ne traverse pas significativement la barrière placentaire (poids moléculaire 66 500 Da &gt;&gt; seuil de passage transplacentaire). Aucun effet tératogène, foetotoxique ou néonatal documenté à ce jour.</w:t>
      </w:r>
    </w:p>
    <w:p>
      <w:pPr>
        <w:pStyle w:val="ListBullet"/>
      </w:pPr>
      <w:r/>
      <w:r>
        <w:rPr>
          <w:b/>
        </w:rPr>
        <w:t>Allaitement</w:t>
      </w:r>
      <w:r>
        <w:t xml:space="preserve"> : </w:t>
      </w:r>
      <w:r>
        <w:rPr>
          <w:b/>
        </w:rPr>
        <w:t>compatible</w:t>
      </w:r>
      <w:r>
        <w:t xml:space="preserve"> (catégorie « compatible »). L'albumine est une protéine native du lait maternel ; l'administration IV d'albumine humaine n'augmente pas significativement l'albumine du lait maternel et ne présente aucun risque pour le nouveau-né.</w:t>
      </w:r>
    </w:p>
    <w:p>
      <w:pPr>
        <w:pStyle w:val="Heading4"/>
      </w:pPr>
      <w:r>
        <w:t>Indications chez la femme enceinte</w:t>
      </w:r>
    </w:p>
    <w:p>
      <w:pPr>
        <w:pStyle w:val="ListBullet"/>
      </w:pPr>
      <w:r/>
      <w:r>
        <w:rPr>
          <w:b/>
        </w:rPr>
        <w:t>Hypovolémie réfractaire</w:t>
      </w:r>
      <w:r>
        <w:t xml:space="preserve"> au remplissage par cristalloïdes seuls : choc hémorragique (HPP, trauma), choc septique gravidique (pyélonéphrite obstructive, chorioamniotite).</w:t>
      </w:r>
    </w:p>
    <w:p>
      <w:pPr>
        <w:pStyle w:val="ListBullet"/>
      </w:pPr>
      <w:r/>
      <w:r>
        <w:rPr>
          <w:b/>
        </w:rPr>
        <w:t>Syndrome néphrotique</w:t>
      </w:r>
      <w:r>
        <w:t xml:space="preserve"> gravidique : pré-éclampsie sévère avec protéinurie massive et hypoalbuminémie &lt; 20 g/L.</w:t>
      </w:r>
    </w:p>
    <w:p>
      <w:pPr>
        <w:pStyle w:val="ListBullet"/>
      </w:pPr>
      <w:r/>
      <w:r>
        <w:rPr>
          <w:b/>
        </w:rPr>
        <w:t>Cirrhose décompensée</w:t>
      </w:r>
      <w:r>
        <w:t xml:space="preserve"> chez la femme enceinte (rare) : ascite réfractaire, paracentèse évacuatrice.</w:t>
      </w:r>
    </w:p>
    <w:p>
      <w:pPr>
        <w:pStyle w:val="ListBullet"/>
      </w:pPr>
      <w:r/>
      <w:r>
        <w:rPr>
          <w:b/>
        </w:rPr>
        <w:t>Purpura fulminans</w:t>
      </w:r>
      <w:r>
        <w:t xml:space="preserve"> gravidique : méningococcémie gravidique, septicémie à pneumocoque.</w:t>
      </w:r>
    </w:p>
    <w:p>
      <w:pPr>
        <w:pStyle w:val="ListBullet"/>
      </w:pPr>
      <w:r/>
      <w:r>
        <w:rPr>
          <w:b/>
        </w:rPr>
        <w:t>Hypertension artérielle gravidique</w:t>
      </w:r>
      <w:r>
        <w:t xml:space="preserve"> : en cas de pré-éclampsie sévère avec hypoalbuminémie marquée et oligurie résistant au sulfate de magnésium + antihypertenseur, l'albumine IV peut être discutée en réanimation obstétricale (controversé).</w:t>
      </w:r>
    </w:p>
    <w:p>
      <w:pPr>
        <w:pStyle w:val="ListBullet"/>
      </w:pPr>
      <w:r/>
      <w:r>
        <w:rPr>
          <w:b/>
        </w:rPr>
        <w:t>Chirurgie maternelle urgente</w:t>
      </w:r>
      <w:r>
        <w:t xml:space="preserve"> pendant la grossesse : maintien de la volémie péri-opératoire (appendicectomie, cholécystectomie, chirurgie digestive urgente).</w:t>
      </w:r>
    </w:p>
    <w:p>
      <w:pPr>
        <w:pStyle w:val="Heading4"/>
      </w:pPr>
      <w:r>
        <w:t>Posologie chez la femme enceinte</w:t>
      </w:r>
    </w:p>
    <w:p>
      <w:pPr>
        <w:pStyle w:val="ListBullet"/>
      </w:pPr>
      <w:r>
        <w:t>Posologie identique à celle de l'adulte non enceinte, adaptée au poids et à la pathologie.</w:t>
      </w:r>
    </w:p>
    <w:p>
      <w:pPr>
        <w:pStyle w:val="ListBullet"/>
      </w:pPr>
      <w:r>
        <w:t>Surveillance continue du rythme cardiaque foetal (RCF) pendant la perfusion.</w:t>
      </w:r>
    </w:p>
    <w:p>
      <w:pPr>
        <w:pStyle w:val="ListBullet"/>
      </w:pPr>
      <w:r>
        <w:t>Surveillance de la diurèse horaire (sonde vésicale).</w:t>
      </w:r>
    </w:p>
    <w:p>
      <w:pPr>
        <w:pStyle w:val="ListBullet"/>
      </w:pPr>
      <w:r>
        <w:t>Éviter l'hypernatrémie maternelle (risque de déshydratation foetale).</w:t>
      </w:r>
    </w:p>
    <w:p>
      <w:pPr>
        <w:pStyle w:val="ListBullet"/>
      </w:pPr>
      <w:r>
        <w:t>Préférer les voies veineuses périphériques de gros calibre (16-18 G) pour éviter la perfusion prolongée sur voie centrale (risque de thrombose veineuse profonde gravidique).</w:t>
      </w:r>
    </w:p>
    <w:p>
      <w:pPr>
        <w:pStyle w:val="Heading4"/>
      </w:pPr>
      <w:r>
        <w:t>Allaitement</w:t>
      </w:r>
    </w:p>
    <w:p>
      <w:pPr>
        <w:pStyle w:val="ListBullet"/>
      </w:pPr>
      <w:r/>
      <w:r>
        <w:rPr>
          <w:b/>
        </w:rPr>
        <w:t>Compatible</w:t>
      </w:r>
      <w:r>
        <w:t xml:space="preserve"> sans restriction.</w:t>
      </w:r>
    </w:p>
    <w:p>
      <w:pPr>
        <w:pStyle w:val="ListBullet"/>
      </w:pPr>
      <w:r>
        <w:t>L'albumine humaine ne passe pas dans le lait maternel de manière significative.</w:t>
      </w:r>
    </w:p>
    <w:p>
      <w:pPr>
        <w:pStyle w:val="ListBullet"/>
      </w:pPr>
      <w:r>
        <w:t>Aucun effet indésirable chez le nouveau-né allaité n'a été rapporté.</w:t>
      </w:r>
    </w:p>
    <w:p>
      <w:pPr>
        <w:pStyle w:val="Heading3"/>
      </w:pPr>
      <w:r>
        <w:t>Sous-section 8 — Posologie et mode d'administration</w:t>
      </w:r>
    </w:p>
    <w:p>
      <w:pPr>
        <w:pStyle w:val="Heading4"/>
      </w:pPr>
      <w:r>
        <w:t>Posologie adulte (toutes indications confondues)</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Indication</w:t>
            </w:r>
          </w:p>
        </w:tc>
        <w:tc>
          <w:tcPr>
            <w:tcW w:type="dxa" w:w="2078"/>
            <w:shd w:val="clear" w:color="auto" w:fill="F2F2F2"/>
          </w:tcPr>
          <w:p>
            <w:r>
              <w:rPr>
                <w:rFonts w:ascii="Times New Roman" w:hAnsi="Times New Roman"/>
                <w:b/>
                <w:sz w:val="20"/>
              </w:rPr>
              <w:t>Dose initiale</w:t>
            </w:r>
          </w:p>
        </w:tc>
        <w:tc>
          <w:tcPr>
            <w:tcW w:type="dxa" w:w="2078"/>
            <w:shd w:val="clear" w:color="auto" w:fill="F2F2F2"/>
          </w:tcPr>
          <w:p>
            <w:r>
              <w:rPr>
                <w:rFonts w:ascii="Times New Roman" w:hAnsi="Times New Roman"/>
                <w:b/>
                <w:sz w:val="20"/>
              </w:rPr>
              <w:t>Dose d'entretien</w:t>
            </w:r>
          </w:p>
        </w:tc>
        <w:tc>
          <w:tcPr>
            <w:tcW w:type="dxa" w:w="2078"/>
            <w:shd w:val="clear" w:color="auto" w:fill="F2F2F2"/>
          </w:tcPr>
          <w:p>
            <w:r>
              <w:rPr>
                <w:rFonts w:ascii="Times New Roman" w:hAnsi="Times New Roman"/>
                <w:b/>
                <w:sz w:val="20"/>
              </w:rPr>
              <w:t>Voie</w:t>
            </w:r>
          </w:p>
        </w:tc>
      </w:tr>
      <w:tr>
        <w:tc>
          <w:tcPr>
            <w:tcW w:type="dxa" w:w="2078"/>
          </w:tcPr>
          <w:p>
            <w:r>
              <w:rPr>
                <w:rFonts w:ascii="Times New Roman" w:hAnsi="Times New Roman"/>
                <w:sz w:val="20"/>
              </w:rPr>
              <w:t>Hypovolémie réfractaire (choc septique)</w:t>
            </w:r>
          </w:p>
        </w:tc>
        <w:tc>
          <w:tcPr>
            <w:tcW w:type="dxa" w:w="2078"/>
          </w:tcPr>
          <w:p>
            <w:r>
              <w:rPr>
                <w:rFonts w:ascii="Times New Roman" w:hAnsi="Times New Roman"/>
                <w:sz w:val="20"/>
              </w:rPr>
              <w:t>25-50 g (1-2 flacons 100 mL) en 30 min</w:t>
            </w:r>
          </w:p>
        </w:tc>
        <w:tc>
          <w:tcPr>
            <w:tcW w:type="dxa" w:w="2078"/>
          </w:tcPr>
          <w:p>
            <w:r>
              <w:rPr>
                <w:rFonts w:ascii="Times New Roman" w:hAnsi="Times New Roman"/>
                <w:sz w:val="20"/>
              </w:rPr>
              <w:t>25-50 g/24 h, à ajuster selon albuminémie cible ≥ 30 g/L</w:t>
            </w:r>
          </w:p>
        </w:tc>
        <w:tc>
          <w:tcPr>
            <w:tcW w:type="dxa" w:w="2078"/>
          </w:tcPr>
          <w:p>
            <w:r>
              <w:rPr>
                <w:rFonts w:ascii="Times New Roman" w:hAnsi="Times New Roman"/>
                <w:sz w:val="20"/>
              </w:rPr>
              <w:t>IV lente</w:t>
            </w:r>
          </w:p>
        </w:tc>
      </w:tr>
      <w:tr>
        <w:tc>
          <w:tcPr>
            <w:tcW w:type="dxa" w:w="2078"/>
          </w:tcPr>
          <w:p>
            <w:r>
              <w:rPr>
                <w:rFonts w:ascii="Times New Roman" w:hAnsi="Times New Roman"/>
                <w:sz w:val="20"/>
              </w:rPr>
              <w:t>Hypovolémie post-paracentèse &gt; 5 L</w:t>
            </w:r>
          </w:p>
        </w:tc>
        <w:tc>
          <w:tcPr>
            <w:tcW w:type="dxa" w:w="2078"/>
          </w:tcPr>
          <w:p>
            <w:r>
              <w:rPr>
                <w:rFonts w:ascii="Times New Roman" w:hAnsi="Times New Roman"/>
                <w:sz w:val="20"/>
              </w:rPr>
              <w:t>6-8 g/L d'ascite évacuée</w:t>
            </w:r>
          </w:p>
        </w:tc>
        <w:tc>
          <w:tcPr>
            <w:tcW w:type="dxa" w:w="2078"/>
          </w:tcPr>
          <w:p>
            <w:r>
              <w:rPr>
                <w:rFonts w:ascii="Times New Roman" w:hAnsi="Times New Roman"/>
                <w:sz w:val="20"/>
              </w:rPr>
              <w:t>Dose unique au moment de la paracentèse</w:t>
            </w:r>
          </w:p>
        </w:tc>
        <w:tc>
          <w:tcPr>
            <w:tcW w:type="dxa" w:w="2078"/>
          </w:tcPr>
          <w:p>
            <w:r>
              <w:rPr>
                <w:rFonts w:ascii="Times New Roman" w:hAnsi="Times New Roman"/>
                <w:sz w:val="20"/>
              </w:rPr>
              <w:t>IV lente</w:t>
            </w:r>
          </w:p>
        </w:tc>
      </w:tr>
      <w:tr>
        <w:tc>
          <w:tcPr>
            <w:tcW w:type="dxa" w:w="2078"/>
          </w:tcPr>
          <w:p>
            <w:r>
              <w:rPr>
                <w:rFonts w:ascii="Times New Roman" w:hAnsi="Times New Roman"/>
                <w:sz w:val="20"/>
              </w:rPr>
              <w:t>Syndrome hépato-rénal (HRS-AKI)</w:t>
            </w:r>
          </w:p>
        </w:tc>
        <w:tc>
          <w:tcPr>
            <w:tcW w:type="dxa" w:w="2078"/>
          </w:tcPr>
          <w:p>
            <w:r>
              <w:rPr>
                <w:rFonts w:ascii="Times New Roman" w:hAnsi="Times New Roman"/>
                <w:sz w:val="20"/>
              </w:rPr>
              <w:t>1 g/kg (50-70 g) en perfusion continue 24 h</w:t>
            </w:r>
          </w:p>
        </w:tc>
        <w:tc>
          <w:tcPr>
            <w:tcW w:type="dxa" w:w="2078"/>
          </w:tcPr>
          <w:p>
            <w:r>
              <w:rPr>
                <w:rFonts w:ascii="Times New Roman" w:hAnsi="Times New Roman"/>
                <w:sz w:val="20"/>
              </w:rPr>
              <w:t>20-40 g/24 h pendant 14 jours max (associé à terlipressine ou noradrénaline)</w:t>
            </w:r>
          </w:p>
        </w:tc>
        <w:tc>
          <w:tcPr>
            <w:tcW w:type="dxa" w:w="2078"/>
          </w:tcPr>
          <w:p>
            <w:r>
              <w:rPr>
                <w:rFonts w:ascii="Times New Roman" w:hAnsi="Times New Roman"/>
                <w:sz w:val="20"/>
              </w:rPr>
              <w:t>IV continue</w:t>
            </w:r>
          </w:p>
        </w:tc>
      </w:tr>
      <w:tr>
        <w:tc>
          <w:tcPr>
            <w:tcW w:type="dxa" w:w="2078"/>
          </w:tcPr>
          <w:p>
            <w:r>
              <w:rPr>
                <w:rFonts w:ascii="Times New Roman" w:hAnsi="Times New Roman"/>
                <w:sz w:val="20"/>
              </w:rPr>
              <w:t>Purpura fulminans</w:t>
            </w:r>
          </w:p>
        </w:tc>
        <w:tc>
          <w:tcPr>
            <w:tcW w:type="dxa" w:w="2078"/>
          </w:tcPr>
          <w:p>
            <w:r>
              <w:rPr>
                <w:rFonts w:ascii="Times New Roman" w:hAnsi="Times New Roman"/>
                <w:sz w:val="20"/>
              </w:rPr>
              <w:t>0,5-1 g/kg en perfusion continue 24 h</w:t>
            </w:r>
          </w:p>
        </w:tc>
        <w:tc>
          <w:tcPr>
            <w:tcW w:type="dxa" w:w="2078"/>
          </w:tcPr>
          <w:p>
            <w:r>
              <w:rPr>
                <w:rFonts w:ascii="Times New Roman" w:hAnsi="Times New Roman"/>
                <w:sz w:val="20"/>
              </w:rPr>
              <w:t>À ajuster selon albuminémie</w:t>
            </w:r>
          </w:p>
        </w:tc>
        <w:tc>
          <w:tcPr>
            <w:tcW w:type="dxa" w:w="2078"/>
          </w:tcPr>
          <w:p>
            <w:r>
              <w:rPr>
                <w:rFonts w:ascii="Times New Roman" w:hAnsi="Times New Roman"/>
                <w:sz w:val="20"/>
              </w:rPr>
              <w:t>IV continue</w:t>
            </w:r>
          </w:p>
        </w:tc>
      </w:tr>
      <w:tr>
        <w:tc>
          <w:tcPr>
            <w:tcW w:type="dxa" w:w="2078"/>
          </w:tcPr>
          <w:p>
            <w:r>
              <w:rPr>
                <w:rFonts w:ascii="Times New Roman" w:hAnsi="Times New Roman"/>
                <w:sz w:val="20"/>
              </w:rPr>
              <w:t>Syndrome néphrotique</w:t>
            </w:r>
          </w:p>
        </w:tc>
        <w:tc>
          <w:tcPr>
            <w:tcW w:type="dxa" w:w="2078"/>
          </w:tcPr>
          <w:p>
            <w:r>
              <w:rPr>
                <w:rFonts w:ascii="Times New Roman" w:hAnsi="Times New Roman"/>
                <w:sz w:val="20"/>
              </w:rPr>
              <w:t>25-50 g/jour + furosémide</w:t>
            </w:r>
          </w:p>
        </w:tc>
        <w:tc>
          <w:tcPr>
            <w:tcW w:type="dxa" w:w="2078"/>
          </w:tcPr>
          <w:p>
            <w:r>
              <w:rPr>
                <w:rFonts w:ascii="Times New Roman" w:hAnsi="Times New Roman"/>
                <w:sz w:val="20"/>
              </w:rPr>
              <w:t>À ajuster selon réponse diurétique</w:t>
            </w:r>
          </w:p>
        </w:tc>
        <w:tc>
          <w:tcPr>
            <w:tcW w:type="dxa" w:w="2078"/>
          </w:tcPr>
          <w:p>
            <w:r>
              <w:rPr>
                <w:rFonts w:ascii="Times New Roman" w:hAnsi="Times New Roman"/>
                <w:sz w:val="20"/>
              </w:rPr>
              <w:t>IV lente</w:t>
            </w:r>
          </w:p>
        </w:tc>
      </w:tr>
      <w:tr>
        <w:tc>
          <w:tcPr>
            <w:tcW w:type="dxa" w:w="2078"/>
          </w:tcPr>
          <w:p>
            <w:r>
              <w:rPr>
                <w:rFonts w:ascii="Times New Roman" w:hAnsi="Times New Roman"/>
                <w:sz w:val="20"/>
              </w:rPr>
              <w:t>Cirrhose décompensée (ascite réfractaire)</w:t>
            </w:r>
          </w:p>
        </w:tc>
        <w:tc>
          <w:tcPr>
            <w:tcW w:type="dxa" w:w="2078"/>
          </w:tcPr>
          <w:p>
            <w:r>
              <w:rPr>
                <w:rFonts w:ascii="Times New Roman" w:hAnsi="Times New Roman"/>
                <w:sz w:val="20"/>
              </w:rPr>
              <w:t>25-50 g après paracentèse &gt; 5 L</w:t>
            </w:r>
          </w:p>
        </w:tc>
        <w:tc>
          <w:tcPr>
            <w:tcW w:type="dxa" w:w="2078"/>
          </w:tcPr>
          <w:p>
            <w:r>
              <w:rPr>
                <w:rFonts w:ascii="Times New Roman" w:hAnsi="Times New Roman"/>
                <w:sz w:val="20"/>
              </w:rPr>
              <w:t>25-50 g/semaine en ambulatoire</w:t>
            </w:r>
          </w:p>
        </w:tc>
        <w:tc>
          <w:tcPr>
            <w:tcW w:type="dxa" w:w="2078"/>
          </w:tcPr>
          <w:p>
            <w:r>
              <w:rPr>
                <w:rFonts w:ascii="Times New Roman" w:hAnsi="Times New Roman"/>
                <w:sz w:val="20"/>
              </w:rPr>
              <w:t>IV lente</w:t>
            </w:r>
          </w:p>
        </w:tc>
      </w:tr>
      <w:tr>
        <w:tc>
          <w:tcPr>
            <w:tcW w:type="dxa" w:w="2078"/>
          </w:tcPr>
          <w:p>
            <w:r>
              <w:rPr>
                <w:rFonts w:ascii="Times New Roman" w:hAnsi="Times New Roman"/>
                <w:sz w:val="20"/>
              </w:rPr>
              <w:t>Plasmaphérèse (substitution)</w:t>
            </w:r>
          </w:p>
        </w:tc>
        <w:tc>
          <w:tcPr>
            <w:tcW w:type="dxa" w:w="2078"/>
          </w:tcPr>
          <w:p>
            <w:r>
              <w:rPr>
                <w:rFonts w:ascii="Times New Roman" w:hAnsi="Times New Roman"/>
                <w:sz w:val="20"/>
              </w:rPr>
              <w:t>4-5 % (albumine diluée)</w:t>
            </w:r>
          </w:p>
        </w:tc>
        <w:tc>
          <w:tcPr>
            <w:tcW w:type="dxa" w:w="2078"/>
          </w:tcPr>
          <w:p>
            <w:r>
              <w:rPr>
                <w:rFonts w:ascii="Times New Roman" w:hAnsi="Times New Roman"/>
                <w:sz w:val="20"/>
              </w:rPr>
              <w:t>Volume substitué selon protocole</w:t>
            </w:r>
          </w:p>
        </w:tc>
        <w:tc>
          <w:tcPr>
            <w:tcW w:type="dxa" w:w="2078"/>
          </w:tcPr>
          <w:p>
            <w:r>
              <w:rPr>
                <w:rFonts w:ascii="Times New Roman" w:hAnsi="Times New Roman"/>
                <w:sz w:val="20"/>
              </w:rPr>
              <w:t>IV continue</w:t>
            </w:r>
          </w:p>
        </w:tc>
      </w:tr>
      <w:tr>
        <w:tc>
          <w:tcPr>
            <w:tcW w:type="dxa" w:w="2078"/>
          </w:tcPr>
          <w:p>
            <w:r>
              <w:rPr>
                <w:rFonts w:ascii="Times New Roman" w:hAnsi="Times New Roman"/>
                <w:sz w:val="20"/>
              </w:rPr>
              <w:t>SDRA + hypoalbuminémie</w:t>
            </w:r>
          </w:p>
        </w:tc>
        <w:tc>
          <w:tcPr>
            <w:tcW w:type="dxa" w:w="2078"/>
          </w:tcPr>
          <w:p>
            <w:r>
              <w:rPr>
                <w:rFonts w:ascii="Times New Roman" w:hAnsi="Times New Roman"/>
                <w:sz w:val="20"/>
              </w:rPr>
              <w:t>25-50 g + furosémide 20-40 mg</w:t>
            </w:r>
          </w:p>
        </w:tc>
        <w:tc>
          <w:tcPr>
            <w:tcW w:type="dxa" w:w="2078"/>
          </w:tcPr>
          <w:p>
            <w:r>
              <w:rPr>
                <w:rFonts w:ascii="Times New Roman" w:hAnsi="Times New Roman"/>
                <w:sz w:val="20"/>
              </w:rPr>
              <w:t>À ajuster</w:t>
            </w:r>
          </w:p>
        </w:tc>
        <w:tc>
          <w:tcPr>
            <w:tcW w:type="dxa" w:w="2078"/>
          </w:tcPr>
          <w:p>
            <w:r>
              <w:rPr>
                <w:rFonts w:ascii="Times New Roman" w:hAnsi="Times New Roman"/>
                <w:sz w:val="20"/>
              </w:rPr>
              <w:t>IV lente</w:t>
            </w:r>
          </w:p>
        </w:tc>
      </w:tr>
    </w:tbl>
    <w:p/>
    <w:p>
      <w:pPr>
        <w:pStyle w:val="Heading4"/>
      </w:pPr>
      <w:r>
        <w:t>Posologie pédiatrique</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Âge</w:t>
            </w:r>
          </w:p>
        </w:tc>
        <w:tc>
          <w:tcPr>
            <w:tcW w:type="dxa" w:w="2078"/>
            <w:shd w:val="clear" w:color="auto" w:fill="F2F2F2"/>
          </w:tcPr>
          <w:p>
            <w:r>
              <w:rPr>
                <w:rFonts w:ascii="Times New Roman" w:hAnsi="Times New Roman"/>
                <w:b/>
                <w:sz w:val="20"/>
              </w:rPr>
              <w:t>Dose initiale</w:t>
            </w:r>
          </w:p>
        </w:tc>
        <w:tc>
          <w:tcPr>
            <w:tcW w:type="dxa" w:w="2078"/>
            <w:shd w:val="clear" w:color="auto" w:fill="F2F2F2"/>
          </w:tcPr>
          <w:p>
            <w:r>
              <w:rPr>
                <w:rFonts w:ascii="Times New Roman" w:hAnsi="Times New Roman"/>
                <w:b/>
                <w:sz w:val="20"/>
              </w:rPr>
              <w:t>Voie</w:t>
            </w:r>
          </w:p>
        </w:tc>
        <w:tc>
          <w:tcPr>
            <w:tcW w:type="dxa" w:w="2078"/>
            <w:shd w:val="clear" w:color="auto" w:fill="F2F2F2"/>
          </w:tcPr>
          <w:p>
            <w:r>
              <w:rPr>
                <w:rFonts w:ascii="Times New Roman" w:hAnsi="Times New Roman"/>
                <w:b/>
                <w:sz w:val="20"/>
              </w:rPr>
              <w:t>Remarques</w:t>
            </w:r>
          </w:p>
        </w:tc>
      </w:tr>
      <w:tr>
        <w:tc>
          <w:tcPr>
            <w:tcW w:type="dxa" w:w="2078"/>
          </w:tcPr>
          <w:p>
            <w:r>
              <w:rPr>
                <w:rFonts w:ascii="Times New Roman" w:hAnsi="Times New Roman"/>
                <w:sz w:val="20"/>
              </w:rPr>
              <w:t>Nouveau-né (&lt; 1 mois)</w:t>
            </w:r>
          </w:p>
        </w:tc>
        <w:tc>
          <w:tcPr>
            <w:tcW w:type="dxa" w:w="2078"/>
          </w:tcPr>
          <w:p>
            <w:r>
              <w:rPr>
                <w:rFonts w:ascii="Times New Roman" w:hAnsi="Times New Roman"/>
                <w:sz w:val="20"/>
              </w:rPr>
              <w:t>0,5-1 g/kg/jour</w:t>
            </w:r>
          </w:p>
        </w:tc>
        <w:tc>
          <w:tcPr>
            <w:tcW w:type="dxa" w:w="2078"/>
          </w:tcPr>
          <w:p>
            <w:r>
              <w:rPr>
                <w:rFonts w:ascii="Times New Roman" w:hAnsi="Times New Roman"/>
                <w:sz w:val="20"/>
              </w:rPr>
              <w:t>IV continue</w:t>
            </w:r>
          </w:p>
        </w:tc>
        <w:tc>
          <w:tcPr>
            <w:tcW w:type="dxa" w:w="2078"/>
          </w:tcPr>
          <w:p>
            <w:r>
              <w:rPr>
                <w:rFonts w:ascii="Times New Roman" w:hAnsi="Times New Roman"/>
                <w:sz w:val="20"/>
              </w:rPr>
              <w:t>Débit ≤ 0,2 mL/kg/h</w:t>
            </w:r>
          </w:p>
        </w:tc>
      </w:tr>
      <w:tr>
        <w:tc>
          <w:tcPr>
            <w:tcW w:type="dxa" w:w="2078"/>
          </w:tcPr>
          <w:p>
            <w:r>
              <w:rPr>
                <w:rFonts w:ascii="Times New Roman" w:hAnsi="Times New Roman"/>
                <w:sz w:val="20"/>
              </w:rPr>
              <w:t>Nourrisson (1 mois-2 ans)</w:t>
            </w:r>
          </w:p>
        </w:tc>
        <w:tc>
          <w:tcPr>
            <w:tcW w:type="dxa" w:w="2078"/>
          </w:tcPr>
          <w:p>
            <w:r>
              <w:rPr>
                <w:rFonts w:ascii="Times New Roman" w:hAnsi="Times New Roman"/>
                <w:sz w:val="20"/>
              </w:rPr>
              <w:t>0,5-1 g/kg/jour</w:t>
            </w:r>
          </w:p>
        </w:tc>
        <w:tc>
          <w:tcPr>
            <w:tcW w:type="dxa" w:w="2078"/>
          </w:tcPr>
          <w:p>
            <w:r>
              <w:rPr>
                <w:rFonts w:ascii="Times New Roman" w:hAnsi="Times New Roman"/>
                <w:sz w:val="20"/>
              </w:rPr>
              <w:t>IV continue</w:t>
            </w:r>
          </w:p>
        </w:tc>
        <w:tc>
          <w:tcPr>
            <w:tcW w:type="dxa" w:w="2078"/>
          </w:tcPr>
          <w:p>
            <w:r>
              <w:rPr>
                <w:rFonts w:ascii="Times New Roman" w:hAnsi="Times New Roman"/>
                <w:sz w:val="20"/>
              </w:rPr>
              <w:t>Débit ≤ 1 mL/kg/h</w:t>
            </w:r>
          </w:p>
        </w:tc>
      </w:tr>
      <w:tr>
        <w:tc>
          <w:tcPr>
            <w:tcW w:type="dxa" w:w="2078"/>
          </w:tcPr>
          <w:p>
            <w:r>
              <w:rPr>
                <w:rFonts w:ascii="Times New Roman" w:hAnsi="Times New Roman"/>
                <w:sz w:val="20"/>
              </w:rPr>
              <w:t>Enfant (2-12 ans)</w:t>
            </w:r>
          </w:p>
        </w:tc>
        <w:tc>
          <w:tcPr>
            <w:tcW w:type="dxa" w:w="2078"/>
          </w:tcPr>
          <w:p>
            <w:r>
              <w:rPr>
                <w:rFonts w:ascii="Times New Roman" w:hAnsi="Times New Roman"/>
                <w:sz w:val="20"/>
              </w:rPr>
              <w:t>0,5-1 g/kg/jour</w:t>
            </w:r>
          </w:p>
        </w:tc>
        <w:tc>
          <w:tcPr>
            <w:tcW w:type="dxa" w:w="2078"/>
          </w:tcPr>
          <w:p>
            <w:r>
              <w:rPr>
                <w:rFonts w:ascii="Times New Roman" w:hAnsi="Times New Roman"/>
                <w:sz w:val="20"/>
              </w:rPr>
              <w:t>IV lente</w:t>
            </w:r>
          </w:p>
        </w:tc>
        <w:tc>
          <w:tcPr>
            <w:tcW w:type="dxa" w:w="2078"/>
          </w:tcPr>
          <w:p>
            <w:r>
              <w:rPr>
                <w:rFonts w:ascii="Times New Roman" w:hAnsi="Times New Roman"/>
                <w:sz w:val="20"/>
              </w:rPr>
              <w:t>Débit ≤ 1-2 mL/kg/h</w:t>
            </w:r>
          </w:p>
        </w:tc>
      </w:tr>
      <w:tr>
        <w:tc>
          <w:tcPr>
            <w:tcW w:type="dxa" w:w="2078"/>
          </w:tcPr>
          <w:p>
            <w:r>
              <w:rPr>
                <w:rFonts w:ascii="Times New Roman" w:hAnsi="Times New Roman"/>
                <w:sz w:val="20"/>
              </w:rPr>
              <w:t>Adolescent (&gt; 12 ans)</w:t>
            </w:r>
          </w:p>
        </w:tc>
        <w:tc>
          <w:tcPr>
            <w:tcW w:type="dxa" w:w="2078"/>
          </w:tcPr>
          <w:p>
            <w:r>
              <w:rPr>
                <w:rFonts w:ascii="Times New Roman" w:hAnsi="Times New Roman"/>
                <w:sz w:val="20"/>
              </w:rPr>
              <w:t>Posologie adulte</w:t>
            </w:r>
          </w:p>
        </w:tc>
        <w:tc>
          <w:tcPr>
            <w:tcW w:type="dxa" w:w="2078"/>
          </w:tcPr>
          <w:p>
            <w:r>
              <w:rPr>
                <w:rFonts w:ascii="Times New Roman" w:hAnsi="Times New Roman"/>
                <w:sz w:val="20"/>
              </w:rPr>
              <w:t>IV lente</w:t>
            </w:r>
          </w:p>
        </w:tc>
        <w:tc>
          <w:tcPr>
            <w:tcW w:type="dxa" w:w="2078"/>
          </w:tcPr>
          <w:p>
            <w:r>
              <w:rPr>
                <w:rFonts w:ascii="Times New Roman" w:hAnsi="Times New Roman"/>
                <w:sz w:val="20"/>
              </w:rPr>
              <w:t>Débit adulte</w:t>
            </w:r>
          </w:p>
        </w:tc>
      </w:tr>
    </w:tbl>
    <w:p/>
    <w:p>
      <w:pPr>
        <w:pStyle w:val="Heading4"/>
      </w:pPr>
      <w:r>
        <w:t>Posologie gériatrique (&gt; 75 ans)</w:t>
      </w:r>
    </w:p>
    <w:p>
      <w:pPr>
        <w:pStyle w:val="ListBullet"/>
      </w:pPr>
      <w:r>
        <w:t>Réduction de la dose initiale de 25-50 % chez le sujet âgé fragile.</w:t>
      </w:r>
    </w:p>
    <w:p>
      <w:pPr>
        <w:pStyle w:val="ListBullet"/>
      </w:pPr>
      <w:r>
        <w:t>Surveillance clinique rapprochée (TA, FC, auscultation pulmonaire).</w:t>
      </w:r>
    </w:p>
    <w:p>
      <w:pPr>
        <w:pStyle w:val="ListBullet"/>
      </w:pPr>
      <w:r>
        <w:t>Risque majoré d'Œdème aigu du poumon iatrogène.</w:t>
      </w:r>
    </w:p>
    <w:p>
      <w:pPr>
        <w:pStyle w:val="Heading4"/>
      </w:pPr>
      <w:r>
        <w:t>Mode d'administration</w:t>
      </w:r>
    </w:p>
    <w:p>
      <w:pPr>
        <w:pStyle w:val="ListBullet"/>
      </w:pPr>
      <w:r/>
      <w:r>
        <w:rPr>
          <w:b/>
        </w:rPr>
        <w:t>Voie IV stricte</w:t>
      </w:r>
      <w:r>
        <w:t xml:space="preserve"> : jamais IM, jamais SC.</w:t>
      </w:r>
    </w:p>
    <w:p>
      <w:pPr>
        <w:pStyle w:val="ListBullet"/>
      </w:pPr>
      <w:r/>
      <w:r>
        <w:rPr>
          <w:b/>
        </w:rPr>
        <w:t>Voie veineuse périphérique</w:t>
      </w:r>
      <w:r>
        <w:t xml:space="preserve"> : autorisée pour perfusion &lt; 250 mL/h, sur cathéter 18-20 G.</w:t>
      </w:r>
    </w:p>
    <w:p>
      <w:pPr>
        <w:pStyle w:val="ListBullet"/>
      </w:pPr>
      <w:r/>
      <w:r>
        <w:rPr>
          <w:b/>
        </w:rPr>
        <w:t>Voie veineuse centrale</w:t>
      </w:r>
      <w:r>
        <w:t xml:space="preserve"> : recommandée pour perfusion &gt; 250 mL/h, pour perfusion prolongée &gt; 12 h, ou en cas de perfusion concomitante de médicaments vasoactifs (noradrénaline, dobutamine).</w:t>
      </w:r>
    </w:p>
    <w:p>
      <w:pPr>
        <w:pStyle w:val="ListBullet"/>
      </w:pPr>
      <w:r/>
      <w:r>
        <w:rPr>
          <w:b/>
        </w:rPr>
        <w:t>Débit de perfusion</w:t>
      </w:r>
      <w:r>
        <w:t xml:space="preserve"> : ≤ 1-2 mL/min chez l'adulte (60-120 mL/h), ≤ 0,2 mL/kg/h chez le nouveau-né, ≤ 1 mL/kg/h chez l'enfant.</w:t>
      </w:r>
    </w:p>
    <w:p>
      <w:pPr>
        <w:pStyle w:val="ListBullet"/>
      </w:pPr>
      <w:r/>
      <w:r>
        <w:rPr>
          <w:b/>
        </w:rPr>
        <w:t>Durée de perfusion</w:t>
      </w:r>
      <w:r>
        <w:t xml:space="preserve"> : variable selon indication (30 minutes pour bolus thérapeutique, 4-24 h pour perfusion continue d'entretien).</w:t>
      </w:r>
    </w:p>
    <w:p>
      <w:pPr>
        <w:pStyle w:val="ListBullet"/>
      </w:pPr>
      <w:r/>
      <w:r>
        <w:rPr>
          <w:b/>
        </w:rPr>
        <w:t>Dilution</w:t>
      </w:r>
      <w:r>
        <w:t xml:space="preserve"> : possible dilution extemporanée dans NaCl 0,9 % pour obtenir concentration 4-5 % (jamais dans glucose 5 %).</w:t>
      </w:r>
    </w:p>
    <w:p>
      <w:pPr>
        <w:pStyle w:val="ListBullet"/>
      </w:pPr>
      <w:r/>
      <w:r>
        <w:rPr>
          <w:b/>
        </w:rPr>
        <w:t>Filtre</w:t>
      </w:r>
      <w:r>
        <w:t xml:space="preserve"> : pas requis (à l'inverse des IgIV qui nécessitent un filtre 15 µm).</w:t>
      </w:r>
    </w:p>
    <w:p>
      <w:pPr>
        <w:pStyle w:val="ListBullet"/>
      </w:pPr>
      <w:r/>
      <w:r>
        <w:rPr>
          <w:b/>
        </w:rPr>
        <w:t>Purge de la tubulure</w:t>
      </w:r>
      <w:r>
        <w:t xml:space="preserve"> : obligatoire avant perfusion (prévention de l'embolie gazeuse).</w:t>
      </w:r>
    </w:p>
    <w:p>
      <w:pPr>
        <w:pStyle w:val="Heading4"/>
      </w:pPr>
      <w:r>
        <w:t>Reconstitution (si dilution)</w:t>
      </w:r>
    </w:p>
    <w:p>
      <w:pPr>
        <w:pStyle w:val="ListBullet"/>
      </w:pPr>
      <w:r>
        <w:t>Technique aseptique stricte (lavage des mains, gants stériles, masque).</w:t>
      </w:r>
    </w:p>
    <w:p>
      <w:pPr>
        <w:pStyle w:val="ListBullet"/>
      </w:pPr>
      <w:r>
        <w:t>Vérifier l'intégrité du flacon, la date de péremption, la limpidité de la solution (doit être limpide, incolore à légèrement opalescente, sans particules).</w:t>
      </w:r>
    </w:p>
    <w:p>
      <w:pPr>
        <w:pStyle w:val="ListBullet"/>
      </w:pPr>
      <w:r>
        <w:t>Prélever la quantité d'albumine 20 % nécessaire avec seringue stérile.</w:t>
      </w:r>
    </w:p>
    <w:p>
      <w:pPr>
        <w:pStyle w:val="ListBullet"/>
      </w:pPr>
      <w:r>
        <w:t>Transférer dans une poche de NaCl 0,9 % de volume adapté (par ex : 100 mL d'albumine 20 % + 400 mL NaCl 0,9 % = 500 mL d'albumine à 4 %).</w:t>
      </w:r>
    </w:p>
    <w:p>
      <w:pPr>
        <w:pStyle w:val="ListBullet"/>
      </w:pPr>
      <w:r>
        <w:t>Mélanger par retournements doux (ne pas agiter vigoureusement).</w:t>
      </w:r>
    </w:p>
    <w:p>
      <w:pPr>
        <w:pStyle w:val="ListBullet"/>
      </w:pPr>
      <w:r>
        <w:t>Étiqueter la poche : nom du patient, date de préparation, concentration finale, péremption (utiliser dans les 4 h).</w:t>
      </w:r>
    </w:p>
    <w:p>
      <w:pPr>
        <w:pStyle w:val="ListBullet"/>
      </w:pPr>
      <w:r>
        <w:t>Pas de recongélation après dilution.</w:t>
      </w:r>
    </w:p>
    <w:p>
      <w:pPr>
        <w:pStyle w:val="Heading3"/>
      </w:pPr>
      <w:r>
        <w:t>Sous-section 9 — Arbitrage et bénéfices des formes galéniques</w:t>
      </w:r>
    </w:p>
    <w:p>
      <w:pPr>
        <w:pStyle w:val="Heading4"/>
      </w:pPr>
      <w:r>
        <w:t>Concentration 4 % vs 20 %</w:t>
      </w:r>
    </w:p>
    <w:p>
      <w:pPr>
        <w:pStyle w:val="ListBullet"/>
      </w:pPr>
      <w:r/>
      <w:r>
        <w:rPr>
          <w:b/>
        </w:rPr>
        <w:t>Albumine 4 %</w:t>
      </w:r>
      <w:r>
        <w:t xml:space="preserve"> (40 g/L, isooncotique) : indiquée lorsque le volume à perfuser est important (≥ 500 mL) et que l'on souhaite éviter une expansion volémique trop brutale (par ex : choc septique avec hypoalbuminémie). Avantage : expansion volémique progressive, moindre risque de surcharge. Inconvénient : apporte un volume liquidien important, ce qui peut aggraver les œdèmes en cas d'insuffisance cardiaque. Non disponible en Algérie (dilution extemporanée à partir de l'albumine 20 %).</w:t>
      </w:r>
    </w:p>
    <w:p>
      <w:pPr>
        <w:pStyle w:val="ListBullet"/>
      </w:pPr>
      <w:r/>
      <w:r>
        <w:rPr>
          <w:b/>
        </w:rPr>
        <w:t>Albumine 20 %</w:t>
      </w:r>
      <w:r>
        <w:t xml:space="preserve"> (200 g/L, hyperoncotique) : indiquée lorsque l'on souhaite mobiliser rapidement l'eau interstitielle vers le compartiment vasculaire (paracentèse, syndrome népantique, choc hémorragique avec œdèmes). Avantage : faible volume perfusé pour un effet oncotique maximal. Inconvénient : risque de surcharge volémique si perfusion trop rapide. C'est la seule concentration disponible en Algérie.</w:t>
      </w:r>
    </w:p>
    <w:p>
      <w:pPr>
        <w:pStyle w:val="Heading4"/>
      </w:pPr>
      <w:r>
        <w:t>Forme native vs forme modifiée</w:t>
      </w:r>
    </w:p>
    <w:p>
      <w:r>
        <w:t>Toutes les spécialités commercialisées en Algérie sont de l'</w:t>
      </w:r>
      <w:r>
        <w:rPr>
          <w:b/>
        </w:rPr>
        <w:t>albumine humaine native</w:t>
      </w:r>
      <w:r>
        <w:t xml:space="preserve"> (non modifiée), issue du plasma humain poolé. Il n'existe pas d'albumine recombinante (production par levure Pichia pastoris ou Oryza sativa en développement, mais non commercialisée à ce jour).</w:t>
      </w:r>
    </w:p>
    <w:p>
      <w:pPr>
        <w:pStyle w:val="Heading4"/>
      </w:pPr>
      <w:r>
        <w:t>Forme conditionnée</w:t>
      </w:r>
    </w:p>
    <w:p>
      <w:pPr>
        <w:pStyle w:val="ListBullet"/>
      </w:pPr>
      <w:r/>
      <w:r>
        <w:rPr>
          <w:b/>
        </w:rPr>
        <w:t>Flacon verre type II</w:t>
      </w:r>
      <w:r>
        <w:t xml:space="preserve"> de 50 mL (10 g) ou 100 mL (20 g) : format standard, polyvalent.</w:t>
      </w:r>
    </w:p>
    <w:p>
      <w:pPr>
        <w:pStyle w:val="ListBullet"/>
      </w:pPr>
      <w:r/>
      <w:r>
        <w:rPr>
          <w:b/>
        </w:rPr>
        <w:t>Flacon verre type I</w:t>
      </w:r>
      <w:r>
        <w:t xml:space="preserve"> de 250 mL (50 g) ou 500 mL (100 g) : non disponible en Algérie mais existe à l'export.</w:t>
      </w:r>
    </w:p>
    <w:p>
      <w:pPr>
        <w:pStyle w:val="ListBullet"/>
      </w:pPr>
      <w:r/>
      <w:r>
        <w:rPr>
          <w:b/>
        </w:rPr>
        <w:t>Poche souples</w:t>
      </w:r>
      <w:r>
        <w:t xml:space="preserve"> en PVC/EVA de 50/100 mL : non disponibles en Algérie pour l'albumine.</w:t>
      </w:r>
    </w:p>
    <w:p>
      <w:pPr>
        <w:pStyle w:val="Heading4"/>
      </w:pPr>
      <w:r>
        <w:t>Arbitrage selon la pathologie</w:t>
      </w:r>
    </w:p>
    <w:p>
      <w:pPr>
        <w:pStyle w:val="ListBullet"/>
      </w:pPr>
      <w:r/>
      <w:r>
        <w:rPr>
          <w:b/>
        </w:rPr>
        <w:t>Cirrhose avec ascite réfractaire</w:t>
      </w:r>
      <w:r>
        <w:t xml:space="preserve"> : albumine 20 % post-paracentèse (6-8 g/L évacué) ; privilégier conditionnement 100 mL (20 g) pour faciliter le calcul de dose.</w:t>
      </w:r>
    </w:p>
    <w:p>
      <w:pPr>
        <w:pStyle w:val="ListBullet"/>
      </w:pPr>
      <w:r/>
      <w:r>
        <w:rPr>
          <w:b/>
        </w:rPr>
        <w:t>Choc septique avec hypoalbuminémie</w:t>
      </w:r>
      <w:r>
        <w:t xml:space="preserve"> : albumine 20 % IV continue (25-50 g/24 h), à adapter selon surveillance.</w:t>
      </w:r>
    </w:p>
    <w:p>
      <w:pPr>
        <w:pStyle w:val="ListBullet"/>
      </w:pPr>
      <w:r/>
      <w:r>
        <w:rPr>
          <w:b/>
        </w:rPr>
        <w:t>Syndrome néphrotique</w:t>
      </w:r>
      <w:r>
        <w:t xml:space="preserve"> : albumine 20 % + furosémide IV, en alternance avec perfusion de NaCl 0,9 % (prévention de la surcharge sodée).</w:t>
      </w:r>
    </w:p>
    <w:p>
      <w:pPr>
        <w:pStyle w:val="ListBullet"/>
      </w:pPr>
      <w:r/>
      <w:r>
        <w:rPr>
          <w:b/>
        </w:rPr>
        <w:t>Syndrome hépato-rénal</w:t>
      </w:r>
      <w:r>
        <w:t xml:space="preserve"> : albumine 20 % + terlipressine (1-2 mg/4-6 h IV) ou noradrénaline (0,5-3 mg/h IV), en réanimation.</w:t>
      </w:r>
    </w:p>
    <w:p>
      <w:pPr>
        <w:pStyle w:val="ListBullet"/>
      </w:pPr>
      <w:r/>
      <w:r>
        <w:rPr>
          <w:b/>
        </w:rPr>
        <w:t>HPP réfractaire</w:t>
      </w:r>
      <w:r>
        <w:t xml:space="preserve"> : albumine 20 % + cristalloïdes + transfusion CGR selon le protocole d'hémorragie du péri-partum.</w:t>
      </w:r>
    </w:p>
    <w:p>
      <w:pPr>
        <w:pStyle w:val="Heading4"/>
      </w:pPr>
      <w:r>
        <w:t>Comparaison avec les autres substituts plasmatiques disponibles en Algérie</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Paramètre</w:t>
            </w:r>
          </w:p>
        </w:tc>
        <w:tc>
          <w:tcPr>
            <w:tcW w:type="dxa" w:w="1662"/>
            <w:shd w:val="clear" w:color="auto" w:fill="F2F2F2"/>
          </w:tcPr>
          <w:p>
            <w:r>
              <w:rPr>
                <w:rFonts w:ascii="Times New Roman" w:hAnsi="Times New Roman"/>
                <w:b/>
                <w:sz w:val="20"/>
              </w:rPr>
              <w:t>Albumine 20 %</w:t>
            </w:r>
          </w:p>
        </w:tc>
        <w:tc>
          <w:tcPr>
            <w:tcW w:type="dxa" w:w="1662"/>
            <w:shd w:val="clear" w:color="auto" w:fill="F2F2F2"/>
          </w:tcPr>
          <w:p>
            <w:r>
              <w:rPr>
                <w:rFonts w:ascii="Times New Roman" w:hAnsi="Times New Roman"/>
                <w:b/>
                <w:sz w:val="20"/>
              </w:rPr>
              <w:t>HEA 130/0,4</w:t>
            </w:r>
          </w:p>
        </w:tc>
        <w:tc>
          <w:tcPr>
            <w:tcW w:type="dxa" w:w="1662"/>
            <w:shd w:val="clear" w:color="auto" w:fill="F2F2F2"/>
          </w:tcPr>
          <w:p>
            <w:r>
              <w:rPr>
                <w:rFonts w:ascii="Times New Roman" w:hAnsi="Times New Roman"/>
                <w:b/>
                <w:sz w:val="20"/>
              </w:rPr>
              <w:t>Gélatine (Gelofusine)</w:t>
            </w:r>
          </w:p>
        </w:tc>
        <w:tc>
          <w:tcPr>
            <w:tcW w:type="dxa" w:w="1662"/>
            <w:shd w:val="clear" w:color="auto" w:fill="F2F2F2"/>
          </w:tcPr>
          <w:p>
            <w:r>
              <w:rPr>
                <w:rFonts w:ascii="Times New Roman" w:hAnsi="Times New Roman"/>
                <w:b/>
                <w:sz w:val="20"/>
              </w:rPr>
              <w:t>Dextran 40</w:t>
            </w:r>
          </w:p>
        </w:tc>
      </w:tr>
      <w:tr>
        <w:tc>
          <w:tcPr>
            <w:tcW w:type="dxa" w:w="1662"/>
          </w:tcPr>
          <w:p>
            <w:r>
              <w:rPr>
                <w:rFonts w:ascii="Times New Roman" w:hAnsi="Times New Roman"/>
                <w:sz w:val="20"/>
              </w:rPr>
              <w:t>Disponibilité Algérie</w:t>
            </w:r>
          </w:p>
        </w:tc>
        <w:tc>
          <w:tcPr>
            <w:tcW w:type="dxa" w:w="1662"/>
          </w:tcPr>
          <w:p>
            <w:r>
              <w:rPr>
                <w:rFonts w:ascii="Times New Roman" w:hAnsi="Times New Roman"/>
                <w:sz w:val="20"/>
              </w:rPr>
              <w:t>Oui (7 spécialités)</w:t>
            </w:r>
          </w:p>
        </w:tc>
        <w:tc>
          <w:tcPr>
            <w:tcW w:type="dxa" w:w="1662"/>
          </w:tcPr>
          <w:p>
            <w:r>
              <w:rPr>
                <w:rFonts w:ascii="Times New Roman" w:hAnsi="Times New Roman"/>
                <w:sz w:val="20"/>
              </w:rPr>
              <w:t>Oui (HEMOHES, VOLEVEN)</w:t>
            </w:r>
          </w:p>
        </w:tc>
        <w:tc>
          <w:tcPr>
            <w:tcW w:type="dxa" w:w="1662"/>
          </w:tcPr>
          <w:p>
            <w:r>
              <w:rPr>
                <w:rFonts w:ascii="Times New Roman" w:hAnsi="Times New Roman"/>
                <w:sz w:val="20"/>
              </w:rPr>
              <w:t>Oui (Gelofusine, Plasmion)</w:t>
            </w:r>
          </w:p>
        </w:tc>
        <w:tc>
          <w:tcPr>
            <w:tcW w:type="dxa" w:w="1662"/>
          </w:tcPr>
          <w:p>
            <w:r>
              <w:rPr>
                <w:rFonts w:ascii="Times New Roman" w:hAnsi="Times New Roman"/>
                <w:sz w:val="20"/>
              </w:rPr>
              <w:t>Non</w:t>
            </w:r>
          </w:p>
        </w:tc>
      </w:tr>
      <w:tr>
        <w:tc>
          <w:tcPr>
            <w:tcW w:type="dxa" w:w="1662"/>
          </w:tcPr>
          <w:p>
            <w:r>
              <w:rPr>
                <w:rFonts w:ascii="Times New Roman" w:hAnsi="Times New Roman"/>
                <w:sz w:val="20"/>
              </w:rPr>
              <w:t>Demi-vie plasmatique</w:t>
            </w:r>
          </w:p>
        </w:tc>
        <w:tc>
          <w:tcPr>
            <w:tcW w:type="dxa" w:w="1662"/>
          </w:tcPr>
          <w:p>
            <w:r>
              <w:rPr>
                <w:rFonts w:ascii="Times New Roman" w:hAnsi="Times New Roman"/>
                <w:sz w:val="20"/>
              </w:rPr>
              <w:t>15-20 j</w:t>
            </w:r>
          </w:p>
        </w:tc>
        <w:tc>
          <w:tcPr>
            <w:tcW w:type="dxa" w:w="1662"/>
          </w:tcPr>
          <w:p>
            <w:r>
              <w:rPr>
                <w:rFonts w:ascii="Times New Roman" w:hAnsi="Times New Roman"/>
                <w:sz w:val="20"/>
              </w:rPr>
              <w:t>12-24 h</w:t>
            </w:r>
          </w:p>
        </w:tc>
        <w:tc>
          <w:tcPr>
            <w:tcW w:type="dxa" w:w="1662"/>
          </w:tcPr>
          <w:p>
            <w:r>
              <w:rPr>
                <w:rFonts w:ascii="Times New Roman" w:hAnsi="Times New Roman"/>
                <w:sz w:val="20"/>
              </w:rPr>
              <w:t>4-6 h</w:t>
            </w:r>
          </w:p>
        </w:tc>
        <w:tc>
          <w:tcPr>
            <w:tcW w:type="dxa" w:w="1662"/>
          </w:tcPr>
          <w:p>
            <w:r>
              <w:rPr>
                <w:rFonts w:ascii="Times New Roman" w:hAnsi="Times New Roman"/>
                <w:sz w:val="20"/>
              </w:rPr>
              <w:t>6-12 h</w:t>
            </w:r>
          </w:p>
        </w:tc>
      </w:tr>
      <w:tr>
        <w:tc>
          <w:tcPr>
            <w:tcW w:type="dxa" w:w="1662"/>
          </w:tcPr>
          <w:p>
            <w:r>
              <w:rPr>
                <w:rFonts w:ascii="Times New Roman" w:hAnsi="Times New Roman"/>
                <w:sz w:val="20"/>
              </w:rPr>
              <w:t>Expansion volémique initiale</w:t>
            </w:r>
          </w:p>
        </w:tc>
        <w:tc>
          <w:tcPr>
            <w:tcW w:type="dxa" w:w="1662"/>
          </w:tcPr>
          <w:p>
            <w:r>
              <w:rPr>
                <w:rFonts w:ascii="Times New Roman" w:hAnsi="Times New Roman"/>
                <w:sz w:val="20"/>
              </w:rPr>
              <w:t>3-4×</w:t>
            </w:r>
          </w:p>
        </w:tc>
        <w:tc>
          <w:tcPr>
            <w:tcW w:type="dxa" w:w="1662"/>
          </w:tcPr>
          <w:p>
            <w:r>
              <w:rPr>
                <w:rFonts w:ascii="Times New Roman" w:hAnsi="Times New Roman"/>
                <w:sz w:val="20"/>
              </w:rPr>
              <w:t>1×</w:t>
            </w:r>
          </w:p>
        </w:tc>
        <w:tc>
          <w:tcPr>
            <w:tcW w:type="dxa" w:w="1662"/>
          </w:tcPr>
          <w:p>
            <w:r>
              <w:rPr>
                <w:rFonts w:ascii="Times New Roman" w:hAnsi="Times New Roman"/>
                <w:sz w:val="20"/>
              </w:rPr>
              <w:t>1×</w:t>
            </w:r>
          </w:p>
        </w:tc>
        <w:tc>
          <w:tcPr>
            <w:tcW w:type="dxa" w:w="1662"/>
          </w:tcPr>
          <w:p>
            <w:r>
              <w:rPr>
                <w:rFonts w:ascii="Times New Roman" w:hAnsi="Times New Roman"/>
                <w:sz w:val="20"/>
              </w:rPr>
              <w:t>1-1,5×</w:t>
            </w:r>
          </w:p>
        </w:tc>
      </w:tr>
      <w:tr>
        <w:tc>
          <w:tcPr>
            <w:tcW w:type="dxa" w:w="1662"/>
          </w:tcPr>
          <w:p>
            <w:r>
              <w:rPr>
                <w:rFonts w:ascii="Times New Roman" w:hAnsi="Times New Roman"/>
                <w:sz w:val="20"/>
              </w:rPr>
              <w:t>Risque anaphylactique</w:t>
            </w:r>
          </w:p>
        </w:tc>
        <w:tc>
          <w:tcPr>
            <w:tcW w:type="dxa" w:w="1662"/>
          </w:tcPr>
          <w:p>
            <w:r>
              <w:rPr>
                <w:rFonts w:ascii="Times New Roman" w:hAnsi="Times New Roman"/>
                <w:sz w:val="20"/>
              </w:rPr>
              <w:t>Très faible</w:t>
            </w:r>
          </w:p>
        </w:tc>
        <w:tc>
          <w:tcPr>
            <w:tcW w:type="dxa" w:w="1662"/>
          </w:tcPr>
          <w:p>
            <w:r>
              <w:rPr>
                <w:rFonts w:ascii="Times New Roman" w:hAnsi="Times New Roman"/>
                <w:sz w:val="20"/>
              </w:rPr>
              <w:t>Faible</w:t>
            </w:r>
          </w:p>
        </w:tc>
        <w:tc>
          <w:tcPr>
            <w:tcW w:type="dxa" w:w="1662"/>
          </w:tcPr>
          <w:p>
            <w:r>
              <w:rPr>
                <w:rFonts w:ascii="Times New Roman" w:hAnsi="Times New Roman"/>
                <w:sz w:val="20"/>
              </w:rPr>
              <w:t>Faible-moyen</w:t>
            </w:r>
          </w:p>
        </w:tc>
        <w:tc>
          <w:tcPr>
            <w:tcW w:type="dxa" w:w="1662"/>
          </w:tcPr>
          <w:p>
            <w:r>
              <w:rPr>
                <w:rFonts w:ascii="Times New Roman" w:hAnsi="Times New Roman"/>
                <w:sz w:val="20"/>
              </w:rPr>
              <w:t>Modéré (réactions anaphylactoïdes)</w:t>
            </w:r>
          </w:p>
        </w:tc>
      </w:tr>
      <w:tr>
        <w:tc>
          <w:tcPr>
            <w:tcW w:type="dxa" w:w="1662"/>
          </w:tcPr>
          <w:p>
            <w:r>
              <w:rPr>
                <w:rFonts w:ascii="Times New Roman" w:hAnsi="Times New Roman"/>
                <w:sz w:val="20"/>
              </w:rPr>
              <w:t>Risque rénal (IRA)</w:t>
            </w:r>
          </w:p>
        </w:tc>
        <w:tc>
          <w:tcPr>
            <w:tcW w:type="dxa" w:w="1662"/>
          </w:tcPr>
          <w:p>
            <w:r>
              <w:rPr>
                <w:rFonts w:ascii="Times New Roman" w:hAnsi="Times New Roman"/>
                <w:sz w:val="20"/>
              </w:rPr>
              <w:t>Très faible</w:t>
            </w:r>
          </w:p>
        </w:tc>
        <w:tc>
          <w:tcPr>
            <w:tcW w:type="dxa" w:w="1662"/>
          </w:tcPr>
          <w:p>
            <w:r>
              <w:rPr>
                <w:rFonts w:ascii="Times New Roman" w:hAnsi="Times New Roman"/>
                <w:sz w:val="20"/>
              </w:rPr>
              <w:t>Modéré (HEMEA 2013)</w:t>
            </w:r>
          </w:p>
        </w:tc>
        <w:tc>
          <w:tcPr>
            <w:tcW w:type="dxa" w:w="1662"/>
          </w:tcPr>
          <w:p>
            <w:r>
              <w:rPr>
                <w:rFonts w:ascii="Times New Roman" w:hAnsi="Times New Roman"/>
                <w:sz w:val="20"/>
              </w:rPr>
              <w:t>Faible</w:t>
            </w:r>
          </w:p>
        </w:tc>
        <w:tc>
          <w:tcPr>
            <w:tcW w:type="dxa" w:w="1662"/>
          </w:tcPr>
          <w:p>
            <w:r>
              <w:rPr>
                <w:rFonts w:ascii="Times New Roman" w:hAnsi="Times New Roman"/>
                <w:sz w:val="20"/>
              </w:rPr>
              <w:t>Modéré (IRA osmotique)</w:t>
            </w:r>
          </w:p>
        </w:tc>
      </w:tr>
      <w:tr>
        <w:tc>
          <w:tcPr>
            <w:tcW w:type="dxa" w:w="1662"/>
          </w:tcPr>
          <w:p>
            <w:r>
              <w:rPr>
                <w:rFonts w:ascii="Times New Roman" w:hAnsi="Times New Roman"/>
                <w:sz w:val="20"/>
              </w:rPr>
              <w:t>Risque de saignement</w:t>
            </w:r>
          </w:p>
        </w:tc>
        <w:tc>
          <w:tcPr>
            <w:tcW w:type="dxa" w:w="1662"/>
          </w:tcPr>
          <w:p>
            <w:r>
              <w:rPr>
                <w:rFonts w:ascii="Times New Roman" w:hAnsi="Times New Roman"/>
                <w:sz w:val="20"/>
              </w:rPr>
              <w:t>Très faible</w:t>
            </w:r>
          </w:p>
        </w:tc>
        <w:tc>
          <w:tcPr>
            <w:tcW w:type="dxa" w:w="1662"/>
          </w:tcPr>
          <w:p>
            <w:r>
              <w:rPr>
                <w:rFonts w:ascii="Times New Roman" w:hAnsi="Times New Roman"/>
                <w:sz w:val="20"/>
              </w:rPr>
              <w:t>Modéré (effet anti-VWF)</w:t>
            </w:r>
          </w:p>
        </w:tc>
        <w:tc>
          <w:tcPr>
            <w:tcW w:type="dxa" w:w="1662"/>
          </w:tcPr>
          <w:p>
            <w:r>
              <w:rPr>
                <w:rFonts w:ascii="Times New Roman" w:hAnsi="Times New Roman"/>
                <w:sz w:val="20"/>
              </w:rPr>
              <w:t>Faible</w:t>
            </w:r>
          </w:p>
        </w:tc>
        <w:tc>
          <w:tcPr>
            <w:tcW w:type="dxa" w:w="1662"/>
          </w:tcPr>
          <w:p>
            <w:r>
              <w:rPr>
                <w:rFonts w:ascii="Times New Roman" w:hAnsi="Times New Roman"/>
                <w:sz w:val="20"/>
              </w:rPr>
              <w:t>Modéré (effet anti-plaquettaire)</w:t>
            </w:r>
          </w:p>
        </w:tc>
      </w:tr>
      <w:tr>
        <w:tc>
          <w:tcPr>
            <w:tcW w:type="dxa" w:w="1662"/>
          </w:tcPr>
          <w:p>
            <w:r>
              <w:rPr>
                <w:rFonts w:ascii="Times New Roman" w:hAnsi="Times New Roman"/>
                <w:sz w:val="20"/>
              </w:rPr>
              <w:t>Coût relatif</w:t>
            </w:r>
          </w:p>
        </w:tc>
        <w:tc>
          <w:tcPr>
            <w:tcW w:type="dxa" w:w="1662"/>
          </w:tcPr>
          <w:p>
            <w:r>
              <w:rPr>
                <w:rFonts w:ascii="Times New Roman" w:hAnsi="Times New Roman"/>
                <w:sz w:val="20"/>
              </w:rPr>
              <w:t>×10-15</w:t>
            </w:r>
          </w:p>
        </w:tc>
        <w:tc>
          <w:tcPr>
            <w:tcW w:type="dxa" w:w="1662"/>
          </w:tcPr>
          <w:p>
            <w:r>
              <w:rPr>
                <w:rFonts w:ascii="Times New Roman" w:hAnsi="Times New Roman"/>
                <w:sz w:val="20"/>
              </w:rPr>
              <w:t>×5</w:t>
            </w:r>
          </w:p>
        </w:tc>
        <w:tc>
          <w:tcPr>
            <w:tcW w:type="dxa" w:w="1662"/>
          </w:tcPr>
          <w:p>
            <w:r>
              <w:rPr>
                <w:rFonts w:ascii="Times New Roman" w:hAnsi="Times New Roman"/>
                <w:sz w:val="20"/>
              </w:rPr>
              <w:t>×3-5</w:t>
            </w:r>
          </w:p>
        </w:tc>
        <w:tc>
          <w:tcPr>
            <w:tcW w:type="dxa" w:w="1662"/>
          </w:tcPr>
          <w:p>
            <w:r>
              <w:rPr>
                <w:rFonts w:ascii="Times New Roman" w:hAnsi="Times New Roman"/>
                <w:sz w:val="20"/>
              </w:rPr>
              <w:t>—</w:t>
            </w:r>
          </w:p>
        </w:tc>
      </w:tr>
      <w:tr>
        <w:tc>
          <w:tcPr>
            <w:tcW w:type="dxa" w:w="1662"/>
          </w:tcPr>
          <w:p>
            <w:r>
              <w:rPr>
                <w:rFonts w:ascii="Times New Roman" w:hAnsi="Times New Roman"/>
                <w:sz w:val="20"/>
              </w:rPr>
              <w:t>Recommandations 2024</w:t>
            </w:r>
          </w:p>
        </w:tc>
        <w:tc>
          <w:tcPr>
            <w:tcW w:type="dxa" w:w="1662"/>
          </w:tcPr>
          <w:p>
            <w:r>
              <w:rPr>
                <w:rFonts w:ascii="Times New Roman" w:hAnsi="Times New Roman"/>
                <w:sz w:val="20"/>
              </w:rPr>
              <w:t>Spécialités définies</w:t>
            </w:r>
          </w:p>
        </w:tc>
        <w:tc>
          <w:tcPr>
            <w:tcW w:type="dxa" w:w="1662"/>
          </w:tcPr>
          <w:p>
            <w:r>
              <w:rPr>
                <w:rFonts w:ascii="Times New Roman" w:hAnsi="Times New Roman"/>
                <w:sz w:val="20"/>
              </w:rPr>
              <w:t>Décisionnel</w:t>
            </w:r>
          </w:p>
        </w:tc>
        <w:tc>
          <w:tcPr>
            <w:tcW w:type="dxa" w:w="1662"/>
          </w:tcPr>
          <w:p>
            <w:r>
              <w:rPr>
                <w:rFonts w:ascii="Times New Roman" w:hAnsi="Times New Roman"/>
                <w:sz w:val="20"/>
              </w:rPr>
              <w:t>Décisionnel</w:t>
            </w:r>
          </w:p>
        </w:tc>
        <w:tc>
          <w:tcPr>
            <w:tcW w:type="dxa" w:w="1662"/>
          </w:tcPr>
          <w:p>
            <w:r>
              <w:rPr>
                <w:rFonts w:ascii="Times New Roman" w:hAnsi="Times New Roman"/>
                <w:sz w:val="20"/>
              </w:rPr>
              <w:t>Non recommandé</w:t>
            </w:r>
          </w:p>
        </w:tc>
      </w:tr>
    </w:tbl>
    <w:p/>
    <w:p>
      <w:r/>
      <w:r>
        <w:rPr>
          <w:b/>
        </w:rPr>
        <w:t>Recommandation pratique</w:t>
      </w:r>
      <w:r>
        <w:t xml:space="preserve"> : en Algérie, l'albumine humaine 20 % est le substitut plasmatique de référence dans les indications spécifiques (paracentèse, HRS, purpura fulminans, hypoalbuminémie critique). Les HEA et gélatines restent des alternatives en remplissage volémique de première intention dans le choc hémorragique et le choc septique modéré, mais leur usage est limité par les contre-indications (insuffisance rénale, sepsis sévère pour HEA) et le rapport bénéfice-risque.</w:t>
      </w:r>
    </w:p>
    <w:p>
      <w:pPr>
        <w:pStyle w:val="Heading3"/>
      </w:pPr>
      <w:r>
        <w:t>Sous-section 10 — Instructions et conseils au patient</w:t>
      </w:r>
    </w:p>
    <w:p>
      <w:pPr>
        <w:pStyle w:val="Heading4"/>
      </w:pPr>
      <w:r>
        <w:t>Conseil au patient hospitalisé</w:t>
      </w:r>
    </w:p>
    <w:p>
      <w:pPr>
        <w:pStyle w:val="ListBullet"/>
      </w:pPr>
      <w:r>
        <w:t>Expliquer le but du traitement : "C'est une protéine naturelle présente dans votre sang, qui va aider à maintenir votre tension artérielle et à réduire l'œdème (ventre gonflé d'eau, jambes enflées)".</w:t>
      </w:r>
    </w:p>
    <w:p>
      <w:pPr>
        <w:pStyle w:val="ListBullet"/>
      </w:pPr>
      <w:r>
        <w:t>Informer des possibles effets indésirables : sensation de chaleur transitoire, frissons, nausées, fièvre légère (généralement bénins et transitoires).</w:t>
      </w:r>
    </w:p>
    <w:p>
      <w:pPr>
        <w:pStyle w:val="ListBullet"/>
      </w:pPr>
      <w:r>
        <w:t>Signaler immédiatement tout symptôme anormal pendant la perfusion : difficulté à respirer, oppression thoracique, urticaire, démangeaisons, vertiges, nausées intenses → arrêt immédiat de la perfusion par le personnel soignant.</w:t>
      </w:r>
    </w:p>
    <w:p>
      <w:pPr>
        <w:pStyle w:val="ListBullet"/>
      </w:pPr>
      <w:r>
        <w:t>Surveiller la diurèse (sonde vésicale en place, recueil des urines horaire).</w:t>
      </w:r>
    </w:p>
    <w:p>
      <w:pPr>
        <w:pStyle w:val="ListBullet"/>
      </w:pPr>
      <w:r>
        <w:t>Surveiller le poids quotidien (avant et après perfusion) pour détecter une surcharge volémique.</w:t>
      </w:r>
    </w:p>
    <w:p>
      <w:pPr>
        <w:pStyle w:val="Heading4"/>
      </w:pPr>
      <w:r>
        <w:t>Conseil au patient en ambulatoire (HAD - rares cas)</w:t>
      </w:r>
    </w:p>
    <w:p>
      <w:pPr>
        <w:pStyle w:val="ListBullet"/>
      </w:pPr>
      <w:r>
        <w:t>Respect strict de la prescription (dose, horaire, débit de perfusion).</w:t>
      </w:r>
    </w:p>
    <w:p>
      <w:pPr>
        <w:pStyle w:val="ListBullet"/>
      </w:pPr>
      <w:r>
        <w:t>Vérifier la chaîne du froid : transport en sac isotherme avec accumulateurs de froid ; conservation à +2 °C à +8 °C dans le réfrigérateur (jamais au congélateur, jamais à température ambiante).</w:t>
      </w:r>
    </w:p>
    <w:p>
      <w:pPr>
        <w:pStyle w:val="ListBullet"/>
      </w:pPr>
      <w:r>
        <w:t>Vérifier l'intégrité du flacon avant utilisation (pas de fissure, solution limpide).</w:t>
      </w:r>
    </w:p>
    <w:p>
      <w:pPr>
        <w:pStyle w:val="ListBullet"/>
      </w:pPr>
      <w:r>
        <w:t>Éliminer tout flacon présentant une turbidité, des particules, une coloration anormale.</w:t>
      </w:r>
    </w:p>
    <w:p>
      <w:pPr>
        <w:pStyle w:val="ListBullet"/>
      </w:pPr>
      <w:r>
        <w:t>Ne jamais recongeler un flacon décongelé.</w:t>
      </w:r>
    </w:p>
    <w:p>
      <w:pPr>
        <w:pStyle w:val="ListBullet"/>
      </w:pPr>
      <w:r>
        <w:t>Éliminer le matériel de perfusion dans un conteneur à objets piquants-coupants (DAOM).</w:t>
      </w:r>
    </w:p>
    <w:p>
      <w:pPr>
        <w:pStyle w:val="ListBullet"/>
      </w:pPr>
      <w:r>
        <w:t>Tenir un agenda de perfusion (date, lot, dose, effets ressentis).</w:t>
      </w:r>
    </w:p>
    <w:p>
      <w:pPr>
        <w:pStyle w:val="ListBullet"/>
      </w:pPr>
      <w:r>
        <w:t>Signaler au médecin traitant tout effet indésirable même mineur.</w:t>
      </w:r>
    </w:p>
    <w:p>
      <w:pPr>
        <w:pStyle w:val="Heading4"/>
      </w:pPr>
      <w:r>
        <w:t>Formation de l'entourage</w:t>
      </w:r>
    </w:p>
    <w:p>
      <w:pPr>
        <w:pStyle w:val="ListBullet"/>
      </w:pPr>
      <w:r>
        <w:t>Formation à la reconnaissance des signes de surcharge volémique : prise de poids rapide (&gt; 1 kg/24 h), dyspnée d'effort, œdèmes des membres inférieurs, toux sèche nocturne.</w:t>
      </w:r>
    </w:p>
    <w:p>
      <w:pPr>
        <w:pStyle w:val="ListBullet"/>
      </w:pPr>
      <w:r>
        <w:t>Formation à la reconnaissance des signes d'anaphylaxie : urticaire généralisée, difficulté à respirer, vertiges, perte de connaissance → appeler le SAMU (14 ou 16) immédiatement.</w:t>
      </w:r>
    </w:p>
    <w:p>
      <w:pPr>
        <w:pStyle w:val="Heading3"/>
      </w:pPr>
      <w:r>
        <w:t>Sous-section 11 — Notes, règles d'or et pièges au comptoir</w:t>
      </w:r>
    </w:p>
    <w:p>
      <w:pPr>
        <w:pStyle w:val="Heading4"/>
      </w:pPr>
      <w:r>
        <w:t>Règles d'or</w:t>
      </w:r>
    </w:p>
    <w:p>
      <w:pPr>
        <w:pStyle w:val="ListNumber"/>
      </w:pPr>
      <w:r/>
      <w:r>
        <w:rPr>
          <w:b/>
        </w:rPr>
        <w:t>Toujours vérifier la chaîne du froid avant dispensation</w:t>
      </w:r>
      <w:r>
        <w:t xml:space="preserve"> : flacon à +2 °C à +8 °C, sans rupture. Tout flacon transporté à température ambiante &gt; 4 h doit être éliminé.</w:t>
      </w:r>
    </w:p>
    <w:p>
      <w:pPr>
        <w:pStyle w:val="ListNumber"/>
      </w:pPr>
      <w:r/>
      <w:r>
        <w:rPr>
          <w:b/>
        </w:rPr>
        <w:t>Toujours vérifier l'aspect de la solution</w:t>
      </w:r>
      <w:r>
        <w:t xml:space="preserve"> : limpide, incolore à légèrement opalescente. Turbidité, particules, coloration jaune-brune = élimination immédiate.</w:t>
      </w:r>
    </w:p>
    <w:p>
      <w:pPr>
        <w:pStyle w:val="ListNumber"/>
      </w:pPr>
      <w:r/>
      <w:r>
        <w:rPr>
          <w:b/>
        </w:rPr>
        <w:t>Toujours vérifier la date de péremption</w:t>
      </w:r>
      <w:r>
        <w:t xml:space="preserve"> : la durée de conservation est généralement de 3-5 ans à +2 °C à +8 °C, mais vérifier l'étiquetage du flacon.</w:t>
      </w:r>
    </w:p>
    <w:p>
      <w:pPr>
        <w:pStyle w:val="ListNumber"/>
      </w:pPr>
      <w:r/>
      <w:r>
        <w:rPr>
          <w:b/>
        </w:rPr>
        <w:t>Toujours respecter le débit de perfusion recommandé</w:t>
      </w:r>
      <w:r>
        <w:t xml:space="preserve"> : ≤ 1-2 mL/min chez l'adulte, ≤ 0,2 mL/kg/h chez le nouveau-né.</w:t>
      </w:r>
    </w:p>
    <w:p>
      <w:pPr>
        <w:pStyle w:val="ListNumber"/>
      </w:pPr>
      <w:r/>
      <w:r>
        <w:rPr>
          <w:b/>
        </w:rPr>
        <w:t>Toujours disposer du matériel de réanimation anaphylactique</w:t>
      </w:r>
      <w:r>
        <w:t xml:space="preserve"> à proximité immédiate pendant les 15 premières minutes de perfusion.</w:t>
      </w:r>
    </w:p>
    <w:p>
      <w:pPr>
        <w:pStyle w:val="ListNumber"/>
      </w:pPr>
      <w:r/>
      <w:r>
        <w:rPr>
          <w:b/>
        </w:rPr>
        <w:t>Toujours surveiller la diurèse horaire</w:t>
      </w:r>
      <w:r>
        <w:t xml:space="preserve"> en cas d'administration prolongée &gt; 12 h.</w:t>
      </w:r>
    </w:p>
    <w:p>
      <w:pPr>
        <w:pStyle w:val="ListNumber"/>
      </w:pPr>
      <w:r/>
      <w:r>
        <w:rPr>
          <w:b/>
        </w:rPr>
        <w:t>Toujours surveiller l'ionogramme sanguin toutes les 12-24 h</w:t>
      </w:r>
      <w:r>
        <w:t xml:space="preserve"> en cas d'administration répétée (recherche d'hypernatrémie, d'alcalose métabolique).</w:t>
      </w:r>
    </w:p>
    <w:p>
      <w:pPr>
        <w:pStyle w:val="ListNumber"/>
      </w:pPr>
      <w:r/>
      <w:r>
        <w:rPr>
          <w:b/>
        </w:rPr>
        <w:t>Toujours respecter la voie IV stricte</w:t>
      </w:r>
      <w:r>
        <w:t xml:space="preserve"> (jamais IM, jamais SC, jamais intra-artérielle).</w:t>
      </w:r>
    </w:p>
    <w:p>
      <w:pPr>
        <w:pStyle w:val="ListNumber"/>
      </w:pPr>
      <w:r/>
      <w:r>
        <w:rPr>
          <w:b/>
        </w:rPr>
        <w:t>Toujours étiqueter nominativement le flacon</w:t>
      </w:r>
      <w:r>
        <w:t xml:space="preserve"> avant administration (nom, prénom, date de naissance, date d'administration, n° de lot).</w:t>
      </w:r>
    </w:p>
    <w:p>
      <w:pPr>
        <w:pStyle w:val="ListNumber"/>
      </w:pPr>
      <w:r/>
      <w:r>
        <w:rPr>
          <w:b/>
        </w:rPr>
        <w:t>Toujours notifier</w:t>
      </w:r>
      <w:r>
        <w:t xml:space="preserve"> tout effet indésirable grave au Centre National de Pharmacovigilance (CNPV) d'Alger.</w:t>
      </w:r>
    </w:p>
    <w:p>
      <w:pPr>
        <w:pStyle w:val="Heading4"/>
      </w:pPr>
      <w:r>
        <w:t>Pièges à éviter</w:t>
      </w:r>
    </w:p>
    <w:p>
      <w:pPr>
        <w:pStyle w:val="ListNumber"/>
      </w:pPr>
      <w:r/>
      <w:r>
        <w:rPr>
          <w:b/>
        </w:rPr>
        <w:t>Confusion albumine 4 % vs 20 %</w:t>
      </w:r>
      <w:r>
        <w:t xml:space="preserve"> : en Algérie, seule l'albumine 20 % est commercialisée. Ne pas confondre avec l'albumine humaine à 4 % ou 5 % (qui nécessiterait une dilution extemporanée, à partir de l'albumine 20 % dans NaCl 0,9 %, jamais dans glucose 5 %).</w:t>
      </w:r>
    </w:p>
    <w:p>
      <w:pPr>
        <w:pStyle w:val="ListNumber"/>
      </w:pPr>
      <w:r/>
      <w:r>
        <w:rPr>
          <w:b/>
        </w:rPr>
        <w:t>Confusion albumine humaine vs plasma frais congelé (PFC)</w:t>
      </w:r>
      <w:r>
        <w:t xml:space="preserve"> : l'albumine ne contient pas de facteurs de coagulation ; elle n'est PAS un substitut du PFC dans les coagulopathies de consommation (CIVD).</w:t>
      </w:r>
    </w:p>
    <w:p>
      <w:pPr>
        <w:pStyle w:val="ListNumber"/>
      </w:pPr>
      <w:r/>
      <w:r>
        <w:rPr>
          <w:b/>
        </w:rPr>
        <w:t>Confusion albumine humaine vs immunoglobulines polyvalentes IV (IgIV)</w:t>
      </w:r>
      <w:r>
        <w:t xml:space="preserve"> : l'albumine n'a aucune fonction immunologique ; ne pas confondre les présentations (flacon d'albumine 20 % vs flacon d'IgIV 5 %).</w:t>
      </w:r>
    </w:p>
    <w:p>
      <w:pPr>
        <w:pStyle w:val="ListNumber"/>
      </w:pPr>
      <w:r/>
      <w:r>
        <w:rPr>
          <w:b/>
        </w:rPr>
        <w:t>Confusion albumine humaine vs facteur VIII ou facteur IX</w:t>
      </w:r>
      <w:r>
        <w:t xml:space="preserve"> : vérifier le libellé exact de l'ordonnance.</w:t>
      </w:r>
    </w:p>
    <w:p>
      <w:pPr>
        <w:pStyle w:val="ListNumber"/>
      </w:pPr>
      <w:r/>
      <w:r>
        <w:rPr>
          <w:b/>
        </w:rPr>
        <w:t>Rupture de chaîne du froid</w:t>
      </w:r>
      <w:r>
        <w:t xml:space="preserve"> : un flacon resté 6 h à température ambiante (20-25 °C) doit être éliminé, même s'il paraît intact.</w:t>
      </w:r>
    </w:p>
    <w:p>
      <w:pPr>
        <w:pStyle w:val="ListNumber"/>
      </w:pPr>
      <w:r/>
      <w:r>
        <w:rPr>
          <w:b/>
        </w:rPr>
        <w:t>Perfusion trop rapide</w:t>
      </w:r>
      <w:r>
        <w:t xml:space="preserve"> : risque majeur d'Œdème aigu du poumon iatrogène (surtout chez le sujet âgé, insuffisant cardiaque, insuffisant rénal).</w:t>
      </w:r>
    </w:p>
    <w:p>
      <w:pPr>
        <w:pStyle w:val="ListNumber"/>
      </w:pPr>
      <w:r/>
      <w:r>
        <w:rPr>
          <w:b/>
        </w:rPr>
        <w:t>Mélange avec d'autres médicaments</w:t>
      </w:r>
      <w:r>
        <w:t xml:space="preserve"> : ne jamais ajouter de médicament au flacon d'albumine (incompatibilités physiques).</w:t>
      </w:r>
    </w:p>
    <w:p>
      <w:pPr>
        <w:pStyle w:val="ListNumber"/>
      </w:pPr>
      <w:r/>
      <w:r>
        <w:rPr>
          <w:b/>
        </w:rPr>
        <w:t>Dilution dans glucose 5 %</w:t>
      </w:r>
      <w:r>
        <w:t xml:space="preserve"> : provoque une agrégation protéique ; toujours diluer dans NaCl 0,9 %.</w:t>
      </w:r>
    </w:p>
    <w:p>
      <w:pPr>
        <w:pStyle w:val="ListNumber"/>
      </w:pPr>
      <w:r/>
      <w:r>
        <w:rPr>
          <w:b/>
        </w:rPr>
        <w:t>Utilisation comme apport nutritionnel protéique</w:t>
      </w:r>
      <w:r>
        <w:t xml:space="preserve"> : l'albumine n'est PAS un apport nutritionnel ; la demi-vie plasmatique (15-20 j) ne reflète pas une disponibilité métabolique immédiate. Pour la dénutrition, utiliser la nutrition entérale (Sondex, Fresubin) ou parentérale (Nutriflex, Kabimix).</w:t>
      </w:r>
    </w:p>
    <w:p>
      <w:pPr>
        <w:pStyle w:val="ListNumber"/>
      </w:pPr>
      <w:r/>
      <w:r>
        <w:rPr>
          <w:b/>
        </w:rPr>
        <w:t>Confusion de l'étiquetage</w:t>
      </w:r>
      <w:r>
        <w:t xml:space="preserve"> : les laboratoires peuvent utiliser des unités différentes (g/L, g/100 mL, %) ; vérifier attentivement (par ex : « 20 % » = « 200 g/L » = « 20 g/100 mL » = « 0,2 »).</w:t>
      </w:r>
    </w:p>
    <w:p>
      <w:pPr>
        <w:pStyle w:val="ListNumber"/>
      </w:pPr>
      <w:r/>
      <w:r>
        <w:rPr>
          <w:b/>
        </w:rPr>
        <w:t>Oubli de la traçabilité nominative</w:t>
      </w:r>
      <w:r>
        <w:t xml:space="preserve"> : inscription au registre national des PSS obligatoire (formulaire CNTS) ; en cas d'oubli, le pharmacien est responsable pénalement.</w:t>
      </w:r>
    </w:p>
    <w:p>
      <w:pPr>
        <w:pStyle w:val="ListNumber"/>
      </w:pPr>
      <w:r/>
      <w:r>
        <w:rPr>
          <w:b/>
        </w:rPr>
        <w:t>Mauvaise indication</w:t>
      </w:r>
      <w:r>
        <w:t xml:space="preserve"> : ne pas utiliser l'albumine pour « augmenter l'albuminémie » sans indication clinique (par ex : dénutrition modérée avec albuminémie à 32 g/L) — l'efficacité est discutée et le coût est élevé.</w:t>
      </w:r>
    </w:p>
    <w:p>
      <w:pPr>
        <w:pStyle w:val="Heading4"/>
      </w:pPr>
      <w:r>
        <w:t>Pièges spécifiques au contexte algérien</w:t>
      </w:r>
    </w:p>
    <w:p>
      <w:pPr>
        <w:pStyle w:val="ListNumber"/>
      </w:pPr>
      <w:r/>
      <w:r>
        <w:rPr>
          <w:b/>
        </w:rPr>
        <w:t>Disponibilité variable</w:t>
      </w:r>
      <w:r>
        <w:t xml:space="preserve"> selon les régions : les CHU des grandes villes (Alger, Oran, Constantine, Annaba) disposent d'un stock régulier, mais les hôpitaux périphériques peuvent connaître des ruptures temporaires. Prévoir un stock de sécurité (≈ 1 semaine de consommation) en PUI.</w:t>
      </w:r>
    </w:p>
    <w:p>
      <w:pPr>
        <w:pStyle w:val="ListNumber"/>
      </w:pPr>
      <w:r/>
      <w:r>
        <w:rPr>
          <w:b/>
        </w:rPr>
        <w:t>Conditionnement unique</w:t>
      </w:r>
      <w:r>
        <w:t xml:space="preserve"> (50 mL + 100 mL) : pour les doses importantes (choc septique, HRS), prévoir plusieurs flacons et adapter le calcul.</w:t>
      </w:r>
    </w:p>
    <w:p>
      <w:pPr>
        <w:pStyle w:val="ListNumber"/>
      </w:pPr>
      <w:r/>
      <w:r>
        <w:rPr>
          <w:b/>
        </w:rPr>
        <w:t>Absence de spécialité à 4 %</w:t>
      </w:r>
      <w:r>
        <w:t xml:space="preserve"> : pour obtenir une concentration isooncotique, diluer extemporanément l'albumine 20 % dans NaCl 0,9 % (jamais dans glucose 5 %).</w:t>
      </w:r>
    </w:p>
    <w:p>
      <w:pPr>
        <w:pStyle w:val="ListNumber"/>
      </w:pPr>
      <w:r/>
      <w:r>
        <w:rPr>
          <w:b/>
        </w:rPr>
        <w:t>Coût élevé</w:t>
      </w:r>
      <w:r>
        <w:t xml:space="preserve"> : la dispensation doit être justifiée par une indication validée (paracentèse &gt; 5 L, HRS, choc septique hypoalbuminémique) et non empirique.</w:t>
      </w:r>
    </w:p>
    <w:p>
      <w:pPr>
        <w:pStyle w:val="ListNumber"/>
      </w:pPr>
      <w:r/>
      <w:r>
        <w:rPr>
          <w:b/>
        </w:rPr>
        <w:t>Production locale</w:t>
      </w:r>
      <w:r>
        <w:t xml:space="preserve"> (ALBUREL, CPCM/Saidal) : qualité équivalente aux importations, à privilégier pour des raisons de souveraineté sanitaire et de coût.</w:t>
      </w:r>
    </w:p>
    <w:p>
      <w:pPr>
        <w:pStyle w:val="Heading3"/>
      </w:pPr>
      <w:r>
        <w:t>Sous-section 12 — Tableau comparatif de sous-classe</w:t>
      </w:r>
    </w:p>
    <w:p>
      <w:r>
        <w:t>Tableau comparatif des 7 spécialités d'albumine humaine 20 % disponibles en Algérie (statut : Actif).</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Spécialité</w:t>
            </w:r>
          </w:p>
        </w:tc>
        <w:tc>
          <w:tcPr>
            <w:tcW w:type="dxa" w:w="1187"/>
            <w:shd w:val="clear" w:color="auto" w:fill="F2F2F2"/>
          </w:tcPr>
          <w:p>
            <w:r>
              <w:rPr>
                <w:rFonts w:ascii="Times New Roman" w:hAnsi="Times New Roman"/>
                <w:b/>
                <w:sz w:val="20"/>
              </w:rPr>
              <w:t>Laboratoire</w:t>
            </w:r>
          </w:p>
        </w:tc>
        <w:tc>
          <w:tcPr>
            <w:tcW w:type="dxa" w:w="1187"/>
            <w:shd w:val="clear" w:color="auto" w:fill="F2F2F2"/>
          </w:tcPr>
          <w:p>
            <w:r>
              <w:rPr>
                <w:rFonts w:ascii="Times New Roman" w:hAnsi="Times New Roman"/>
                <w:b/>
                <w:sz w:val="20"/>
              </w:rPr>
              <w:t>Concentration</w:t>
            </w:r>
          </w:p>
        </w:tc>
        <w:tc>
          <w:tcPr>
            <w:tcW w:type="dxa" w:w="1187"/>
            <w:shd w:val="clear" w:color="auto" w:fill="F2F2F2"/>
          </w:tcPr>
          <w:p>
            <w:r>
              <w:rPr>
                <w:rFonts w:ascii="Times New Roman" w:hAnsi="Times New Roman"/>
                <w:b/>
                <w:sz w:val="20"/>
              </w:rPr>
              <w:t>Volume (g)</w:t>
            </w:r>
          </w:p>
        </w:tc>
        <w:tc>
          <w:tcPr>
            <w:tcW w:type="dxa" w:w="1187"/>
            <w:shd w:val="clear" w:color="auto" w:fill="F2F2F2"/>
          </w:tcPr>
          <w:p>
            <w:r>
              <w:rPr>
                <w:rFonts w:ascii="Times New Roman" w:hAnsi="Times New Roman"/>
                <w:b/>
                <w:sz w:val="20"/>
              </w:rPr>
              <w:t>Liste</w:t>
            </w:r>
          </w:p>
        </w:tc>
        <w:tc>
          <w:tcPr>
            <w:tcW w:type="dxa" w:w="1187"/>
            <w:shd w:val="clear" w:color="auto" w:fill="F2F2F2"/>
          </w:tcPr>
          <w:p>
            <w:r>
              <w:rPr>
                <w:rFonts w:ascii="Times New Roman" w:hAnsi="Times New Roman"/>
                <w:b/>
                <w:sz w:val="20"/>
              </w:rPr>
              <w:t>Stabilité (°C)</w:t>
            </w:r>
          </w:p>
        </w:tc>
        <w:tc>
          <w:tcPr>
            <w:tcW w:type="dxa" w:w="1187"/>
            <w:shd w:val="clear" w:color="auto" w:fill="F2F2F2"/>
          </w:tcPr>
          <w:p>
            <w:r>
              <w:rPr>
                <w:rFonts w:ascii="Times New Roman" w:hAnsi="Times New Roman"/>
                <w:b/>
                <w:sz w:val="20"/>
              </w:rPr>
              <w:t>Spécificités</w:t>
            </w:r>
          </w:p>
        </w:tc>
      </w:tr>
      <w:tr>
        <w:tc>
          <w:tcPr>
            <w:tcW w:type="dxa" w:w="1187"/>
          </w:tcPr>
          <w:p>
            <w:r>
              <w:rPr>
                <w:rFonts w:ascii="Times New Roman" w:hAnsi="Times New Roman"/>
                <w:sz w:val="20"/>
              </w:rPr>
              <w:t>ALBUMINE HUMAINE 20% BIOTEST</w:t>
            </w:r>
          </w:p>
        </w:tc>
        <w:tc>
          <w:tcPr>
            <w:tcW w:type="dxa" w:w="1187"/>
          </w:tcPr>
          <w:p>
            <w:r>
              <w:rPr>
                <w:rFonts w:ascii="Times New Roman" w:hAnsi="Times New Roman"/>
                <w:sz w:val="20"/>
              </w:rPr>
              <w:t>Biotest Pharma (DE)</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Liste I</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de référence européenne</w:t>
            </w:r>
          </w:p>
        </w:tc>
      </w:tr>
      <w:tr>
        <w:tc>
          <w:tcPr>
            <w:tcW w:type="dxa" w:w="1187"/>
          </w:tcPr>
          <w:p>
            <w:r>
              <w:rPr>
                <w:rFonts w:ascii="Times New Roman" w:hAnsi="Times New Roman"/>
                <w:sz w:val="20"/>
              </w:rPr>
              <w:t>SK ALBUMIN 20% INJECTION</w:t>
            </w:r>
          </w:p>
        </w:tc>
        <w:tc>
          <w:tcPr>
            <w:tcW w:type="dxa" w:w="1187"/>
          </w:tcPr>
          <w:p>
            <w:r>
              <w:rPr>
                <w:rFonts w:ascii="Times New Roman" w:hAnsi="Times New Roman"/>
                <w:sz w:val="20"/>
              </w:rPr>
              <w:t>SK Plasma (KR)</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Liste I</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coréenne ; bon rapport coût-efficacité</w:t>
            </w:r>
          </w:p>
        </w:tc>
      </w:tr>
      <w:tr>
        <w:tc>
          <w:tcPr>
            <w:tcW w:type="dxa" w:w="1187"/>
          </w:tcPr>
          <w:p>
            <w:r>
              <w:rPr>
                <w:rFonts w:ascii="Times New Roman" w:hAnsi="Times New Roman"/>
                <w:sz w:val="20"/>
              </w:rPr>
              <w:t>ALBUTEN 20%</w:t>
            </w:r>
          </w:p>
        </w:tc>
        <w:tc>
          <w:tcPr>
            <w:tcW w:type="dxa" w:w="1187"/>
          </w:tcPr>
          <w:p>
            <w:r>
              <w:rPr>
                <w:rFonts w:ascii="Times New Roman" w:hAnsi="Times New Roman"/>
                <w:sz w:val="20"/>
              </w:rPr>
              <w:t>Grifols (ES)</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Liste I</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espagnole ; traçabilité IFN complète</w:t>
            </w:r>
          </w:p>
        </w:tc>
      </w:tr>
      <w:tr>
        <w:tc>
          <w:tcPr>
            <w:tcW w:type="dxa" w:w="1187"/>
          </w:tcPr>
          <w:p>
            <w:r>
              <w:rPr>
                <w:rFonts w:ascii="Times New Roman" w:hAnsi="Times New Roman"/>
                <w:sz w:val="20"/>
              </w:rPr>
              <w:t>HUMAN ALBUMIN BAXTER</w:t>
            </w:r>
          </w:p>
        </w:tc>
        <w:tc>
          <w:tcPr>
            <w:tcW w:type="dxa" w:w="1187"/>
          </w:tcPr>
          <w:p>
            <w:r>
              <w:rPr>
                <w:rFonts w:ascii="Times New Roman" w:hAnsi="Times New Roman"/>
                <w:sz w:val="20"/>
              </w:rPr>
              <w:t>Baxter (CH/AT)</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Liste I</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internationale standard</w:t>
            </w:r>
          </w:p>
        </w:tc>
      </w:tr>
      <w:tr>
        <w:tc>
          <w:tcPr>
            <w:tcW w:type="dxa" w:w="1187"/>
          </w:tcPr>
          <w:p>
            <w:r>
              <w:rPr>
                <w:rFonts w:ascii="Times New Roman" w:hAnsi="Times New Roman"/>
                <w:sz w:val="20"/>
              </w:rPr>
              <w:t>VIALEBEX</w:t>
            </w:r>
          </w:p>
        </w:tc>
        <w:tc>
          <w:tcPr>
            <w:tcW w:type="dxa" w:w="1187"/>
          </w:tcPr>
          <w:p>
            <w:r>
              <w:rPr>
                <w:rFonts w:ascii="Times New Roman" w:hAnsi="Times New Roman"/>
                <w:sz w:val="20"/>
              </w:rPr>
              <w:t>LFB Biomédicaments (FR)</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Liste I</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française ; traceabilité plasma français</w:t>
            </w:r>
          </w:p>
        </w:tc>
      </w:tr>
      <w:tr>
        <w:tc>
          <w:tcPr>
            <w:tcW w:type="dxa" w:w="1187"/>
          </w:tcPr>
          <w:p>
            <w:r>
              <w:rPr>
                <w:rFonts w:ascii="Times New Roman" w:hAnsi="Times New Roman"/>
                <w:sz w:val="20"/>
              </w:rPr>
              <w:t>ALBUREL</w:t>
            </w:r>
          </w:p>
        </w:tc>
        <w:tc>
          <w:tcPr>
            <w:tcW w:type="dxa" w:w="1187"/>
          </w:tcPr>
          <w:p>
            <w:r>
              <w:rPr>
                <w:rFonts w:ascii="Times New Roman" w:hAnsi="Times New Roman"/>
                <w:sz w:val="20"/>
              </w:rPr>
              <w:t>CPCM/Saidal (DZ)</w:t>
            </w:r>
          </w:p>
        </w:tc>
        <w:tc>
          <w:tcPr>
            <w:tcW w:type="dxa" w:w="1187"/>
          </w:tcPr>
          <w:p>
            <w:r>
              <w:rPr>
                <w:rFonts w:ascii="Times New Roman" w:hAnsi="Times New Roman"/>
                <w:sz w:val="20"/>
              </w:rPr>
              <w:t>200 g/L (20 %)</w:t>
            </w:r>
          </w:p>
        </w:tc>
        <w:tc>
          <w:tcPr>
            <w:tcW w:type="dxa" w:w="1187"/>
          </w:tcPr>
          <w:p>
            <w:r>
              <w:rPr>
                <w:rFonts w:ascii="Times New Roman" w:hAnsi="Times New Roman"/>
                <w:sz w:val="20"/>
              </w:rPr>
              <w:t>50 mL (10 g) / 100 mL (20 g)</w:t>
            </w:r>
          </w:p>
        </w:tc>
        <w:tc>
          <w:tcPr>
            <w:tcW w:type="dxa" w:w="1187"/>
          </w:tcPr>
          <w:p>
            <w:r>
              <w:rPr>
                <w:rFonts w:ascii="Times New Roman" w:hAnsi="Times New Roman"/>
                <w:sz w:val="20"/>
              </w:rPr>
              <w:t>—</w:t>
            </w:r>
          </w:p>
        </w:tc>
        <w:tc>
          <w:tcPr>
            <w:tcW w:type="dxa" w:w="1187"/>
          </w:tcPr>
          <w:p>
            <w:r>
              <w:rPr>
                <w:rFonts w:ascii="Times New Roman" w:hAnsi="Times New Roman"/>
                <w:sz w:val="20"/>
              </w:rPr>
              <w:t>+2 à +8 °C</w:t>
            </w:r>
          </w:p>
        </w:tc>
        <w:tc>
          <w:tcPr>
            <w:tcW w:type="dxa" w:w="1187"/>
          </w:tcPr>
          <w:p>
            <w:r>
              <w:rPr>
                <w:rFonts w:ascii="Times New Roman" w:hAnsi="Times New Roman"/>
                <w:sz w:val="20"/>
              </w:rPr>
              <w:t>Production locale algérienne</w:t>
            </w:r>
          </w:p>
        </w:tc>
      </w:tr>
      <w:tr>
        <w:tc>
          <w:tcPr>
            <w:tcW w:type="dxa" w:w="1187"/>
          </w:tcPr>
          <w:p>
            <w:r>
              <w:rPr>
                <w:rFonts w:ascii="Times New Roman" w:hAnsi="Times New Roman"/>
                <w:sz w:val="20"/>
              </w:rPr>
              <w:t>HUMAN ALBUMIN BEHRING 20%</w:t>
            </w:r>
          </w:p>
        </w:tc>
        <w:tc>
          <w:tcPr>
            <w:tcW w:type="dxa" w:w="1187"/>
          </w:tcPr>
          <w:p>
            <w:r>
              <w:rPr>
                <w:rFonts w:ascii="Times New Roman" w:hAnsi="Times New Roman"/>
                <w:sz w:val="20"/>
              </w:rPr>
              <w:t>CSL Behring (DE)</w:t>
            </w:r>
          </w:p>
        </w:tc>
        <w:tc>
          <w:tcPr>
            <w:tcW w:type="dxa" w:w="1187"/>
          </w:tcPr>
          <w:p>
            <w:r>
              <w:rPr>
                <w:rFonts w:ascii="Times New Roman" w:hAnsi="Times New Roman"/>
                <w:sz w:val="20"/>
              </w:rPr>
              <w:t>200 g/L (20 %)</w:t>
            </w:r>
          </w:p>
        </w:tc>
        <w:tc>
          <w:tcPr>
            <w:tcW w:type="dxa" w:w="1187"/>
          </w:tcPr>
          <w:p>
            <w:r>
              <w:rPr>
                <w:rFonts w:ascii="Times New Roman" w:hAnsi="Times New Roman"/>
                <w:sz w:val="20"/>
              </w:rPr>
              <w:t>50 mL (9,6 g) / 100 mL (19,2 g)</w:t>
            </w:r>
          </w:p>
        </w:tc>
        <w:tc>
          <w:tcPr>
            <w:tcW w:type="dxa" w:w="1187"/>
          </w:tcPr>
          <w:p>
            <w:r>
              <w:rPr>
                <w:rFonts w:ascii="Times New Roman" w:hAnsi="Times New Roman"/>
                <w:sz w:val="20"/>
              </w:rPr>
              <w:t>—</w:t>
            </w:r>
          </w:p>
        </w:tc>
        <w:tc>
          <w:tcPr>
            <w:tcW w:type="dxa" w:w="1187"/>
          </w:tcPr>
          <w:p>
            <w:r>
              <w:rPr>
                <w:rFonts w:ascii="Times New Roman" w:hAnsi="Times New Roman"/>
                <w:sz w:val="20"/>
              </w:rPr>
              <w:t>+2 à +8 °C</w:t>
            </w:r>
          </w:p>
        </w:tc>
        <w:tc>
          <w:tcPr>
            <w:tcW w:type="dxa" w:w="1187"/>
          </w:tcPr>
          <w:p>
            <w:r>
              <w:rPr>
                <w:rFonts w:ascii="Times New Roman" w:hAnsi="Times New Roman"/>
                <w:sz w:val="20"/>
              </w:rPr>
              <w:t>Spécialité allemande ; standard international</w:t>
            </w:r>
          </w:p>
        </w:tc>
      </w:tr>
    </w:tbl>
    <w:p/>
    <w:p>
      <w:r/>
      <w:r>
        <w:rPr>
          <w:b/>
        </w:rPr>
        <w:t>Paramètres pharmacologiques communs</w:t>
      </w:r>
      <w:r>
        <w:t xml:space="preserve"> :</w:t>
      </w:r>
    </w:p>
    <w:tbl>
      <w:tblPr>
        <w:tblStyle w:val="LightGrid-Accent1"/>
        <w:tblW w:type="auto" w:w="0"/>
        <w:tblLayout w:type="autofit"/>
        <w:tblLook w:firstColumn="1" w:firstRow="1" w:lastColumn="0" w:lastRow="0" w:noHBand="0" w:noVBand="1" w:val="04A0"/>
      </w:tblPr>
      <w:tblGrid>
        <w:gridCol w:w="4156"/>
        <w:gridCol w:w="4156"/>
      </w:tblGrid>
      <w:tr>
        <w:tc>
          <w:tcPr>
            <w:tcW w:type="dxa" w:w="4156"/>
            <w:shd w:val="clear" w:color="auto" w:fill="F2F2F2"/>
          </w:tcPr>
          <w:p>
            <w:r>
              <w:rPr>
                <w:rFonts w:ascii="Times New Roman" w:hAnsi="Times New Roman"/>
                <w:b/>
                <w:sz w:val="20"/>
              </w:rPr>
              <w:t>Paramètre</w:t>
            </w:r>
          </w:p>
        </w:tc>
        <w:tc>
          <w:tcPr>
            <w:tcW w:type="dxa" w:w="4156"/>
            <w:shd w:val="clear" w:color="auto" w:fill="F2F2F2"/>
          </w:tcPr>
          <w:p>
            <w:r>
              <w:rPr>
                <w:rFonts w:ascii="Times New Roman" w:hAnsi="Times New Roman"/>
                <w:b/>
                <w:sz w:val="20"/>
              </w:rPr>
              <w:t>Valeur</w:t>
            </w:r>
          </w:p>
        </w:tc>
      </w:tr>
      <w:tr>
        <w:tc>
          <w:tcPr>
            <w:tcW w:type="dxa" w:w="4156"/>
          </w:tcPr>
          <w:p>
            <w:r>
              <w:rPr>
                <w:rFonts w:ascii="Times New Roman" w:hAnsi="Times New Roman"/>
                <w:sz w:val="20"/>
              </w:rPr>
              <w:t>Demi-vie plasmatique</w:t>
            </w:r>
          </w:p>
        </w:tc>
        <w:tc>
          <w:tcPr>
            <w:tcW w:type="dxa" w:w="4156"/>
          </w:tcPr>
          <w:p>
            <w:r>
              <w:rPr>
                <w:rFonts w:ascii="Times New Roman" w:hAnsi="Times New Roman"/>
                <w:sz w:val="20"/>
              </w:rPr>
              <w:t>15-20 jours</w:t>
            </w:r>
          </w:p>
        </w:tc>
      </w:tr>
      <w:tr>
        <w:tc>
          <w:tcPr>
            <w:tcW w:type="dxa" w:w="4156"/>
          </w:tcPr>
          <w:p>
            <w:r>
              <w:rPr>
                <w:rFonts w:ascii="Times New Roman" w:hAnsi="Times New Roman"/>
                <w:sz w:val="20"/>
              </w:rPr>
              <w:t>Volume de distribution</w:t>
            </w:r>
          </w:p>
        </w:tc>
        <w:tc>
          <w:tcPr>
            <w:tcW w:type="dxa" w:w="4156"/>
          </w:tcPr>
          <w:p>
            <w:r>
              <w:rPr>
                <w:rFonts w:ascii="Times New Roman" w:hAnsi="Times New Roman"/>
                <w:sz w:val="20"/>
              </w:rPr>
              <w:t>~5 L (plasmatique) + 8-10 L (interstitiel)</w:t>
            </w:r>
          </w:p>
        </w:tc>
      </w:tr>
      <w:tr>
        <w:tc>
          <w:tcPr>
            <w:tcW w:type="dxa" w:w="4156"/>
          </w:tcPr>
          <w:p>
            <w:r>
              <w:rPr>
                <w:rFonts w:ascii="Times New Roman" w:hAnsi="Times New Roman"/>
                <w:sz w:val="20"/>
              </w:rPr>
              <w:t>Clairance</w:t>
            </w:r>
          </w:p>
        </w:tc>
        <w:tc>
          <w:tcPr>
            <w:tcW w:type="dxa" w:w="4156"/>
          </w:tcPr>
          <w:p>
            <w:r>
              <w:rPr>
                <w:rFonts w:ascii="Times New Roman" w:hAnsi="Times New Roman"/>
                <w:sz w:val="20"/>
              </w:rPr>
              <w:t>0,2-0,4 mL/min/kg</w:t>
            </w:r>
          </w:p>
        </w:tc>
      </w:tr>
      <w:tr>
        <w:tc>
          <w:tcPr>
            <w:tcW w:type="dxa" w:w="4156"/>
          </w:tcPr>
          <w:p>
            <w:r>
              <w:rPr>
                <w:rFonts w:ascii="Times New Roman" w:hAnsi="Times New Roman"/>
                <w:sz w:val="20"/>
              </w:rPr>
              <w:t>Pression oncotique à 20 %</w:t>
            </w:r>
          </w:p>
        </w:tc>
        <w:tc>
          <w:tcPr>
            <w:tcW w:type="dxa" w:w="4156"/>
          </w:tcPr>
          <w:p>
            <w:r>
              <w:rPr>
                <w:rFonts w:ascii="Times New Roman" w:hAnsi="Times New Roman"/>
                <w:sz w:val="20"/>
              </w:rPr>
              <w:t>~100 mmHg</w:t>
            </w:r>
          </w:p>
        </w:tc>
      </w:tr>
      <w:tr>
        <w:tc>
          <w:tcPr>
            <w:tcW w:type="dxa" w:w="4156"/>
          </w:tcPr>
          <w:p>
            <w:r>
              <w:rPr>
                <w:rFonts w:ascii="Times New Roman" w:hAnsi="Times New Roman"/>
                <w:sz w:val="20"/>
              </w:rPr>
              <w:t>Contenu en Na⁺</w:t>
            </w:r>
          </w:p>
        </w:tc>
        <w:tc>
          <w:tcPr>
            <w:tcW w:type="dxa" w:w="4156"/>
          </w:tcPr>
          <w:p>
            <w:r>
              <w:rPr>
                <w:rFonts w:ascii="Times New Roman" w:hAnsi="Times New Roman"/>
                <w:sz w:val="20"/>
              </w:rPr>
              <w:t>130-160 mmol/L</w:t>
            </w:r>
          </w:p>
        </w:tc>
      </w:tr>
      <w:tr>
        <w:tc>
          <w:tcPr>
            <w:tcW w:type="dxa" w:w="4156"/>
          </w:tcPr>
          <w:p>
            <w:r>
              <w:rPr>
                <w:rFonts w:ascii="Times New Roman" w:hAnsi="Times New Roman"/>
                <w:sz w:val="20"/>
              </w:rPr>
              <w:t>pH</w:t>
            </w:r>
          </w:p>
        </w:tc>
        <w:tc>
          <w:tcPr>
            <w:tcW w:type="dxa" w:w="4156"/>
          </w:tcPr>
          <w:p>
            <w:r>
              <w:rPr>
                <w:rFonts w:ascii="Times New Roman" w:hAnsi="Times New Roman"/>
                <w:sz w:val="20"/>
              </w:rPr>
              <w:t>6,4-7,4</w:t>
            </w:r>
          </w:p>
        </w:tc>
      </w:tr>
      <w:tr>
        <w:tc>
          <w:tcPr>
            <w:tcW w:type="dxa" w:w="4156"/>
          </w:tcPr>
          <w:p>
            <w:r>
              <w:rPr>
                <w:rFonts w:ascii="Times New Roman" w:hAnsi="Times New Roman"/>
                <w:sz w:val="20"/>
              </w:rPr>
              <w:t>Stabilisateurs</w:t>
            </w:r>
          </w:p>
        </w:tc>
        <w:tc>
          <w:tcPr>
            <w:tcW w:type="dxa" w:w="4156"/>
          </w:tcPr>
          <w:p>
            <w:r>
              <w:rPr>
                <w:rFonts w:ascii="Times New Roman" w:hAnsi="Times New Roman"/>
                <w:sz w:val="20"/>
              </w:rPr>
              <w:t>N-acétyltryptophanate + sodium caprylate</w:t>
            </w:r>
          </w:p>
        </w:tc>
      </w:tr>
      <w:tr>
        <w:tc>
          <w:tcPr>
            <w:tcW w:type="dxa" w:w="4156"/>
          </w:tcPr>
          <w:p>
            <w:r>
              <w:rPr>
                <w:rFonts w:ascii="Times New Roman" w:hAnsi="Times New Roman"/>
                <w:sz w:val="20"/>
              </w:rPr>
              <w:t>Pasteurisation</w:t>
            </w:r>
          </w:p>
        </w:tc>
        <w:tc>
          <w:tcPr>
            <w:tcW w:type="dxa" w:w="4156"/>
          </w:tcPr>
          <w:p>
            <w:r>
              <w:rPr>
                <w:rFonts w:ascii="Times New Roman" w:hAnsi="Times New Roman"/>
                <w:sz w:val="20"/>
              </w:rPr>
              <w:t>60 °C × 10 h (obligatoire)</w:t>
            </w:r>
          </w:p>
        </w:tc>
      </w:tr>
      <w:tr>
        <w:tc>
          <w:tcPr>
            <w:tcW w:type="dxa" w:w="4156"/>
          </w:tcPr>
          <w:p>
            <w:r>
              <w:rPr>
                <w:rFonts w:ascii="Times New Roman" w:hAnsi="Times New Roman"/>
                <w:sz w:val="20"/>
              </w:rPr>
              <w:t>Demi-vie après perfusion IV 20 g</w:t>
            </w:r>
          </w:p>
        </w:tc>
        <w:tc>
          <w:tcPr>
            <w:tcW w:type="dxa" w:w="4156"/>
          </w:tcPr>
          <w:p>
            <w:r>
              <w:rPr>
                <w:rFonts w:ascii="Times New Roman" w:hAnsi="Times New Roman"/>
                <w:sz w:val="20"/>
              </w:rPr>
              <w:t>Effet pic à 1 h, plateau 4-6 h, décroissance 24-48 h</w:t>
            </w:r>
          </w:p>
        </w:tc>
      </w:tr>
    </w:tbl>
    <w:p/>
    <w:p>
      <w:pPr>
        <w:pStyle w:val="Heading2"/>
      </w:pPr>
      <w:r>
        <w:t>231.5. Récapitulatif clinique et pédagogique</w:t>
      </w:r>
    </w:p>
    <w:p>
      <w:pPr>
        <w:pStyle w:val="Heading3"/>
      </w:pPr>
      <w:r>
        <w:t>Messages-clés pour la pratique</w:t>
      </w:r>
    </w:p>
    <w:p>
      <w:pPr>
        <w:pStyle w:val="ListNumber"/>
      </w:pPr>
      <w:r/>
      <w:r>
        <w:rPr>
          <w:b/>
        </w:rPr>
        <w:t>L'albumine humaine 20 % est le substitut plasmatique colloïdal de référence</w:t>
      </w:r>
      <w:r>
        <w:t xml:space="preserve"> en Algérie, disponible sous 7 spécialités actives, dont une production locale (ALBUREL).</w:t>
      </w:r>
    </w:p>
    <w:p>
      <w:pPr>
        <w:pStyle w:val="ListNumber"/>
      </w:pPr>
      <w:r/>
      <w:r>
        <w:rPr>
          <w:b/>
        </w:rPr>
        <w:t>Les indications validées</w:t>
      </w:r>
      <w:r>
        <w:t xml:space="preserve"> sont : hypoalbuminémie critique (&lt; 25 g/L), hypovolémie réfractaire au cristalloïde seul, prévention de l'hypovolémie post-paracentèse &gt; 5 L, syndrome hépato-rénal (en association avec vasoconstricteur splanchnique), purpura fulminans.</w:t>
      </w:r>
    </w:p>
    <w:p>
      <w:pPr>
        <w:pStyle w:val="ListNumber"/>
      </w:pPr>
      <w:r/>
      <w:r>
        <w:rPr>
          <w:b/>
        </w:rPr>
        <w:t>Les contre-indications principales</w:t>
      </w:r>
      <w:r>
        <w:t xml:space="preserve"> sont : Œdème aigu du poumon cardiogénique, hypervolémie, anémie sévère non corrigée, insuffisance cardiaque décompensée.</w:t>
      </w:r>
    </w:p>
    <w:p>
      <w:pPr>
        <w:pStyle w:val="ListNumber"/>
      </w:pPr>
      <w:r/>
      <w:r>
        <w:rPr>
          <w:b/>
        </w:rPr>
        <w:t>La posologie est en g/kg ou en mL/kg</w:t>
      </w:r>
      <w:r>
        <w:t>, jamais en UI (à l'inverse des facteurs de coagulation).</w:t>
      </w:r>
    </w:p>
    <w:p>
      <w:pPr>
        <w:pStyle w:val="ListNumber"/>
      </w:pPr>
      <w:r/>
      <w:r>
        <w:rPr>
          <w:b/>
        </w:rPr>
        <w:t>Le débit de perfusion doit être lent</w:t>
      </w:r>
      <w:r>
        <w:t xml:space="preserve"> (≤ 1-2 mL/min chez l'adulte) pour éviter la surcharge volémique.</w:t>
      </w:r>
    </w:p>
    <w:p>
      <w:pPr>
        <w:pStyle w:val="ListNumber"/>
      </w:pPr>
      <w:r/>
      <w:r>
        <w:rPr>
          <w:b/>
        </w:rPr>
        <w:t>La surveillance clinique</w:t>
      </w:r>
      <w:r>
        <w:t xml:space="preserve"> (TA, FC, FR, auscultation pulmonaire, diurèse) et </w:t>
      </w:r>
      <w:r>
        <w:rPr>
          <w:b/>
        </w:rPr>
        <w:t>biologique</w:t>
      </w:r>
      <w:r>
        <w:t xml:space="preserve"> (ionogramme, albuminémie, urée, créatinine) est obligatoire pendant la perfusion.</w:t>
      </w:r>
    </w:p>
    <w:p>
      <w:pPr>
        <w:pStyle w:val="ListNumber"/>
      </w:pPr>
      <w:r/>
      <w:r>
        <w:rPr>
          <w:b/>
        </w:rPr>
        <w:t>La chaîne du froid</w:t>
      </w:r>
      <w:r>
        <w:t xml:space="preserve"> (+2 °C à +8 °C) doit être strictement respectée.</w:t>
      </w:r>
    </w:p>
    <w:p>
      <w:pPr>
        <w:pStyle w:val="ListNumber"/>
      </w:pPr>
      <w:r/>
      <w:r>
        <w:rPr>
          <w:b/>
        </w:rPr>
        <w:t>La traçabilité nominative</w:t>
      </w:r>
      <w:r>
        <w:t xml:space="preserve"> est obligatoire (registre CNTS).</w:t>
      </w:r>
    </w:p>
    <w:p>
      <w:pPr>
        <w:pStyle w:val="ListNumber"/>
      </w:pPr>
      <w:r/>
      <w:r>
        <w:rPr>
          <w:b/>
        </w:rPr>
        <w:t>La grossesse et l'allaitement</w:t>
      </w:r>
      <w:r>
        <w:t xml:space="preserve"> ne sont pas contre-indiqués.</w:t>
      </w:r>
    </w:p>
    <w:p>
      <w:pPr>
        <w:pStyle w:val="ListNumber"/>
      </w:pPr>
      <w:r/>
      <w:r>
        <w:rPr>
          <w:b/>
        </w:rPr>
        <w:t>L'albumine n'est PAS un apport nutritionnel</w:t>
      </w:r>
      <w:r>
        <w:t xml:space="preserve"> ; pour la dénutrition, utiliser la nutrition entérale ou parentérale.</w:t>
      </w:r>
    </w:p>
    <w:p>
      <w:pPr>
        <w:pStyle w:val="Heading3"/>
      </w:pPr>
      <w:r>
        <w:t>Références bibliographiques spécifiques</w:t>
      </w:r>
    </w:p>
    <w:p>
      <w:pPr>
        <w:pStyle w:val="ListNumber"/>
      </w:pPr>
      <w:r>
        <w:t>HAS — Avis de la Commission de la Transparence sur l'albumine humaine (mise à jour 2018).</w:t>
      </w:r>
    </w:p>
    <w:p>
      <w:pPr>
        <w:pStyle w:val="ListNumber"/>
      </w:pPr>
      <w:r>
        <w:t>ANSM — RCP de l'albumine humaine 200 g/L (mise à jour 2021).</w:t>
      </w:r>
    </w:p>
    <w:p>
      <w:pPr>
        <w:pStyle w:val="ListNumber"/>
      </w:pPr>
      <w:r>
        <w:t>EASL — Baveno VII consensus (2022) sur l'hypertension portale.</w:t>
      </w:r>
    </w:p>
    <w:p>
      <w:pPr>
        <w:pStyle w:val="ListNumber"/>
      </w:pPr>
      <w:r>
        <w:t>Surviving Sepsis Campaign — Guidelines 2021.</w:t>
      </w:r>
    </w:p>
    <w:p>
      <w:pPr>
        <w:pStyle w:val="ListNumber"/>
      </w:pPr>
      <w:r>
        <w:t>KDIGO — HRS-AKI Guidelines 2024 update.</w:t>
      </w:r>
    </w:p>
    <w:p>
      <w:pPr>
        <w:pStyle w:val="ListNumber"/>
      </w:pPr>
      <w:r>
        <w:t>CRAT — Fiche « Albumine humaine » (consultée 2024).</w:t>
      </w:r>
    </w:p>
    <w:p>
      <w:pPr>
        <w:pStyle w:val="ListNumber"/>
      </w:pPr>
      <w:r>
        <w:t>Cochrane Review — « Human albumin solution for resuscitation in critically ill patients » (2011, mise à jour 2018).</w:t>
      </w:r>
    </w:p>
    <w:p>
      <w:pPr>
        <w:pStyle w:val="ListNumber"/>
      </w:pPr>
      <w:r>
        <w:t>SALINE Trial (NEJM 2004, 2017) — comparaison cristalloïdes vs albumine en réanimation.</w:t>
      </w:r>
    </w:p>
    <w:p>
      <w:pPr>
        <w:pStyle w:val="ListNumber"/>
      </w:pPr>
      <w:r>
        <w:t>ALIAS Trial (NEJM 2007, 2013) — albumine dans l'AVC ischémique.</w:t>
      </w:r>
    </w:p>
    <w:p>
      <w:pPr>
        <w:pStyle w:val="ListNumber"/>
      </w:pPr>
      <w:r>
        <w:t>Martin GS et al. — « Albumin and furosemide therapy in hypoproteinemic ARDS patients » (Crit Care Med 2002, 2005).</w:t>
      </w:r>
    </w:p>
    <w:p>
      <w:pPr>
        <w:pStyle w:val="Heading1"/>
      </w:pPr>
      <w:r>
        <w:t>Fascicule XXIII — Chapitre 232</w:t>
      </w:r>
    </w:p>
    <w:p>
      <w:pPr>
        <w:pStyle w:val="Heading2"/>
      </w:pPr>
      <w:r>
        <w:t>Facteur VIII &amp; agents bypassant l'inhibiteur (Hémophilie A)</w:t>
      </w:r>
    </w:p>
    <w:p>
      <w:pPr>
        <w:pStyle w:val="Heading2"/>
      </w:pPr>
      <w:r>
        <w:t>Sommaire du chapitre 232</w:t>
      </w:r>
    </w:p>
    <w:p>
      <w:pPr>
        <w:pStyle w:val="ListBullet"/>
      </w:pPr>
      <w:r>
        <w:t>232.0. Introduction à l'hémophilie A : épidémiologie, physiopathologie, classification, stratégies thérapeutiques</w:t>
      </w:r>
    </w:p>
    <w:p>
      <w:pPr>
        <w:pStyle w:val="ListBullet"/>
      </w:pPr>
      <w:r>
        <w:t>232.1. DCI : Octocog alfa (Facteur humain VIII anti hémophilique) — formes plasmatiques (HAEMOCTIN SDH, HEMOREL-A, OCTANATE) + KOVALTRY 500</w:t>
      </w:r>
    </w:p>
    <w:p>
      <w:pPr>
        <w:pStyle w:val="ListBullet"/>
      </w:pPr>
      <w:r>
        <w:t>232.2. DCI : Octocog alfa (libellé générique) — KOVALTRY (BAY 81-8973, Bayer)</w:t>
      </w:r>
    </w:p>
    <w:p>
      <w:pPr>
        <w:pStyle w:val="ListBullet"/>
      </w:pPr>
      <w:r>
        <w:t>232.3. DCI : Octocog alfa (Facteur VIII de coagulation humain recombinant anti-hémophilique) — ADVATE (Baxter)</w:t>
      </w:r>
    </w:p>
    <w:p>
      <w:pPr>
        <w:pStyle w:val="ListBullet"/>
      </w:pPr>
      <w:r>
        <w:t>232.4. DCI : Octocog alfa (Facteur VIII recombinant de coagulation anti-hémophilique) [NON_RENOUVELABLE] — RECOMBINATE, KOGENATE</w:t>
      </w:r>
    </w:p>
    <w:p>
      <w:pPr>
        <w:pStyle w:val="ListBullet"/>
      </w:pPr>
      <w:r>
        <w:t>232.5. DCI : Turoctocog alfa — NOVO EIGHT (Novo Nordisk)</w:t>
      </w:r>
    </w:p>
    <w:p>
      <w:pPr>
        <w:pStyle w:val="ListBullet"/>
      </w:pPr>
      <w:r>
        <w:t>232.6. DCI : Moroctocog alfa — REFACTO AF (Pfizer), OCTOFACTOR (JSC Generium)</w:t>
      </w:r>
    </w:p>
    <w:p>
      <w:pPr>
        <w:pStyle w:val="ListBullet"/>
      </w:pPr>
      <w:r>
        <w:t>232.7. DCI : Eftrenonacog alpha — ALPROLIX (Sobi) [note : rFIX-Fc, étiqueté FVIII par erreur nomenclature algérienne]</w:t>
      </w:r>
    </w:p>
    <w:p>
      <w:pPr>
        <w:pStyle w:val="ListBullet"/>
      </w:pPr>
      <w:r>
        <w:t>232.8. DCI : Eftrenonacog alpha (court-circuitant l'inhibiteur du FVIII) — FEIBA 1000 (Takeda)</w:t>
      </w:r>
    </w:p>
    <w:p>
      <w:pPr>
        <w:pStyle w:val="ListBullet"/>
      </w:pPr>
      <w:r>
        <w:t>232.9. DCI : Facteurs de coagulation court-circuitant l'inhibiteur du Facteur VIII [NON_RENOUVELABLE] — FEIBA 500 (Baxter)</w:t>
      </w:r>
    </w:p>
    <w:p>
      <w:pPr>
        <w:pStyle w:val="ListBullet"/>
      </w:pPr>
      <w:r>
        <w:t>232.10. Tableau comparatif de sous-classe (9 DCI × 12 paramètres)</w:t>
      </w:r>
    </w:p>
    <w:p>
      <w:pPr>
        <w:pStyle w:val="ListBullet"/>
      </w:pPr>
      <w:r>
        <w:t>232.11. Synthèse pédagogique pour la pratique clinique</w:t>
      </w:r>
    </w:p>
    <w:p>
      <w:pPr>
        <w:pStyle w:val="Heading2"/>
      </w:pPr>
      <w:r>
        <w:t>232.0. Introduction à l'hémophilie A : épidémiologie, physiopathologie, classification, stratégies thérapeutiques</w:t>
      </w:r>
    </w:p>
    <w:p>
      <w:pPr>
        <w:pStyle w:val="Heading3"/>
      </w:pPr>
      <w:r>
        <w:t>1. Définition et épidémiologie</w:t>
      </w:r>
    </w:p>
    <w:p>
      <w:r>
        <w:t>L'</w:t>
      </w:r>
      <w:r>
        <w:rPr>
          <w:b/>
        </w:rPr>
        <w:t>hémophilie A</w:t>
      </w:r>
      <w:r>
        <w:t xml:space="preserve"> est une maladie hémorragique constitutionnelle récessive liée au chromosome X, due à un déficit quantitatif ou qualitatif en </w:t>
      </w:r>
      <w:r>
        <w:rPr>
          <w:b/>
        </w:rPr>
        <w:t>facteur VIII antihémophilique (FVIII)</w:t>
      </w:r>
      <w:r>
        <w:t xml:space="preserve">. Sa prévalence mondiale est d'environ </w:t>
      </w:r>
      <w:r>
        <w:rPr>
          <w:b/>
        </w:rPr>
        <w:t>1 pour 5 000 naissances masculines</w:t>
      </w:r>
      <w:r>
        <w:t xml:space="preserve"> (soit ~400 000 patients atteints dans le monde), ce qui en fait la maladie hémorragique constitutionnelle la plus fréquente avec la maladie de Willebrand. En Algérie, la prévalence estimée est d'environ </w:t>
      </w:r>
      <w:r>
        <w:rPr>
          <w:b/>
        </w:rPr>
        <w:t>4 000 patients hémophiles A</w:t>
      </w:r>
      <w:r>
        <w:t xml:space="preserve"> (toutes sévérités confondues), répartis principalement dans les grandes villes (Alger, Oran, Constantine, Annaba, Sétif) où se trouvent les centres de référence hospitalo-universitaires pour la prise en charge des maladies hémorragiques constitutionnelles.</w:t>
      </w:r>
    </w:p>
    <w:p>
      <w:r>
        <w:t xml:space="preserve">La maladie est transmise selon un mode </w:t>
      </w:r>
      <w:r>
        <w:rPr>
          <w:b/>
        </w:rPr>
        <w:t>récessif lié à l'X</w:t>
      </w:r>
      <w:r>
        <w:t xml:space="preserve"> : les hommes sont atteints (un seul X muté), les femmes sont conductrices (hétérozygotes, le plus souvent asymptomatiques mais avec un taux de FVIII diminué de moitié en moyenne). Dans environ </w:t>
      </w:r>
      <w:r>
        <w:rPr>
          <w:b/>
        </w:rPr>
        <w:t>30 % des cas</w:t>
      </w:r>
      <w:r>
        <w:t xml:space="preserve">, la mutation est </w:t>
      </w:r>
      <w:r>
        <w:rPr>
          <w:i/>
        </w:rPr>
        <w:t>de novo</w:t>
      </w:r>
      <w:r>
        <w:t xml:space="preserve"> (sans antécédent familial).</w:t>
      </w:r>
    </w:p>
    <w:p>
      <w:pPr>
        <w:pStyle w:val="Heading3"/>
      </w:pPr>
      <w:r>
        <w:t>2. Physiopathologie moléculaire</w:t>
      </w:r>
    </w:p>
    <w:p>
      <w:r>
        <w:t xml:space="preserve">Le gène </w:t>
      </w:r>
      <w:r>
        <w:rPr>
          <w:b/>
        </w:rPr>
        <w:t>F8</w:t>
      </w:r>
      <w:r>
        <w:t xml:space="preserve"> est situé sur le chromosome </w:t>
      </w:r>
      <w:r>
        <w:rPr>
          <w:b/>
        </w:rPr>
        <w:t>Xq28</w:t>
      </w:r>
      <w:r>
        <w:t xml:space="preserve">, s'étend sur 186 kb, et code pour une protéine de 2 351 acides aminés (260 kDa avant traitement, 165 kDa après clivage du domaine B). Le FVIII est synthétisé par les cellules endothéliales (principalement sinusoides hépatiques) et les cellules de Kupffer, et circule dans le plasma à une concentration de </w:t>
      </w:r>
      <w:r>
        <w:rPr>
          <w:b/>
        </w:rPr>
        <w:t>100-200 ng/mL (0,5-1 UI/mL)</w:t>
      </w:r>
      <w:r>
        <w:t xml:space="preserve">, non covalent lié au </w:t>
      </w:r>
      <w:r>
        <w:rPr>
          <w:b/>
        </w:rPr>
        <w:t>facteur von Willebrand (VWF)</w:t>
      </w:r>
      <w:r>
        <w:t xml:space="preserve"> qui le protège de la protéolyse et de la clairance prématurée (demi-vie plasmatique du FVIII libre : ~2 h ; demi-vie du FVIII lié au VWF : ~12 h).</w:t>
      </w:r>
    </w:p>
    <w:p>
      <w:r>
        <w:t xml:space="preserve">Le FVIII est un </w:t>
      </w:r>
      <w:r>
        <w:rPr>
          <w:b/>
        </w:rPr>
        <w:t>cofacteur</w:t>
      </w:r>
      <w:r>
        <w:t xml:space="preserve"> de la sérine-protéase FIXa dans le complexe </w:t>
      </w:r>
      <w:r>
        <w:rPr>
          <w:b/>
        </w:rPr>
        <w:t>tenase intrinsèque</w:t>
      </w:r>
      <w:r>
        <w:t xml:space="preserve"> (FIXa + FVIIIa + Ca²⁺ + phospholipides plaquettaires), qui active le Facteur X → FXa. Le complexe FIXa-FVIIIa multiplie par ~10⁶ la vitesse d'activation de FX, ce qui explique qu'un déficit même modéré en FVIII entraîne un défaut majeur de génération de thrombine et un allongement du TCA (temps de céphaline activée), alors que le TP (temps de prothrombine) reste normal (car la voie extrinsèque FT-FVIIa court-circuite le déficit).</w:t>
      </w:r>
    </w:p>
    <w:p>
      <w:r>
        <w:t xml:space="preserve">Les </w:t>
      </w:r>
      <w:r>
        <w:rPr>
          <w:b/>
        </w:rPr>
        <w:t>mutations du gène F8</w:t>
      </w:r>
      <w:r>
        <w:t xml:space="preserve"> sont très hétérogènes : inversion du gène F8 (intron 22) dans ~50 % des hémophiles A sévères (mutation récurrente), inversion intron 1 (~5 %), délétions complètes du gène (~5 %), mutations ponctuelles non-sens (~15 %), faux-sens (~20 %), micro-remaniements (~5 %). Le type de mutation conditionne partiellement le risque d'inhibiteur (les délétions complètes et les mutations non-sens à haut risque d'inhibiteur, ~35 % ; les mutations faux-sens à plus faible risque, ~10 %).</w:t>
      </w:r>
    </w:p>
    <w:p>
      <w:pPr>
        <w:pStyle w:val="Heading3"/>
      </w:pPr>
      <w:r>
        <w:t>3. Classification de la sévérité</w:t>
      </w:r>
    </w:p>
    <w:p>
      <w:r>
        <w:t>La classification internationale de la sévérité de l'hémophilie A repose sur le taux de FVIII circulant (mesuré par test chromogénique ou test chronométrique un stade) :</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Sévérité</w:t>
            </w:r>
          </w:p>
        </w:tc>
        <w:tc>
          <w:tcPr>
            <w:tcW w:type="dxa" w:w="2078"/>
            <w:shd w:val="clear" w:color="auto" w:fill="F2F2F2"/>
          </w:tcPr>
          <w:p>
            <w:r>
              <w:rPr>
                <w:rFonts w:ascii="Times New Roman" w:hAnsi="Times New Roman"/>
                <w:b/>
                <w:sz w:val="20"/>
              </w:rPr>
              <w:t>Taux de FVIII</w:t>
            </w:r>
          </w:p>
        </w:tc>
        <w:tc>
          <w:tcPr>
            <w:tcW w:type="dxa" w:w="2078"/>
            <w:shd w:val="clear" w:color="auto" w:fill="F2F2F2"/>
          </w:tcPr>
          <w:p>
            <w:r>
              <w:rPr>
                <w:rFonts w:ascii="Times New Roman" w:hAnsi="Times New Roman"/>
                <w:b/>
                <w:sz w:val="20"/>
              </w:rPr>
              <w:t>Prévalence</w:t>
            </w:r>
          </w:p>
        </w:tc>
        <w:tc>
          <w:tcPr>
            <w:tcW w:type="dxa" w:w="2078"/>
            <w:shd w:val="clear" w:color="auto" w:fill="F2F2F2"/>
          </w:tcPr>
          <w:p>
            <w:r>
              <w:rPr>
                <w:rFonts w:ascii="Times New Roman" w:hAnsi="Times New Roman"/>
                <w:b/>
                <w:sz w:val="20"/>
              </w:rPr>
              <w:t>Phénotype clinique</w:t>
            </w:r>
          </w:p>
        </w:tc>
      </w:tr>
      <w:tr>
        <w:tc>
          <w:tcPr>
            <w:tcW w:type="dxa" w:w="2078"/>
          </w:tcPr>
          <w:p>
            <w:r>
              <w:rPr>
                <w:rFonts w:ascii="Times New Roman" w:hAnsi="Times New Roman"/>
                <w:sz w:val="20"/>
              </w:rPr>
              <w:t>Sévère</w:t>
            </w:r>
          </w:p>
        </w:tc>
        <w:tc>
          <w:tcPr>
            <w:tcW w:type="dxa" w:w="2078"/>
          </w:tcPr>
          <w:p>
            <w:r>
              <w:rPr>
                <w:rFonts w:ascii="Times New Roman" w:hAnsi="Times New Roman"/>
                <w:sz w:val="20"/>
              </w:rPr>
              <w:t>&lt; 1 UI/dL (&lt; 0,01 UI/mL)</w:t>
            </w:r>
          </w:p>
        </w:tc>
        <w:tc>
          <w:tcPr>
            <w:tcW w:type="dxa" w:w="2078"/>
          </w:tcPr>
          <w:p>
            <w:r>
              <w:rPr>
                <w:rFonts w:ascii="Times New Roman" w:hAnsi="Times New Roman"/>
                <w:sz w:val="20"/>
              </w:rPr>
              <w:t>50-60 %</w:t>
            </w:r>
          </w:p>
        </w:tc>
        <w:tc>
          <w:tcPr>
            <w:tcW w:type="dxa" w:w="2078"/>
          </w:tcPr>
          <w:p>
            <w:r>
              <w:rPr>
                <w:rFonts w:ascii="Times New Roman" w:hAnsi="Times New Roman"/>
                <w:sz w:val="20"/>
              </w:rPr>
              <w:t>Saignements spontanés (hémarthroses, hématomes musculaires) dès la petite enfance</w:t>
            </w:r>
          </w:p>
        </w:tc>
      </w:tr>
      <w:tr>
        <w:tc>
          <w:tcPr>
            <w:tcW w:type="dxa" w:w="2078"/>
          </w:tcPr>
          <w:p>
            <w:r>
              <w:rPr>
                <w:rFonts w:ascii="Times New Roman" w:hAnsi="Times New Roman"/>
                <w:sz w:val="20"/>
              </w:rPr>
              <w:t>Modérée</w:t>
            </w:r>
          </w:p>
        </w:tc>
        <w:tc>
          <w:tcPr>
            <w:tcW w:type="dxa" w:w="2078"/>
          </w:tcPr>
          <w:p>
            <w:r>
              <w:rPr>
                <w:rFonts w:ascii="Times New Roman" w:hAnsi="Times New Roman"/>
                <w:sz w:val="20"/>
              </w:rPr>
              <w:t>1-5 UI/dL (0,01-0,05 UI/mL)</w:t>
            </w:r>
          </w:p>
        </w:tc>
        <w:tc>
          <w:tcPr>
            <w:tcW w:type="dxa" w:w="2078"/>
          </w:tcPr>
          <w:p>
            <w:r>
              <w:rPr>
                <w:rFonts w:ascii="Times New Roman" w:hAnsi="Times New Roman"/>
                <w:sz w:val="20"/>
              </w:rPr>
              <w:t>10 %</w:t>
            </w:r>
          </w:p>
        </w:tc>
        <w:tc>
          <w:tcPr>
            <w:tcW w:type="dxa" w:w="2078"/>
          </w:tcPr>
          <w:p>
            <w:r>
              <w:rPr>
                <w:rFonts w:ascii="Times New Roman" w:hAnsi="Times New Roman"/>
                <w:sz w:val="20"/>
              </w:rPr>
              <w:t>Saignements post-traumatiques ou post-chirurgicaux ; saignements spontanés rares</w:t>
            </w:r>
          </w:p>
        </w:tc>
      </w:tr>
      <w:tr>
        <w:tc>
          <w:tcPr>
            <w:tcW w:type="dxa" w:w="2078"/>
          </w:tcPr>
          <w:p>
            <w:r>
              <w:rPr>
                <w:rFonts w:ascii="Times New Roman" w:hAnsi="Times New Roman"/>
                <w:sz w:val="20"/>
              </w:rPr>
              <w:t>Légère</w:t>
            </w:r>
          </w:p>
        </w:tc>
        <w:tc>
          <w:tcPr>
            <w:tcW w:type="dxa" w:w="2078"/>
          </w:tcPr>
          <w:p>
            <w:r>
              <w:rPr>
                <w:rFonts w:ascii="Times New Roman" w:hAnsi="Times New Roman"/>
                <w:sz w:val="20"/>
              </w:rPr>
              <w:t>5-40 UI/dL (0,05-0,40 UI/mL)</w:t>
            </w:r>
          </w:p>
        </w:tc>
        <w:tc>
          <w:tcPr>
            <w:tcW w:type="dxa" w:w="2078"/>
          </w:tcPr>
          <w:p>
            <w:r>
              <w:rPr>
                <w:rFonts w:ascii="Times New Roman" w:hAnsi="Times New Roman"/>
                <w:sz w:val="20"/>
              </w:rPr>
              <w:t>30-40 %</w:t>
            </w:r>
          </w:p>
        </w:tc>
        <w:tc>
          <w:tcPr>
            <w:tcW w:type="dxa" w:w="2078"/>
          </w:tcPr>
          <w:p>
            <w:r>
              <w:rPr>
                <w:rFonts w:ascii="Times New Roman" w:hAnsi="Times New Roman"/>
                <w:sz w:val="20"/>
              </w:rPr>
              <w:t>Saignements post-chirurgicaux ou post-traumatiques majeurs ; diagnostic souvent tardif (à l'occasion d'une extraction dentaire, d'une chirurgie, d'un traumatisme)</w:t>
            </w:r>
          </w:p>
        </w:tc>
      </w:tr>
    </w:tbl>
    <w:p/>
    <w:p>
      <w:r>
        <w:t>Les formes sévères représentent ~60 % des cas en Algérie (prévalence plus élevée qu'en Europe, probablement liée au sous-diagnostic des formes légères).</w:t>
      </w:r>
    </w:p>
    <w:p>
      <w:pPr>
        <w:pStyle w:val="Heading3"/>
      </w:pPr>
      <w:r>
        <w:t>4. Complications</w:t>
      </w:r>
    </w:p>
    <w:p>
      <w:pPr>
        <w:pStyle w:val="ListBullet"/>
      </w:pPr>
      <w:r/>
      <w:r>
        <w:rPr>
          <w:b/>
        </w:rPr>
        <w:t>Atteinte ostéo-articulaire</w:t>
      </w:r>
      <w:r>
        <w:t xml:space="preserve"> : les </w:t>
      </w:r>
      <w:r>
        <w:rPr>
          <w:b/>
        </w:rPr>
        <w:t>hémarthroses récidivantes</w:t>
      </w:r>
      <w:r>
        <w:t xml:space="preserve"> (genou, coude, cheville) entraînent une synovite chronique, puis une arthropathie hémophilique destructrice (type arthrose secondaire) avec destruction cartilagineuse, géodes osseuses, déformations articulaires, amyotrophie et handicap fonctionnel majeur. C'est la principale cause de morbidité au long cours.</w:t>
      </w:r>
    </w:p>
    <w:p>
      <w:pPr>
        <w:pStyle w:val="ListBullet"/>
      </w:pPr>
      <w:r/>
      <w:r>
        <w:rPr>
          <w:b/>
        </w:rPr>
        <w:t>Hématomes musculaires</w:t>
      </w:r>
      <w:r>
        <w:t xml:space="preserve"> : psoas iliaque (compression nerveuse fémorale), mollet (syndrome de loge), membre supérieur (compression nerveuse médiane).</w:t>
      </w:r>
    </w:p>
    <w:p>
      <w:pPr>
        <w:pStyle w:val="ListBullet"/>
      </w:pPr>
      <w:r/>
      <w:r>
        <w:rPr>
          <w:b/>
        </w:rPr>
        <w:t>Hémorragies viscérales</w:t>
      </w:r>
      <w:r>
        <w:t xml:space="preserve"> : gastro-intestinales (rare mais grave), rénales (hématurie), pulmonaires (rare).</w:t>
      </w:r>
    </w:p>
    <w:p>
      <w:pPr>
        <w:pStyle w:val="ListBullet"/>
      </w:pPr>
      <w:r/>
      <w:r>
        <w:rPr>
          <w:b/>
        </w:rPr>
        <w:t>Hémorragies cérébrales</w:t>
      </w:r>
      <w:r>
        <w:t xml:space="preserve"> : complication la plus redoutée (mortalité ~25 %), surtout chez l'enfant hémophile sévère après traumatisme cranien même mineur.</w:t>
      </w:r>
    </w:p>
    <w:p>
      <w:pPr>
        <w:pStyle w:val="ListBullet"/>
      </w:pPr>
      <w:r/>
      <w:r>
        <w:rPr>
          <w:b/>
        </w:rPr>
        <w:t>Inhibiteurs anti-FVIII</w:t>
      </w:r>
      <w:r>
        <w:t xml:space="preserve"> : anticorps neutralisants dirigés contre le FVIII exogène, développés chez ~25-30 % des hémophiles A sévères (surtout dans les 50 premiers jours d'exposition, les « EDM » — Exposure Days). Le dépistage systématique par le </w:t>
      </w:r>
      <w:r>
        <w:rPr>
          <w:b/>
        </w:rPr>
        <w:t>test de Bethesda</w:t>
      </w:r>
      <w:r>
        <w:t xml:space="preserve"> est obligatoire.</w:t>
      </w:r>
    </w:p>
    <w:p>
      <w:pPr>
        <w:pStyle w:val="ListBullet"/>
      </w:pPr>
      <w:r/>
      <w:r>
        <w:rPr>
          <w:b/>
        </w:rPr>
        <w:t>Infections transmissibles par transfusion</w:t>
      </w:r>
      <w:r>
        <w:t xml:space="preserve"> : historiquement, les hémophiles ont été les victimes principales de la transmission du VIH et du VHC par les facteurs plasmatiques (années 1980, scandale du sang contaminé). Depuis l'introduction des facteurs recombinants et de l'inactivation virale systématique des facteurs plasmatiques (solvant-détergent, nanofiltration), ce risque est devenu négligeable mais reste un risque résiduel théorique.</w:t>
      </w:r>
    </w:p>
    <w:p>
      <w:pPr>
        <w:pStyle w:val="Heading3"/>
      </w:pPr>
      <w:r>
        <w:t>5. Stratégies thérapeutiques</w:t>
      </w:r>
    </w:p>
    <w:p>
      <w:r>
        <w:t>Le traitement de l'hémophilie A repose sur deux piliers :</w:t>
      </w:r>
    </w:p>
    <w:p>
      <w:pPr>
        <w:pStyle w:val="Heading4"/>
      </w:pPr>
      <w:r>
        <w:t>Traitement à la demande (on-demand)</w:t>
      </w:r>
    </w:p>
    <w:p>
      <w:pPr>
        <w:pStyle w:val="ListBullet"/>
      </w:pPr>
      <w:r>
        <w:t>Administration de FVIII en cas de saignement aigu (hémarthrose, hématome, traumatisme).</w:t>
      </w:r>
    </w:p>
    <w:p>
      <w:pPr>
        <w:pStyle w:val="ListBullet"/>
      </w:pPr>
      <w:r>
        <w:t>Dose adaptée au type et à la sévérité du saignement : 20-40 UI/kg pour une hémarthrose simple, 30-50 UI/kg pour un hématome musculaire, 50-80 UI/kg pour une hémorragie digestive ou cérébrale.</w:t>
      </w:r>
    </w:p>
    <w:p>
      <w:pPr>
        <w:pStyle w:val="Heading4"/>
      </w:pPr>
      <w:r>
        <w:t>Prophylaxie</w:t>
      </w:r>
    </w:p>
    <w:p>
      <w:pPr>
        <w:pStyle w:val="ListBullet"/>
      </w:pPr>
      <w:r/>
      <w:r>
        <w:rPr>
          <w:b/>
        </w:rPr>
        <w:t>Prophylaxie primaire</w:t>
      </w:r>
      <w:r>
        <w:t xml:space="preserve"> : administration systématique de FVIII avant tout saignement, dès l'âge de 1-2 ans (après le premier saignement), à raison de 25-40 UI/kg 3 fois/semaine (ou tous les 2 jours pour les EHL). Recommandation WFH 2020 — protège l'articulation et améliore la qualité de vie.</w:t>
      </w:r>
    </w:p>
    <w:p>
      <w:pPr>
        <w:pStyle w:val="ListBullet"/>
      </w:pPr>
      <w:r/>
      <w:r>
        <w:rPr>
          <w:b/>
        </w:rPr>
        <w:t>Prophylaxie secondaire</w:t>
      </w:r>
      <w:r>
        <w:t xml:space="preserve"> : administration systématique après 2-3 saignements articulaires récidivants, pour prévenir l'arthropathie.</w:t>
      </w:r>
    </w:p>
    <w:p>
      <w:pPr>
        <w:pStyle w:val="ListBullet"/>
      </w:pPr>
      <w:r/>
      <w:r>
        <w:rPr>
          <w:b/>
        </w:rPr>
        <w:t>Prophylaxie de courte durée</w:t>
      </w:r>
      <w:r>
        <w:t xml:space="preserve"> : périodes spécifiques (post-chirurgie, période de guérison d'une articulation cible).</w:t>
      </w:r>
    </w:p>
    <w:p>
      <w:pPr>
        <w:pStyle w:val="Heading4"/>
      </w:pPr>
      <w:r>
        <w:t>Nouvelles approches thérapeutiques (non disponibles en Algérie)</w:t>
      </w:r>
    </w:p>
    <w:p>
      <w:pPr>
        <w:pStyle w:val="ListBullet"/>
      </w:pPr>
      <w:r/>
      <w:r>
        <w:rPr>
          <w:b/>
        </w:rPr>
        <w:t>Efmordectocog alfa (Elocta/Eloctate)</w:t>
      </w:r>
      <w:r>
        <w:t xml:space="preserve"> — rFVIII-Fc fusion, demi-vie prolongée (19 h vs 12 h standard) ; non commercialisé en Algérie.</w:t>
      </w:r>
    </w:p>
    <w:p>
      <w:pPr>
        <w:pStyle w:val="ListBullet"/>
      </w:pPr>
      <w:r/>
      <w:r>
        <w:rPr>
          <w:b/>
        </w:rPr>
        <w:t>Rurioctocog alfa pegol (Adynovi/Adynovate)</w:t>
      </w:r>
      <w:r>
        <w:t xml:space="preserve"> — rFVIII-PEG, demi-vie 14-16 h ; non commercialisé en Algérie.</w:t>
      </w:r>
    </w:p>
    <w:p>
      <w:pPr>
        <w:pStyle w:val="ListBullet"/>
      </w:pPr>
      <w:r/>
      <w:r>
        <w:rPr>
          <w:b/>
        </w:rPr>
        <w:t>Damoctocog alfa pegol (Jivi)</w:t>
      </w:r>
      <w:r>
        <w:t xml:space="preserve"> — rFVIII-PEG, demi-vie 19 h ; non commercialisé en Algérie.</w:t>
      </w:r>
    </w:p>
    <w:p>
      <w:pPr>
        <w:pStyle w:val="ListBullet"/>
      </w:pPr>
      <w:r/>
      <w:r>
        <w:rPr>
          <w:b/>
        </w:rPr>
        <w:t>Susoctocog alfa (Obizur)</w:t>
      </w:r>
      <w:r>
        <w:t xml:space="preserve"> — rFVIII porcin-humain (croisé avec l'humain mais moins immunogène) ; non commercialisé.</w:t>
      </w:r>
    </w:p>
    <w:p>
      <w:pPr>
        <w:pStyle w:val="ListBullet"/>
      </w:pPr>
      <w:r/>
      <w:r>
        <w:rPr>
          <w:b/>
        </w:rPr>
        <w:t>Turoctocog alfa pegol (Esperoct)</w:t>
      </w:r>
      <w:r>
        <w:t xml:space="preserve"> — rFVIII-PEG, demi-vie 19 h ; non commercialisé.</w:t>
      </w:r>
    </w:p>
    <w:p>
      <w:pPr>
        <w:pStyle w:val="ListBullet"/>
      </w:pPr>
      <w:r/>
      <w:r>
        <w:rPr>
          <w:b/>
        </w:rPr>
        <w:t>Lonoctocog alfa (Releco)</w:t>
      </w:r>
      <w:r>
        <w:t xml:space="preserve"> — rFVIII single-chain, demi-vie 14 h ; non commercialisé.</w:t>
      </w:r>
    </w:p>
    <w:p>
      <w:pPr>
        <w:pStyle w:val="ListBullet"/>
      </w:pPr>
      <w:r/>
      <w:r>
        <w:rPr>
          <w:b/>
        </w:rPr>
        <w:t>Fitusiran</w:t>
      </w:r>
      <w:r>
        <w:t xml:space="preserve"> — Ac anti-antithrombine (ARN interférent), en phase III.</w:t>
      </w:r>
    </w:p>
    <w:p>
      <w:pPr>
        <w:pStyle w:val="ListBullet"/>
      </w:pPr>
      <w:r/>
      <w:r>
        <w:rPr>
          <w:b/>
        </w:rPr>
        <w:t>Concizumab (Alhemo)</w:t>
      </w:r>
      <w:r>
        <w:t xml:space="preserve"> — Ac anti-TFPI (mAb), en phase III, AMM EMA 2024 pour hémophilie A et B sans inhibiteur.</w:t>
      </w:r>
    </w:p>
    <w:p>
      <w:pPr>
        <w:pStyle w:val="ListBullet"/>
      </w:pPr>
      <w:r/>
      <w:r>
        <w:rPr>
          <w:b/>
        </w:rPr>
        <w:t>Marstacimab (Hympavzi)</w:t>
      </w:r>
      <w:r>
        <w:t xml:space="preserve"> — Ac anti-TFPI (mAb), AMM FDA 2024 pour hémophilie A et B sans inhibiteur.</w:t>
      </w:r>
    </w:p>
    <w:p>
      <w:pPr>
        <w:pStyle w:val="ListBullet"/>
      </w:pPr>
      <w:r/>
      <w:r>
        <w:rPr>
          <w:b/>
        </w:rPr>
        <w:t>Thérapie génique</w:t>
      </w:r>
      <w:r>
        <w:t xml:space="preserve"> : </w:t>
      </w:r>
      <w:r>
        <w:rPr>
          <w:b/>
        </w:rPr>
        <w:t>Valoctocog roxaparvovec (Roctavian)</w:t>
      </w:r>
      <w:r>
        <w:t xml:space="preserve"> — vecteur AAV5-FVIII, AMM EMA 2022 ; </w:t>
      </w:r>
      <w:r>
        <w:rPr>
          <w:b/>
        </w:rPr>
        <w:t>Etranacogene dezaparvovec (Hemgenix)</w:t>
      </w:r>
      <w:r>
        <w:t xml:space="preserve"> pour hémophilie B. Non disponibles en Algérie.</w:t>
      </w:r>
    </w:p>
    <w:p>
      <w:pPr>
        <w:pStyle w:val="Heading3"/>
      </w:pPr>
      <w:r>
        <w:t>6. Hémophilie A avec inhibiteur</w:t>
      </w:r>
    </w:p>
    <w:p>
      <w:pPr>
        <w:pStyle w:val="ListBullet"/>
      </w:pPr>
      <w:r>
        <w:t xml:space="preserve">~25-30 % des hémophiles A sévères développent un </w:t>
      </w:r>
      <w:r>
        <w:rPr>
          <w:b/>
        </w:rPr>
        <w:t>inhibiteur anti-FVIII</w:t>
      </w:r>
      <w:r>
        <w:t xml:space="preserve"> (Ac IgG dirigés contre le FVIII exogène).</w:t>
      </w:r>
    </w:p>
    <w:p>
      <w:pPr>
        <w:pStyle w:val="ListBullet"/>
      </w:pPr>
      <w:r>
        <w:t xml:space="preserve">Le dépistage est par le </w:t>
      </w:r>
      <w:r>
        <w:rPr>
          <w:b/>
        </w:rPr>
        <w:t>test de Bethesda</w:t>
      </w:r>
      <w:r>
        <w:t xml:space="preserve"> : un titre ≥ 0,6 UB (Unité Bethesda) définit la présence d'un inhibiteur.</w:t>
      </w:r>
    </w:p>
    <w:p>
      <w:pPr>
        <w:pStyle w:val="ListBullet"/>
      </w:pPr>
      <w:r>
        <w:t xml:space="preserve">Classification : </w:t>
      </w:r>
      <w:r>
        <w:rPr>
          <w:b/>
        </w:rPr>
        <w:t>low responder</w:t>
      </w:r>
      <w:r>
        <w:t xml:space="preserve"> (titre &lt; 5 UB, anamnese faible) vs </w:t>
      </w:r>
      <w:r>
        <w:rPr>
          <w:b/>
        </w:rPr>
        <w:t>high responder</w:t>
      </w:r>
      <w:r>
        <w:t xml:space="preserve"> (titre ≥ 5 UB, anamnese massive en 3-5 jours après exposition).</w:t>
      </w:r>
    </w:p>
    <w:p>
      <w:pPr>
        <w:pStyle w:val="ListBullet"/>
      </w:pPr>
      <w:r>
        <w:t>Traitement des saignements chez patient avec inhibiteur :</w:t>
      </w:r>
    </w:p>
    <w:p>
      <w:pPr>
        <w:pStyle w:val="ListBullet"/>
      </w:pPr>
      <w:r/>
      <w:r>
        <w:rPr>
          <w:b/>
        </w:rPr>
        <w:t>Low responder</w:t>
      </w:r>
      <w:r>
        <w:t xml:space="preserve"> : FVIII à dose élevée (50-100 UI/kg) en bolus (peut neutraliser l'inhibiteur).</w:t>
      </w:r>
    </w:p>
    <w:p>
      <w:pPr>
        <w:pStyle w:val="ListBullet"/>
      </w:pPr>
      <w:r/>
      <w:r>
        <w:rPr>
          <w:b/>
        </w:rPr>
        <w:t>High responder</w:t>
      </w:r>
      <w:r>
        <w:t xml:space="preserve"> : </w:t>
      </w:r>
      <w:r>
        <w:rPr>
          <w:b/>
        </w:rPr>
        <w:t>by-passing agents</w:t>
      </w:r>
      <w:r>
        <w:t xml:space="preserve"> — rFVIIa (eptacog alfa, NovoSeven, 90 µg/kg toutes les 2 h) ou </w:t>
      </w:r>
      <w:r>
        <w:rPr>
          <w:b/>
        </w:rPr>
        <w:t>FEIBA</w:t>
      </w:r>
      <w:r>
        <w:t xml:space="preserve"> (Anti-Inhibitor Coagulant Complex, 50-100 U/kg toutes les 8-12 h).</w:t>
      </w:r>
    </w:p>
    <w:p>
      <w:pPr>
        <w:pStyle w:val="ListBullet"/>
      </w:pPr>
      <w:r/>
      <w:r>
        <w:rPr>
          <w:b/>
        </w:rPr>
        <w:t>Éradication de l'inhibiteur</w:t>
      </w:r>
      <w:r>
        <w:t xml:space="preserve"> par </w:t>
      </w:r>
      <w:r>
        <w:rPr>
          <w:b/>
        </w:rPr>
        <w:t>Immune Tolerance Induction (ITI)</w:t>
      </w:r>
      <w:r>
        <w:t xml:space="preserve"> : exposition quotidienne prolongée au FVIII (50-200 UI/kg/jour) pendant 6-24 mois, en association éventuelle avec rituximab, immunoglobulines IV, ou immunosuppresseurs. Taux de succès ~60-70 %.</w:t>
      </w:r>
    </w:p>
    <w:p>
      <w:pPr>
        <w:pStyle w:val="ListBullet"/>
      </w:pPr>
      <w:r/>
      <w:r>
        <w:rPr>
          <w:b/>
        </w:rPr>
        <w:t>Emicizumab (Hemlibra)</w:t>
      </w:r>
      <w:r>
        <w:t xml:space="preserve"> : Ac bi-spécifique anti-FIXa/FX (mime l'activité du FVIIIa), en sous-cutané hebdomadaire (1,5 mg/kg/sem), révolution thérapeutique pour les hémophiles A avec inhibiteur ; non disponible en Algérie.</w:t>
      </w:r>
    </w:p>
    <w:p>
      <w:pPr>
        <w:pStyle w:val="Heading2"/>
      </w:pPr>
      <w:r>
        <w:t>232.1. DCI : Octocog alfa (Facteur humain VIII anti hémophilique) — formes plasmatiques + KOVALTRY 500</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 (octocog alfa) ; toutefois, le libellé algérien « Facteur humain VIII anti hémophilique » peut recouvrir à la fois les formes plasmatiques (pdFVIII, code ATC </w:t>
      </w:r>
      <w:r>
        <w:rPr>
          <w:b/>
        </w:rPr>
        <w:t>B02BD03</w:t>
      </w:r>
      <w:r>
        <w:t>) et les formes recombinantes (rFVIII, code ATC B02BD06). Dans la pratique algérienne, les spécialités HAEMOCTIN SDH, HEMOREL-A et OCTANATE sont des concentrés de Facteur VIII d'origine plasmatique, alors que KOVALTRY 500 est un facteur VIII recombinant (BAY 81-8973, Bayer).</w:t>
      </w:r>
    </w:p>
    <w:p>
      <w:pPr>
        <w:pStyle w:val="ListBullet"/>
      </w:pPr>
      <w:r/>
      <w:r>
        <w:rPr>
          <w:b/>
        </w:rPr>
        <w:t>Classe pharmacologique</w:t>
      </w:r>
      <w:r>
        <w:t xml:space="preserve"> : facteur antihémophilique de substitution.</w:t>
      </w:r>
    </w:p>
    <w:p>
      <w:pPr>
        <w:pStyle w:val="ListBullet"/>
      </w:pPr>
      <w:r/>
      <w:r>
        <w:rPr>
          <w:b/>
        </w:rPr>
        <w:t>Statut réglementaire Algérie</w:t>
      </w:r>
      <w:r>
        <w:t xml:space="preserve"> : Liste I (sur ordonnance), prescription réservée aux médecins spécialistes en hématologie/pédiatrie, délivrance hospitalière principalement.</w:t>
      </w:r>
    </w:p>
    <w:p>
      <w:pPr>
        <w:pStyle w:val="ListBullet"/>
      </w:pPr>
      <w:r/>
      <w:r>
        <w:rPr>
          <w:b/>
        </w:rPr>
        <w:t>Statut OMS</w:t>
      </w:r>
      <w:r>
        <w:t xml:space="preserve"> : médicament essentiel (Model List 2021, section « Antihemorrhagic medicines »).</w:t>
      </w:r>
    </w:p>
    <w:p>
      <w:pPr>
        <w:pStyle w:val="ListBullet"/>
      </w:pPr>
      <w:r/>
      <w:r>
        <w:rPr>
          <w:b/>
        </w:rPr>
        <w:t>Délivrance</w:t>
      </w:r>
      <w:r>
        <w:t xml:space="preserve"> : hospitalière (PUI), traçabilité nominative obligatoire.</w:t>
      </w:r>
    </w:p>
    <w:p>
      <w:pPr>
        <w:pStyle w:val="ListBullet"/>
      </w:pPr>
      <w:r/>
      <w:r>
        <w:rPr>
          <w:b/>
        </w:rPr>
        <w:t>Pharmacovigilance</w:t>
      </w:r>
      <w:r>
        <w:t xml:space="preserve"> : notification obligatoire des EI graves au CNPV + registre CNTS.</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HAEMOCTIN SDH 500</w:t>
            </w:r>
          </w:p>
        </w:tc>
        <w:tc>
          <w:tcPr>
            <w:tcW w:type="dxa" w:w="1385"/>
          </w:tcPr>
          <w:p>
            <w:r>
              <w:rPr>
                <w:rFonts w:ascii="Times New Roman" w:hAnsi="Times New Roman"/>
                <w:sz w:val="20"/>
              </w:rPr>
              <w:t>Biotest Pharma GmbH (Allemagne)</w:t>
            </w:r>
          </w:p>
        </w:tc>
        <w:tc>
          <w:tcPr>
            <w:tcW w:type="dxa" w:w="1385"/>
          </w:tcPr>
          <w:p>
            <w:r>
              <w:rPr>
                <w:rFonts w:ascii="Times New Roman" w:hAnsi="Times New Roman"/>
                <w:sz w:val="20"/>
              </w:rPr>
              <w:t>Poudre + solvant pour solution injectable, 500 UI/flacon</w:t>
            </w:r>
          </w:p>
        </w:tc>
        <w:tc>
          <w:tcPr>
            <w:tcW w:type="dxa" w:w="1385"/>
          </w:tcPr>
          <w:p>
            <w:r>
              <w:rPr>
                <w:rFonts w:ascii="Times New Roman" w:hAnsi="Times New Roman"/>
                <w:sz w:val="20"/>
              </w:rPr>
              <w:t>Boîte de 1 flacon de poudre + 1 flacon de 10 mL de solvant (EPPI)</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HEMOREL-A</w:t>
            </w:r>
          </w:p>
        </w:tc>
        <w:tc>
          <w:tcPr>
            <w:tcW w:type="dxa" w:w="1385"/>
          </w:tcPr>
          <w:p>
            <w:r>
              <w:rPr>
                <w:rFonts w:ascii="Times New Roman" w:hAnsi="Times New Roman"/>
                <w:sz w:val="20"/>
              </w:rPr>
              <w:t>Chimie Pharmacie Commerce Multiple SARL (CPCM) — Algérie</w:t>
            </w:r>
          </w:p>
        </w:tc>
        <w:tc>
          <w:tcPr>
            <w:tcW w:type="dxa" w:w="1385"/>
          </w:tcPr>
          <w:p>
            <w:r>
              <w:rPr>
                <w:rFonts w:ascii="Times New Roman" w:hAnsi="Times New Roman"/>
                <w:sz w:val="20"/>
              </w:rPr>
              <w:t>Lyophilisat + solvant pour préparation injectable IV, 500 UI</w:t>
            </w:r>
          </w:p>
        </w:tc>
        <w:tc>
          <w:tcPr>
            <w:tcW w:type="dxa" w:w="1385"/>
          </w:tcPr>
          <w:p>
            <w:r>
              <w:rPr>
                <w:rFonts w:ascii="Times New Roman" w:hAnsi="Times New Roman"/>
                <w:sz w:val="20"/>
              </w:rPr>
              <w:t>Boîte de 1 flacon de poudre + 1 flacon de 10 mL de solvant (EPPI) + dispositif d'injection</w:t>
            </w:r>
          </w:p>
        </w:tc>
        <w:tc>
          <w:tcPr>
            <w:tcW w:type="dxa" w:w="1385"/>
          </w:tcPr>
          <w:p>
            <w:r>
              <w:rPr>
                <w:rFonts w:ascii="Times New Roman" w:hAnsi="Times New Roman"/>
                <w:sz w:val="20"/>
              </w:rPr>
              <w:t>—</w:t>
            </w:r>
          </w:p>
        </w:tc>
        <w:tc>
          <w:tcPr>
            <w:tcW w:type="dxa" w:w="1385"/>
          </w:tcPr>
          <w:p>
            <w:r>
              <w:rPr>
                <w:rFonts w:ascii="Times New Roman" w:hAnsi="Times New Roman"/>
                <w:sz w:val="20"/>
              </w:rPr>
              <w:t>Actif</w:t>
            </w:r>
          </w:p>
        </w:tc>
      </w:tr>
      <w:tr>
        <w:tc>
          <w:tcPr>
            <w:tcW w:type="dxa" w:w="1385"/>
          </w:tcPr>
          <w:p>
            <w:r>
              <w:rPr>
                <w:rFonts w:ascii="Times New Roman" w:hAnsi="Times New Roman"/>
                <w:sz w:val="20"/>
              </w:rPr>
              <w:t>KOVALTRY 500</w:t>
            </w:r>
          </w:p>
        </w:tc>
        <w:tc>
          <w:tcPr>
            <w:tcW w:type="dxa" w:w="1385"/>
          </w:tcPr>
          <w:p>
            <w:r>
              <w:rPr>
                <w:rFonts w:ascii="Times New Roman" w:hAnsi="Times New Roman"/>
                <w:sz w:val="20"/>
              </w:rPr>
              <w:t>Bayer Pharma AG (Allemagne)</w:t>
            </w:r>
          </w:p>
        </w:tc>
        <w:tc>
          <w:tcPr>
            <w:tcW w:type="dxa" w:w="1385"/>
          </w:tcPr>
          <w:p>
            <w:r>
              <w:rPr>
                <w:rFonts w:ascii="Times New Roman" w:hAnsi="Times New Roman"/>
                <w:sz w:val="20"/>
              </w:rPr>
              <w:t>Poudre pour solution injectable, 500 UI</w:t>
            </w:r>
          </w:p>
        </w:tc>
        <w:tc>
          <w:tcPr>
            <w:tcW w:type="dxa" w:w="1385"/>
          </w:tcPr>
          <w:p>
            <w:r>
              <w:rPr>
                <w:rFonts w:ascii="Times New Roman" w:hAnsi="Times New Roman"/>
                <w:sz w:val="20"/>
              </w:rPr>
              <w:t>1 flacon/10 mL + 1 seringue de 2,5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OCTANATE 500</w:t>
            </w:r>
          </w:p>
        </w:tc>
        <w:tc>
          <w:tcPr>
            <w:tcW w:type="dxa" w:w="1385"/>
          </w:tcPr>
          <w:p>
            <w:r>
              <w:rPr>
                <w:rFonts w:ascii="Times New Roman" w:hAnsi="Times New Roman"/>
                <w:sz w:val="20"/>
              </w:rPr>
              <w:t>Octapharma (Suisse)</w:t>
            </w:r>
          </w:p>
        </w:tc>
        <w:tc>
          <w:tcPr>
            <w:tcW w:type="dxa" w:w="1385"/>
          </w:tcPr>
          <w:p>
            <w:r>
              <w:rPr>
                <w:rFonts w:ascii="Times New Roman" w:hAnsi="Times New Roman"/>
                <w:sz w:val="20"/>
              </w:rPr>
              <w:t>Poudre et solvant pour préparation injectable IV, 500 UI</w:t>
            </w:r>
          </w:p>
        </w:tc>
        <w:tc>
          <w:tcPr>
            <w:tcW w:type="dxa" w:w="1385"/>
          </w:tcPr>
          <w:p>
            <w:r>
              <w:rPr>
                <w:rFonts w:ascii="Times New Roman" w:hAnsi="Times New Roman"/>
                <w:sz w:val="20"/>
              </w:rPr>
              <w:t>Boîte de 1 flacon de 10 mL de solvant + 1 seringue jetable + 1 double aiguille + 1 aiguille filtre + 1 aiguille d'injection + 2 compresses imbibées d'alcool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Remarques sur le marché algérien</w:t>
      </w:r>
      <w:r>
        <w:t xml:space="preserve"> :</w:t>
      </w:r>
    </w:p>
    <w:p>
      <w:pPr>
        <w:pStyle w:val="ListBullet"/>
      </w:pPr>
      <w:r/>
      <w:r>
        <w:rPr>
          <w:b/>
        </w:rPr>
        <w:t>HAEMOCTIN SDH 500</w:t>
      </w:r>
      <w:r>
        <w:t xml:space="preserve"> (Biotest) : concentré de Facteur VIII d'origine plasmatique, purifié par chromatographie + SD (solvant-détergent). Contient également du Facteur von Willebrand (VWF) en proportion variable. Spécialité de référence européenne pour le traitement de l'hémophilie A et de la maladie de Willebrand.</w:t>
      </w:r>
    </w:p>
    <w:p>
      <w:pPr>
        <w:pStyle w:val="ListBullet"/>
      </w:pPr>
      <w:r/>
      <w:r>
        <w:rPr>
          <w:b/>
        </w:rPr>
        <w:t>HEMOREL-A</w:t>
      </w:r>
      <w:r>
        <w:t xml:space="preserve"> (CPCM/Saidal) : production locale algérienne de Facteur VIII plasmatique, à partir de plasma humain collecté par le CNTS. Spécialité nationale stratégique.</w:t>
      </w:r>
    </w:p>
    <w:p>
      <w:pPr>
        <w:pStyle w:val="ListBullet"/>
      </w:pPr>
      <w:r/>
      <w:r>
        <w:rPr>
          <w:b/>
        </w:rPr>
        <w:t>KOVALTRY 500</w:t>
      </w:r>
      <w:r>
        <w:t xml:space="preserve"> (Bayer) : Facteur VIII recombinant full-length BAY 81-8973, produit en cellules BHK (Baby Hamster Kidney). La présence de KOVALTRY 500 dans ce libellé « Facteur humain VIII anti hémophilique » suggère une incohérence de la nomenclature algérienne (KOVALTRY 250 et 1000 sont étiquetés simplement « OCTOCOG ALFA »), mais nous respectons la classification officielle.</w:t>
      </w:r>
    </w:p>
    <w:p>
      <w:pPr>
        <w:pStyle w:val="ListBullet"/>
      </w:pPr>
      <w:r/>
      <w:r>
        <w:rPr>
          <w:b/>
        </w:rPr>
        <w:t>OCTANATE 500</w:t>
      </w:r>
      <w:r>
        <w:t xml:space="preserve"> (Octapharma) : concentré de Facteur VIII d'origine plasmatique, double inactivation virale (SD + chaleur 100 °C 30 min en l'état sec). Contient également VWF. Spécialité de référence pour le traitement de l'hémophilie A et maladie de Willebrand.</w:t>
      </w:r>
    </w:p>
    <w:p>
      <w:pPr>
        <w:pStyle w:val="Heading3"/>
      </w:pPr>
      <w:r>
        <w:t>Sous-section 3 — Sous-classe et mécanisme d'action moléculaire</w:t>
      </w:r>
    </w:p>
    <w:p>
      <w:r/>
      <w:r>
        <w:rPr>
          <w:b/>
        </w:rPr>
        <w:t>Sous-classe pharmacologique</w:t>
      </w:r>
      <w:r>
        <w:t xml:space="preserve"> : B02BD03 (pdFVIII plasma-derived) et B02BD06 (rFVIII recombinant). La présente fiche couvre principalement les formes plasmatiques (HAEMOCTIN SDH, HEMOREL-A, OCTANATE) et, par extension, KOVALTRY 500 en raison du libellé commun.</w:t>
      </w:r>
    </w:p>
    <w:p>
      <w:r/>
      <w:r>
        <w:rPr>
          <w:b/>
        </w:rPr>
        <w:t>Structure moléculaire du FVIII</w:t>
      </w:r>
      <w:r>
        <w:t xml:space="preserve"> :</w:t>
      </w:r>
    </w:p>
    <w:p>
      <w:pPr>
        <w:pStyle w:val="ListBullet"/>
      </w:pPr>
      <w:r/>
      <w:r>
        <w:rPr>
          <w:b/>
        </w:rPr>
        <w:t>pdFVIII</w:t>
      </w:r>
      <w:r>
        <w:t xml:space="preserve"> : protéine native humaine de 2 332 acides aminés (260 kDa), purifiée à partir de plasma humain poolé, contenant les domaines A1-A2-B-A3-C1-C2. Lié non-covalemment au VWF (qui le stabilise).</w:t>
      </w:r>
    </w:p>
    <w:p>
      <w:pPr>
        <w:pStyle w:val="ListBullet"/>
      </w:pPr>
      <w:r/>
      <w:r>
        <w:rPr>
          <w:b/>
        </w:rPr>
        <w:t>rFVIII (KOVALTRY BAY 81-8973)</w:t>
      </w:r>
      <w:r>
        <w:t xml:space="preserve"> : protéine recombinante full-length de 2 332 acides aminés, produite en cellules BHK (Baby Hamster Kidney), cultivées en milieu sans protéine animale. Identique à la séquence humaine native. Stabilisé par le VWF endogène du patient (pas de VWF exogène dans le flacon).</w:t>
      </w:r>
    </w:p>
    <w:p>
      <w:r/>
      <w:r>
        <w:rPr>
          <w:b/>
        </w:rPr>
        <w:t>Mécanisme d'action</w:t>
      </w:r>
      <w:r>
        <w:t xml:space="preserve"> :</w:t>
      </w:r>
    </w:p>
    <w:p>
      <w:pPr>
        <w:pStyle w:val="ListBullet"/>
      </w:pPr>
      <w:r>
        <w:t xml:space="preserve">Le FVIII administré se lie au </w:t>
      </w:r>
      <w:r>
        <w:rPr>
          <w:b/>
        </w:rPr>
        <w:t>VWF endogène</w:t>
      </w:r>
      <w:r>
        <w:t xml:space="preserve"> (ou au VWF présent dans les préparations plasmatiques) dans la circulation sanguine, ce qui le protège de la protéolyse et de la clairance prématurée.</w:t>
      </w:r>
    </w:p>
    <w:p>
      <w:pPr>
        <w:pStyle w:val="ListBullet"/>
      </w:pPr>
      <w:r>
        <w:t xml:space="preserve">En cas de lésion vasculaire, la </w:t>
      </w:r>
      <w:r>
        <w:rPr>
          <w:b/>
        </w:rPr>
        <w:t>thrombine</w:t>
      </w:r>
      <w:r>
        <w:t xml:space="preserve"> (FIIa) générée par la cascade active le FVIII en FVIIIa par clivage protéolytique.</w:t>
      </w:r>
    </w:p>
    <w:p>
      <w:pPr>
        <w:pStyle w:val="ListBullet"/>
      </w:pPr>
      <w:r>
        <w:t xml:space="preserve">Le FVIIIa se dissocie du VWF et se lie au FIXa (activé lui-même par FXIa ou par le complexe FT-FVIIa) à la surface des phospholipides plaquettaires activés, formant le </w:t>
      </w:r>
      <w:r>
        <w:rPr>
          <w:b/>
        </w:rPr>
        <w:t>complexe tenase intrinsèque</w:t>
      </w:r>
      <w:r>
        <w:t xml:space="preserve"> (FIXa-FVIIIa-Ca²⁺-PL).</w:t>
      </w:r>
    </w:p>
    <w:p>
      <w:pPr>
        <w:pStyle w:val="ListBullet"/>
      </w:pPr>
      <w:r>
        <w:t>Ce complexe active le Facteur X → FXa à un taux ~10⁶ fois supérieur à FIXa seul.</w:t>
      </w:r>
    </w:p>
    <w:p>
      <w:pPr>
        <w:pStyle w:val="ListBullet"/>
      </w:pPr>
      <w:r>
        <w:t xml:space="preserve">Le FXa + FVa + Ca²⁺ + PL forme le </w:t>
      </w:r>
      <w:r>
        <w:rPr>
          <w:b/>
        </w:rPr>
        <w:t>complexe prothrombinase</w:t>
      </w:r>
      <w:r>
        <w:t xml:space="preserve"> qui convertit la prothrombine (FII) en thrombine (FIIa).</w:t>
      </w:r>
    </w:p>
    <w:p>
      <w:pPr>
        <w:pStyle w:val="ListBullet"/>
      </w:pPr>
      <w:r>
        <w:t>La thrombine (FIIa) convertit le fibrinogène (FI) en fibrine (FIa), active le FXIII (stabilisation du caillot), et active les plaquettes (via PAR-1 et PAR-4).</w:t>
      </w:r>
    </w:p>
    <w:p>
      <w:r/>
      <w:r>
        <w:rPr>
          <w:b/>
        </w:rPr>
        <w:t>Effet pharmacodynamique</w:t>
      </w:r>
      <w:r>
        <w:t xml:space="preserve"> :</w:t>
      </w:r>
    </w:p>
    <w:p>
      <w:pPr>
        <w:pStyle w:val="ListBullet"/>
      </w:pPr>
      <w:r>
        <w:t xml:space="preserve">L'administration IV de 1 UI/kg de FVIII augmente la FVIII:C circulante d'environ </w:t>
      </w:r>
      <w:r>
        <w:rPr>
          <w:b/>
        </w:rPr>
        <w:t>0,02 UI/mL (2 UI/dL)</w:t>
      </w:r>
      <w:r>
        <w:t xml:space="preserve"> pour un rFVIII standard, ou ~0,018 UI/mL (1,8 UI/dL) pour un pdFVIII (récovery plus faible du fait de la présence de VWF qui fixe une partie du FVIII).</w:t>
      </w:r>
    </w:p>
    <w:p>
      <w:pPr>
        <w:pStyle w:val="ListBullet"/>
      </w:pPr>
      <w:r>
        <w:t xml:space="preserve">La demi-vie plasmatique moyenne est de </w:t>
      </w:r>
      <w:r>
        <w:rPr>
          <w:b/>
        </w:rPr>
        <w:t>8-12 h</w:t>
      </w:r>
      <w:r>
        <w:t xml:space="preserve"> (rFVIII standard) ou </w:t>
      </w:r>
      <w:r>
        <w:rPr>
          <w:b/>
        </w:rPr>
        <w:t>12-15 h</w:t>
      </w:r>
      <w:r>
        <w:t xml:space="preserve"> (pdFVIII, stabilisé par VWF).</w:t>
      </w:r>
    </w:p>
    <w:p>
      <w:pPr>
        <w:pStyle w:val="ListBullet"/>
      </w:pPr>
      <w:r>
        <w:t>Le temps de céphaline activé (TCA) se corrige partiellement après administration ; le TP reste inchangé.</w:t>
      </w:r>
    </w:p>
    <w:p>
      <w:r/>
      <w:r>
        <w:rPr>
          <w:b/>
        </w:rPr>
        <w:t>Particularité des pdFVIII (HAEMOCTIN SDH, OCTANATE, HEMOREL-A)</w:t>
      </w:r>
      <w:r>
        <w:t xml:space="preserve"> :</w:t>
      </w:r>
    </w:p>
    <w:p>
      <w:pPr>
        <w:pStyle w:val="ListBullet"/>
      </w:pPr>
      <w:r>
        <w:t>Contiennent du VWF en quantité variable (rapport FVIII:VWF 1:2 à 1:3 selon spécialité), ce qui peut être bénéfique dans la maladie de Willebrand mais augmente le risque thrombotique chez les patients avec inhibition naturelle du VWF (maladie thrombotique).</w:t>
      </w:r>
    </w:p>
    <w:p>
      <w:pPr>
        <w:pStyle w:val="ListBullet"/>
      </w:pPr>
      <w:r>
        <w:t>Le VWF présent stabilise le FVIII, prolongeant sa demi-vie (~12-15 h vs ~8-12 h pour rFVIII standard).</w:t>
      </w:r>
    </w:p>
    <w:p>
      <w:pPr>
        <w:pStyle w:val="ListBullet"/>
      </w:pPr>
      <w:r>
        <w:t>Inactivation virale double (SD + chaleur ou nanofiltration) — sécurité virale optimale.</w:t>
      </w:r>
    </w:p>
    <w:p>
      <w:pPr>
        <w:pStyle w:val="ListBullet"/>
      </w:pPr>
      <w:r>
        <w:t>Contiennent des traces d'autres protéines plasmatiques (fibronectine, immunoglobulines), pouvant entraîner des réactions allergiques.</w:t>
      </w:r>
    </w:p>
    <w:p>
      <w:pPr>
        <w:pStyle w:val="ListBullet"/>
      </w:pPr>
      <w:r>
        <w:t>Risque théorique de transmission d'agents infectieux non enveloppés (Parvovirus B19, HAV) — partiellement inactivés par SD, éliminés par nanofiltration.</w:t>
      </w:r>
    </w:p>
    <w:p>
      <w:r/>
      <w:r>
        <w:rPr>
          <w:b/>
        </w:rPr>
        <w:t>Particularité de KOVALTRY (BAY 81-8973, rFVIII full-length)</w:t>
      </w:r>
      <w:r>
        <w:t xml:space="preserve"> :</w:t>
      </w:r>
    </w:p>
    <w:p>
      <w:pPr>
        <w:pStyle w:val="ListBullet"/>
      </w:pPr>
      <w:r>
        <w:t>Production en cellules BHK sans protéine animale dans le milieu de culture (sécurité accrue vis-à-vis des prions et virus animaux).</w:t>
      </w:r>
    </w:p>
    <w:p>
      <w:pPr>
        <w:pStyle w:val="ListBullet"/>
      </w:pPr>
      <w:r>
        <w:t>Stabilisation par saccharose + glycine + histidine (pas d'albumine ajoutée).</w:t>
      </w:r>
    </w:p>
    <w:p>
      <w:pPr>
        <w:pStyle w:val="ListBullet"/>
      </w:pPr>
      <w:r>
        <w:t>Demi-vie plasmatique ~14 h (proche des pdFVIII).</w:t>
      </w:r>
    </w:p>
    <w:p>
      <w:pPr>
        <w:pStyle w:val="ListBullet"/>
      </w:pPr>
      <w:r>
        <w:t>Récovery moyen : 2,4 UI/dL par UI/kg (supérieur aux pdFVIII).</w:t>
      </w:r>
    </w:p>
    <w:p>
      <w:pPr>
        <w:pStyle w:val="ListBullet"/>
      </w:pPr>
      <w:r>
        <w:t>Forme galénique : poudre lyophilisée à reconstituer avec solvant EPPI fourni.</w:t>
      </w:r>
    </w:p>
    <w:p>
      <w:pPr>
        <w:pStyle w:val="Heading3"/>
      </w:pPr>
      <w:r>
        <w:t>Sous-section 4 — Profil pharmacologique : indications, contre-indications, effets indésirables</w:t>
      </w:r>
    </w:p>
    <w:p>
      <w:pPr>
        <w:pStyle w:val="Heading4"/>
      </w:pPr>
      <w:r>
        <w:t>Indications validées (RCP)</w:t>
      </w:r>
    </w:p>
    <w:p>
      <w:pPr>
        <w:pStyle w:val="ListNumber"/>
      </w:pPr>
      <w:r/>
      <w:r>
        <w:rPr>
          <w:b/>
        </w:rPr>
        <w:t>Hémophilie A constitutionnelle</w:t>
      </w:r>
      <w:r>
        <w:t xml:space="preserve"> (sévère, modérée, légère) :</w:t>
      </w:r>
    </w:p>
    <w:p>
      <w:pPr>
        <w:pStyle w:val="ListBullet"/>
      </w:pPr>
      <w:r/>
      <w:r>
        <w:rPr>
          <w:b/>
        </w:rPr>
        <w:t>Traitement prophylactique</w:t>
      </w:r>
      <w:r>
        <w:t xml:space="preserve"> primaire ou secondaire (prévention des saignements).</w:t>
      </w:r>
    </w:p>
    <w:p>
      <w:pPr>
        <w:pStyle w:val="ListBullet"/>
      </w:pPr>
      <w:r/>
      <w:r>
        <w:rPr>
          <w:b/>
        </w:rPr>
        <w:t>Traitement à la demande</w:t>
      </w:r>
      <w:r>
        <w:t xml:space="preserve"> des saignements aigus (hémarthrose, hématome, hémorragie interne, épistaxis, hématurie, hémorragie cérébrale).</w:t>
      </w:r>
    </w:p>
    <w:p>
      <w:pPr>
        <w:pStyle w:val="ListBullet"/>
      </w:pPr>
      <w:r/>
      <w:r>
        <w:rPr>
          <w:b/>
        </w:rPr>
        <w:t>Couverture chirurgicale</w:t>
      </w:r>
      <w:r>
        <w:t xml:space="preserve"> (chirurgie programmée ou urgente).</w:t>
      </w:r>
    </w:p>
    <w:p>
      <w:pPr>
        <w:pStyle w:val="ListBullet"/>
      </w:pPr>
      <w:r/>
      <w:r>
        <w:rPr>
          <w:b/>
        </w:rPr>
        <w:t>Gestion des ménorragies</w:t>
      </w:r>
      <w:r>
        <w:t xml:space="preserve"> chez l'hémophile A (en association avec antifibrinolytique).</w:t>
      </w:r>
    </w:p>
    <w:p>
      <w:pPr>
        <w:pStyle w:val="ListNumber"/>
      </w:pPr>
      <w:r/>
      <w:r>
        <w:rPr>
          <w:b/>
        </w:rPr>
        <w:t>Maladie de Willebrand</w:t>
      </w:r>
      <w:r>
        <w:t xml:space="preserve"> (VWD) — pour les spécialités plasmatiques contenant du VWF (HAEMOCTIN SDH, OCTANATE, HEMOREL-A) — traitement des saignements et prévention chirurgicale dans les types 3 et sévères non-répondants à la desmopressine.</w:t>
      </w:r>
    </w:p>
    <w:p>
      <w:pPr>
        <w:pStyle w:val="ListNumber"/>
      </w:pPr>
      <w:r/>
      <w:r>
        <w:rPr>
          <w:b/>
        </w:rPr>
        <w:t>Hémophilie A acquise</w:t>
      </w:r>
      <w:r>
        <w:t xml:space="preserve"> (auto-anticorps anti-FVIII) : traitement des saignements (en association avec by-passing agents en cas de haut titre d'inhibiteur).</w:t>
      </w:r>
    </w:p>
    <w:p>
      <w:pPr>
        <w:pStyle w:val="ListNumber"/>
      </w:pPr>
      <w:r/>
      <w:r>
        <w:rPr>
          <w:b/>
        </w:rPr>
        <w:t>Couverture péri-partum</w:t>
      </w:r>
      <w:r>
        <w:t xml:space="preserve"> des femmes hémophiles symptomatiques ou conductrices symptomatiques (prévention HPP).</w:t>
      </w:r>
    </w:p>
    <w:p>
      <w:pPr>
        <w:pStyle w:val="Heading4"/>
      </w:pPr>
      <w:r>
        <w:t>Contre-indications absolues</w:t>
      </w:r>
    </w:p>
    <w:p>
      <w:pPr>
        <w:pStyle w:val="ListNumber"/>
      </w:pPr>
      <w:r/>
      <w:r>
        <w:rPr>
          <w:b/>
        </w:rPr>
        <w:t>Hypersensibilité avérée</w:t>
      </w:r>
      <w:r>
        <w:t xml:space="preserve"> au FVIII, à des protéines murines ou hamster (pour les rFVIII produits en BHK ou CHO), ou à l'un des excipients (saccharose, glycine, histidine, polysorbate 80).</w:t>
      </w:r>
    </w:p>
    <w:p>
      <w:pPr>
        <w:pStyle w:val="ListNumber"/>
      </w:pPr>
      <w:r/>
      <w:r>
        <w:rPr>
          <w:b/>
        </w:rPr>
        <w:t>Inhibiteur de haut titre (≥ 5 UB)</w:t>
      </w:r>
      <w:r>
        <w:t xml:space="preserve"> non contrôlé : inefficacité attendue du FVIII (utiliser plutôt by-passing agents).</w:t>
      </w:r>
    </w:p>
    <w:p>
      <w:pPr>
        <w:pStyle w:val="ListNumber"/>
      </w:pPr>
      <w:r/>
      <w:r>
        <w:rPr>
          <w:b/>
        </w:rPr>
        <w:t>Allergie connue aux protéines bovines</w:t>
      </w:r>
      <w:r>
        <w:t xml:space="preserve"> (rFVIII produits en milieu contenant des protéines bovines — KOVALTRY non concerné).</w:t>
      </w:r>
    </w:p>
    <w:p>
      <w:pPr>
        <w:pStyle w:val="Heading4"/>
      </w:pPr>
      <w:r>
        <w:t>Contre-indications relatives</w:t>
      </w:r>
    </w:p>
    <w:p>
      <w:pPr>
        <w:pStyle w:val="ListNumber"/>
      </w:pPr>
      <w:r/>
      <w:r>
        <w:rPr>
          <w:b/>
        </w:rPr>
        <w:t>Allaitement</w:t>
      </w:r>
      <w:r>
        <w:t xml:space="preserve"> : pas de CI formelle (vide CRAT).</w:t>
      </w:r>
    </w:p>
    <w:p>
      <w:pPr>
        <w:pStyle w:val="ListNumber"/>
      </w:pPr>
      <w:r/>
      <w:r>
        <w:rPr>
          <w:b/>
        </w:rPr>
        <w:t>Grossesse</w:t>
      </w:r>
      <w:r>
        <w:t xml:space="preserve"> : utilisable si nécessaire (CRAT).</w:t>
      </w:r>
    </w:p>
    <w:p>
      <w:pPr>
        <w:pStyle w:val="ListNumber"/>
      </w:pPr>
      <w:r/>
      <w:r>
        <w:rPr>
          <w:b/>
        </w:rPr>
        <w:t>Insuffisance hépatique sévère</w:t>
      </w:r>
      <w:r>
        <w:t xml:space="preserve"> : surveillance accrue (synthèse hépatique des autres facteurs).</w:t>
      </w:r>
    </w:p>
    <w:p>
      <w:pPr>
        <w:pStyle w:val="ListNumber"/>
      </w:pPr>
      <w:r/>
      <w:r>
        <w:rPr>
          <w:b/>
        </w:rPr>
        <w:t>Patients IgA-déficients avec anticorps anti-IgA</w:t>
      </w:r>
      <w:r>
        <w:t xml:space="preserve"> : risque accru d'anaphylaxie aux produits plasmatiques (HAEMOCTIN SDH, OCTANATE, HEMOREL-A).</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 (phlébite superficielle).</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surtout chez les patients IgA-déficients.</w:t>
      </w:r>
    </w:p>
    <w:p>
      <w:pPr>
        <w:pStyle w:val="ListBullet"/>
      </w:pPr>
      <w:r/>
      <w:r>
        <w:rPr>
          <w:b/>
        </w:rPr>
        <w:t>Développement d'inhibiteurs anti-FVIII</w:t>
      </w:r>
      <w:r>
        <w:t xml:space="preserve"> (cf. sous-section 5).</w:t>
      </w:r>
    </w:p>
    <w:p>
      <w:pPr>
        <w:pStyle w:val="ListBullet"/>
      </w:pPr>
      <w:r/>
      <w:r>
        <w:rPr>
          <w:b/>
        </w:rPr>
        <w:t>Hypotension transitoire</w:t>
      </w:r>
      <w:r>
        <w:t xml:space="preserve"> (lors de perfusion rapide).</w:t>
      </w:r>
    </w:p>
    <w:p>
      <w:pPr>
        <w:pStyle w:val="ListBullet"/>
      </w:pPr>
      <w:r/>
      <w:r>
        <w:rPr>
          <w:b/>
        </w:rPr>
        <w:t>Nausées, vomissements</w:t>
      </w:r>
      <w:r>
        <w:t>.</w:t>
      </w:r>
    </w:p>
    <w:p>
      <w:r/>
      <w:r>
        <w:rPr>
          <w:b/>
        </w:rPr>
        <w:t>Effets indésirables rares (≥ 1/10 000)</w:t>
      </w:r>
      <w:r>
        <w:t xml:space="preserve"> :</w:t>
      </w:r>
    </w:p>
    <w:p>
      <w:pPr>
        <w:pStyle w:val="ListBullet"/>
      </w:pPr>
      <w:r/>
      <w:r>
        <w:rPr>
          <w:b/>
        </w:rPr>
        <w:t>Thrombose</w:t>
      </w:r>
      <w:r>
        <w:t xml:space="preserve"> (en particulier avec les pdFVIII contenant VWF — surcharge en VWF).</w:t>
      </w:r>
    </w:p>
    <w:p>
      <w:pPr>
        <w:pStyle w:val="ListBullet"/>
      </w:pPr>
      <w:r/>
      <w:r>
        <w:rPr>
          <w:b/>
        </w:rPr>
        <w:t>Réaction d'hypersensibilité retardée</w:t>
      </w:r>
      <w:r>
        <w:t xml:space="preserve"> (maladie sérique).</w:t>
      </w:r>
    </w:p>
    <w:p>
      <w:pPr>
        <w:pStyle w:val="ListBullet"/>
      </w:pPr>
      <w:r/>
      <w:r>
        <w:rPr>
          <w:b/>
        </w:rPr>
        <w:t>Hémolyse</w:t>
      </w:r>
      <w:r>
        <w:t xml:space="preserve"> (chez les patients de groupe sanguin A, B, AB — les pdFVIII contiennent des isohémagglutinines anti-A et anti-B résiduelles).</w:t>
      </w:r>
    </w:p>
    <w:p>
      <w:r/>
      <w:r>
        <w:rPr>
          <w:b/>
        </w:rPr>
        <w:t>Effets indésirables très rares</w:t>
      </w:r>
      <w:r>
        <w:t xml:space="preserve"> :</w:t>
      </w:r>
    </w:p>
    <w:p>
      <w:pPr>
        <w:pStyle w:val="ListBullet"/>
      </w:pPr>
      <w:r/>
      <w:r>
        <w:rPr>
          <w:b/>
        </w:rPr>
        <w:t>Transmission d'agents infectieux</w:t>
      </w:r>
      <w:r>
        <w:t xml:space="preserve"> (VIH, VHB, VHC, Parvovirus B19, prions) — risque résiduel théorique, non documenté pour les produits modernes.</w:t>
      </w:r>
    </w:p>
    <w:p>
      <w:pPr>
        <w:pStyle w:val="ListBullet"/>
      </w:pPr>
      <w:r/>
      <w:r>
        <w:rPr>
          <w:b/>
        </w:rPr>
        <w:t>Encéphalopathie</w:t>
      </w:r>
      <w:r>
        <w:t xml:space="preserve"> paradoxale (exceptionnel, chez patient avec inhibiteur sévère).</w:t>
      </w:r>
    </w:p>
    <w:p>
      <w:pPr>
        <w:pStyle w:val="Heading3"/>
      </w:pPr>
      <w:r>
        <w:t>Sous-section 5 — Prévention et gestion des effets indésirables</w:t>
      </w:r>
    </w:p>
    <w:p>
      <w:pPr>
        <w:pStyle w:val="Heading4"/>
      </w:pPr>
      <w:r>
        <w:t>Prévention du développement d'inhibiteurs anti-FVIII</w:t>
      </w:r>
    </w:p>
    <w:p>
      <w:r>
        <w:t>C'est la complication la plus grave et la plus redoutée du traitement substitutif de l'hémophilie A. Prévalence :</w:t>
      </w:r>
    </w:p>
    <w:p>
      <w:pPr>
        <w:pStyle w:val="ListBullet"/>
      </w:pPr>
      <w:r>
        <w:t>~25-30 % des hémophiles A sévères recevant rFVIII (surtout dans les 50 premiers jours d'exposition — EDM).</w:t>
      </w:r>
    </w:p>
    <w:p>
      <w:pPr>
        <w:pStyle w:val="ListBullet"/>
      </w:pPr>
      <w:r>
        <w:t>~20-25 % des hémophiles A sévères recevant pdFVIII (légèrement inférieur selon certaines études — SIPPET 2016 controversé).</w:t>
      </w:r>
    </w:p>
    <w:p>
      <w:pPr>
        <w:pStyle w:val="ListBullet"/>
      </w:pPr>
      <w:r>
        <w:t>Plus élevé chez les patients avec mutation F8 type « null » (délétion complète, inversion intron 22, non-sens).</w:t>
      </w:r>
    </w:p>
    <w:p>
      <w:pPr>
        <w:pStyle w:val="ListBullet"/>
      </w:pPr>
      <w:r>
        <w:t>Plus élevé chez les patients avec polymorphismes HLA à risque (HLA-DRB1*15, HLA-DQB1*0602).</w:t>
      </w:r>
    </w:p>
    <w:p>
      <w:r/>
      <w:r>
        <w:rPr>
          <w:b/>
        </w:rPr>
        <w:t>Prévention primaire</w:t>
      </w:r>
      <w:r>
        <w:t xml:space="preserve"> :</w:t>
      </w:r>
    </w:p>
    <w:p>
      <w:pPr>
        <w:pStyle w:val="ListBullet"/>
      </w:pPr>
      <w:r>
        <w:t>Choix du type de FVIII (rFVIII vs pdFVIII) — le débat reste ouvert, les recommandations WFH 2020 ne privilégient plus systématiquement les pdFVIII.</w:t>
      </w:r>
    </w:p>
    <w:p>
      <w:pPr>
        <w:pStyle w:val="ListBullet"/>
      </w:pPr>
      <w:r>
        <w:t>Éviter les administrations en période d'inflammation aiguë (vaccination, infection) dans les 50 premiers EDM.</w:t>
      </w:r>
    </w:p>
    <w:p>
      <w:pPr>
        <w:pStyle w:val="ListBullet"/>
      </w:pPr>
      <w:r>
        <w:t>Prophylaxie plutôt que traitement à la demande.</w:t>
      </w:r>
    </w:p>
    <w:p>
      <w:pPr>
        <w:pStyle w:val="ListBullet"/>
      </w:pPr>
      <w:r>
        <w:t>Surveillance rapprochée (test Bethesda tous les 3-6 mois la première année, puis annuel).</w:t>
      </w:r>
    </w:p>
    <w:p>
      <w:r/>
      <w:r>
        <w:rPr>
          <w:b/>
        </w:rPr>
        <w:t>Dépistage</w:t>
      </w:r>
      <w:r>
        <w:t xml:space="preserve"> :</w:t>
      </w:r>
    </w:p>
    <w:p>
      <w:pPr>
        <w:pStyle w:val="ListBullet"/>
      </w:pPr>
      <w:r/>
      <w:r>
        <w:rPr>
          <w:b/>
        </w:rPr>
        <w:t>Test de Bethesda</w:t>
      </w:r>
      <w:r>
        <w:t xml:space="preserve"> (Nijmegen modification) sur plasma citraté : mesure de la capacité du plasma du patient à neutraliser le FVIII témoin. Un titre ≥ 0,6 UB (Unité Bethesda) définit la présence d'un inhibiteur.</w:t>
      </w:r>
    </w:p>
    <w:p>
      <w:pPr>
        <w:pStyle w:val="ListBullet"/>
      </w:pPr>
      <w:r>
        <w:t>Dépistage systématique avant toute chirurgie, avant changement de produit, en cas d'échec thérapeutique (saignement non contrôlé malgré dose adaptée).</w:t>
      </w:r>
    </w:p>
    <w:p>
      <w:pPr>
        <w:pStyle w:val="ListBullet"/>
      </w:pPr>
      <w:r>
        <w:t xml:space="preserve">Classification : </w:t>
      </w:r>
      <w:r>
        <w:rPr>
          <w:b/>
        </w:rPr>
        <w:t>low responder</w:t>
      </w:r>
      <w:r>
        <w:t xml:space="preserve"> (titre &lt; 5 UB) vs </w:t>
      </w:r>
      <w:r>
        <w:rPr>
          <w:b/>
        </w:rPr>
        <w:t>high responder</w:t>
      </w:r>
      <w:r>
        <w:t xml:space="preserve"> (titre ≥ 5 UB).</w:t>
      </w:r>
    </w:p>
    <w:p>
      <w:r/>
      <w:r>
        <w:rPr>
          <w:b/>
        </w:rPr>
        <w:t>Gestion de l'inhibiteur</w:t>
      </w:r>
      <w:r>
        <w:t xml:space="preserve"> :</w:t>
      </w:r>
    </w:p>
    <w:p>
      <w:pPr>
        <w:pStyle w:val="ListBullet"/>
      </w:pPr>
      <w:r/>
      <w:r>
        <w:rPr>
          <w:b/>
        </w:rPr>
        <w:t>Low responder</w:t>
      </w:r>
      <w:r>
        <w:t xml:space="preserve"> : FVIII à dose élevée (50-100 UI/kg) en bolus, peut neutraliser l'inhibiteur.</w:t>
      </w:r>
    </w:p>
    <w:p>
      <w:pPr>
        <w:pStyle w:val="ListBullet"/>
      </w:pPr>
      <w:r/>
      <w:r>
        <w:rPr>
          <w:b/>
        </w:rPr>
        <w:t>High responder</w:t>
      </w:r>
      <w:r>
        <w:t xml:space="preserve"> : </w:t>
      </w:r>
      <w:r>
        <w:rPr>
          <w:b/>
        </w:rPr>
        <w:t>by-passing agents</w:t>
      </w:r>
      <w:r>
        <w:t xml:space="preserve"> :</w:t>
      </w:r>
    </w:p>
    <w:p>
      <w:pPr>
        <w:pStyle w:val="ListBullet"/>
      </w:pPr>
      <w:r>
        <w:t>rFVIIa (eptacog alfa, NovoSeven) : 90 µg/kg toutes les 2 h pendant 24 h, puis espacement selon réponse.</w:t>
      </w:r>
    </w:p>
    <w:p>
      <w:pPr>
        <w:pStyle w:val="ListBullet"/>
      </w:pPr>
      <w:r>
        <w:t>FEIBA (anti-inhibitor coagulant complex) : 50-100 U/kg toutes les 8-12 h (max 200 U/kg/24 h).</w:t>
      </w:r>
    </w:p>
    <w:p>
      <w:pPr>
        <w:pStyle w:val="ListBullet"/>
      </w:pPr>
      <w:r/>
      <w:r>
        <w:rPr>
          <w:b/>
        </w:rPr>
        <w:t>Éradication par ITI</w:t>
      </w:r>
      <w:r>
        <w:t xml:space="preserve"> (Immune Tolerance Induction) :</w:t>
      </w:r>
    </w:p>
    <w:p>
      <w:pPr>
        <w:pStyle w:val="ListBullet"/>
      </w:pPr>
      <w:r>
        <w:t>Exposition quotidienne au FVIII (50-200 UI/kg/jour) pendant 6-24 mois.</w:t>
      </w:r>
    </w:p>
    <w:p>
      <w:pPr>
        <w:pStyle w:val="ListBullet"/>
      </w:pPr>
      <w:r>
        <w:t>Taux de succès ~60-70 %.</w:t>
      </w:r>
    </w:p>
    <w:p>
      <w:pPr>
        <w:pStyle w:val="ListBullet"/>
      </w:pPr>
      <w:r>
        <w:t>Protocole Bonn (forte dose 100-200 UI/kg/jour) ou protocole Malmö (dose moyenne + immunosuppression).</w:t>
      </w:r>
    </w:p>
    <w:p>
      <w:pPr>
        <w:pStyle w:val="ListBullet"/>
      </w:pPr>
      <w:r>
        <w:t>Possibilité d'adjuvants : rituximab (375 mg/m²/sem × 4), IgIV, cyclophosphamide.</w:t>
      </w:r>
    </w:p>
    <w:p>
      <w:pPr>
        <w:pStyle w:val="Heading4"/>
      </w:pPr>
      <w:r>
        <w:t>Prévention des réactions d'hypersensibilité</w:t>
      </w:r>
    </w:p>
    <w:p>
      <w:pPr>
        <w:pStyle w:val="ListBullet"/>
      </w:pPr>
      <w:r/>
      <w:r>
        <w:rPr>
          <w:b/>
        </w:rPr>
        <w:t>Interrogatoire allergologique</w:t>
      </w:r>
      <w:r>
        <w:t xml:space="preserve"> préalable : antécédents d'allergie aux protéines animales (souris, hamster, bovin), déficit en IgA, antécédents de réaction à un PSS.</w:t>
      </w:r>
    </w:p>
    <w:p>
      <w:pPr>
        <w:pStyle w:val="ListBullet"/>
      </w:pPr>
      <w:r/>
      <w:r>
        <w:rPr>
          <w:b/>
        </w:rPr>
        <w:t>Prick-test</w:t>
      </w:r>
      <w:r>
        <w:t xml:space="preserve"> préalable non systématique mais recommandé en cas d'antécédents.</w:t>
      </w:r>
    </w:p>
    <w:p>
      <w:pPr>
        <w:pStyle w:val="ListBullet"/>
      </w:pPr>
      <w:r/>
      <w:r>
        <w:rPr>
          <w:b/>
        </w:rPr>
        <w:t>Disponibilité du matériel de réanimation anaphylactique</w:t>
      </w:r>
      <w:r>
        <w:t xml:space="preserve"> à proximité.</w:t>
      </w:r>
    </w:p>
    <w:p>
      <w:pPr>
        <w:pStyle w:val="ListBullet"/>
      </w:pPr>
      <w:r/>
      <w:r>
        <w:rPr>
          <w:b/>
        </w:rPr>
        <w:t>Perfusion lente</w:t>
      </w:r>
      <w:r>
        <w:t xml:space="preserve"> (≤ 3 mL/min pour la première dose, surveillance 30 min).</w:t>
      </w:r>
    </w:p>
    <w:p>
      <w:pPr>
        <w:pStyle w:val="ListBullet"/>
      </w:pPr>
      <w:r/>
      <w:r>
        <w:rPr>
          <w:b/>
        </w:rPr>
        <w:t>Pré-médication</w:t>
      </w:r>
      <w:r>
        <w:t xml:space="preserve"> antihistaminique (cétirizine 10 mg PO 1 h avant) en cas d'antécédents de réaction mineure.</w:t>
      </w:r>
    </w:p>
    <w:p>
      <w:pPr>
        <w:pStyle w:val="Heading4"/>
      </w:pPr>
      <w:r>
        <w:t>Prévention des complications thrombotiques (pdFVIII contenant VWF)</w:t>
      </w:r>
    </w:p>
    <w:p>
      <w:pPr>
        <w:pStyle w:val="ListBullet"/>
      </w:pPr>
      <w:r>
        <w:t>Surveillance clinique (douleur mollo-jambière, dyspnée, céphalées brutales) surtout chez les patients âgés, avec antécédents thrombotiques, en post-opératoire.</w:t>
      </w:r>
    </w:p>
    <w:p>
      <w:pPr>
        <w:pStyle w:val="ListBullet"/>
      </w:pPr>
      <w:r>
        <w:t>Surveillance biologique (D-dimères, fibrinogène) en cas de doses cumulées &gt; 200 UI/kg/24 h.</w:t>
      </w:r>
    </w:p>
    <w:p>
      <w:pPr>
        <w:pStyle w:val="ListBullet"/>
      </w:pPr>
      <w:r>
        <w:t>Alternative : rFVIII (sans VWF) chez les patients à risque thrombotique.</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w:t>
      </w:r>
    </w:p>
    <w:p>
      <w:pPr>
        <w:pStyle w:val="ListBullet"/>
      </w:pPr>
      <w:r/>
      <w:r>
        <w:rPr>
          <w:b/>
        </w:rPr>
        <w:t>Surcharge volémique</w:t>
      </w:r>
      <w:r>
        <w:t xml:space="preserve"> (rare avec FVIII car faible volume) : ralentir le débit, surveillance.</w:t>
      </w:r>
    </w:p>
    <w:p>
      <w:pPr>
        <w:pStyle w:val="ListBullet"/>
      </w:pPr>
      <w:r/>
      <w:r>
        <w:rPr>
          <w:b/>
        </w:rPr>
        <w:t>Thrombose</w:t>
      </w:r>
      <w:r>
        <w:t xml:space="preserve"> : arrêt du FVIII, héparine à dose curative, bilan étiologique.</w:t>
      </w:r>
    </w:p>
    <w:p>
      <w:pPr>
        <w:pStyle w:val="Heading3"/>
      </w:pPr>
      <w:r>
        <w:t>Sous-section 6 — Interactions médicamenteuses</w:t>
      </w:r>
    </w:p>
    <w:p>
      <w:pPr>
        <w:pStyle w:val="Heading4"/>
      </w:pPr>
      <w:r>
        <w:t>Interactions pharmacodynamiques</w:t>
      </w:r>
    </w:p>
    <w:p>
      <w:pPr>
        <w:pStyle w:val="ListBullet"/>
      </w:pPr>
      <w:r/>
      <w:r>
        <w:rPr>
          <w:b/>
        </w:rPr>
        <w:t>Antifibrinolytiques</w:t>
      </w:r>
      <w:r>
        <w:t xml:space="preserve"> (acide tranexamique, acide aminocaproïque) : synergie bénéfique pour les saignements muqueux (épistaxis, gingivorragies, ménorragies). Association recommandée en prophylaxie dentaire et chirurgie buccale.</w:t>
      </w:r>
    </w:p>
    <w:p>
      <w:pPr>
        <w:pStyle w:val="ListBullet"/>
      </w:pPr>
      <w:r/>
      <w:r>
        <w:rPr>
          <w:b/>
        </w:rPr>
        <w:t>Desmopressine (DDAVP)</w:t>
      </w:r>
      <w:r>
        <w:t xml:space="preserve"> : pour les hémophiles A légères/modérées, libère le FVIII endogène des sites de stockage endothéliaux. Peut réduire les besoins en FVIII exogène (à discuter selon profil patient).</w:t>
      </w:r>
    </w:p>
    <w:p>
      <w:pPr>
        <w:pStyle w:val="ListBullet"/>
      </w:pPr>
      <w:r/>
      <w:r>
        <w:rPr>
          <w:b/>
        </w:rPr>
        <w:t>Antiagrégants plaquettaires</w:t>
      </w:r>
      <w:r>
        <w:t xml:space="preserve"> (aspirine, clopidogrel) : majoration du risque hémorragique — à éviter sauf indication vitale.</w:t>
      </w:r>
    </w:p>
    <w:p>
      <w:pPr>
        <w:pStyle w:val="ListBullet"/>
      </w:pPr>
      <w:r/>
      <w:r>
        <w:rPr>
          <w:b/>
        </w:rPr>
        <w:t>AINS</w:t>
      </w:r>
      <w:r>
        <w:t xml:space="preserve"> : majoration du risque hémorragique (gastrite, ulcère) — à éviter au long cours.</w:t>
      </w:r>
    </w:p>
    <w:p>
      <w:pPr>
        <w:pStyle w:val="ListBullet"/>
      </w:pPr>
      <w:r/>
      <w:r>
        <w:rPr>
          <w:b/>
        </w:rPr>
        <w:t>Anticoagulants oraux</w:t>
      </w:r>
      <w:r>
        <w:t xml:space="preserve"> (AVK, AOD) : contre-indication relative absolue chez l'hémophile sévère.</w:t>
      </w:r>
    </w:p>
    <w:p>
      <w:pPr>
        <w:pStyle w:val="ListBullet"/>
      </w:pPr>
      <w:r/>
      <w:r>
        <w:rPr>
          <w:b/>
        </w:rPr>
        <w:t>Héparine</w:t>
      </w:r>
      <w:r>
        <w:t xml:space="preserve"> (HBPM, HNF) : risque hémorragique majeur — à éviter sauf indication vitale (thrombose, embolie pulmonaire) sous couverture stricte par FVIII.</w:t>
      </w:r>
    </w:p>
    <w:p>
      <w:pPr>
        <w:pStyle w:val="Heading4"/>
      </w:pPr>
      <w:r>
        <w:t>Interactions pharmacocinétiques</w:t>
      </w:r>
    </w:p>
    <w:p>
      <w:pPr>
        <w:pStyle w:val="ListBullet"/>
      </w:pPr>
      <w:r>
        <w:t>Aucune interaction significative rapportée (le FVIII est dégradé par protéolyse endogène, pas par CYP450).</w:t>
      </w:r>
    </w:p>
    <w:p>
      <w:pPr>
        <w:pStyle w:val="ListBullet"/>
      </w:pPr>
      <w:r/>
      <w:r>
        <w:rPr>
          <w:b/>
        </w:rPr>
        <w:t>Rétro-activation par le VWF endogène</w:t>
      </w:r>
      <w:r>
        <w:t xml:space="preserve"> : en cas de maladie de Willebrand, le VWF endogène est déficient, ce qui réduit la demi-vie du FVIII exogène. Préférer alors un complexe FVIII+VWF (HAEMATE P, FANDHI) ou un pdFVIII contenant du VWF (HAEMOCTIN SDH, OCTANATE).</w:t>
      </w:r>
    </w:p>
    <w:p>
      <w:pPr>
        <w:pStyle w:val="Heading4"/>
      </w:pPr>
      <w:r>
        <w:t>Incompatibilités physiques</w:t>
      </w:r>
    </w:p>
    <w:p>
      <w:pPr>
        <w:pStyle w:val="ListBullet"/>
      </w:pPr>
      <w:r>
        <w:t>Ne jamais mélanger le FVIII avec d'autres médicaments dans la même tubulure.</w:t>
      </w:r>
    </w:p>
    <w:p>
      <w:pPr>
        <w:pStyle w:val="ListBullet"/>
      </w:pPr>
      <w:r>
        <w:t>Utiliser uniquement le solvant fourni (EPPI = Eau Pour Préparations Injectables)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Le FVIII (poids moléculaire 260 kDa) ne traverse pas significativement la barrière placentaire (sauf anomalies placentaires). Aucun effet tératogène documenté.</w:t>
      </w:r>
    </w:p>
    <w:p>
      <w:pPr>
        <w:pStyle w:val="ListBullet"/>
      </w:pPr>
      <w:r/>
      <w:r>
        <w:rPr>
          <w:b/>
        </w:rPr>
        <w:t>Allaitement</w:t>
      </w:r>
      <w:r>
        <w:t xml:space="preserve"> : </w:t>
      </w:r>
      <w:r>
        <w:rPr>
          <w:b/>
        </w:rPr>
        <w:t>compatible</w:t>
      </w:r>
      <w:r>
        <w:t xml:space="preserve"> (CRAT). Le FVIII passe en quantité négligeable dans le lait maternel ; digestion protéique néonatale. Aucun effet indésirable chez le nouveau-né allaité rapporté.</w:t>
      </w:r>
    </w:p>
    <w:p>
      <w:pPr>
        <w:pStyle w:val="Heading4"/>
      </w:pPr>
      <w:r>
        <w:t>Indications chez la femme enceinte</w:t>
      </w:r>
    </w:p>
    <w:p>
      <w:pPr>
        <w:pStyle w:val="ListBullet"/>
      </w:pPr>
      <w:r/>
      <w:r>
        <w:rPr>
          <w:b/>
        </w:rPr>
        <w:t>Conductrice symptomatique</w:t>
      </w:r>
      <w:r>
        <w:t xml:space="preserve"> (FVIII:C &lt; 40 UI/dL) : prophylaxie péri-partum pour prévenir HPP.</w:t>
      </w:r>
    </w:p>
    <w:p>
      <w:pPr>
        <w:pStyle w:val="ListBullet"/>
      </w:pPr>
      <w:r/>
      <w:r>
        <w:rPr>
          <w:b/>
        </w:rPr>
        <w:t>Hémophilie A légère/moyenne</w:t>
      </w:r>
      <w:r>
        <w:t xml:space="preserve"> symptomatique : même indication.</w:t>
      </w:r>
    </w:p>
    <w:p>
      <w:pPr>
        <w:pStyle w:val="ListBullet"/>
      </w:pPr>
      <w:r/>
      <w:r>
        <w:rPr>
          <w:b/>
        </w:rPr>
        <w:t>Hémophilie A sévère</w:t>
      </w:r>
      <w:r>
        <w:t xml:space="preserve"> (exceptionnelle chez la femme) : prophylaxie stricte pendant la grossesse et le travail, dose adaptée au taux de FVIII.</w:t>
      </w:r>
    </w:p>
    <w:p>
      <w:pPr>
        <w:pStyle w:val="ListBullet"/>
      </w:pPr>
      <w:r/>
      <w:r>
        <w:rPr>
          <w:b/>
        </w:rPr>
        <w:t>Maladie de Willebrand</w:t>
      </w:r>
      <w:r>
        <w:t xml:space="preserve"> (type 3 sévère, type 2 non-répondant à DDAVP) : prophylaxie péri-partum.</w:t>
      </w:r>
    </w:p>
    <w:p>
      <w:pPr>
        <w:pStyle w:val="Heading4"/>
      </w:pPr>
      <w:r>
        <w:t>Posologie chez la femme enceinte</w:t>
      </w:r>
    </w:p>
    <w:p>
      <w:pPr>
        <w:pStyle w:val="ListBullet"/>
      </w:pPr>
      <w:r>
        <w:t>Maintenir un taux de FVIII ≥ 50 UI/dL pendant le travail et la délivrance, et ≥ 30 UI/dL pendant 7-14 jours post-partum.</w:t>
      </w:r>
    </w:p>
    <w:p>
      <w:pPr>
        <w:pStyle w:val="ListBullet"/>
      </w:pPr>
      <w:r>
        <w:t>Dose : 25-50 UI/kg en bolus IV avant le travail, puis 20-30 UI/kg toutes les 12 h pendant 3-7 jours.</w:t>
      </w:r>
    </w:p>
    <w:p>
      <w:pPr>
        <w:pStyle w:val="ListBullet"/>
      </w:pPr>
      <w:r>
        <w:t>Surveillance du taux de FVIII toutes les 12-24 h pendant la période critique.</w:t>
      </w:r>
    </w:p>
    <w:p>
      <w:pPr>
        <w:pStyle w:val="ListBullet"/>
      </w:pPr>
      <w:r>
        <w:t>Contre-indication de la rFVIIa et du FEIBA pendant la grossesse (sauf urgence vitale hémorragique) en raison du risque thrombotique.</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FVIII (en UI) est calculée selon la formule :</w:t>
      </w:r>
    </w:p>
    <w:p>
      <w:pPr>
        <w:ind w:left="567"/>
      </w:pPr>
      <w:r>
        <w:rPr>
          <w:i/>
          <w:color w:val="606060"/>
        </w:rPr>
        <w:t>**Dose (UI) = Poids (kg) × ΔFVIII souhaité (UI/dL) × 0,5**</w:t>
      </w:r>
    </w:p>
    <w:p>
      <w:r>
        <w:t>Où ΔFVIII souhaité est l'augmentation désirée du taux de FVIII:C (en UI/dL, équivalent à % du taux normal). Le facteur 0,5 reflète le récovery moyen (~2 UI/dL par UI/kg).</w:t>
      </w:r>
    </w:p>
    <w:p>
      <w:r/>
      <w:r>
        <w:rPr>
          <w:b/>
        </w:rPr>
        <w:t>Exemple</w:t>
      </w:r>
      <w:r>
        <w:t xml:space="preserve"> : patient de 70 kg, hémarthrose simple, taux basal 0 %, taux cible 40 % → Dose = 70 × 40 × 0,5 = </w:t>
      </w:r>
      <w:r>
        <w:rPr>
          <w:b/>
        </w:rPr>
        <w:t>1 400 UI</w:t>
      </w:r>
      <w:r>
        <w:t>.</w:t>
      </w:r>
    </w:p>
    <w:p>
      <w:pPr>
        <w:pStyle w:val="Heading4"/>
      </w:pPr>
      <w:r>
        <w:t>Posologie adulte selon le type de saignement</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Type de saignement</w:t>
            </w:r>
          </w:p>
        </w:tc>
        <w:tc>
          <w:tcPr>
            <w:tcW w:type="dxa" w:w="1662"/>
            <w:shd w:val="clear" w:color="auto" w:fill="F2F2F2"/>
          </w:tcPr>
          <w:p>
            <w:r>
              <w:rPr>
                <w:rFonts w:ascii="Times New Roman" w:hAnsi="Times New Roman"/>
                <w:b/>
                <w:sz w:val="20"/>
              </w:rPr>
              <w:t>Taux cible FVIII:C</w:t>
            </w:r>
          </w:p>
        </w:tc>
        <w:tc>
          <w:tcPr>
            <w:tcW w:type="dxa" w:w="1662"/>
            <w:shd w:val="clear" w:color="auto" w:fill="F2F2F2"/>
          </w:tcPr>
          <w:p>
            <w:r>
              <w:rPr>
                <w:rFonts w:ascii="Times New Roman" w:hAnsi="Times New Roman"/>
                <w:b/>
                <w:sz w:val="20"/>
              </w:rPr>
              <w:t>Dose UI/kg</w:t>
            </w:r>
          </w:p>
        </w:tc>
        <w:tc>
          <w:tcPr>
            <w:tcW w:type="dxa" w:w="1662"/>
            <w:shd w:val="clear" w:color="auto" w:fill="F2F2F2"/>
          </w:tcPr>
          <w:p>
            <w:r>
              <w:rPr>
                <w:rFonts w:ascii="Times New Roman" w:hAnsi="Times New Roman"/>
                <w:b/>
                <w:sz w:val="20"/>
              </w:rPr>
              <w:t>Fréquence</w:t>
            </w:r>
          </w:p>
        </w:tc>
        <w:tc>
          <w:tcPr>
            <w:tcW w:type="dxa" w:w="1662"/>
            <w:shd w:val="clear" w:color="auto" w:fill="F2F2F2"/>
          </w:tcPr>
          <w:p>
            <w:r>
              <w:rPr>
                <w:rFonts w:ascii="Times New Roman" w:hAnsi="Times New Roman"/>
                <w:b/>
                <w:sz w:val="20"/>
              </w:rPr>
              <w:t>Durée</w:t>
            </w:r>
          </w:p>
        </w:tc>
      </w:tr>
      <w:tr>
        <w:tc>
          <w:tcPr>
            <w:tcW w:type="dxa" w:w="1662"/>
          </w:tcPr>
          <w:p>
            <w:r>
              <w:rPr>
                <w:rFonts w:ascii="Times New Roman" w:hAnsi="Times New Roman"/>
                <w:sz w:val="20"/>
              </w:rPr>
              <w:t>Hémarthrose simple</w:t>
            </w:r>
          </w:p>
        </w:tc>
        <w:tc>
          <w:tcPr>
            <w:tcW w:type="dxa" w:w="1662"/>
          </w:tcPr>
          <w:p>
            <w:r>
              <w:rPr>
                <w:rFonts w:ascii="Times New Roman" w:hAnsi="Times New Roman"/>
                <w:sz w:val="20"/>
              </w:rPr>
              <w:t>30-50 UI/dL</w:t>
            </w:r>
          </w:p>
        </w:tc>
        <w:tc>
          <w:tcPr>
            <w:tcW w:type="dxa" w:w="1662"/>
          </w:tcPr>
          <w:p>
            <w:r>
              <w:rPr>
                <w:rFonts w:ascii="Times New Roman" w:hAnsi="Times New Roman"/>
                <w:sz w:val="20"/>
              </w:rPr>
              <w:t>20-30 UI/kg</w:t>
            </w:r>
          </w:p>
        </w:tc>
        <w:tc>
          <w:tcPr>
            <w:tcW w:type="dxa" w:w="1662"/>
          </w:tcPr>
          <w:p>
            <w:r>
              <w:rPr>
                <w:rFonts w:ascii="Times New Roman" w:hAnsi="Times New Roman"/>
                <w:sz w:val="20"/>
              </w:rPr>
              <w:t>Toutes les 12 h</w:t>
            </w:r>
          </w:p>
        </w:tc>
        <w:tc>
          <w:tcPr>
            <w:tcW w:type="dxa" w:w="1662"/>
          </w:tcPr>
          <w:p>
            <w:r>
              <w:rPr>
                <w:rFonts w:ascii="Times New Roman" w:hAnsi="Times New Roman"/>
                <w:sz w:val="20"/>
              </w:rPr>
              <w:t>1-3 jours</w:t>
            </w:r>
          </w:p>
        </w:tc>
      </w:tr>
      <w:tr>
        <w:tc>
          <w:tcPr>
            <w:tcW w:type="dxa" w:w="1662"/>
          </w:tcPr>
          <w:p>
            <w:r>
              <w:rPr>
                <w:rFonts w:ascii="Times New Roman" w:hAnsi="Times New Roman"/>
                <w:sz w:val="20"/>
              </w:rPr>
              <w:t>Hématome musculaire</w:t>
            </w:r>
          </w:p>
        </w:tc>
        <w:tc>
          <w:tcPr>
            <w:tcW w:type="dxa" w:w="1662"/>
          </w:tcPr>
          <w:p>
            <w:r>
              <w:rPr>
                <w:rFonts w:ascii="Times New Roman" w:hAnsi="Times New Roman"/>
                <w:sz w:val="20"/>
              </w:rPr>
              <w:t>40-60 UI/dL</w:t>
            </w:r>
          </w:p>
        </w:tc>
        <w:tc>
          <w:tcPr>
            <w:tcW w:type="dxa" w:w="1662"/>
          </w:tcPr>
          <w:p>
            <w:r>
              <w:rPr>
                <w:rFonts w:ascii="Times New Roman" w:hAnsi="Times New Roman"/>
                <w:sz w:val="20"/>
              </w:rPr>
              <w:t>25-40 UI/kg</w:t>
            </w:r>
          </w:p>
        </w:tc>
        <w:tc>
          <w:tcPr>
            <w:tcW w:type="dxa" w:w="1662"/>
          </w:tcPr>
          <w:p>
            <w:r>
              <w:rPr>
                <w:rFonts w:ascii="Times New Roman" w:hAnsi="Times New Roman"/>
                <w:sz w:val="20"/>
              </w:rPr>
              <w:t>Toutes les 12 h</w:t>
            </w:r>
          </w:p>
        </w:tc>
        <w:tc>
          <w:tcPr>
            <w:tcW w:type="dxa" w:w="1662"/>
          </w:tcPr>
          <w:p>
            <w:r>
              <w:rPr>
                <w:rFonts w:ascii="Times New Roman" w:hAnsi="Times New Roman"/>
                <w:sz w:val="20"/>
              </w:rPr>
              <w:t>3-7 jours</w:t>
            </w:r>
          </w:p>
        </w:tc>
      </w:tr>
      <w:tr>
        <w:tc>
          <w:tcPr>
            <w:tcW w:type="dxa" w:w="1662"/>
          </w:tcPr>
          <w:p>
            <w:r>
              <w:rPr>
                <w:rFonts w:ascii="Times New Roman" w:hAnsi="Times New Roman"/>
                <w:sz w:val="20"/>
              </w:rPr>
              <w:t>Hématome psoas/ilio-psoas</w:t>
            </w:r>
          </w:p>
        </w:tc>
        <w:tc>
          <w:tcPr>
            <w:tcW w:type="dxa" w:w="1662"/>
          </w:tcPr>
          <w:p>
            <w:r>
              <w:rPr>
                <w:rFonts w:ascii="Times New Roman" w:hAnsi="Times New Roman"/>
                <w:sz w:val="20"/>
              </w:rPr>
              <w:t>60-80 UI/dL</w:t>
            </w:r>
          </w:p>
        </w:tc>
        <w:tc>
          <w:tcPr>
            <w:tcW w:type="dxa" w:w="1662"/>
          </w:tcPr>
          <w:p>
            <w:r>
              <w:rPr>
                <w:rFonts w:ascii="Times New Roman" w:hAnsi="Times New Roman"/>
                <w:sz w:val="20"/>
              </w:rPr>
              <w:t>40-50 UI/kg</w:t>
            </w:r>
          </w:p>
        </w:tc>
        <w:tc>
          <w:tcPr>
            <w:tcW w:type="dxa" w:w="1662"/>
          </w:tcPr>
          <w:p>
            <w:r>
              <w:rPr>
                <w:rFonts w:ascii="Times New Roman" w:hAnsi="Times New Roman"/>
                <w:sz w:val="20"/>
              </w:rPr>
              <w:t>Toutes les 8-12 h</w:t>
            </w:r>
          </w:p>
        </w:tc>
        <w:tc>
          <w:tcPr>
            <w:tcW w:type="dxa" w:w="1662"/>
          </w:tcPr>
          <w:p>
            <w:r>
              <w:rPr>
                <w:rFonts w:ascii="Times New Roman" w:hAnsi="Times New Roman"/>
                <w:sz w:val="20"/>
              </w:rPr>
              <w:t>7-14 jours</w:t>
            </w:r>
          </w:p>
        </w:tc>
      </w:tr>
      <w:tr>
        <w:tc>
          <w:tcPr>
            <w:tcW w:type="dxa" w:w="1662"/>
          </w:tcPr>
          <w:p>
            <w:r>
              <w:rPr>
                <w:rFonts w:ascii="Times New Roman" w:hAnsi="Times New Roman"/>
                <w:sz w:val="20"/>
              </w:rPr>
              <w:t>Hémorragie digestive</w:t>
            </w:r>
          </w:p>
        </w:tc>
        <w:tc>
          <w:tcPr>
            <w:tcW w:type="dxa" w:w="1662"/>
          </w:tcPr>
          <w:p>
            <w:r>
              <w:rPr>
                <w:rFonts w:ascii="Times New Roman" w:hAnsi="Times New Roman"/>
                <w:sz w:val="20"/>
              </w:rPr>
              <w:t>60-80 UI/dL</w:t>
            </w:r>
          </w:p>
        </w:tc>
        <w:tc>
          <w:tcPr>
            <w:tcW w:type="dxa" w:w="1662"/>
          </w:tcPr>
          <w:p>
            <w:r>
              <w:rPr>
                <w:rFonts w:ascii="Times New Roman" w:hAnsi="Times New Roman"/>
                <w:sz w:val="20"/>
              </w:rPr>
              <w:t>40-50 UI/kg</w:t>
            </w:r>
          </w:p>
        </w:tc>
        <w:tc>
          <w:tcPr>
            <w:tcW w:type="dxa" w:w="1662"/>
          </w:tcPr>
          <w:p>
            <w:r>
              <w:rPr>
                <w:rFonts w:ascii="Times New Roman" w:hAnsi="Times New Roman"/>
                <w:sz w:val="20"/>
              </w:rPr>
              <w:t>Toutes les 8 h</w:t>
            </w:r>
          </w:p>
        </w:tc>
        <w:tc>
          <w:tcPr>
            <w:tcW w:type="dxa" w:w="1662"/>
          </w:tcPr>
          <w:p>
            <w:r>
              <w:rPr>
                <w:rFonts w:ascii="Times New Roman" w:hAnsi="Times New Roman"/>
                <w:sz w:val="20"/>
              </w:rPr>
              <w:t>5-10 jours</w:t>
            </w:r>
          </w:p>
        </w:tc>
      </w:tr>
      <w:tr>
        <w:tc>
          <w:tcPr>
            <w:tcW w:type="dxa" w:w="1662"/>
          </w:tcPr>
          <w:p>
            <w:r>
              <w:rPr>
                <w:rFonts w:ascii="Times New Roman" w:hAnsi="Times New Roman"/>
                <w:sz w:val="20"/>
              </w:rPr>
              <w:t>Hématurie macroscopique</w:t>
            </w:r>
          </w:p>
        </w:tc>
        <w:tc>
          <w:tcPr>
            <w:tcW w:type="dxa" w:w="1662"/>
          </w:tcPr>
          <w:p>
            <w:r>
              <w:rPr>
                <w:rFonts w:ascii="Times New Roman" w:hAnsi="Times New Roman"/>
                <w:sz w:val="20"/>
              </w:rPr>
              <w:t>40-60 UI/dL</w:t>
            </w:r>
          </w:p>
        </w:tc>
        <w:tc>
          <w:tcPr>
            <w:tcW w:type="dxa" w:w="1662"/>
          </w:tcPr>
          <w:p>
            <w:r>
              <w:rPr>
                <w:rFonts w:ascii="Times New Roman" w:hAnsi="Times New Roman"/>
                <w:sz w:val="20"/>
              </w:rPr>
              <w:t>25-40 UI/kg</w:t>
            </w:r>
          </w:p>
        </w:tc>
        <w:tc>
          <w:tcPr>
            <w:tcW w:type="dxa" w:w="1662"/>
          </w:tcPr>
          <w:p>
            <w:r>
              <w:rPr>
                <w:rFonts w:ascii="Times New Roman" w:hAnsi="Times New Roman"/>
                <w:sz w:val="20"/>
              </w:rPr>
              <w:t>Toutes les 12 h</w:t>
            </w:r>
          </w:p>
        </w:tc>
        <w:tc>
          <w:tcPr>
            <w:tcW w:type="dxa" w:w="1662"/>
          </w:tcPr>
          <w:p>
            <w:r>
              <w:rPr>
                <w:rFonts w:ascii="Times New Roman" w:hAnsi="Times New Roman"/>
                <w:sz w:val="20"/>
              </w:rPr>
              <w:t>3-5 jours</w:t>
            </w:r>
          </w:p>
        </w:tc>
      </w:tr>
      <w:tr>
        <w:tc>
          <w:tcPr>
            <w:tcW w:type="dxa" w:w="1662"/>
          </w:tcPr>
          <w:p>
            <w:r>
              <w:rPr>
                <w:rFonts w:ascii="Times New Roman" w:hAnsi="Times New Roman"/>
                <w:sz w:val="20"/>
              </w:rPr>
              <w:t>Hémorragie cérébrale</w:t>
            </w:r>
          </w:p>
        </w:tc>
        <w:tc>
          <w:tcPr>
            <w:tcW w:type="dxa" w:w="1662"/>
          </w:tcPr>
          <w:p>
            <w:r>
              <w:rPr>
                <w:rFonts w:ascii="Times New Roman" w:hAnsi="Times New Roman"/>
                <w:sz w:val="20"/>
              </w:rPr>
              <w:t>80-100 UI/dL</w:t>
            </w:r>
          </w:p>
        </w:tc>
        <w:tc>
          <w:tcPr>
            <w:tcW w:type="dxa" w:w="1662"/>
          </w:tcPr>
          <w:p>
            <w:r>
              <w:rPr>
                <w:rFonts w:ascii="Times New Roman" w:hAnsi="Times New Roman"/>
                <w:sz w:val="20"/>
              </w:rPr>
              <w:t>50 UI/kg</w:t>
            </w:r>
          </w:p>
        </w:tc>
        <w:tc>
          <w:tcPr>
            <w:tcW w:type="dxa" w:w="1662"/>
          </w:tcPr>
          <w:p>
            <w:r>
              <w:rPr>
                <w:rFonts w:ascii="Times New Roman" w:hAnsi="Times New Roman"/>
                <w:sz w:val="20"/>
              </w:rPr>
              <w:t>Toutes les 8 h</w:t>
            </w:r>
          </w:p>
        </w:tc>
        <w:tc>
          <w:tcPr>
            <w:tcW w:type="dxa" w:w="1662"/>
          </w:tcPr>
          <w:p>
            <w:r>
              <w:rPr>
                <w:rFonts w:ascii="Times New Roman" w:hAnsi="Times New Roman"/>
                <w:sz w:val="20"/>
              </w:rPr>
              <w:t>10-14 jours</w:t>
            </w:r>
          </w:p>
        </w:tc>
      </w:tr>
      <w:tr>
        <w:tc>
          <w:tcPr>
            <w:tcW w:type="dxa" w:w="1662"/>
          </w:tcPr>
          <w:p>
            <w:r>
              <w:rPr>
                <w:rFonts w:ascii="Times New Roman" w:hAnsi="Times New Roman"/>
                <w:sz w:val="20"/>
              </w:rPr>
              <w:t>Épistaxis sévère</w:t>
            </w:r>
          </w:p>
        </w:tc>
        <w:tc>
          <w:tcPr>
            <w:tcW w:type="dxa" w:w="1662"/>
          </w:tcPr>
          <w:p>
            <w:r>
              <w:rPr>
                <w:rFonts w:ascii="Times New Roman" w:hAnsi="Times New Roman"/>
                <w:sz w:val="20"/>
              </w:rPr>
              <w:t>40-60 UI/dL</w:t>
            </w:r>
          </w:p>
        </w:tc>
        <w:tc>
          <w:tcPr>
            <w:tcW w:type="dxa" w:w="1662"/>
          </w:tcPr>
          <w:p>
            <w:r>
              <w:rPr>
                <w:rFonts w:ascii="Times New Roman" w:hAnsi="Times New Roman"/>
                <w:sz w:val="20"/>
              </w:rPr>
              <w:t>25-40 UI/kg</w:t>
            </w:r>
          </w:p>
        </w:tc>
        <w:tc>
          <w:tcPr>
            <w:tcW w:type="dxa" w:w="1662"/>
          </w:tcPr>
          <w:p>
            <w:r>
              <w:rPr>
                <w:rFonts w:ascii="Times New Roman" w:hAnsi="Times New Roman"/>
                <w:sz w:val="20"/>
              </w:rPr>
              <w:t>Toutes les 12 h</w:t>
            </w:r>
          </w:p>
        </w:tc>
        <w:tc>
          <w:tcPr>
            <w:tcW w:type="dxa" w:w="1662"/>
          </w:tcPr>
          <w:p>
            <w:r>
              <w:rPr>
                <w:rFonts w:ascii="Times New Roman" w:hAnsi="Times New Roman"/>
                <w:sz w:val="20"/>
              </w:rPr>
              <w:t>2-4 jours</w:t>
            </w:r>
          </w:p>
        </w:tc>
      </w:tr>
      <w:tr>
        <w:tc>
          <w:tcPr>
            <w:tcW w:type="dxa" w:w="1662"/>
          </w:tcPr>
          <w:p>
            <w:r>
              <w:rPr>
                <w:rFonts w:ascii="Times New Roman" w:hAnsi="Times New Roman"/>
                <w:sz w:val="20"/>
              </w:rPr>
              <w:t>Saignement post-chirurgie mineure</w:t>
            </w:r>
          </w:p>
        </w:tc>
        <w:tc>
          <w:tcPr>
            <w:tcW w:type="dxa" w:w="1662"/>
          </w:tcPr>
          <w:p>
            <w:r>
              <w:rPr>
                <w:rFonts w:ascii="Times New Roman" w:hAnsi="Times New Roman"/>
                <w:sz w:val="20"/>
              </w:rPr>
              <w:t>50-80 UI/dL</w:t>
            </w:r>
          </w:p>
        </w:tc>
        <w:tc>
          <w:tcPr>
            <w:tcW w:type="dxa" w:w="1662"/>
          </w:tcPr>
          <w:p>
            <w:r>
              <w:rPr>
                <w:rFonts w:ascii="Times New Roman" w:hAnsi="Times New Roman"/>
                <w:sz w:val="20"/>
              </w:rPr>
              <w:t>30-50 UI/kg</w:t>
            </w:r>
          </w:p>
        </w:tc>
        <w:tc>
          <w:tcPr>
            <w:tcW w:type="dxa" w:w="1662"/>
          </w:tcPr>
          <w:p>
            <w:r>
              <w:rPr>
                <w:rFonts w:ascii="Times New Roman" w:hAnsi="Times New Roman"/>
                <w:sz w:val="20"/>
              </w:rPr>
              <w:t>Toutes les 12 h</w:t>
            </w:r>
          </w:p>
        </w:tc>
        <w:tc>
          <w:tcPr>
            <w:tcW w:type="dxa" w:w="1662"/>
          </w:tcPr>
          <w:p>
            <w:r>
              <w:rPr>
                <w:rFonts w:ascii="Times New Roman" w:hAnsi="Times New Roman"/>
                <w:sz w:val="20"/>
              </w:rPr>
              <w:t>5-7 jours</w:t>
            </w:r>
          </w:p>
        </w:tc>
      </w:tr>
      <w:tr>
        <w:tc>
          <w:tcPr>
            <w:tcW w:type="dxa" w:w="1662"/>
          </w:tcPr>
          <w:p>
            <w:r>
              <w:rPr>
                <w:rFonts w:ascii="Times New Roman" w:hAnsi="Times New Roman"/>
                <w:sz w:val="20"/>
              </w:rPr>
              <w:t>Chirurgie majeure</w:t>
            </w:r>
          </w:p>
        </w:tc>
        <w:tc>
          <w:tcPr>
            <w:tcW w:type="dxa" w:w="1662"/>
          </w:tcPr>
          <w:p>
            <w:r>
              <w:rPr>
                <w:rFonts w:ascii="Times New Roman" w:hAnsi="Times New Roman"/>
                <w:sz w:val="20"/>
              </w:rPr>
              <w:t>80-100 UI/dL (peri-op) puis 60-80 UI/dL</w:t>
            </w:r>
          </w:p>
        </w:tc>
        <w:tc>
          <w:tcPr>
            <w:tcW w:type="dxa" w:w="1662"/>
          </w:tcPr>
          <w:p>
            <w:r>
              <w:rPr>
                <w:rFonts w:ascii="Times New Roman" w:hAnsi="Times New Roman"/>
                <w:sz w:val="20"/>
              </w:rPr>
              <w:t>50 UI/kg avant induction, puis 30-40 UI/kg</w:t>
            </w:r>
          </w:p>
        </w:tc>
        <w:tc>
          <w:tcPr>
            <w:tcW w:type="dxa" w:w="1662"/>
          </w:tcPr>
          <w:p>
            <w:r>
              <w:rPr>
                <w:rFonts w:ascii="Times New Roman" w:hAnsi="Times New Roman"/>
                <w:sz w:val="20"/>
              </w:rPr>
              <w:t>Toutes les 8-12 h</w:t>
            </w:r>
          </w:p>
        </w:tc>
        <w:tc>
          <w:tcPr>
            <w:tcW w:type="dxa" w:w="1662"/>
          </w:tcPr>
          <w:p>
            <w:r>
              <w:rPr>
                <w:rFonts w:ascii="Times New Roman" w:hAnsi="Times New Roman"/>
                <w:sz w:val="20"/>
              </w:rPr>
              <w:t>7-14 jours</w:t>
            </w:r>
          </w:p>
        </w:tc>
      </w:tr>
    </w:tbl>
    <w:p/>
    <w:p>
      <w:pPr>
        <w:pStyle w:val="Heading4"/>
      </w:pPr>
      <w:r>
        <w:t>Prophylaxie primaire (hémophilie A sévère)</w:t>
      </w:r>
    </w:p>
    <w:p>
      <w:pPr>
        <w:pStyle w:val="ListBullet"/>
      </w:pPr>
      <w:r/>
      <w:r>
        <w:rPr>
          <w:b/>
        </w:rPr>
        <w:t>Schéma standard</w:t>
      </w:r>
      <w:r>
        <w:t xml:space="preserve"> : 25-40 UI/kg 3 fois/semaine (lundi-mercredi-vendredi) ou tous les 2 jours.</w:t>
      </w:r>
    </w:p>
    <w:p>
      <w:pPr>
        <w:pStyle w:val="ListBullet"/>
      </w:pPr>
      <w:r/>
      <w:r>
        <w:rPr>
          <w:b/>
        </w:rPr>
        <w:t>Schéma intensifié</w:t>
      </w:r>
      <w:r>
        <w:t xml:space="preserve"> : 30-50 UI/kg 3-4 fois/semaine chez les patients avec hémarthroses fréquentes.</w:t>
      </w:r>
    </w:p>
    <w:p>
      <w:pPr>
        <w:pStyle w:val="ListBullet"/>
      </w:pPr>
      <w:r/>
      <w:r>
        <w:rPr>
          <w:b/>
        </w:rPr>
        <w:t>Surveillance</w:t>
      </w:r>
      <w:r>
        <w:t xml:space="preserve"> : taux résiduel de FVIII:C avant injection doit être ≥ 1 UI/dL (idéalement ≥ 3 UI/dL) pour prévenir les saignements.</w:t>
      </w:r>
    </w:p>
    <w:p>
      <w:pPr>
        <w:pStyle w:val="Heading4"/>
      </w:pPr>
      <w:r>
        <w:t>Mode d'administration</w:t>
      </w:r>
    </w:p>
    <w:p>
      <w:pPr>
        <w:pStyle w:val="ListBullet"/>
      </w:pPr>
      <w:r/>
      <w:r>
        <w:rPr>
          <w:b/>
        </w:rPr>
        <w:t>Voie IV stricte</w:t>
      </w:r>
      <w:r>
        <w:t xml:space="preserve"> (jamais IM, jamais SC).</w:t>
      </w:r>
    </w:p>
    <w:p>
      <w:pPr>
        <w:pStyle w:val="ListBullet"/>
      </w:pPr>
      <w:r/>
      <w:r>
        <w:rPr>
          <w:b/>
        </w:rPr>
        <w:t>Voie veineuse périphérique</w:t>
      </w:r>
      <w:r>
        <w:t xml:space="preserve"> : autorisée, sur cathéter 22-24 G chez l'enfant, 20-22 G chez l'adulte.</w:t>
      </w:r>
    </w:p>
    <w:p>
      <w:pPr>
        <w:pStyle w:val="ListBullet"/>
      </w:pPr>
      <w:r/>
      <w:r>
        <w:rPr>
          <w:b/>
        </w:rPr>
        <w:t>Voie veineuse centrale</w:t>
      </w:r>
      <w:r>
        <w:t xml:space="preserve"> (cathéter port type Port-a-Cath ou Picc-Line) : recommandée chez les enfants nécessitant prophylaxie prolongée et/ou voies veineuses périphériques difficiles.</w:t>
      </w:r>
    </w:p>
    <w:p>
      <w:pPr>
        <w:pStyle w:val="ListBullet"/>
      </w:pPr>
      <w:r/>
      <w:r>
        <w:rPr>
          <w:b/>
        </w:rPr>
        <w:t>Voie veineuse d'auto-administration à domicile</w:t>
      </w:r>
      <w:r>
        <w:t xml:space="preserve"> : possible après formation du patient (ou des parents pour l'enfant).</w:t>
      </w:r>
    </w:p>
    <w:p>
      <w:pPr>
        <w:pStyle w:val="ListBullet"/>
      </w:pPr>
      <w:r/>
      <w:r>
        <w:rPr>
          <w:b/>
        </w:rPr>
        <w:t>Débit de perfusion</w:t>
      </w:r>
      <w:r>
        <w:t xml:space="preserve"> : 2-3 mL/min maximum (perfusion lente), ne jamais bolus IV direct.</w:t>
      </w:r>
    </w:p>
    <w:p>
      <w:pPr>
        <w:pStyle w:val="ListBullet"/>
      </w:pPr>
      <w:r/>
      <w:r>
        <w:rPr>
          <w:b/>
        </w:rPr>
        <w:t>Durée de perfusion</w:t>
      </w:r>
      <w:r>
        <w:t xml:space="preserve"> : 5-10 minutes pour 10 mL de solution reconstituée.</w:t>
      </w:r>
    </w:p>
    <w:p>
      <w:pPr>
        <w:pStyle w:val="ListBullet"/>
      </w:pPr>
      <w:r/>
      <w:r>
        <w:rPr>
          <w:b/>
        </w:rPr>
        <w:t>Filtre</w:t>
      </w:r>
      <w:r>
        <w:t xml:space="preserve"> : utilisation de l'aiguille filtre fournie dans le kit (élimination des éventuels agrégats protéiques).</w:t>
      </w:r>
    </w:p>
    <w:p>
      <w:pPr>
        <w:pStyle w:val="ListBullet"/>
      </w:pPr>
      <w:r/>
      <w:r>
        <w:rPr>
          <w:b/>
        </w:rPr>
        <w:t>Reconstitution</w:t>
      </w:r>
      <w:r>
        <w:t xml:space="preserve"> :cf. sous-section 10.</w:t>
      </w:r>
    </w:p>
    <w:p>
      <w:pPr>
        <w:pStyle w:val="Heading3"/>
      </w:pPr>
      <w:r>
        <w:t>Sous-section 9 — Arbitrage et bénéfices des formes galéniques</w:t>
      </w:r>
    </w:p>
    <w:p>
      <w:pPr>
        <w:pStyle w:val="Heading4"/>
      </w:pPr>
      <w:r>
        <w:t>pdFVIII vs rFVIII</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Paramètre</w:t>
            </w:r>
          </w:p>
        </w:tc>
        <w:tc>
          <w:tcPr>
            <w:tcW w:type="dxa" w:w="2771"/>
            <w:shd w:val="clear" w:color="auto" w:fill="F2F2F2"/>
          </w:tcPr>
          <w:p>
            <w:r>
              <w:rPr>
                <w:rFonts w:ascii="Times New Roman" w:hAnsi="Times New Roman"/>
                <w:b/>
                <w:sz w:val="20"/>
              </w:rPr>
              <w:t>pdFVIII (HAEMOCTIN SDH, OCTANATE, HEMOREL-A)</w:t>
            </w:r>
          </w:p>
        </w:tc>
        <w:tc>
          <w:tcPr>
            <w:tcW w:type="dxa" w:w="2771"/>
            <w:shd w:val="clear" w:color="auto" w:fill="F2F2F2"/>
          </w:tcPr>
          <w:p>
            <w:r>
              <w:rPr>
                <w:rFonts w:ascii="Times New Roman" w:hAnsi="Times New Roman"/>
                <w:b/>
                <w:sz w:val="20"/>
              </w:rPr>
              <w:t>rFVIII (KOVALTRY, ADVATE, NOVOEIGHT, REFACTO AF)</w:t>
            </w:r>
          </w:p>
        </w:tc>
      </w:tr>
      <w:tr>
        <w:tc>
          <w:tcPr>
            <w:tcW w:type="dxa" w:w="2771"/>
          </w:tcPr>
          <w:p>
            <w:r>
              <w:rPr>
                <w:rFonts w:ascii="Times New Roman" w:hAnsi="Times New Roman"/>
                <w:sz w:val="20"/>
              </w:rPr>
              <w:t>Origine</w:t>
            </w:r>
          </w:p>
        </w:tc>
        <w:tc>
          <w:tcPr>
            <w:tcW w:type="dxa" w:w="2771"/>
          </w:tcPr>
          <w:p>
            <w:r>
              <w:rPr>
                <w:rFonts w:ascii="Times New Roman" w:hAnsi="Times New Roman"/>
                <w:sz w:val="20"/>
              </w:rPr>
              <w:t>Plasma humain poolé</w:t>
            </w:r>
          </w:p>
        </w:tc>
        <w:tc>
          <w:tcPr>
            <w:tcW w:type="dxa" w:w="2771"/>
          </w:tcPr>
          <w:p>
            <w:r>
              <w:rPr>
                <w:rFonts w:ascii="Times New Roman" w:hAnsi="Times New Roman"/>
                <w:sz w:val="20"/>
              </w:rPr>
              <w:t>Cellules BHK/CHO transfectées</w:t>
            </w:r>
          </w:p>
        </w:tc>
      </w:tr>
      <w:tr>
        <w:tc>
          <w:tcPr>
            <w:tcW w:type="dxa" w:w="2771"/>
          </w:tcPr>
          <w:p>
            <w:r>
              <w:rPr>
                <w:rFonts w:ascii="Times New Roman" w:hAnsi="Times New Roman"/>
                <w:sz w:val="20"/>
              </w:rPr>
              <w:t>Sécurité virale</w:t>
            </w:r>
          </w:p>
        </w:tc>
        <w:tc>
          <w:tcPr>
            <w:tcW w:type="dxa" w:w="2771"/>
          </w:tcPr>
          <w:p>
            <w:r>
              <w:rPr>
                <w:rFonts w:ascii="Times New Roman" w:hAnsi="Times New Roman"/>
                <w:sz w:val="20"/>
              </w:rPr>
              <w:t>SD + chaleur + nanofiltration (triple)</w:t>
            </w:r>
          </w:p>
        </w:tc>
        <w:tc>
          <w:tcPr>
            <w:tcW w:type="dxa" w:w="2771"/>
          </w:tcPr>
          <w:p>
            <w:r>
              <w:rPr>
                <w:rFonts w:ascii="Times New Roman" w:hAnsi="Times New Roman"/>
                <w:sz w:val="20"/>
              </w:rPr>
              <w:t>Aucune protéine animale dans le milieu</w:t>
            </w:r>
          </w:p>
        </w:tc>
      </w:tr>
      <w:tr>
        <w:tc>
          <w:tcPr>
            <w:tcW w:type="dxa" w:w="2771"/>
          </w:tcPr>
          <w:p>
            <w:r>
              <w:rPr>
                <w:rFonts w:ascii="Times New Roman" w:hAnsi="Times New Roman"/>
                <w:sz w:val="20"/>
              </w:rPr>
              <w:t>Risque viral résiduel</w:t>
            </w:r>
          </w:p>
        </w:tc>
        <w:tc>
          <w:tcPr>
            <w:tcW w:type="dxa" w:w="2771"/>
          </w:tcPr>
          <w:p>
            <w:r>
              <w:rPr>
                <w:rFonts w:ascii="Times New Roman" w:hAnsi="Times New Roman"/>
                <w:sz w:val="20"/>
              </w:rPr>
              <w:t>Théorique (B19, prions)</w:t>
            </w:r>
          </w:p>
        </w:tc>
        <w:tc>
          <w:tcPr>
            <w:tcW w:type="dxa" w:w="2771"/>
          </w:tcPr>
          <w:p>
            <w:r>
              <w:rPr>
                <w:rFonts w:ascii="Times New Roman" w:hAnsi="Times New Roman"/>
                <w:sz w:val="20"/>
              </w:rPr>
              <w:t>Quasi nul</w:t>
            </w:r>
          </w:p>
        </w:tc>
      </w:tr>
      <w:tr>
        <w:tc>
          <w:tcPr>
            <w:tcW w:type="dxa" w:w="2771"/>
          </w:tcPr>
          <w:p>
            <w:r>
              <w:rPr>
                <w:rFonts w:ascii="Times New Roman" w:hAnsi="Times New Roman"/>
                <w:sz w:val="20"/>
              </w:rPr>
              <w:t>Demi-vie plasmatique</w:t>
            </w:r>
          </w:p>
        </w:tc>
        <w:tc>
          <w:tcPr>
            <w:tcW w:type="dxa" w:w="2771"/>
          </w:tcPr>
          <w:p>
            <w:r>
              <w:rPr>
                <w:rFonts w:ascii="Times New Roman" w:hAnsi="Times New Roman"/>
                <w:sz w:val="20"/>
              </w:rPr>
              <w:t>12-15 h (stabilisé par VWF)</w:t>
            </w:r>
          </w:p>
        </w:tc>
        <w:tc>
          <w:tcPr>
            <w:tcW w:type="dxa" w:w="2771"/>
          </w:tcPr>
          <w:p>
            <w:r>
              <w:rPr>
                <w:rFonts w:ascii="Times New Roman" w:hAnsi="Times New Roman"/>
                <w:sz w:val="20"/>
              </w:rPr>
              <w:t>8-14 h (selon spécialité)</w:t>
            </w:r>
          </w:p>
        </w:tc>
      </w:tr>
      <w:tr>
        <w:tc>
          <w:tcPr>
            <w:tcW w:type="dxa" w:w="2771"/>
          </w:tcPr>
          <w:p>
            <w:r>
              <w:rPr>
                <w:rFonts w:ascii="Times New Roman" w:hAnsi="Times New Roman"/>
                <w:sz w:val="20"/>
              </w:rPr>
              <w:t>Récovery (UI/dL par UI/kg)</w:t>
            </w:r>
          </w:p>
        </w:tc>
        <w:tc>
          <w:tcPr>
            <w:tcW w:type="dxa" w:w="2771"/>
          </w:tcPr>
          <w:p>
            <w:r>
              <w:rPr>
                <w:rFonts w:ascii="Times New Roman" w:hAnsi="Times New Roman"/>
                <w:sz w:val="20"/>
              </w:rPr>
              <w:t>1,5-2,0</w:t>
            </w:r>
          </w:p>
        </w:tc>
        <w:tc>
          <w:tcPr>
            <w:tcW w:type="dxa" w:w="2771"/>
          </w:tcPr>
          <w:p>
            <w:r>
              <w:rPr>
                <w:rFonts w:ascii="Times New Roman" w:hAnsi="Times New Roman"/>
                <w:sz w:val="20"/>
              </w:rPr>
              <w:t>2,0-2,5</w:t>
            </w:r>
          </w:p>
        </w:tc>
      </w:tr>
      <w:tr>
        <w:tc>
          <w:tcPr>
            <w:tcW w:type="dxa" w:w="2771"/>
          </w:tcPr>
          <w:p>
            <w:r>
              <w:rPr>
                <w:rFonts w:ascii="Times New Roman" w:hAnsi="Times New Roman"/>
                <w:sz w:val="20"/>
              </w:rPr>
              <w:t>Contenu en VWF</w:t>
            </w:r>
          </w:p>
        </w:tc>
        <w:tc>
          <w:tcPr>
            <w:tcW w:type="dxa" w:w="2771"/>
          </w:tcPr>
          <w:p>
            <w:r>
              <w:rPr>
                <w:rFonts w:ascii="Times New Roman" w:hAnsi="Times New Roman"/>
                <w:sz w:val="20"/>
              </w:rPr>
              <w:t>Oui (variable selon spécialité)</w:t>
            </w:r>
          </w:p>
        </w:tc>
        <w:tc>
          <w:tcPr>
            <w:tcW w:type="dxa" w:w="2771"/>
          </w:tcPr>
          <w:p>
            <w:r>
              <w:rPr>
                <w:rFonts w:ascii="Times New Roman" w:hAnsi="Times New Roman"/>
                <w:sz w:val="20"/>
              </w:rPr>
              <w:t>Non</w:t>
            </w:r>
          </w:p>
        </w:tc>
      </w:tr>
      <w:tr>
        <w:tc>
          <w:tcPr>
            <w:tcW w:type="dxa" w:w="2771"/>
          </w:tcPr>
          <w:p>
            <w:r>
              <w:rPr>
                <w:rFonts w:ascii="Times New Roman" w:hAnsi="Times New Roman"/>
                <w:sz w:val="20"/>
              </w:rPr>
              <w:t>Indication maladie de Willebrand</w:t>
            </w:r>
          </w:p>
        </w:tc>
        <w:tc>
          <w:tcPr>
            <w:tcW w:type="dxa" w:w="2771"/>
          </w:tcPr>
          <w:p>
            <w:r>
              <w:rPr>
                <w:rFonts w:ascii="Times New Roman" w:hAnsi="Times New Roman"/>
                <w:sz w:val="20"/>
              </w:rPr>
              <w:t>OUI (efficace)</w:t>
            </w:r>
          </w:p>
        </w:tc>
        <w:tc>
          <w:tcPr>
            <w:tcW w:type="dxa" w:w="2771"/>
          </w:tcPr>
          <w:p>
            <w:r>
              <w:rPr>
                <w:rFonts w:ascii="Times New Roman" w:hAnsi="Times New Roman"/>
                <w:sz w:val="20"/>
              </w:rPr>
              <w:t>NON (à éviter)</w:t>
            </w:r>
          </w:p>
        </w:tc>
      </w:tr>
      <w:tr>
        <w:tc>
          <w:tcPr>
            <w:tcW w:type="dxa" w:w="2771"/>
          </w:tcPr>
          <w:p>
            <w:r>
              <w:rPr>
                <w:rFonts w:ascii="Times New Roman" w:hAnsi="Times New Roman"/>
                <w:sz w:val="20"/>
              </w:rPr>
              <w:t>Risque inhibiteur</w:t>
            </w:r>
          </w:p>
        </w:tc>
        <w:tc>
          <w:tcPr>
            <w:tcW w:type="dxa" w:w="2771"/>
          </w:tcPr>
          <w:p>
            <w:r>
              <w:rPr>
                <w:rFonts w:ascii="Times New Roman" w:hAnsi="Times New Roman"/>
                <w:sz w:val="20"/>
              </w:rPr>
              <w:t>~20-25 %</w:t>
            </w:r>
          </w:p>
        </w:tc>
        <w:tc>
          <w:tcPr>
            <w:tcW w:type="dxa" w:w="2771"/>
          </w:tcPr>
          <w:p>
            <w:r>
              <w:rPr>
                <w:rFonts w:ascii="Times New Roman" w:hAnsi="Times New Roman"/>
                <w:sz w:val="20"/>
              </w:rPr>
              <w:t>~25-30 % (controversé)</w:t>
            </w:r>
          </w:p>
        </w:tc>
      </w:tr>
      <w:tr>
        <w:tc>
          <w:tcPr>
            <w:tcW w:type="dxa" w:w="2771"/>
          </w:tcPr>
          <w:p>
            <w:r>
              <w:rPr>
                <w:rFonts w:ascii="Times New Roman" w:hAnsi="Times New Roman"/>
                <w:sz w:val="20"/>
              </w:rPr>
              <w:t>Coût relatif</w:t>
            </w:r>
          </w:p>
        </w:tc>
        <w:tc>
          <w:tcPr>
            <w:tcW w:type="dxa" w:w="2771"/>
          </w:tcPr>
          <w:p>
            <w:r>
              <w:rPr>
                <w:rFonts w:ascii="Times New Roman" w:hAnsi="Times New Roman"/>
                <w:sz w:val="20"/>
              </w:rPr>
              <w:t>×1-2</w:t>
            </w:r>
          </w:p>
        </w:tc>
        <w:tc>
          <w:tcPr>
            <w:tcW w:type="dxa" w:w="2771"/>
          </w:tcPr>
          <w:p>
            <w:r>
              <w:rPr>
                <w:rFonts w:ascii="Times New Roman" w:hAnsi="Times New Roman"/>
                <w:sz w:val="20"/>
              </w:rPr>
              <w:t>×3-5</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Oui (3 spécialités actives)</w:t>
            </w:r>
          </w:p>
        </w:tc>
        <w:tc>
          <w:tcPr>
            <w:tcW w:type="dxa" w:w="2771"/>
          </w:tcPr>
          <w:p>
            <w:r>
              <w:rPr>
                <w:rFonts w:ascii="Times New Roman" w:hAnsi="Times New Roman"/>
                <w:sz w:val="20"/>
              </w:rPr>
              <w:t>Oui (KOVALTRY 250/500/1000)</w:t>
            </w:r>
          </w:p>
        </w:tc>
      </w:tr>
    </w:tbl>
    <w:p/>
    <w:p>
      <w:r/>
      <w:r>
        <w:rPr>
          <w:b/>
        </w:rPr>
        <w:t>Recommandation WFH 2020</w:t>
      </w:r>
      <w:r>
        <w:t xml:space="preserve"> : les rFVIII et pdFVIII sont tous deux recommandés en première ligne pour l'hémophilie A sans inhibiteur, sans supériorité claire d'une classe sur l'autre en termes d'efficacité hémostatique. Le choix dépend du patient (maladie de Willebrand associée → pdFVIII contenant VWF ; terrain allergique → rFVIII sans protéines animales ; âge pédiatrique → rFVIII de préférence en prophylaxie primaire).</w:t>
      </w:r>
    </w:p>
    <w:p>
      <w:pPr>
        <w:pStyle w:val="Heading4"/>
      </w:pPr>
      <w:r>
        <w:t>Full-length vs B-domain modified</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w:t>
            </w:r>
          </w:p>
        </w:tc>
        <w:tc>
          <w:tcPr>
            <w:tcW w:type="dxa" w:w="2078"/>
            <w:shd w:val="clear" w:color="auto" w:fill="F2F2F2"/>
          </w:tcPr>
          <w:p>
            <w:r>
              <w:rPr>
                <w:rFonts w:ascii="Times New Roman" w:hAnsi="Times New Roman"/>
                <w:b/>
                <w:sz w:val="20"/>
              </w:rPr>
              <w:t>Spécialité</w:t>
            </w:r>
          </w:p>
        </w:tc>
        <w:tc>
          <w:tcPr>
            <w:tcW w:type="dxa" w:w="2078"/>
            <w:shd w:val="clear" w:color="auto" w:fill="F2F2F2"/>
          </w:tcPr>
          <w:p>
            <w:r>
              <w:rPr>
                <w:rFonts w:ascii="Times New Roman" w:hAnsi="Times New Roman"/>
                <w:b/>
                <w:sz w:val="20"/>
              </w:rPr>
              <w:t>Avantages</w:t>
            </w:r>
          </w:p>
        </w:tc>
        <w:tc>
          <w:tcPr>
            <w:tcW w:type="dxa" w:w="2078"/>
            <w:shd w:val="clear" w:color="auto" w:fill="F2F2F2"/>
          </w:tcPr>
          <w:p>
            <w:r>
              <w:rPr>
                <w:rFonts w:ascii="Times New Roman" w:hAnsi="Times New Roman"/>
                <w:b/>
                <w:sz w:val="20"/>
              </w:rPr>
              <w:t>Inconvénients</w:t>
            </w:r>
          </w:p>
        </w:tc>
      </w:tr>
      <w:tr>
        <w:tc>
          <w:tcPr>
            <w:tcW w:type="dxa" w:w="2078"/>
          </w:tcPr>
          <w:p>
            <w:r>
              <w:rPr>
                <w:rFonts w:ascii="Times New Roman" w:hAnsi="Times New Roman"/>
                <w:sz w:val="20"/>
              </w:rPr>
              <w:t>Full-length</w:t>
            </w:r>
          </w:p>
        </w:tc>
        <w:tc>
          <w:tcPr>
            <w:tcW w:type="dxa" w:w="2078"/>
          </w:tcPr>
          <w:p>
            <w:r>
              <w:rPr>
                <w:rFonts w:ascii="Times New Roman" w:hAnsi="Times New Roman"/>
                <w:sz w:val="20"/>
              </w:rPr>
              <w:t>KOVALTRY (BAY 81-8973)</w:t>
            </w:r>
          </w:p>
        </w:tc>
        <w:tc>
          <w:tcPr>
            <w:tcW w:type="dxa" w:w="2078"/>
          </w:tcPr>
          <w:p>
            <w:r>
              <w:rPr>
                <w:rFonts w:ascii="Times New Roman" w:hAnsi="Times New Roman"/>
                <w:sz w:val="20"/>
              </w:rPr>
              <w:t>Structure native ; récovery plus élevé</w:t>
            </w:r>
          </w:p>
        </w:tc>
        <w:tc>
          <w:tcPr>
            <w:tcW w:type="dxa" w:w="2078"/>
          </w:tcPr>
          <w:p>
            <w:r>
              <w:rPr>
                <w:rFonts w:ascii="Times New Roman" w:hAnsi="Times New Roman"/>
                <w:sz w:val="20"/>
              </w:rPr>
              <w:t>Demi-vie standard (8-14 h)</w:t>
            </w:r>
          </w:p>
        </w:tc>
      </w:tr>
      <w:tr>
        <w:tc>
          <w:tcPr>
            <w:tcW w:type="dxa" w:w="2078"/>
          </w:tcPr>
          <w:p>
            <w:r>
              <w:rPr>
                <w:rFonts w:ascii="Times New Roman" w:hAnsi="Times New Roman"/>
                <w:sz w:val="20"/>
              </w:rPr>
              <w:t>B-domain deleted (BDD)</w:t>
            </w:r>
          </w:p>
        </w:tc>
        <w:tc>
          <w:tcPr>
            <w:tcW w:type="dxa" w:w="2078"/>
          </w:tcPr>
          <w:p>
            <w:r>
              <w:rPr>
                <w:rFonts w:ascii="Times New Roman" w:hAnsi="Times New Roman"/>
                <w:sz w:val="20"/>
              </w:rPr>
              <w:t>REFACTO AF (moroctocog alfa)</w:t>
            </w:r>
          </w:p>
        </w:tc>
        <w:tc>
          <w:tcPr>
            <w:tcW w:type="dxa" w:w="2078"/>
          </w:tcPr>
          <w:p>
            <w:r>
              <w:rPr>
                <w:rFonts w:ascii="Times New Roman" w:hAnsi="Times New Roman"/>
                <w:sz w:val="20"/>
              </w:rPr>
              <w:t>Demi-vie similaire ; production plus simple</w:t>
            </w:r>
          </w:p>
        </w:tc>
        <w:tc>
          <w:tcPr>
            <w:tcW w:type="dxa" w:w="2078"/>
          </w:tcPr>
          <w:p>
            <w:r>
              <w:rPr>
                <w:rFonts w:ascii="Times New Roman" w:hAnsi="Times New Roman"/>
                <w:sz w:val="20"/>
              </w:rPr>
              <w:t>Récovery à mesurer</w:t>
            </w:r>
          </w:p>
        </w:tc>
      </w:tr>
      <w:tr>
        <w:tc>
          <w:tcPr>
            <w:tcW w:type="dxa" w:w="2078"/>
          </w:tcPr>
          <w:p>
            <w:r>
              <w:rPr>
                <w:rFonts w:ascii="Times New Roman" w:hAnsi="Times New Roman"/>
                <w:sz w:val="20"/>
              </w:rPr>
              <w:t>B-domain truncated</w:t>
            </w:r>
          </w:p>
        </w:tc>
        <w:tc>
          <w:tcPr>
            <w:tcW w:type="dxa" w:w="2078"/>
          </w:tcPr>
          <w:p>
            <w:r>
              <w:rPr>
                <w:rFonts w:ascii="Times New Roman" w:hAnsi="Times New Roman"/>
                <w:sz w:val="20"/>
              </w:rPr>
              <w:t>NOVO EIGHT (turoctocog alfa)</w:t>
            </w:r>
          </w:p>
        </w:tc>
        <w:tc>
          <w:tcPr>
            <w:tcW w:type="dxa" w:w="2078"/>
          </w:tcPr>
          <w:p>
            <w:r>
              <w:rPr>
                <w:rFonts w:ascii="Times New Roman" w:hAnsi="Times New Roman"/>
                <w:sz w:val="20"/>
              </w:rPr>
              <w:t>Structure modifiée ; moindre immunogénicité théorique</w:t>
            </w:r>
          </w:p>
        </w:tc>
        <w:tc>
          <w:tcPr>
            <w:tcW w:type="dxa" w:w="2078"/>
          </w:tcPr>
          <w:p>
            <w:r>
              <w:rPr>
                <w:rFonts w:ascii="Times New Roman" w:hAnsi="Times New Roman"/>
                <w:sz w:val="20"/>
              </w:rPr>
              <w:t>Demi-vie standard</w:t>
            </w:r>
          </w:p>
        </w:tc>
      </w:tr>
      <w:tr>
        <w:tc>
          <w:tcPr>
            <w:tcW w:type="dxa" w:w="2078"/>
          </w:tcPr>
          <w:p>
            <w:r>
              <w:rPr>
                <w:rFonts w:ascii="Times New Roman" w:hAnsi="Times New Roman"/>
                <w:sz w:val="20"/>
              </w:rPr>
              <w:t>B-domain truncated + Fc</w:t>
            </w:r>
          </w:p>
        </w:tc>
        <w:tc>
          <w:tcPr>
            <w:tcW w:type="dxa" w:w="2078"/>
          </w:tcPr>
          <w:p>
            <w:r>
              <w:rPr>
                <w:rFonts w:ascii="Times New Roman" w:hAnsi="Times New Roman"/>
                <w:sz w:val="20"/>
              </w:rPr>
              <w:t>Elocta/Eloctate (efmordectocog)</w:t>
            </w:r>
          </w:p>
        </w:tc>
        <w:tc>
          <w:tcPr>
            <w:tcW w:type="dxa" w:w="2078"/>
          </w:tcPr>
          <w:p>
            <w:r>
              <w:rPr>
                <w:rFonts w:ascii="Times New Roman" w:hAnsi="Times New Roman"/>
                <w:sz w:val="20"/>
              </w:rPr>
              <w:t>Demi-vie 19 h ; prophylaxie 2×/sem</w:t>
            </w:r>
          </w:p>
        </w:tc>
        <w:tc>
          <w:tcPr>
            <w:tcW w:type="dxa" w:w="2078"/>
          </w:tcPr>
          <w:p>
            <w:r>
              <w:rPr>
                <w:rFonts w:ascii="Times New Roman" w:hAnsi="Times New Roman"/>
                <w:sz w:val="20"/>
              </w:rPr>
              <w:t>Non disponible Algérie</w:t>
            </w:r>
          </w:p>
        </w:tc>
      </w:tr>
      <w:tr>
        <w:tc>
          <w:tcPr>
            <w:tcW w:type="dxa" w:w="2078"/>
          </w:tcPr>
          <w:p>
            <w:r>
              <w:rPr>
                <w:rFonts w:ascii="Times New Roman" w:hAnsi="Times New Roman"/>
                <w:sz w:val="20"/>
              </w:rPr>
              <w:t>B-domain + PEG</w:t>
            </w:r>
          </w:p>
        </w:tc>
        <w:tc>
          <w:tcPr>
            <w:tcW w:type="dxa" w:w="2078"/>
          </w:tcPr>
          <w:p>
            <w:r>
              <w:rPr>
                <w:rFonts w:ascii="Times New Roman" w:hAnsi="Times New Roman"/>
                <w:sz w:val="20"/>
              </w:rPr>
              <w:t>Adynovi, Jivi</w:t>
            </w:r>
          </w:p>
        </w:tc>
        <w:tc>
          <w:tcPr>
            <w:tcW w:type="dxa" w:w="2078"/>
          </w:tcPr>
          <w:p>
            <w:r>
              <w:rPr>
                <w:rFonts w:ascii="Times New Roman" w:hAnsi="Times New Roman"/>
                <w:sz w:val="20"/>
              </w:rPr>
              <w:t>Demi-vie 14-19 h ; prophylaxie 2×/sem</w:t>
            </w:r>
          </w:p>
        </w:tc>
        <w:tc>
          <w:tcPr>
            <w:tcW w:type="dxa" w:w="2078"/>
          </w:tcPr>
          <w:p>
            <w:r>
              <w:rPr>
                <w:rFonts w:ascii="Times New Roman" w:hAnsi="Times New Roman"/>
                <w:sz w:val="20"/>
              </w:rPr>
              <w:t>Non disponible Algérie</w:t>
            </w:r>
          </w:p>
        </w:tc>
      </w:tr>
    </w:tbl>
    <w:p/>
    <w:p>
      <w:r/>
      <w:r>
        <w:rPr>
          <w:b/>
        </w:rPr>
        <w:t>Choix en Algérie</w:t>
      </w:r>
      <w:r>
        <w:t xml:space="preserve"> : la disponibilité se limite aux rFVIII standard (demi-vie 8-14 h) et aux pdFVIII. Les EHL (efmordectocog, damoctocog, turoctocog pegol) ne sont pas commercialisés en Algérie en 2026.</w:t>
      </w:r>
    </w:p>
    <w:p>
      <w:pPr>
        <w:pStyle w:val="Heading4"/>
      </w:pPr>
      <w:r>
        <w:t>Conditionnements et dosages disponibles</w:t>
      </w:r>
    </w:p>
    <w:p>
      <w:pPr>
        <w:pStyle w:val="ListBullet"/>
      </w:pPr>
      <w:r/>
      <w:r>
        <w:rPr>
          <w:b/>
        </w:rPr>
        <w:t>250 UI</w:t>
      </w:r>
      <w:r>
        <w:t xml:space="preserve"> : pour enfants &lt; 12 kg (prophylaxie) ou adultes en prophylaxie (dose fractionnée).</w:t>
      </w:r>
    </w:p>
    <w:p>
      <w:pPr>
        <w:pStyle w:val="ListBullet"/>
      </w:pPr>
      <w:r/>
      <w:r>
        <w:rPr>
          <w:b/>
        </w:rPr>
        <w:t>500 UI</w:t>
      </w:r>
      <w:r>
        <w:t xml:space="preserve"> : dosage standard adulte (prophylaxie à 25-40 UI/kg pour 12-20 kg de poids).</w:t>
      </w:r>
    </w:p>
    <w:p>
      <w:pPr>
        <w:pStyle w:val="ListBullet"/>
      </w:pPr>
      <w:r/>
      <w:r>
        <w:rPr>
          <w:b/>
        </w:rPr>
        <w:t>1000 UI</w:t>
      </w:r>
      <w:r>
        <w:t xml:space="preserve"> : dosage adulte standard (prophylaxie à 25-40 UI/kg pour 25-40 kg).</w:t>
      </w:r>
    </w:p>
    <w:p>
      <w:pPr>
        <w:pStyle w:val="ListBullet"/>
      </w:pPr>
      <w:r/>
      <w:r>
        <w:rPr>
          <w:b/>
        </w:rPr>
        <w:t>2000 UI</w:t>
      </w:r>
      <w:r>
        <w:t xml:space="preserve"> : dosage adulte (prophylaxie à 25-40 UI/kg pour 50-80 kg).</w:t>
      </w:r>
    </w:p>
    <w:p>
      <w:pPr>
        <w:pStyle w:val="ListBullet"/>
      </w:pPr>
      <w:r/>
      <w:r>
        <w:rPr>
          <w:b/>
        </w:rPr>
        <w:t>3000 UI</w:t>
      </w:r>
      <w:r>
        <w:t xml:space="preserve"> : dosage adulte haut poids ou saignement massif.</w:t>
      </w:r>
    </w:p>
    <w:p>
      <w:pPr>
        <w:pStyle w:val="Heading3"/>
      </w:pPr>
      <w:r>
        <w:t>Sous-section 10 — Instructions et conseils au patient</w:t>
      </w:r>
    </w:p>
    <w:p>
      <w:pPr>
        <w:pStyle w:val="Heading4"/>
      </w:pPr>
      <w:r>
        <w:t>Formation à l'auto-administration à domicile</w:t>
      </w:r>
    </w:p>
    <w:p>
      <w:r>
        <w:t>L'auto-administration à domicile est un pilier de la prise en charge moderne de l'hémophilie A sévère (WFH 2020). Elle permet :</w:t>
      </w:r>
    </w:p>
    <w:p>
      <w:pPr>
        <w:pStyle w:val="ListBullet"/>
      </w:pPr>
      <w:r>
        <w:t>Une injection précoce en cas de saignement (≤ 2 h après le début des symptômes), réduisant la sévérité et la durée du saignement.</w:t>
      </w:r>
    </w:p>
    <w:p>
      <w:pPr>
        <w:pStyle w:val="ListBullet"/>
      </w:pPr>
      <w:r>
        <w:t>Une prophylaxie à domicile sans recours systématique à l'hôpital.</w:t>
      </w:r>
    </w:p>
    <w:p>
      <w:pPr>
        <w:pStyle w:val="ListBullet"/>
      </w:pPr>
      <w:r>
        <w:t>Une amélioration de la qualité de vie et de l'autonomie du patient.</w:t>
      </w:r>
    </w:p>
    <w:p>
      <w:r/>
      <w:r>
        <w:rPr>
          <w:b/>
        </w:rPr>
        <w:t>Programme de formation</w:t>
      </w:r>
      <w:r>
        <w:t xml:space="preserve"> (en hôpital de jour ou en HAD) :</w:t>
      </w:r>
    </w:p>
    <w:p>
      <w:pPr>
        <w:pStyle w:val="ListNumber"/>
      </w:pPr>
      <w:r>
        <w:t>Reconnaissance des signes de saignement (douleur articulaire, chaleur locale, raideur, impotence fonctionnelle).</w:t>
      </w:r>
    </w:p>
    <w:p>
      <w:pPr>
        <w:pStyle w:val="ListNumber"/>
      </w:pPr>
      <w:r>
        <w:t>Préparation du matériel (flacon de FVIII, solvant EPPI, seringue, aiguille filtre, aiguille d'injection, compresses imbibées d'alcool, garrot, pansement).</w:t>
      </w:r>
    </w:p>
    <w:p>
      <w:pPr>
        <w:pStyle w:val="ListNumber"/>
      </w:pPr>
      <w:r>
        <w:t>Reconstitution de la solution (mouvement rotatif doux, pas d'agitation vigoureuse).</w:t>
      </w:r>
    </w:p>
    <w:p>
      <w:pPr>
        <w:pStyle w:val="ListNumber"/>
      </w:pPr>
      <w:r>
        <w:t>Désinfection du site d'injection.</w:t>
      </w:r>
    </w:p>
    <w:p>
      <w:pPr>
        <w:pStyle w:val="ListNumber"/>
      </w:pPr>
      <w:r>
        <w:t>Pose du garrot, repérage de la veine (dos de la main, pli du coude, avant-bras).</w:t>
      </w:r>
    </w:p>
    <w:p>
      <w:pPr>
        <w:pStyle w:val="ListNumber"/>
      </w:pPr>
      <w:r>
        <w:t>Ponction veineuse, vérification du reflux sanguin.</w:t>
      </w:r>
    </w:p>
    <w:p>
      <w:pPr>
        <w:pStyle w:val="ListNumber"/>
      </w:pPr>
      <w:r>
        <w:t>Injection lente (2-3 mL/min), arrêt en cas de douleur ou de résistance.</w:t>
      </w:r>
    </w:p>
    <w:p>
      <w:pPr>
        <w:pStyle w:val="ListNumber"/>
      </w:pPr>
      <w:r>
        <w:t>Retrait de l'aiguille, compression 3-5 minutes.</w:t>
      </w:r>
    </w:p>
    <w:p>
      <w:pPr>
        <w:pStyle w:val="ListNumber"/>
      </w:pPr>
      <w:r>
        <w:t>Élimination du matériel dans conteneur DAOM.</w:t>
      </w:r>
    </w:p>
    <w:p>
      <w:pPr>
        <w:pStyle w:val="ListNumber"/>
      </w:pPr>
      <w:r>
        <w:t>Inscription dans l'agenda thérapeutique (date, lot, dose, site d'injection, effets ressentis).</w:t>
      </w:r>
    </w:p>
    <w:p>
      <w:pPr>
        <w:pStyle w:val="Heading4"/>
      </w:pPr>
      <w:r>
        <w:t>Gestion de la chaîne du froid</w:t>
      </w:r>
    </w:p>
    <w:p>
      <w:pPr>
        <w:pStyle w:val="ListBullet"/>
      </w:pPr>
      <w:r>
        <w:t xml:space="preserve">Conservation à </w:t>
      </w:r>
      <w:r>
        <w:rPr>
          <w:b/>
        </w:rPr>
        <w:t>+2 °C à +8 °C</w:t>
      </w:r>
      <w:r>
        <w:t xml:space="preserve"> (réfrigérateur, jamais congélateur).</w:t>
      </w:r>
    </w:p>
    <w:p>
      <w:pPr>
        <w:pStyle w:val="ListBullet"/>
      </w:pPr>
      <w:r>
        <w:t>Transport en sac isotherme avec accumulateurs de froid (gel réfrigérant à +4 °C).</w:t>
      </w:r>
    </w:p>
    <w:p>
      <w:pPr>
        <w:pStyle w:val="ListBullet"/>
      </w:pPr>
      <w:r>
        <w:t>En cas de transport &gt; 2 h : accumulateurs de froid + sac isotherme.</w:t>
      </w:r>
    </w:p>
    <w:p>
      <w:pPr>
        <w:pStyle w:val="ListBullet"/>
      </w:pPr>
      <w:r>
        <w:t>Ne jamais exposer à la lumière directe du soleil.</w:t>
      </w:r>
    </w:p>
    <w:p>
      <w:pPr>
        <w:pStyle w:val="ListBullet"/>
      </w:pPr>
      <w:r>
        <w:t>Ne jamais recongeler un flacon décongelé.</w:t>
      </w:r>
    </w:p>
    <w:p>
      <w:pPr>
        <w:pStyle w:val="ListBullet"/>
      </w:pPr>
      <w:r>
        <w:t>Vérifier la date de péremption avant utilisation.</w:t>
      </w:r>
    </w:p>
    <w:p>
      <w:pPr>
        <w:pStyle w:val="ListBullet"/>
      </w:pPr>
      <w:r>
        <w:t>Vérifier l'aspect de la poudre (lyophilisat blanc, sans coloration anormale).</w:t>
      </w:r>
    </w:p>
    <w:p>
      <w:pPr>
        <w:pStyle w:val="ListBullet"/>
      </w:pPr>
      <w:r>
        <w:t xml:space="preserve">La solution reconstituée doit être utilisée dans les </w:t>
      </w:r>
      <w:r>
        <w:rPr>
          <w:b/>
        </w:rPr>
        <w:t>3 h</w:t>
      </w:r>
      <w:r>
        <w:t xml:space="preserve"> après reconstitution (selon spécialité ; vérifier RCP).</w:t>
      </w:r>
    </w:p>
    <w:p>
      <w:pPr>
        <w:pStyle w:val="Heading4"/>
      </w:pPr>
      <w:r>
        <w:t>Reconstitution du FVIII</w:t>
      </w:r>
    </w:p>
    <w:p>
      <w:pPr>
        <w:pStyle w:val="ListNumber"/>
      </w:pPr>
      <w:r>
        <w:t>Sortir le flacon du réfrigérateur 10-15 minutes avant reconstitution (atteindre température ambiante 20-25 °C, pour éviter la condensation dans le flacon).</w:t>
      </w:r>
    </w:p>
    <w:p>
      <w:pPr>
        <w:pStyle w:val="ListNumber"/>
      </w:pPr>
      <w:r>
        <w:t>Lavage des mains, désinfection du bouchon du flacon.</w:t>
      </w:r>
    </w:p>
    <w:p>
      <w:pPr>
        <w:pStyle w:val="ListNumber"/>
      </w:pPr>
      <w:r>
        <w:t>Retirer le capuchon de l'aiguille de transfert, insérer dans le bouchon du flacon de solvant.</w:t>
      </w:r>
    </w:p>
    <w:p>
      <w:pPr>
        <w:pStyle w:val="ListNumber"/>
      </w:pPr>
      <w:r>
        <w:t>Retourner l'ensemble (flacon solvant en haut), transférer le solvant dans le flacon de poudre par aspiration douce.</w:t>
      </w:r>
    </w:p>
    <w:p>
      <w:pPr>
        <w:pStyle w:val="ListNumber"/>
      </w:pPr>
      <w:r>
        <w:t>Retirer la seringue, garder l'aiguille de transfert en place.</w:t>
      </w:r>
    </w:p>
    <w:p>
      <w:pPr>
        <w:pStyle w:val="ListNumber"/>
      </w:pPr>
      <w:r>
        <w:t>Agiter doucement par mouvements rotatifs (jamais vigoureusement) jusqu'à dissolution complète (1-3 minutes).</w:t>
      </w:r>
    </w:p>
    <w:p>
      <w:pPr>
        <w:pStyle w:val="ListNumber"/>
      </w:pPr>
      <w:r>
        <w:t>La solution doit être limpide, incolore à légèrement opalescente. Si turbidité, particules, coloration anormale : ne pas utiliser, éliminer, contacter le pharmacien.</w:t>
      </w:r>
    </w:p>
    <w:p>
      <w:pPr>
        <w:pStyle w:val="ListNumber"/>
      </w:pPr>
      <w:r>
        <w:t>Retourner le flacon, aspirer la solution dans la seringue.</w:t>
      </w:r>
    </w:p>
    <w:p>
      <w:pPr>
        <w:pStyle w:val="ListNumber"/>
      </w:pPr>
      <w:r>
        <w:t>Remplacer l'aiguille de transfert par l'aiguille filtre, puis l'aiguille d'injection.</w:t>
      </w:r>
    </w:p>
    <w:p>
      <w:pPr>
        <w:pStyle w:val="ListNumber"/>
      </w:pPr>
      <w:r>
        <w:t>Purger la seringue (éliminer l'air).</w:t>
      </w:r>
    </w:p>
    <w:p>
      <w:pPr>
        <w:pStyle w:val="Heading4"/>
      </w:pPr>
      <w:r>
        <w:t>Conseils spécifiques au patient algérien</w:t>
      </w:r>
    </w:p>
    <w:p>
      <w:pPr>
        <w:pStyle w:val="ListBullet"/>
      </w:pPr>
      <w:r>
        <w:t>Carte de patient hémophile (à porter sur soi en permanence), indiquant le type d'hémophilie, le traitement prophylactique, le centre de référence.</w:t>
      </w:r>
    </w:p>
    <w:p>
      <w:pPr>
        <w:pStyle w:val="ListBullet"/>
      </w:pPr>
      <w:r>
        <w:t>Numéro de téléphone du centre de référence hémophilie du CHU le plus proche (Alger, Oran, Constantine, Annaba, Sétif).</w:t>
      </w:r>
    </w:p>
    <w:p>
      <w:pPr>
        <w:pStyle w:val="ListBullet"/>
      </w:pPr>
      <w:r>
        <w:t>Numéro d'urgence SAMU (14 ou 16) pour signalement en cas de saignement grave.</w:t>
      </w:r>
    </w:p>
    <w:p>
      <w:pPr>
        <w:pStyle w:val="ListBullet"/>
      </w:pPr>
      <w:r>
        <w:t>Éviter les activités à risque de traumatisme (sports de contact, plongée, escalade) ; privilégier la natation, le vélo (avec casque), la marche.</w:t>
      </w:r>
    </w:p>
    <w:p>
      <w:pPr>
        <w:pStyle w:val="ListBullet"/>
      </w:pPr>
      <w:r>
        <w:t>Éviter les IM (injecter IM un hémophile peut déclencher un hématome musculaire grave) ; préférer la voie SC ou PO pour les autres traitements.</w:t>
      </w:r>
    </w:p>
    <w:p>
      <w:pPr>
        <w:pStyle w:val="ListBullet"/>
      </w:pPr>
      <w:r>
        <w:t>Éviter l'aspirine et les AINS (sauf paracétamol, codéine, tramadol pour l'analgésie).</w:t>
      </w:r>
    </w:p>
    <w:p>
      <w:pPr>
        <w:pStyle w:val="ListBullet"/>
      </w:pPr>
      <w:r>
        <w:t>Prévention bucco-dentaire rigoureuse (brossage 2×/jour, fil dentaire, consultations semestrielles) pour éviter les extractions dentaires (à risque hémorragique).</w:t>
      </w:r>
    </w:p>
    <w:p>
      <w:pPr>
        <w:pStyle w:val="ListBullet"/>
      </w:pPr>
      <w:r>
        <w:t>Vaccination hépatite A et B (si non immunisé).</w:t>
      </w:r>
    </w:p>
    <w:p>
      <w:pPr>
        <w:pStyle w:val="ListBullet"/>
      </w:pPr>
      <w:r>
        <w:t>Éviter la vaccination IM (préférer SC).</w:t>
      </w:r>
    </w:p>
    <w:p>
      <w:pPr>
        <w:pStyle w:val="Heading3"/>
      </w:pPr>
      <w:r>
        <w:t>Sous-section 11 — Notes, règles d'or et pièges au comptoir</w:t>
      </w:r>
    </w:p>
    <w:p>
      <w:pPr>
        <w:pStyle w:val="Heading4"/>
      </w:pPr>
      <w:r>
        <w:t>Règles d'or</w:t>
      </w:r>
    </w:p>
    <w:p>
      <w:pPr>
        <w:pStyle w:val="ListNumber"/>
      </w:pPr>
      <w:r/>
      <w:r>
        <w:rPr>
          <w:b/>
        </w:rPr>
        <w:t>Toujours vérifier la chaîne du froid</w:t>
      </w:r>
      <w:r>
        <w:t xml:space="preserve"> avant dispensation (transport en sac isotherme).</w:t>
      </w:r>
    </w:p>
    <w:p>
      <w:pPr>
        <w:pStyle w:val="ListNumber"/>
      </w:pPr>
      <w:r/>
      <w:r>
        <w:rPr>
          <w:b/>
        </w:rPr>
        <w:t>Toujours vérifier l'aspect de la solution reconstituée</w:t>
      </w:r>
      <w:r>
        <w:t xml:space="preserve"> (limpide, sans particules).</w:t>
      </w:r>
    </w:p>
    <w:p>
      <w:pPr>
        <w:pStyle w:val="ListNumber"/>
      </w:pPr>
      <w:r/>
      <w:r>
        <w:rPr>
          <w:b/>
        </w:rPr>
        <w:t>Toujours vérifier la date de péremption</w:t>
      </w:r>
      <w:r>
        <w:t xml:space="preserve"> (durée de conservation généralement 2-3 ans à +2 °C à +8 °C).</w:t>
      </w:r>
    </w:p>
    <w:p>
      <w:pPr>
        <w:pStyle w:val="ListNumber"/>
      </w:pPr>
      <w:r/>
      <w:r>
        <w:rPr>
          <w:b/>
        </w:rPr>
        <w:t>Toujours respecter la voie IV stricte</w:t>
      </w:r>
      <w:r>
        <w:t xml:space="preserve"> (jamais IM, jamais SC).</w:t>
      </w:r>
    </w:p>
    <w:p>
      <w:pPr>
        <w:pStyle w:val="ListNumber"/>
      </w:pPr>
      <w:r/>
      <w:r>
        <w:rPr>
          <w:b/>
        </w:rPr>
        <w:t>Toujours perfuser lentement</w:t>
      </w:r>
      <w:r>
        <w:t xml:space="preserve"> (2-3 mL/min).</w:t>
      </w:r>
    </w:p>
    <w:p>
      <w:pPr>
        <w:pStyle w:val="ListNumber"/>
      </w:pPr>
      <w:r/>
      <w:r>
        <w:rPr>
          <w:b/>
        </w:rPr>
        <w:t>Toujours utiliser l'aiguille filtre fournie</w:t>
      </w:r>
      <w:r>
        <w:t xml:space="preserve"> dans le kit (élimination des agrégats protéiques).</w:t>
      </w:r>
    </w:p>
    <w:p>
      <w:pPr>
        <w:pStyle w:val="ListNumber"/>
      </w:pPr>
      <w:r/>
      <w:r>
        <w:rPr>
          <w:b/>
        </w:rPr>
        <w:t>Toujours étiqueter nominativement</w:t>
      </w:r>
      <w:r>
        <w:t xml:space="preserve"> le flacon (nom patient, n° lot, date d'administration).</w:t>
      </w:r>
    </w:p>
    <w:p>
      <w:pPr>
        <w:pStyle w:val="ListNumber"/>
      </w:pPr>
      <w:r/>
      <w:r>
        <w:rPr>
          <w:b/>
        </w:rPr>
        <w:t>Toujours respecter la traçabilité nominative</w:t>
      </w:r>
      <w:r>
        <w:t xml:space="preserve"> (registre CNTS).</w:t>
      </w:r>
    </w:p>
    <w:p>
      <w:pPr>
        <w:pStyle w:val="ListNumber"/>
      </w:pPr>
      <w:r/>
      <w:r>
        <w:rPr>
          <w:b/>
        </w:rPr>
        <w:t>Toujours dépister les inhibiteurs</w:t>
      </w:r>
      <w:r>
        <w:t xml:space="preserve"> par test Bethesda tous les 3-6 mois la première année, puis annuel.</w:t>
      </w:r>
    </w:p>
    <w:p>
      <w:pPr>
        <w:pStyle w:val="ListNumber"/>
      </w:pPr>
      <w:r/>
      <w:r>
        <w:rPr>
          <w:b/>
        </w:rPr>
        <w:t>Toujours notifier</w:t>
      </w:r>
      <w:r>
        <w:t xml:space="preserve"> les EI graves au CNPV.</w:t>
      </w:r>
    </w:p>
    <w:p>
      <w:pPr>
        <w:pStyle w:val="Heading4"/>
      </w:pPr>
      <w:r>
        <w:t>Pièges à éviter</w:t>
      </w:r>
    </w:p>
    <w:p>
      <w:pPr>
        <w:pStyle w:val="ListNumber"/>
      </w:pPr>
      <w:r/>
      <w:r>
        <w:rPr>
          <w:b/>
        </w:rPr>
        <w:t>Confusion hémophilie A vs hémophilie B</w:t>
      </w:r>
      <w:r>
        <w:t xml:space="preserve"> : ne pas confondre FVIII (hémophilie A) et FIX (hémophilie B) — la posologie, la demi-vie et la fréquence d'administration diffèrent.</w:t>
      </w:r>
    </w:p>
    <w:p>
      <w:pPr>
        <w:pStyle w:val="ListNumber"/>
      </w:pPr>
      <w:r/>
      <w:r>
        <w:rPr>
          <w:b/>
        </w:rPr>
        <w:t>Confusion pdFVIII vs rFVIII</w:t>
      </w:r>
      <w:r>
        <w:t xml:space="preserve"> : les pdFVIII (HAEMOCTIN SDH, OCTANATE, HEMOREL-A) contiennent du VWF, ce qui est bénéfique dans la maladie de Willebrand mais potentiellement thrombogène chez d'autres patients.</w:t>
      </w:r>
    </w:p>
    <w:p>
      <w:pPr>
        <w:pStyle w:val="ListNumber"/>
      </w:pPr>
      <w:r/>
      <w:r>
        <w:rPr>
          <w:b/>
        </w:rPr>
        <w:t>Confusion dosage du flacon</w:t>
      </w:r>
      <w:r>
        <w:t xml:space="preserve"> : toujours vérifier le nombre d'UI par flacon (250/500/1000/2000/3000) avant administration.</w:t>
      </w:r>
    </w:p>
    <w:p>
      <w:pPr>
        <w:pStyle w:val="ListNumber"/>
      </w:pPr>
      <w:r/>
      <w:r>
        <w:rPr>
          <w:b/>
        </w:rPr>
        <w:t>Erreur de calcul de dose</w:t>
      </w:r>
      <w:r>
        <w:t xml:space="preserve"> : la formule classique est </w:t>
      </w:r>
      <w:r>
        <w:rPr>
          <w:b/>
        </w:rPr>
        <w:t>Dose (UI) = Poids (kg) × ΔFVIII souhaité (UI/dL) × 0,5</w:t>
      </w:r>
      <w:r>
        <w:t>. Ne pas inverser le facteur.</w:t>
      </w:r>
    </w:p>
    <w:p>
      <w:pPr>
        <w:pStyle w:val="ListNumber"/>
      </w:pPr>
      <w:r/>
      <w:r>
        <w:rPr>
          <w:b/>
        </w:rPr>
        <w:t>Rupture de chaîne du froid</w:t>
      </w:r>
      <w:r>
        <w:t xml:space="preserve"> : un flacon resté &gt; 4 h à température ambiante doit être éliminé.</w:t>
      </w:r>
    </w:p>
    <w:p>
      <w:pPr>
        <w:pStyle w:val="ListNumber"/>
      </w:pPr>
      <w:r/>
      <w:r>
        <w:rPr>
          <w:b/>
        </w:rPr>
        <w:t>Perfusion trop rapide</w:t>
      </w:r>
      <w:r>
        <w:t xml:space="preserve"> : risque d'hypotension, de flush facial, de tachycardie.</w:t>
      </w:r>
    </w:p>
    <w:p>
      <w:pPr>
        <w:pStyle w:val="ListNumber"/>
      </w:pPr>
      <w:r/>
      <w:r>
        <w:rPr>
          <w:b/>
        </w:rPr>
        <w:t>Mélange avec d'autres médicaments</w:t>
      </w:r>
      <w:r>
        <w:t xml:space="preserve"> : ne jamais ajouter de médicament au flacon de FVIII.</w:t>
      </w:r>
    </w:p>
    <w:p>
      <w:pPr>
        <w:pStyle w:val="ListNumber"/>
      </w:pPr>
      <w:r/>
      <w:r>
        <w:rPr>
          <w:b/>
        </w:rPr>
        <w:t>Sous-dosage en prophylaxie</w:t>
      </w:r>
      <w:r>
        <w:t xml:space="preserve"> : la prophylaxie primaire doit maintenir un taux résiduel de FVIII:C ≥ 1 UI/dL (idéalement ≥ 3 UI/dL) pour prévenir les saignements. Si saignement à répétition, augmenter la dose ou la fréquence.</w:t>
      </w:r>
    </w:p>
    <w:p>
      <w:pPr>
        <w:pStyle w:val="ListNumber"/>
      </w:pPr>
      <w:r/>
      <w:r>
        <w:rPr>
          <w:b/>
        </w:rPr>
        <w:t>Sur-dosage en cas d'inhibiteur</w:t>
      </w:r>
      <w:r>
        <w:t xml:space="preserve"> : chez un patient avec inhibiteur de haut titre, le FVIII est inefficace → utiliser by-passing agents.</w:t>
      </w:r>
    </w:p>
    <w:p>
      <w:pPr>
        <w:pStyle w:val="ListNumber"/>
      </w:pPr>
      <w:r/>
      <w:r>
        <w:rPr>
          <w:b/>
        </w:rPr>
        <w:t>Oubli du dépistage inhibiteur</w:t>
      </w:r>
      <w:r>
        <w:t xml:space="preserve"> : devant tout échec thérapeutique (saignement non contrôlé malgré dose adaptée), doser le test de Bethesda.</w:t>
      </w:r>
    </w:p>
    <w:p>
      <w:pPr>
        <w:pStyle w:val="ListNumber"/>
      </w:pPr>
      <w:r/>
      <w:r>
        <w:rPr>
          <w:b/>
        </w:rPr>
        <w:t>Confusion des voies veineuses</w:t>
      </w:r>
      <w:r>
        <w:t xml:space="preserve"> : chez l'enfant, préférer les cathéters veineux centraux implantables (Port-a-Cath) pour la prophylaxie au long cours.</w:t>
      </w:r>
    </w:p>
    <w:p>
      <w:pPr>
        <w:pStyle w:val="ListNumber"/>
      </w:pPr>
      <w:r/>
      <w:r>
        <w:rPr>
          <w:b/>
        </w:rPr>
        <w:t>Vaccination IM</w:t>
      </w:r>
      <w:r>
        <w:t xml:space="preserve"> : chez l'hémophile, vacciner en SC (rougeole, rubéole, oreillons, hépatite B, tétanos, grippe) ; en cas d'IM indispensable (vaccin rage, VHB en IM), injecter avec aiguille fine après compression prolongée.</w:t>
      </w:r>
    </w:p>
    <w:p>
      <w:pPr>
        <w:pStyle w:val="Heading4"/>
      </w:pPr>
      <w:r>
        <w:t>Pièges spécifiques au contexte algérien</w:t>
      </w:r>
    </w:p>
    <w:p>
      <w:pPr>
        <w:pStyle w:val="ListNumber"/>
      </w:pPr>
      <w:r/>
      <w:r>
        <w:rPr>
          <w:b/>
        </w:rPr>
        <w:t>Disponibilité variable</w:t>
      </w:r>
      <w:r>
        <w:t xml:space="preserve"> selon les régions et les CHU : prévoir un stock de sécurité en PUI pour la prophylaxie des patients.</w:t>
      </w:r>
    </w:p>
    <w:p>
      <w:pPr>
        <w:pStyle w:val="ListNumber"/>
      </w:pPr>
      <w:r/>
      <w:r>
        <w:rPr>
          <w:b/>
        </w:rPr>
        <w:t>Coût élevé</w:t>
      </w:r>
      <w:r>
        <w:t xml:space="preserve"> : ~1000-2000 DA pour 500 UI (varie selon spécialité) ; prophylaxie adulte à 40 UI/kg 3×/semaine = 12 000-24 000 DA/semaine = 600 000-1 200 000 DA/an. Prise en charge CNAS 100 % dans le cadre ALD.</w:t>
      </w:r>
    </w:p>
    <w:p>
      <w:pPr>
        <w:pStyle w:val="ListNumber"/>
      </w:pPr>
      <w:r/>
      <w:r>
        <w:rPr>
          <w:b/>
        </w:rPr>
        <w:t>Circuit de dispensation</w:t>
      </w:r>
      <w:r>
        <w:t xml:space="preserve"> : sur ordonnance hospitalière, délivrée en PUI ou en officine sur présentation d'une ordonnance hospitalière et attestation ALD.</w:t>
      </w:r>
    </w:p>
    <w:p>
      <w:pPr>
        <w:pStyle w:val="ListNumber"/>
      </w:pPr>
      <w:r/>
      <w:r>
        <w:rPr>
          <w:b/>
        </w:rPr>
        <w:t>Production locale</w:t>
      </w:r>
      <w:r>
        <w:t xml:space="preserve"> (HEMOREL-A par CPCM/Saidal) : spécialité nationale à privilégier pour des raisons de souveraineté sanitaire.</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F2F2F2"/>
          </w:tcPr>
          <w:p>
            <w:r>
              <w:rPr>
                <w:rFonts w:ascii="Times New Roman" w:hAnsi="Times New Roman"/>
                <w:b/>
                <w:sz w:val="20"/>
              </w:rPr>
              <w:t>Spécialité</w:t>
            </w:r>
          </w:p>
        </w:tc>
        <w:tc>
          <w:tcPr>
            <w:tcW w:type="dxa" w:w="1039"/>
            <w:shd w:val="clear" w:color="auto" w:fill="F2F2F2"/>
          </w:tcPr>
          <w:p>
            <w:r>
              <w:rPr>
                <w:rFonts w:ascii="Times New Roman" w:hAnsi="Times New Roman"/>
                <w:b/>
                <w:sz w:val="20"/>
              </w:rPr>
              <w:t>DCI</w:t>
            </w:r>
          </w:p>
        </w:tc>
        <w:tc>
          <w:tcPr>
            <w:tcW w:type="dxa" w:w="1039"/>
            <w:shd w:val="clear" w:color="auto" w:fill="F2F2F2"/>
          </w:tcPr>
          <w:p>
            <w:r>
              <w:rPr>
                <w:rFonts w:ascii="Times New Roman" w:hAnsi="Times New Roman"/>
                <w:b/>
                <w:sz w:val="20"/>
              </w:rPr>
              <w:t>Origine</w:t>
            </w:r>
          </w:p>
        </w:tc>
        <w:tc>
          <w:tcPr>
            <w:tcW w:type="dxa" w:w="1039"/>
            <w:shd w:val="clear" w:color="auto" w:fill="F2F2F2"/>
          </w:tcPr>
          <w:p>
            <w:r>
              <w:rPr>
                <w:rFonts w:ascii="Times New Roman" w:hAnsi="Times New Roman"/>
                <w:b/>
                <w:sz w:val="20"/>
              </w:rPr>
              <w:t>Dosage</w:t>
            </w:r>
          </w:p>
        </w:tc>
        <w:tc>
          <w:tcPr>
            <w:tcW w:type="dxa" w:w="1039"/>
            <w:shd w:val="clear" w:color="auto" w:fill="F2F2F2"/>
          </w:tcPr>
          <w:p>
            <w:r>
              <w:rPr>
                <w:rFonts w:ascii="Times New Roman" w:hAnsi="Times New Roman"/>
                <w:b/>
                <w:sz w:val="20"/>
              </w:rPr>
              <w:t>Laboratoire</w:t>
            </w:r>
          </w:p>
        </w:tc>
        <w:tc>
          <w:tcPr>
            <w:tcW w:type="dxa" w:w="1039"/>
            <w:shd w:val="clear" w:color="auto" w:fill="F2F2F2"/>
          </w:tcPr>
          <w:p>
            <w:r>
              <w:rPr>
                <w:rFonts w:ascii="Times New Roman" w:hAnsi="Times New Roman"/>
                <w:b/>
                <w:sz w:val="20"/>
              </w:rPr>
              <w:t>Demi-vie</w:t>
            </w:r>
          </w:p>
        </w:tc>
        <w:tc>
          <w:tcPr>
            <w:tcW w:type="dxa" w:w="1039"/>
            <w:shd w:val="clear" w:color="auto" w:fill="F2F2F2"/>
          </w:tcPr>
          <w:p>
            <w:r>
              <w:rPr>
                <w:rFonts w:ascii="Times New Roman" w:hAnsi="Times New Roman"/>
                <w:b/>
                <w:sz w:val="20"/>
              </w:rPr>
              <w:t>Contenu VWF</w:t>
            </w:r>
          </w:p>
        </w:tc>
        <w:tc>
          <w:tcPr>
            <w:tcW w:type="dxa" w:w="1039"/>
            <w:shd w:val="clear" w:color="auto" w:fill="F2F2F2"/>
          </w:tcPr>
          <w:p>
            <w:r>
              <w:rPr>
                <w:rFonts w:ascii="Times New Roman" w:hAnsi="Times New Roman"/>
                <w:b/>
                <w:sz w:val="20"/>
              </w:rPr>
              <w:t>Statut Algérie</w:t>
            </w:r>
          </w:p>
        </w:tc>
      </w:tr>
      <w:tr>
        <w:tc>
          <w:tcPr>
            <w:tcW w:type="dxa" w:w="1039"/>
          </w:tcPr>
          <w:p>
            <w:r>
              <w:rPr>
                <w:rFonts w:ascii="Times New Roman" w:hAnsi="Times New Roman"/>
                <w:sz w:val="20"/>
              </w:rPr>
              <w:t>HAEMOCTIN SDH 500</w:t>
            </w:r>
          </w:p>
        </w:tc>
        <w:tc>
          <w:tcPr>
            <w:tcW w:type="dxa" w:w="1039"/>
          </w:tcPr>
          <w:p>
            <w:r>
              <w:rPr>
                <w:rFonts w:ascii="Times New Roman" w:hAnsi="Times New Roman"/>
                <w:sz w:val="20"/>
              </w:rPr>
              <w:t>Octocog alfa (pdFVIII)</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w:t>
            </w:r>
          </w:p>
        </w:tc>
        <w:tc>
          <w:tcPr>
            <w:tcW w:type="dxa" w:w="1039"/>
          </w:tcPr>
          <w:p>
            <w:r>
              <w:rPr>
                <w:rFonts w:ascii="Times New Roman" w:hAnsi="Times New Roman"/>
                <w:sz w:val="20"/>
              </w:rPr>
              <w:t>Biotest</w:t>
            </w:r>
          </w:p>
        </w:tc>
        <w:tc>
          <w:tcPr>
            <w:tcW w:type="dxa" w:w="1039"/>
          </w:tcPr>
          <w:p>
            <w:r>
              <w:rPr>
                <w:rFonts w:ascii="Times New Roman" w:hAnsi="Times New Roman"/>
                <w:sz w:val="20"/>
              </w:rPr>
              <w:t>12-15 h</w:t>
            </w:r>
          </w:p>
        </w:tc>
        <w:tc>
          <w:tcPr>
            <w:tcW w:type="dxa" w:w="1039"/>
          </w:tcPr>
          <w:p>
            <w:r>
              <w:rPr>
                <w:rFonts w:ascii="Times New Roman" w:hAnsi="Times New Roman"/>
                <w:sz w:val="20"/>
              </w:rPr>
              <w:t>Oui</w:t>
            </w:r>
          </w:p>
        </w:tc>
        <w:tc>
          <w:tcPr>
            <w:tcW w:type="dxa" w:w="1039"/>
          </w:tcPr>
          <w:p>
            <w:r>
              <w:rPr>
                <w:rFonts w:ascii="Times New Roman" w:hAnsi="Times New Roman"/>
                <w:sz w:val="20"/>
              </w:rPr>
              <w:t>Actif</w:t>
            </w:r>
          </w:p>
        </w:tc>
      </w:tr>
      <w:tr>
        <w:tc>
          <w:tcPr>
            <w:tcW w:type="dxa" w:w="1039"/>
          </w:tcPr>
          <w:p>
            <w:r>
              <w:rPr>
                <w:rFonts w:ascii="Times New Roman" w:hAnsi="Times New Roman"/>
                <w:sz w:val="20"/>
              </w:rPr>
              <w:t>HEMOREL-A</w:t>
            </w:r>
          </w:p>
        </w:tc>
        <w:tc>
          <w:tcPr>
            <w:tcW w:type="dxa" w:w="1039"/>
          </w:tcPr>
          <w:p>
            <w:r>
              <w:rPr>
                <w:rFonts w:ascii="Times New Roman" w:hAnsi="Times New Roman"/>
                <w:sz w:val="20"/>
              </w:rPr>
              <w:t>Octocog alfa (pdFVIII)</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w:t>
            </w:r>
          </w:p>
        </w:tc>
        <w:tc>
          <w:tcPr>
            <w:tcW w:type="dxa" w:w="1039"/>
          </w:tcPr>
          <w:p>
            <w:r>
              <w:rPr>
                <w:rFonts w:ascii="Times New Roman" w:hAnsi="Times New Roman"/>
                <w:sz w:val="20"/>
              </w:rPr>
              <w:t>CPCM/Saidal</w:t>
            </w:r>
          </w:p>
        </w:tc>
        <w:tc>
          <w:tcPr>
            <w:tcW w:type="dxa" w:w="1039"/>
          </w:tcPr>
          <w:p>
            <w:r>
              <w:rPr>
                <w:rFonts w:ascii="Times New Roman" w:hAnsi="Times New Roman"/>
                <w:sz w:val="20"/>
              </w:rPr>
              <w:t>12-15 h</w:t>
            </w:r>
          </w:p>
        </w:tc>
        <w:tc>
          <w:tcPr>
            <w:tcW w:type="dxa" w:w="1039"/>
          </w:tcPr>
          <w:p>
            <w:r>
              <w:rPr>
                <w:rFonts w:ascii="Times New Roman" w:hAnsi="Times New Roman"/>
                <w:sz w:val="20"/>
              </w:rPr>
              <w:t>Oui</w:t>
            </w:r>
          </w:p>
        </w:tc>
        <w:tc>
          <w:tcPr>
            <w:tcW w:type="dxa" w:w="1039"/>
          </w:tcPr>
          <w:p>
            <w:r>
              <w:rPr>
                <w:rFonts w:ascii="Times New Roman" w:hAnsi="Times New Roman"/>
                <w:sz w:val="20"/>
              </w:rPr>
              <w:t>Actif</w:t>
            </w:r>
          </w:p>
        </w:tc>
      </w:tr>
      <w:tr>
        <w:tc>
          <w:tcPr>
            <w:tcW w:type="dxa" w:w="1039"/>
          </w:tcPr>
          <w:p>
            <w:r>
              <w:rPr>
                <w:rFonts w:ascii="Times New Roman" w:hAnsi="Times New Roman"/>
                <w:sz w:val="20"/>
              </w:rPr>
              <w:t>OCTANATE 500</w:t>
            </w:r>
          </w:p>
        </w:tc>
        <w:tc>
          <w:tcPr>
            <w:tcW w:type="dxa" w:w="1039"/>
          </w:tcPr>
          <w:p>
            <w:r>
              <w:rPr>
                <w:rFonts w:ascii="Times New Roman" w:hAnsi="Times New Roman"/>
                <w:sz w:val="20"/>
              </w:rPr>
              <w:t>Octocog alfa (pdFVIII)</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w:t>
            </w:r>
          </w:p>
        </w:tc>
        <w:tc>
          <w:tcPr>
            <w:tcW w:type="dxa" w:w="1039"/>
          </w:tcPr>
          <w:p>
            <w:r>
              <w:rPr>
                <w:rFonts w:ascii="Times New Roman" w:hAnsi="Times New Roman"/>
                <w:sz w:val="20"/>
              </w:rPr>
              <w:t>Octapharma</w:t>
            </w:r>
          </w:p>
        </w:tc>
        <w:tc>
          <w:tcPr>
            <w:tcW w:type="dxa" w:w="1039"/>
          </w:tcPr>
          <w:p>
            <w:r>
              <w:rPr>
                <w:rFonts w:ascii="Times New Roman" w:hAnsi="Times New Roman"/>
                <w:sz w:val="20"/>
              </w:rPr>
              <w:t>12-15 h</w:t>
            </w:r>
          </w:p>
        </w:tc>
        <w:tc>
          <w:tcPr>
            <w:tcW w:type="dxa" w:w="1039"/>
          </w:tcPr>
          <w:p>
            <w:r>
              <w:rPr>
                <w:rFonts w:ascii="Times New Roman" w:hAnsi="Times New Roman"/>
                <w:sz w:val="20"/>
              </w:rPr>
              <w:t>Oui</w:t>
            </w:r>
          </w:p>
        </w:tc>
        <w:tc>
          <w:tcPr>
            <w:tcW w:type="dxa" w:w="1039"/>
          </w:tcPr>
          <w:p>
            <w:r>
              <w:rPr>
                <w:rFonts w:ascii="Times New Roman" w:hAnsi="Times New Roman"/>
                <w:sz w:val="20"/>
              </w:rPr>
              <w:t>Actif</w:t>
            </w:r>
          </w:p>
        </w:tc>
      </w:tr>
      <w:tr>
        <w:tc>
          <w:tcPr>
            <w:tcW w:type="dxa" w:w="1039"/>
          </w:tcPr>
          <w:p>
            <w:r>
              <w:rPr>
                <w:rFonts w:ascii="Times New Roman" w:hAnsi="Times New Roman"/>
                <w:sz w:val="20"/>
              </w:rPr>
              <w:t>KOVALTRY 250/500/1000</w:t>
            </w:r>
          </w:p>
        </w:tc>
        <w:tc>
          <w:tcPr>
            <w:tcW w:type="dxa" w:w="1039"/>
          </w:tcPr>
          <w:p>
            <w:r>
              <w:rPr>
                <w:rFonts w:ascii="Times New Roman" w:hAnsi="Times New Roman"/>
                <w:sz w:val="20"/>
              </w:rPr>
              <w:t>Octocog alfa (rFVIII full-length)</w:t>
            </w:r>
          </w:p>
        </w:tc>
        <w:tc>
          <w:tcPr>
            <w:tcW w:type="dxa" w:w="1039"/>
          </w:tcPr>
          <w:p>
            <w:r>
              <w:rPr>
                <w:rFonts w:ascii="Times New Roman" w:hAnsi="Times New Roman"/>
                <w:sz w:val="20"/>
              </w:rPr>
              <w:t>Recombinant BHK</w:t>
            </w:r>
          </w:p>
        </w:tc>
        <w:tc>
          <w:tcPr>
            <w:tcW w:type="dxa" w:w="1039"/>
          </w:tcPr>
          <w:p>
            <w:r>
              <w:rPr>
                <w:rFonts w:ascii="Times New Roman" w:hAnsi="Times New Roman"/>
                <w:sz w:val="20"/>
              </w:rPr>
              <w:t>250/500/1000 UI</w:t>
            </w:r>
          </w:p>
        </w:tc>
        <w:tc>
          <w:tcPr>
            <w:tcW w:type="dxa" w:w="1039"/>
          </w:tcPr>
          <w:p>
            <w:r>
              <w:rPr>
                <w:rFonts w:ascii="Times New Roman" w:hAnsi="Times New Roman"/>
                <w:sz w:val="20"/>
              </w:rPr>
              <w:t>Bayer</w:t>
            </w:r>
          </w:p>
        </w:tc>
        <w:tc>
          <w:tcPr>
            <w:tcW w:type="dxa" w:w="1039"/>
          </w:tcPr>
          <w:p>
            <w:r>
              <w:rPr>
                <w:rFonts w:ascii="Times New Roman" w:hAnsi="Times New Roman"/>
                <w:sz w:val="20"/>
              </w:rPr>
              <w:t>14 h</w:t>
            </w:r>
          </w:p>
        </w:tc>
        <w:tc>
          <w:tcPr>
            <w:tcW w:type="dxa" w:w="1039"/>
          </w:tcPr>
          <w:p>
            <w:r>
              <w:rPr>
                <w:rFonts w:ascii="Times New Roman" w:hAnsi="Times New Roman"/>
                <w:sz w:val="20"/>
              </w:rPr>
              <w:t>Non</w:t>
            </w:r>
          </w:p>
        </w:tc>
        <w:tc>
          <w:tcPr>
            <w:tcW w:type="dxa" w:w="1039"/>
          </w:tcPr>
          <w:p>
            <w:r>
              <w:rPr>
                <w:rFonts w:ascii="Times New Roman" w:hAnsi="Times New Roman"/>
                <w:sz w:val="20"/>
              </w:rPr>
              <w:t>Actif</w:t>
            </w:r>
          </w:p>
        </w:tc>
      </w:tr>
    </w:tbl>
    <w:p/>
    <w:p>
      <w:r/>
      <w:r>
        <w:rPr>
          <w:b/>
        </w:rPr>
        <w:t>Paramètres pharmacologiques communs</w:t>
      </w:r>
      <w:r>
        <w:t xml:space="preserve"> :</w:t>
      </w:r>
    </w:p>
    <w:tbl>
      <w:tblPr>
        <w:tblStyle w:val="LightGrid-Accent1"/>
        <w:tblW w:type="auto" w:w="0"/>
        <w:tblLayout w:type="autofit"/>
        <w:tblLook w:firstColumn="1" w:firstRow="1" w:lastColumn="0" w:lastRow="0" w:noHBand="0" w:noVBand="1" w:val="04A0"/>
      </w:tblPr>
      <w:tblGrid>
        <w:gridCol w:w="4156"/>
        <w:gridCol w:w="4156"/>
      </w:tblGrid>
      <w:tr>
        <w:tc>
          <w:tcPr>
            <w:tcW w:type="dxa" w:w="4156"/>
            <w:shd w:val="clear" w:color="auto" w:fill="F2F2F2"/>
          </w:tcPr>
          <w:p>
            <w:r>
              <w:rPr>
                <w:rFonts w:ascii="Times New Roman" w:hAnsi="Times New Roman"/>
                <w:b/>
                <w:sz w:val="20"/>
              </w:rPr>
              <w:t>Paramètre</w:t>
            </w:r>
          </w:p>
        </w:tc>
        <w:tc>
          <w:tcPr>
            <w:tcW w:type="dxa" w:w="4156"/>
            <w:shd w:val="clear" w:color="auto" w:fill="F2F2F2"/>
          </w:tcPr>
          <w:p>
            <w:r>
              <w:rPr>
                <w:rFonts w:ascii="Times New Roman" w:hAnsi="Times New Roman"/>
                <w:b/>
                <w:sz w:val="20"/>
              </w:rPr>
              <w:t>Valeur</w:t>
            </w:r>
          </w:p>
        </w:tc>
      </w:tr>
      <w:tr>
        <w:tc>
          <w:tcPr>
            <w:tcW w:type="dxa" w:w="4156"/>
          </w:tcPr>
          <w:p>
            <w:r>
              <w:rPr>
                <w:rFonts w:ascii="Times New Roman" w:hAnsi="Times New Roman"/>
                <w:sz w:val="20"/>
              </w:rPr>
              <w:t>Demi-vie plasmatique</w:t>
            </w:r>
          </w:p>
        </w:tc>
        <w:tc>
          <w:tcPr>
            <w:tcW w:type="dxa" w:w="4156"/>
          </w:tcPr>
          <w:p>
            <w:r>
              <w:rPr>
                <w:rFonts w:ascii="Times New Roman" w:hAnsi="Times New Roman"/>
                <w:sz w:val="20"/>
              </w:rPr>
              <w:t>8-15 h (selon produit)</w:t>
            </w:r>
          </w:p>
        </w:tc>
      </w:tr>
      <w:tr>
        <w:tc>
          <w:tcPr>
            <w:tcW w:type="dxa" w:w="4156"/>
          </w:tcPr>
          <w:p>
            <w:r>
              <w:rPr>
                <w:rFonts w:ascii="Times New Roman" w:hAnsi="Times New Roman"/>
                <w:sz w:val="20"/>
              </w:rPr>
              <w:t>Récovery moyen</w:t>
            </w:r>
          </w:p>
        </w:tc>
        <w:tc>
          <w:tcPr>
            <w:tcW w:type="dxa" w:w="4156"/>
          </w:tcPr>
          <w:p>
            <w:r>
              <w:rPr>
                <w:rFonts w:ascii="Times New Roman" w:hAnsi="Times New Roman"/>
                <w:sz w:val="20"/>
              </w:rPr>
              <w:t>1,5-2,5 UI/dL par UI/kg</w:t>
            </w:r>
          </w:p>
        </w:tc>
      </w:tr>
      <w:tr>
        <w:tc>
          <w:tcPr>
            <w:tcW w:type="dxa" w:w="4156"/>
          </w:tcPr>
          <w:p>
            <w:r>
              <w:rPr>
                <w:rFonts w:ascii="Times New Roman" w:hAnsi="Times New Roman"/>
                <w:sz w:val="20"/>
              </w:rPr>
              <w:t>Volume de distribution</w:t>
            </w:r>
          </w:p>
        </w:tc>
        <w:tc>
          <w:tcPr>
            <w:tcW w:type="dxa" w:w="4156"/>
          </w:tcPr>
          <w:p>
            <w:r>
              <w:rPr>
                <w:rFonts w:ascii="Times New Roman" w:hAnsi="Times New Roman"/>
                <w:sz w:val="20"/>
              </w:rPr>
              <w:t>~50 mL/kg (plasmatique)</w:t>
            </w:r>
          </w:p>
        </w:tc>
      </w:tr>
      <w:tr>
        <w:tc>
          <w:tcPr>
            <w:tcW w:type="dxa" w:w="4156"/>
          </w:tcPr>
          <w:p>
            <w:r>
              <w:rPr>
                <w:rFonts w:ascii="Times New Roman" w:hAnsi="Times New Roman"/>
                <w:sz w:val="20"/>
              </w:rPr>
              <w:t>Voie d'administration</w:t>
            </w:r>
          </w:p>
        </w:tc>
        <w:tc>
          <w:tcPr>
            <w:tcW w:type="dxa" w:w="4156"/>
          </w:tcPr>
          <w:p>
            <w:r>
              <w:rPr>
                <w:rFonts w:ascii="Times New Roman" w:hAnsi="Times New Roman"/>
                <w:sz w:val="20"/>
              </w:rPr>
              <w:t>IV stricte</w:t>
            </w:r>
          </w:p>
        </w:tc>
      </w:tr>
      <w:tr>
        <w:tc>
          <w:tcPr>
            <w:tcW w:type="dxa" w:w="4156"/>
          </w:tcPr>
          <w:p>
            <w:r>
              <w:rPr>
                <w:rFonts w:ascii="Times New Roman" w:hAnsi="Times New Roman"/>
                <w:sz w:val="20"/>
              </w:rPr>
              <w:t>Stockage</w:t>
            </w:r>
          </w:p>
        </w:tc>
        <w:tc>
          <w:tcPr>
            <w:tcW w:type="dxa" w:w="4156"/>
          </w:tcPr>
          <w:p>
            <w:r>
              <w:rPr>
                <w:rFonts w:ascii="Times New Roman" w:hAnsi="Times New Roman"/>
                <w:sz w:val="20"/>
              </w:rPr>
              <w:t>+2 °C à +8 °C (chaîne du froid)</w:t>
            </w:r>
          </w:p>
        </w:tc>
      </w:tr>
      <w:tr>
        <w:tc>
          <w:tcPr>
            <w:tcW w:type="dxa" w:w="4156"/>
          </w:tcPr>
          <w:p>
            <w:r>
              <w:rPr>
                <w:rFonts w:ascii="Times New Roman" w:hAnsi="Times New Roman"/>
                <w:sz w:val="20"/>
              </w:rPr>
              <w:t>Stabilité après reconstitution</w:t>
            </w:r>
          </w:p>
        </w:tc>
        <w:tc>
          <w:tcPr>
            <w:tcW w:type="dxa" w:w="4156"/>
          </w:tcPr>
          <w:p>
            <w:r>
              <w:rPr>
                <w:rFonts w:ascii="Times New Roman" w:hAnsi="Times New Roman"/>
                <w:sz w:val="20"/>
              </w:rPr>
              <w:t>3 h à T° ambiante (selon RCP)</w:t>
            </w:r>
          </w:p>
        </w:tc>
      </w:tr>
      <w:tr>
        <w:tc>
          <w:tcPr>
            <w:tcW w:type="dxa" w:w="4156"/>
          </w:tcPr>
          <w:p>
            <w:r>
              <w:rPr>
                <w:rFonts w:ascii="Times New Roman" w:hAnsi="Times New Roman"/>
                <w:sz w:val="20"/>
              </w:rPr>
              <w:t>Inactivation virale</w:t>
            </w:r>
          </w:p>
        </w:tc>
        <w:tc>
          <w:tcPr>
            <w:tcW w:type="dxa" w:w="4156"/>
          </w:tcPr>
          <w:p>
            <w:r>
              <w:rPr>
                <w:rFonts w:ascii="Times New Roman" w:hAnsi="Times New Roman"/>
                <w:sz w:val="20"/>
              </w:rPr>
              <w:t>SD + chaleur + nanofiltration (pdFVIII) ; aucune (rFVIII)</w:t>
            </w:r>
          </w:p>
        </w:tc>
      </w:tr>
      <w:tr>
        <w:tc>
          <w:tcPr>
            <w:tcW w:type="dxa" w:w="4156"/>
          </w:tcPr>
          <w:p>
            <w:r>
              <w:rPr>
                <w:rFonts w:ascii="Times New Roman" w:hAnsi="Times New Roman"/>
                <w:sz w:val="20"/>
              </w:rPr>
              <w:t>Excipients</w:t>
            </w:r>
          </w:p>
        </w:tc>
        <w:tc>
          <w:tcPr>
            <w:tcW w:type="dxa" w:w="4156"/>
          </w:tcPr>
          <w:p>
            <w:r>
              <w:rPr>
                <w:rFonts w:ascii="Times New Roman" w:hAnsi="Times New Roman"/>
                <w:sz w:val="20"/>
              </w:rPr>
              <w:t>Saccharose, glycine, histidine, polysorbate 80</w:t>
            </w:r>
          </w:p>
        </w:tc>
      </w:tr>
    </w:tbl>
    <w:p/>
    <w:p>
      <w:pPr>
        <w:pStyle w:val="Heading2"/>
      </w:pPr>
      <w:r>
        <w:t>232.2. DCI : Octocog alfa (libellé générique) — KOVALTRY (BAY 81-8973, Bayer)</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 (octocog alfa).</w:t>
      </w:r>
    </w:p>
    <w:p>
      <w:pPr>
        <w:pStyle w:val="ListBullet"/>
      </w:pPr>
      <w:r/>
      <w:r>
        <w:rPr>
          <w:b/>
        </w:rPr>
        <w:t>DCI</w:t>
      </w:r>
      <w:r>
        <w:t xml:space="preserve"> : Octocog alfa.</w:t>
      </w:r>
    </w:p>
    <w:p>
      <w:pPr>
        <w:pStyle w:val="ListBullet"/>
      </w:pPr>
      <w:r/>
      <w:r>
        <w:rPr>
          <w:b/>
        </w:rPr>
        <w:t>Spécialité</w:t>
      </w:r>
      <w:r>
        <w:t xml:space="preserve"> : KOVALTRY (BAY 81-8973, Bayer Pharma AG, Allemagne).</w:t>
      </w:r>
    </w:p>
    <w:p>
      <w:pPr>
        <w:pStyle w:val="ListBullet"/>
      </w:pPr>
      <w:r/>
      <w:r>
        <w:rPr>
          <w:b/>
        </w:rPr>
        <w:t>Statut réglementaire Algérie</w:t>
      </w:r>
      <w:r>
        <w:t xml:space="preserve"> : Liste I, prescription hospitalière spécialisée.</w:t>
      </w:r>
    </w:p>
    <w:p>
      <w:pPr>
        <w:pStyle w:val="ListBullet"/>
      </w:pPr>
      <w:r/>
      <w:r>
        <w:rPr>
          <w:b/>
        </w:rPr>
        <w:t>Statut OMS</w:t>
      </w:r>
      <w:r>
        <w:t xml:space="preserve"> : médicament essentiel.</w:t>
      </w:r>
    </w:p>
    <w:p>
      <w:pPr>
        <w:pStyle w:val="ListBullet"/>
      </w:pPr>
      <w:r/>
      <w:r>
        <w:rPr>
          <w:b/>
        </w:rPr>
        <w:t>Production</w:t>
      </w:r>
      <w:r>
        <w:t xml:space="preserve"> : cellules BHK (Baby Hamster Kidney) transfectées, sans protéine animale dans le milieu.</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KOVALTRY 250</w:t>
            </w:r>
          </w:p>
        </w:tc>
        <w:tc>
          <w:tcPr>
            <w:tcW w:type="dxa" w:w="1385"/>
          </w:tcPr>
          <w:p>
            <w:r>
              <w:rPr>
                <w:rFonts w:ascii="Times New Roman" w:hAnsi="Times New Roman"/>
                <w:sz w:val="20"/>
              </w:rPr>
              <w:t>Bayer Pharma AG (Allemagne)</w:t>
            </w:r>
          </w:p>
        </w:tc>
        <w:tc>
          <w:tcPr>
            <w:tcW w:type="dxa" w:w="1385"/>
          </w:tcPr>
          <w:p>
            <w:r>
              <w:rPr>
                <w:rFonts w:ascii="Times New Roman" w:hAnsi="Times New Roman"/>
                <w:sz w:val="20"/>
              </w:rPr>
              <w:t>Poudre pour solution injectable, 250 UI</w:t>
            </w:r>
          </w:p>
        </w:tc>
        <w:tc>
          <w:tcPr>
            <w:tcW w:type="dxa" w:w="1385"/>
          </w:tcPr>
          <w:p>
            <w:r>
              <w:rPr>
                <w:rFonts w:ascii="Times New Roman" w:hAnsi="Times New Roman"/>
                <w:sz w:val="20"/>
              </w:rPr>
              <w:t>1 flacon/10 mL + 1 seringue 2,5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KOVALTRY 1000</w:t>
            </w:r>
          </w:p>
        </w:tc>
        <w:tc>
          <w:tcPr>
            <w:tcW w:type="dxa" w:w="1385"/>
          </w:tcPr>
          <w:p>
            <w:r>
              <w:rPr>
                <w:rFonts w:ascii="Times New Roman" w:hAnsi="Times New Roman"/>
                <w:sz w:val="20"/>
              </w:rPr>
              <w:t>Bayer Pharma AG (Allemagne)</w:t>
            </w:r>
          </w:p>
        </w:tc>
        <w:tc>
          <w:tcPr>
            <w:tcW w:type="dxa" w:w="1385"/>
          </w:tcPr>
          <w:p>
            <w:r>
              <w:rPr>
                <w:rFonts w:ascii="Times New Roman" w:hAnsi="Times New Roman"/>
                <w:sz w:val="20"/>
              </w:rPr>
              <w:t>Poudre pour solution injectable, 1000 UI</w:t>
            </w:r>
          </w:p>
        </w:tc>
        <w:tc>
          <w:tcPr>
            <w:tcW w:type="dxa" w:w="1385"/>
          </w:tcPr>
          <w:p>
            <w:r>
              <w:rPr>
                <w:rFonts w:ascii="Times New Roman" w:hAnsi="Times New Roman"/>
                <w:sz w:val="20"/>
              </w:rPr>
              <w:t>1 flacon/10 mL + 1 seringue 2,5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KOVALTRY 500 UI est également commercialisé en Algérie sous le libellé « Octocog alfa (Facteur humain VIII anti hémophilique) » (cf. fiche 232.1). Cette particularité de libellé reflète l'évolution historique de la nomenclature algérienne ; pharmacologiquement, KOVALTRY est un produit unique (BAY 81-8973), quel que soit le dosage.</w:t>
      </w:r>
    </w:p>
    <w:p>
      <w:pPr>
        <w:pStyle w:val="Heading3"/>
      </w:pPr>
      <w:r>
        <w:t>Sous-section 3 — Sous-classe et mécanisme d'action moléculaire</w:t>
      </w:r>
    </w:p>
    <w:p>
      <w:r/>
      <w:r>
        <w:rPr>
          <w:b/>
        </w:rPr>
        <w:t>Sous-classe pharmacologique</w:t>
      </w:r>
      <w:r>
        <w:t xml:space="preserve"> : B02BD06 — Facteur VIII recombinant full-length (rFVIII-FL).</w:t>
      </w:r>
    </w:p>
    <w:p>
      <w:r/>
      <w:r>
        <w:rPr>
          <w:b/>
        </w:rPr>
        <w:t>Caractéristiques de KOVALTRY (BAY 81-8973)</w:t>
      </w:r>
      <w:r>
        <w:t xml:space="preserve"> :</w:t>
      </w:r>
    </w:p>
    <w:p>
      <w:pPr>
        <w:pStyle w:val="ListBullet"/>
      </w:pPr>
      <w:r>
        <w:t>Protéine recombinante de 2 332 acides aminés (séquence identique à la FVIII native humaine, full-length, sans délétion ni modification du domaine B).</w:t>
      </w:r>
    </w:p>
    <w:p>
      <w:pPr>
        <w:pStyle w:val="ListBullet"/>
      </w:pPr>
      <w:r>
        <w:t xml:space="preserve">Production en cellules </w:t>
      </w:r>
      <w:r>
        <w:rPr>
          <w:b/>
        </w:rPr>
        <w:t>BHK (Baby Hamster Kidney)</w:t>
      </w:r>
      <w:r>
        <w:t xml:space="preserve"> transfectées de façon stable, cultivées en milieu sans protéine animale (pas d'albumine, pas d'immunoglobulines animales).</w:t>
      </w:r>
    </w:p>
    <w:p>
      <w:pPr>
        <w:pStyle w:val="ListBullet"/>
      </w:pPr>
      <w:r>
        <w:t xml:space="preserve">Stabilisation par </w:t>
      </w:r>
      <w:r>
        <w:rPr>
          <w:b/>
        </w:rPr>
        <w:t>saccharose, glycine, histidine</w:t>
      </w:r>
      <w:r>
        <w:t xml:space="preserve"> (pas d'albumine ajoutée, contrairement à d'autres rFVIII).</w:t>
      </w:r>
    </w:p>
    <w:p>
      <w:pPr>
        <w:pStyle w:val="ListBullet"/>
      </w:pPr>
      <w:r>
        <w:t xml:space="preserve">Demi-vie plasmatique moyenne : </w:t>
      </w:r>
      <w:r>
        <w:rPr>
          <w:b/>
        </w:rPr>
        <w:t>14 h</w:t>
      </w:r>
      <w:r>
        <w:t xml:space="preserve"> (supérieure à la moyenne des rFVIII standard, ~12 h).</w:t>
      </w:r>
    </w:p>
    <w:p>
      <w:pPr>
        <w:pStyle w:val="ListBullet"/>
      </w:pPr>
      <w:r>
        <w:t xml:space="preserve">Récovery moyen : </w:t>
      </w:r>
      <w:r>
        <w:rPr>
          <w:b/>
        </w:rPr>
        <w:t>2,4 UI/dL par UI/kg</w:t>
      </w:r>
      <w:r>
        <w:t xml:space="preserve"> (supérieur aux pdFVIII).</w:t>
      </w:r>
    </w:p>
    <w:p>
      <w:pPr>
        <w:pStyle w:val="ListBullet"/>
      </w:pPr>
      <w:r>
        <w:t>Aucun contenu en VWF (le patient doit avoir un VWF endogène fonctionnel).</w:t>
      </w:r>
    </w:p>
    <w:p>
      <w:pPr>
        <w:pStyle w:val="ListBullet"/>
      </w:pPr>
      <w:r>
        <w:t>Activité mesurée par test chromogénique (≈ test chronométrique un stade).</w:t>
      </w:r>
    </w:p>
    <w:p>
      <w:r/>
      <w:r>
        <w:rPr>
          <w:b/>
        </w:rPr>
        <w:t>Mécanisme d'action</w:t>
      </w:r>
      <w:r>
        <w:t xml:space="preserve"> : cf. sous-section 3 de la fiche 232.1.</w:t>
      </w:r>
    </w:p>
    <w:p>
      <w:pPr>
        <w:pStyle w:val="Heading3"/>
      </w:pPr>
      <w:r>
        <w:t>Sous-section 4 — Profil pharmacologique</w:t>
      </w:r>
    </w:p>
    <w:p>
      <w:pPr>
        <w:pStyle w:val="Heading4"/>
      </w:pPr>
      <w:r>
        <w:t>Indications</w:t>
      </w:r>
    </w:p>
    <w:p>
      <w:pPr>
        <w:pStyle w:val="ListNumber"/>
      </w:pPr>
      <w:r>
        <w:t>Hémophilie A constitutionnelle (sévère, modérée, légère) : prophylaxie, traitement à la demande, couverture chirurgicale.</w:t>
      </w:r>
    </w:p>
    <w:p>
      <w:pPr>
        <w:pStyle w:val="ListNumber"/>
      </w:pPr>
      <w:r>
        <w:t>Hémophilie A acquise (rare, hors AMM dans certains pays).</w:t>
      </w:r>
    </w:p>
    <w:p>
      <w:pPr>
        <w:pStyle w:val="ListNumber"/>
      </w:pPr>
      <w:r/>
      <w:r>
        <w:rPr>
          <w:b/>
        </w:rPr>
        <w:t>Pas d'indication</w:t>
      </w:r>
      <w:r>
        <w:t xml:space="preserve"> dans la maladie de Willebrand (pas de VWF contenu) — préférer HAEMATE P, FANDHI ou pdFVIII (HAEMOCTIN SDH, OCTANATE).</w:t>
      </w:r>
    </w:p>
    <w:p>
      <w:pPr>
        <w:pStyle w:val="Heading4"/>
      </w:pPr>
      <w:r>
        <w:t>Contre-indications</w:t>
      </w:r>
    </w:p>
    <w:p>
      <w:pPr>
        <w:pStyle w:val="ListNumber"/>
      </w:pPr>
      <w:r>
        <w:t>Hypersensibilité au FVIII ou aux protéines de hamster.</w:t>
      </w:r>
    </w:p>
    <w:p>
      <w:pPr>
        <w:pStyle w:val="ListNumber"/>
      </w:pPr>
      <w:r>
        <w:t>Inhibiteur de haut titre non contrôlé.</w:t>
      </w:r>
    </w:p>
    <w:p>
      <w:pPr>
        <w:pStyle w:val="Heading4"/>
      </w:pPr>
      <w:r>
        <w:t>Effets indésirables</w:t>
      </w:r>
    </w:p>
    <w:p>
      <w:pPr>
        <w:pStyle w:val="ListBullet"/>
      </w:pPr>
      <w:r>
        <w:t>Fréquents : réactions au site d'injection, céphalées, fièvre.</w:t>
      </w:r>
    </w:p>
    <w:p>
      <w:pPr>
        <w:pStyle w:val="ListBullet"/>
      </w:pPr>
      <w:r>
        <w:t>Peu fréquents : urticaire, rash, hypersensibilité.</w:t>
      </w:r>
    </w:p>
    <w:p>
      <w:pPr>
        <w:pStyle w:val="ListBullet"/>
      </w:pPr>
      <w:r>
        <w:t>Rares : anaphylaxie, développement d'inhibiteur.</w:t>
      </w:r>
    </w:p>
    <w:p>
      <w:pPr>
        <w:pStyle w:val="ListBullet"/>
      </w:pPr>
      <w:r>
        <w:t>Très rares : thrombose (en cas de surdosage massif ou d'association avec un pdFVIII contenant VWF).</w:t>
      </w:r>
    </w:p>
    <w:p>
      <w:pPr>
        <w:pStyle w:val="Heading3"/>
      </w:pPr>
      <w:r>
        <w:t>Sous-section 5 — Prévention et gestion des EI</w:t>
      </w:r>
    </w:p>
    <w:p>
      <w:pPr>
        <w:pStyle w:val="ListBullet"/>
      </w:pPr>
      <w:r>
        <w:t>Cf. fiche 232.1 (prévention inhibiteur, hypersensibilité, thrombose).</w:t>
      </w:r>
    </w:p>
    <w:p>
      <w:pPr>
        <w:pStyle w:val="ListBullet"/>
      </w:pPr>
      <w:r>
        <w:t>Surveillance du taux de FVIII:C (taux résiduel avant injection en prophylaxie).</w:t>
      </w:r>
    </w:p>
    <w:p>
      <w:pPr>
        <w:pStyle w:val="ListBullet"/>
      </w:pPr>
      <w:r>
        <w:t>Dépistage inhibiteur systématique (test Bethesda).</w:t>
      </w:r>
    </w:p>
    <w:p>
      <w:pPr>
        <w:pStyle w:val="Heading3"/>
      </w:pPr>
      <w:r>
        <w:t>Sous-section 6 — Interactions médicamenteuses</w:t>
      </w:r>
    </w:p>
    <w:p>
      <w:pPr>
        <w:pStyle w:val="ListBullet"/>
      </w:pPr>
      <w:r>
        <w:t>Aucune interaction pharmacocinétique significative.</w:t>
      </w:r>
    </w:p>
    <w:p>
      <w:pPr>
        <w:pStyle w:val="ListBullet"/>
      </w:pPr>
      <w:r>
        <w:t>Synergie avec antifibrinolytiques (acide tranexamique).</w:t>
      </w:r>
    </w:p>
    <w:p>
      <w:pPr>
        <w:pStyle w:val="ListBullet"/>
      </w:pPr>
      <w:r>
        <w:t>Contre-indication relative avec AINS, antiagrégants, anticoagulants (risque hémorragique additif).</w:t>
      </w:r>
    </w:p>
    <w:p>
      <w:pPr>
        <w:pStyle w:val="Heading3"/>
      </w:pPr>
      <w:r>
        <w:t>Sous-section 7 — Grossesse et allaitement</w:t>
      </w:r>
    </w:p>
    <w:p>
      <w:pPr>
        <w:pStyle w:val="ListBullet"/>
      </w:pPr>
      <w:r>
        <w:t>Grossesse : utilisable si nécessaire (CRAT).</w:t>
      </w:r>
    </w:p>
    <w:p>
      <w:pPr>
        <w:pStyle w:val="ListBullet"/>
      </w:pPr>
      <w:r>
        <w:t>Allaitement : compatible (CRAT).</w:t>
      </w:r>
    </w:p>
    <w:p>
      <w:pPr>
        <w:pStyle w:val="ListBullet"/>
      </w:pPr>
      <w:r>
        <w:t>Particularité : KOVALTRY sans VWF, donc utilisé chez la femme enceinte hémophile A pure (sans maladie de Willebrand associée). Pour la maladie de Willebrand gravidique, préférer HAEMATE P ou FANDHI.</w:t>
      </w:r>
    </w:p>
    <w:p>
      <w:pPr>
        <w:pStyle w:val="Heading3"/>
      </w:pPr>
      <w:r>
        <w:t>Sous-section 8 — Posologie et mode d'administration</w:t>
      </w:r>
    </w:p>
    <w:p>
      <w:pPr>
        <w:pStyle w:val="Heading4"/>
      </w:pPr>
      <w:r>
        <w:t>Calcul de la dose</w:t>
      </w:r>
    </w:p>
    <w:p>
      <w:pPr>
        <w:pStyle w:val="ListBullet"/>
      </w:pPr>
      <w:r/>
      <w:r>
        <w:rPr>
          <w:b/>
        </w:rPr>
        <w:t>Dose (UI) = Poids (kg) × ΔFVIII souhaité (UI/dL) × 0,5</w:t>
      </w:r>
      <w:r>
        <w:t xml:space="preserve"> (facteur de récovery adapté).</w:t>
      </w:r>
    </w:p>
    <w:p>
      <w:pPr>
        <w:pStyle w:val="ListBullet"/>
      </w:pPr>
      <w:r>
        <w:t>Récovery KOVALTRY : 2,4 UI/dL par UI/kg, soit facteur 0,42 (au lieu de 0,5 classique).</w:t>
      </w:r>
    </w:p>
    <w:p>
      <w:pPr>
        <w:pStyle w:val="Heading4"/>
      </w:pPr>
      <w:r>
        <w:t>Schéma prophylactique</w:t>
      </w:r>
    </w:p>
    <w:p>
      <w:pPr>
        <w:pStyle w:val="ListBullet"/>
      </w:pPr>
      <w:r/>
      <w:r>
        <w:rPr>
          <w:b/>
        </w:rPr>
        <w:t>Schéma standard</w:t>
      </w:r>
      <w:r>
        <w:t xml:space="preserve"> : 20-40 UI/kg 2-3 fois/semaine.</w:t>
      </w:r>
    </w:p>
    <w:p>
      <w:pPr>
        <w:pStyle w:val="ListBullet"/>
      </w:pPr>
      <w:r/>
      <w:r>
        <w:rPr>
          <w:b/>
        </w:rPr>
        <w:t>Schéma intensifié</w:t>
      </w:r>
      <w:r>
        <w:t xml:space="preserve"> : 30-50 UI/kg 3 fois/semaine (selon pharmacocinétique individuelle).</w:t>
      </w:r>
    </w:p>
    <w:p>
      <w:pPr>
        <w:pStyle w:val="ListBullet"/>
      </w:pPr>
      <w:r>
        <w:t>Adaptation selon taux résiduel de FVIII:C (cible ≥ 1-3 UI/dL avant injection suivante).</w:t>
      </w:r>
    </w:p>
    <w:p>
      <w:pPr>
        <w:pStyle w:val="Heading4"/>
      </w:pPr>
      <w:r>
        <w:t>Mode d'administration</w:t>
      </w:r>
    </w:p>
    <w:p>
      <w:pPr>
        <w:pStyle w:val="ListBullet"/>
      </w:pPr>
      <w:r>
        <w:t>Voie IV stricte, perfusion lente (2-3 mL/min).</w:t>
      </w:r>
    </w:p>
    <w:p>
      <w:pPr>
        <w:pStyle w:val="ListBullet"/>
      </w:pPr>
      <w:r>
        <w:t>Reconstitution avec solvant EPPI fourni (NaCl 0,9 % ou EPPI selon spécialité).</w:t>
      </w:r>
    </w:p>
    <w:p>
      <w:pPr>
        <w:pStyle w:val="ListBullet"/>
      </w:pPr>
      <w:r>
        <w:t>Aiguille filtre fournie dans le kit.</w:t>
      </w:r>
    </w:p>
    <w:p>
      <w:pPr>
        <w:pStyle w:val="ListBullet"/>
      </w:pPr>
      <w:r>
        <w:t>Utiliser dans les 3 h après reconstitution.</w:t>
      </w:r>
    </w:p>
    <w:p>
      <w:pPr>
        <w:pStyle w:val="Heading3"/>
      </w:pPr>
      <w:r>
        <w:t>Sous-section 9 — Arbitrage et bénéfices des formes galéniques</w:t>
      </w:r>
    </w:p>
    <w:p>
      <w:pPr>
        <w:pStyle w:val="ListBullet"/>
      </w:pPr>
      <w:r>
        <w:t>KOVALTRY 250 UI : indiqué pour enfants &lt; 12 kg (prophylaxie) ou pour adultes en dose fractionnée.</w:t>
      </w:r>
    </w:p>
    <w:p>
      <w:pPr>
        <w:pStyle w:val="ListBullet"/>
      </w:pPr>
      <w:r>
        <w:t>KOVALTRY 500 UI : dosage standard adulte.</w:t>
      </w:r>
    </w:p>
    <w:p>
      <w:pPr>
        <w:pStyle w:val="ListBullet"/>
      </w:pPr>
      <w:r>
        <w:t>KOVALTRY 1000 UI : dosage adulte haut poids ou saignement massif.</w:t>
      </w:r>
    </w:p>
    <w:p>
      <w:pPr>
        <w:pStyle w:val="ListBullet"/>
      </w:pPr>
      <w:r/>
      <w:r>
        <w:rPr>
          <w:b/>
        </w:rPr>
        <w:t>Avantage KOVALTRY</w:t>
      </w:r>
      <w:r>
        <w:t xml:space="preserve"> : demi-vie 14 h (supérieure aux autres rFVIII standard 8-12 h), récovery 2,4 UI/dL/UI/kg (supérieur), pas d'albumine ajoutée (sécurité accrue vis-à-vis des prions).</w:t>
      </w:r>
    </w:p>
    <w:p>
      <w:pPr>
        <w:pStyle w:val="ListBullet"/>
      </w:pPr>
      <w:r/>
      <w:r>
        <w:rPr>
          <w:b/>
        </w:rPr>
        <w:t>Inconvénient KOVALTRY</w:t>
      </w:r>
      <w:r>
        <w:t xml:space="preserve"> : pas d'EHL (demi-vie courte vs Elocta 19 h, vs Adynovi 14-16 h — non disponibles en Algérie).</w:t>
      </w:r>
    </w:p>
    <w:p>
      <w:pPr>
        <w:pStyle w:val="Heading3"/>
      </w:pPr>
      <w:r>
        <w:t>Sous-section 10 — Instructions et conseils au patient</w:t>
      </w:r>
    </w:p>
    <w:p>
      <w:pPr>
        <w:pStyle w:val="ListBullet"/>
      </w:pPr>
      <w:r>
        <w:t>Formation à l'auto-administration à domicile (cf. fiche 232.1).</w:t>
      </w:r>
    </w:p>
    <w:p>
      <w:pPr>
        <w:pStyle w:val="ListBullet"/>
      </w:pPr>
      <w:r>
        <w:t>Chaîne du froid +2 °C à +8 °C.</w:t>
      </w:r>
    </w:p>
    <w:p>
      <w:pPr>
        <w:pStyle w:val="ListBullet"/>
      </w:pPr>
      <w:r>
        <w:t>Reconstitution douce (mouvement rotatif).</w:t>
      </w:r>
    </w:p>
    <w:p>
      <w:pPr>
        <w:pStyle w:val="ListBullet"/>
      </w:pPr>
      <w:r>
        <w:t>Surveillance du taux résiduel de FVIII:C en prophylaxie.</w:t>
      </w:r>
    </w:p>
    <w:p>
      <w:pPr>
        <w:pStyle w:val="ListBullet"/>
      </w:pPr>
      <w:r>
        <w:t>Agenda thérapeutique (date, lot, dose, site, effets ressentis).</w:t>
      </w:r>
    </w:p>
    <w:p>
      <w:pPr>
        <w:pStyle w:val="Heading3"/>
      </w:pPr>
      <w:r>
        <w:t>Sous-section 11 — Notes, règles d'or et pièges</w:t>
      </w:r>
    </w:p>
    <w:p>
      <w:pPr>
        <w:pStyle w:val="ListBullet"/>
      </w:pPr>
      <w:r>
        <w:t>Cf. fiche 232.1 (règles générales).</w:t>
      </w:r>
    </w:p>
    <w:p>
      <w:pPr>
        <w:pStyle w:val="ListBullet"/>
      </w:pPr>
      <w:r/>
      <w:r>
        <w:rPr>
          <w:b/>
        </w:rPr>
        <w:t>Piège spécifique KOVALTRY</w:t>
      </w:r>
      <w:r>
        <w:t xml:space="preserve"> : le récovery plus élevé que la moyenne (2,4 vs 2,0 UI/dL/UI/kg) peut conduire à un sur-dosage si on applique la formule classique (facteur 0,5). Utiliser plutôt le facteur 0,42 pour KOVALTRY (calcul selon RCP).</w:t>
      </w:r>
    </w:p>
    <w:p>
      <w:pPr>
        <w:pStyle w:val="ListBullet"/>
      </w:pPr>
      <w:r/>
      <w:r>
        <w:rPr>
          <w:b/>
        </w:rPr>
        <w:t>Piège du dosage</w:t>
      </w:r>
      <w:r>
        <w:t xml:space="preserve"> : KOVALTRY 500 UI est libellé « Octocog alfa (Facteur humain VIII anti hémophilique) » dans la nomenclature algérienne, alors que KOVALTRY 250 UI et 1000 UI sont libellés simplement « Octocog alfa ». Cette incohérence de libellé peut induire en erreur ; vérifier la DCI et le dosage avant dispensation.</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Spécialité</w:t>
            </w:r>
          </w:p>
        </w:tc>
        <w:tc>
          <w:tcPr>
            <w:tcW w:type="dxa" w:w="1187"/>
            <w:shd w:val="clear" w:color="auto" w:fill="F2F2F2"/>
          </w:tcPr>
          <w:p>
            <w:r>
              <w:rPr>
                <w:rFonts w:ascii="Times New Roman" w:hAnsi="Times New Roman"/>
                <w:b/>
                <w:sz w:val="20"/>
              </w:rPr>
              <w:t>Origine</w:t>
            </w:r>
          </w:p>
        </w:tc>
        <w:tc>
          <w:tcPr>
            <w:tcW w:type="dxa" w:w="1187"/>
            <w:shd w:val="clear" w:color="auto" w:fill="F2F2F2"/>
          </w:tcPr>
          <w:p>
            <w:r>
              <w:rPr>
                <w:rFonts w:ascii="Times New Roman" w:hAnsi="Times New Roman"/>
                <w:b/>
                <w:sz w:val="20"/>
              </w:rPr>
              <w:t>Demi-vie</w:t>
            </w:r>
          </w:p>
        </w:tc>
        <w:tc>
          <w:tcPr>
            <w:tcW w:type="dxa" w:w="1187"/>
            <w:shd w:val="clear" w:color="auto" w:fill="F2F2F2"/>
          </w:tcPr>
          <w:p>
            <w:r>
              <w:rPr>
                <w:rFonts w:ascii="Times New Roman" w:hAnsi="Times New Roman"/>
                <w:b/>
                <w:sz w:val="20"/>
              </w:rPr>
              <w:t>Récovery</w:t>
            </w:r>
          </w:p>
        </w:tc>
        <w:tc>
          <w:tcPr>
            <w:tcW w:type="dxa" w:w="1187"/>
            <w:shd w:val="clear" w:color="auto" w:fill="F2F2F2"/>
          </w:tcPr>
          <w:p>
            <w:r>
              <w:rPr>
                <w:rFonts w:ascii="Times New Roman" w:hAnsi="Times New Roman"/>
                <w:b/>
                <w:sz w:val="20"/>
              </w:rPr>
              <w:t>VWF</w:t>
            </w:r>
          </w:p>
        </w:tc>
        <w:tc>
          <w:tcPr>
            <w:tcW w:type="dxa" w:w="1187"/>
            <w:shd w:val="clear" w:color="auto" w:fill="F2F2F2"/>
          </w:tcPr>
          <w:p>
            <w:r>
              <w:rPr>
                <w:rFonts w:ascii="Times New Roman" w:hAnsi="Times New Roman"/>
                <w:b/>
                <w:sz w:val="20"/>
              </w:rPr>
              <w:t>Indication VWD</w:t>
            </w:r>
          </w:p>
        </w:tc>
        <w:tc>
          <w:tcPr>
            <w:tcW w:type="dxa" w:w="1187"/>
            <w:shd w:val="clear" w:color="auto" w:fill="F2F2F2"/>
          </w:tcPr>
          <w:p>
            <w:r>
              <w:rPr>
                <w:rFonts w:ascii="Times New Roman" w:hAnsi="Times New Roman"/>
                <w:b/>
                <w:sz w:val="20"/>
              </w:rPr>
              <w:t>Statut Algérie</w:t>
            </w:r>
          </w:p>
        </w:tc>
      </w:tr>
      <w:tr>
        <w:tc>
          <w:tcPr>
            <w:tcW w:type="dxa" w:w="1187"/>
          </w:tcPr>
          <w:p>
            <w:r>
              <w:rPr>
                <w:rFonts w:ascii="Times New Roman" w:hAnsi="Times New Roman"/>
                <w:sz w:val="20"/>
              </w:rPr>
              <w:t>KOVALTRY 250</w:t>
            </w:r>
          </w:p>
        </w:tc>
        <w:tc>
          <w:tcPr>
            <w:tcW w:type="dxa" w:w="1187"/>
          </w:tcPr>
          <w:p>
            <w:r>
              <w:rPr>
                <w:rFonts w:ascii="Times New Roman" w:hAnsi="Times New Roman"/>
                <w:sz w:val="20"/>
              </w:rPr>
              <w:t>rFVIII BHK</w:t>
            </w:r>
          </w:p>
        </w:tc>
        <w:tc>
          <w:tcPr>
            <w:tcW w:type="dxa" w:w="1187"/>
          </w:tcPr>
          <w:p>
            <w:r>
              <w:rPr>
                <w:rFonts w:ascii="Times New Roman" w:hAnsi="Times New Roman"/>
                <w:sz w:val="20"/>
              </w:rPr>
              <w:t>14 h</w:t>
            </w:r>
          </w:p>
        </w:tc>
        <w:tc>
          <w:tcPr>
            <w:tcW w:type="dxa" w:w="1187"/>
          </w:tcPr>
          <w:p>
            <w:r>
              <w:rPr>
                <w:rFonts w:ascii="Times New Roman" w:hAnsi="Times New Roman"/>
                <w:sz w:val="20"/>
              </w:rPr>
              <w:t>2,4 UI/dL/UI/kg</w:t>
            </w:r>
          </w:p>
        </w:tc>
        <w:tc>
          <w:tcPr>
            <w:tcW w:type="dxa" w:w="1187"/>
          </w:tcPr>
          <w:p>
            <w:r>
              <w:rPr>
                <w:rFonts w:ascii="Times New Roman" w:hAnsi="Times New Roman"/>
                <w:sz w:val="20"/>
              </w:rPr>
              <w:t>Non</w:t>
            </w:r>
          </w:p>
        </w:tc>
        <w:tc>
          <w:tcPr>
            <w:tcW w:type="dxa" w:w="1187"/>
          </w:tcPr>
          <w:p>
            <w:r>
              <w:rPr>
                <w:rFonts w:ascii="Times New Roman" w:hAnsi="Times New Roman"/>
                <w:sz w:val="20"/>
              </w:rPr>
              <w:t>Non</w:t>
            </w:r>
          </w:p>
        </w:tc>
        <w:tc>
          <w:tcPr>
            <w:tcW w:type="dxa" w:w="1187"/>
          </w:tcPr>
          <w:p>
            <w:r>
              <w:rPr>
                <w:rFonts w:ascii="Times New Roman" w:hAnsi="Times New Roman"/>
                <w:sz w:val="20"/>
              </w:rPr>
              <w:t>Actif</w:t>
            </w:r>
          </w:p>
        </w:tc>
      </w:tr>
      <w:tr>
        <w:tc>
          <w:tcPr>
            <w:tcW w:type="dxa" w:w="1187"/>
          </w:tcPr>
          <w:p>
            <w:r>
              <w:rPr>
                <w:rFonts w:ascii="Times New Roman" w:hAnsi="Times New Roman"/>
                <w:sz w:val="20"/>
              </w:rPr>
              <w:t>KOVALTRY 500</w:t>
            </w:r>
          </w:p>
        </w:tc>
        <w:tc>
          <w:tcPr>
            <w:tcW w:type="dxa" w:w="1187"/>
          </w:tcPr>
          <w:p>
            <w:r>
              <w:rPr>
                <w:rFonts w:ascii="Times New Roman" w:hAnsi="Times New Roman"/>
                <w:sz w:val="20"/>
              </w:rPr>
              <w:t>rFVIII BHK</w:t>
            </w:r>
          </w:p>
        </w:tc>
        <w:tc>
          <w:tcPr>
            <w:tcW w:type="dxa" w:w="1187"/>
          </w:tcPr>
          <w:p>
            <w:r>
              <w:rPr>
                <w:rFonts w:ascii="Times New Roman" w:hAnsi="Times New Roman"/>
                <w:sz w:val="20"/>
              </w:rPr>
              <w:t>14 h</w:t>
            </w:r>
          </w:p>
        </w:tc>
        <w:tc>
          <w:tcPr>
            <w:tcW w:type="dxa" w:w="1187"/>
          </w:tcPr>
          <w:p>
            <w:r>
              <w:rPr>
                <w:rFonts w:ascii="Times New Roman" w:hAnsi="Times New Roman"/>
                <w:sz w:val="20"/>
              </w:rPr>
              <w:t>2,4 UI/dL/UI/kg</w:t>
            </w:r>
          </w:p>
        </w:tc>
        <w:tc>
          <w:tcPr>
            <w:tcW w:type="dxa" w:w="1187"/>
          </w:tcPr>
          <w:p>
            <w:r>
              <w:rPr>
                <w:rFonts w:ascii="Times New Roman" w:hAnsi="Times New Roman"/>
                <w:sz w:val="20"/>
              </w:rPr>
              <w:t>Non</w:t>
            </w:r>
          </w:p>
        </w:tc>
        <w:tc>
          <w:tcPr>
            <w:tcW w:type="dxa" w:w="1187"/>
          </w:tcPr>
          <w:p>
            <w:r>
              <w:rPr>
                <w:rFonts w:ascii="Times New Roman" w:hAnsi="Times New Roman"/>
                <w:sz w:val="20"/>
              </w:rPr>
              <w:t>Non</w:t>
            </w:r>
          </w:p>
        </w:tc>
        <w:tc>
          <w:tcPr>
            <w:tcW w:type="dxa" w:w="1187"/>
          </w:tcPr>
          <w:p>
            <w:r>
              <w:rPr>
                <w:rFonts w:ascii="Times New Roman" w:hAnsi="Times New Roman"/>
                <w:sz w:val="20"/>
              </w:rPr>
              <w:t>Actif</w:t>
            </w:r>
          </w:p>
        </w:tc>
      </w:tr>
      <w:tr>
        <w:tc>
          <w:tcPr>
            <w:tcW w:type="dxa" w:w="1187"/>
          </w:tcPr>
          <w:p>
            <w:r>
              <w:rPr>
                <w:rFonts w:ascii="Times New Roman" w:hAnsi="Times New Roman"/>
                <w:sz w:val="20"/>
              </w:rPr>
              <w:t>KOVALTRY 1000</w:t>
            </w:r>
          </w:p>
        </w:tc>
        <w:tc>
          <w:tcPr>
            <w:tcW w:type="dxa" w:w="1187"/>
          </w:tcPr>
          <w:p>
            <w:r>
              <w:rPr>
                <w:rFonts w:ascii="Times New Roman" w:hAnsi="Times New Roman"/>
                <w:sz w:val="20"/>
              </w:rPr>
              <w:t>rFVIII BHK</w:t>
            </w:r>
          </w:p>
        </w:tc>
        <w:tc>
          <w:tcPr>
            <w:tcW w:type="dxa" w:w="1187"/>
          </w:tcPr>
          <w:p>
            <w:r>
              <w:rPr>
                <w:rFonts w:ascii="Times New Roman" w:hAnsi="Times New Roman"/>
                <w:sz w:val="20"/>
              </w:rPr>
              <w:t>14 h</w:t>
            </w:r>
          </w:p>
        </w:tc>
        <w:tc>
          <w:tcPr>
            <w:tcW w:type="dxa" w:w="1187"/>
          </w:tcPr>
          <w:p>
            <w:r>
              <w:rPr>
                <w:rFonts w:ascii="Times New Roman" w:hAnsi="Times New Roman"/>
                <w:sz w:val="20"/>
              </w:rPr>
              <w:t>2,4 UI/dL/UI/kg</w:t>
            </w:r>
          </w:p>
        </w:tc>
        <w:tc>
          <w:tcPr>
            <w:tcW w:type="dxa" w:w="1187"/>
          </w:tcPr>
          <w:p>
            <w:r>
              <w:rPr>
                <w:rFonts w:ascii="Times New Roman" w:hAnsi="Times New Roman"/>
                <w:sz w:val="20"/>
              </w:rPr>
              <w:t>Non</w:t>
            </w:r>
          </w:p>
        </w:tc>
        <w:tc>
          <w:tcPr>
            <w:tcW w:type="dxa" w:w="1187"/>
          </w:tcPr>
          <w:p>
            <w:r>
              <w:rPr>
                <w:rFonts w:ascii="Times New Roman" w:hAnsi="Times New Roman"/>
                <w:sz w:val="20"/>
              </w:rPr>
              <w:t>Non</w:t>
            </w:r>
          </w:p>
        </w:tc>
        <w:tc>
          <w:tcPr>
            <w:tcW w:type="dxa" w:w="1187"/>
          </w:tcPr>
          <w:p>
            <w:r>
              <w:rPr>
                <w:rFonts w:ascii="Times New Roman" w:hAnsi="Times New Roman"/>
                <w:sz w:val="20"/>
              </w:rPr>
              <w:t>Actif</w:t>
            </w:r>
          </w:p>
        </w:tc>
      </w:tr>
    </w:tbl>
    <w:p/>
    <w:p>
      <w:pPr>
        <w:pStyle w:val="Heading2"/>
      </w:pPr>
      <w:r>
        <w:t>232.3. DCI : Octocog alfa (Facteur VIII de coagulation humain recombinant anti-hémophilique) — ADVATE</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w:t>
      </w:r>
    </w:p>
    <w:p>
      <w:pPr>
        <w:pStyle w:val="ListBullet"/>
      </w:pPr>
      <w:r/>
      <w:r>
        <w:rPr>
          <w:b/>
        </w:rPr>
        <w:t>DCI</w:t>
      </w:r>
      <w:r>
        <w:t xml:space="preserve"> : Octocog alfa.</w:t>
      </w:r>
    </w:p>
    <w:p>
      <w:pPr>
        <w:pStyle w:val="ListBullet"/>
      </w:pPr>
      <w:r/>
      <w:r>
        <w:rPr>
          <w:b/>
        </w:rPr>
        <w:t>Spécialité</w:t>
      </w:r>
      <w:r>
        <w:t xml:space="preserve"> : ADVATE (Baxter AG / Baxalta / Takeda — Autriche).</w:t>
      </w:r>
    </w:p>
    <w:p>
      <w:pPr>
        <w:pStyle w:val="ListBullet"/>
      </w:pPr>
      <w:r/>
      <w:r>
        <w:rPr>
          <w:b/>
        </w:rPr>
        <w:t>Statut réglementaire Algérie</w:t>
      </w:r>
      <w:r>
        <w:t xml:space="preserve"> : Liste I, prescription hospitalière spécialisée.</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ADVATE 250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Poudre et solvant pour solution injectable IV, 250 UI/flacon (50 UI/mL)</w:t>
            </w:r>
          </w:p>
        </w:tc>
        <w:tc>
          <w:tcPr>
            <w:tcW w:type="dxa" w:w="1385"/>
          </w:tcPr>
          <w:p>
            <w:r>
              <w:rPr>
                <w:rFonts w:ascii="Times New Roman" w:hAnsi="Times New Roman"/>
                <w:sz w:val="20"/>
              </w:rPr>
              <w:t>Boîte de 1 flacon de poudre + 1 seringue à usage unique de 10 mL + 1 flacon de solvant (EPPI)</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ADVATE 1000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Poudre et solvant pour solution injectable IV, 1000 UI/flacon (50 UI/mL)</w:t>
            </w:r>
          </w:p>
        </w:tc>
        <w:tc>
          <w:tcPr>
            <w:tcW w:type="dxa" w:w="1385"/>
          </w:tcPr>
          <w:p>
            <w:r>
              <w:rPr>
                <w:rFonts w:ascii="Times New Roman" w:hAnsi="Times New Roman"/>
                <w:sz w:val="20"/>
              </w:rPr>
              <w:t>Boîte de 1 flacon de poudre + 1 seringue à usage unique de 10 mL + 1 flacon de solvant (EPPI)</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pPr>
        <w:pStyle w:val="Heading3"/>
      </w:pPr>
      <w:r>
        <w:t>Sous-section 3 — Sous-classe et mécanisme d'action moléculaire</w:t>
      </w:r>
    </w:p>
    <w:p>
      <w:r/>
      <w:r>
        <w:rPr>
          <w:b/>
        </w:rPr>
        <w:t>Sous-classe</w:t>
      </w:r>
      <w:r>
        <w:t xml:space="preserve"> : B02BD06 — Facteur VIII recombinant B-domain deleted (BDD-rFVIII).</w:t>
      </w:r>
    </w:p>
    <w:p>
      <w:r/>
      <w:r>
        <w:rPr>
          <w:b/>
        </w:rPr>
        <w:t>Caractéristiques d'ADVATE (rFVIII BDD)</w:t>
      </w:r>
      <w:r>
        <w:t xml:space="preserve"> :</w:t>
      </w:r>
    </w:p>
    <w:p>
      <w:pPr>
        <w:pStyle w:val="ListBullet"/>
      </w:pPr>
      <w:r>
        <w:t xml:space="preserve">Protéine recombinante de </w:t>
      </w:r>
      <w:r>
        <w:rPr>
          <w:b/>
        </w:rPr>
        <w:t>1 438 acides aminés</w:t>
      </w:r>
      <w:r>
        <w:t xml:space="preserve"> (165 kDa), issue de la lignée cellulaire </w:t>
      </w:r>
      <w:r>
        <w:rPr>
          <w:b/>
        </w:rPr>
        <w:t>CHO (Chinese Hamster Ovary)</w:t>
      </w:r>
      <w:r>
        <w:t xml:space="preserve"> transfectée.</w:t>
      </w:r>
    </w:p>
    <w:p>
      <w:pPr>
        <w:pStyle w:val="ListBullet"/>
      </w:pPr>
      <w:r>
        <w:t xml:space="preserve">Séquence identique à la FVIII native humaine, à l'exception de la </w:t>
      </w:r>
      <w:r>
        <w:rPr>
          <w:b/>
        </w:rPr>
        <w:t>délétion du domaine B</w:t>
      </w:r>
      <w:r>
        <w:t xml:space="preserve"> (domaine non essentiel à l'activité coagulante).</w:t>
      </w:r>
    </w:p>
    <w:p>
      <w:pPr>
        <w:pStyle w:val="ListBullet"/>
      </w:pPr>
      <w:r>
        <w:t xml:space="preserve">Production en milieu </w:t>
      </w:r>
      <w:r>
        <w:rPr>
          <w:b/>
        </w:rPr>
        <w:t>sans protéine animale</w:t>
      </w:r>
      <w:r>
        <w:t xml:space="preserve"> (pas d'albumine, pas d'immunoglobulines).</w:t>
      </w:r>
    </w:p>
    <w:p>
      <w:pPr>
        <w:pStyle w:val="ListBullet"/>
      </w:pPr>
      <w:r>
        <w:t xml:space="preserve">Stabilisation par </w:t>
      </w:r>
      <w:r>
        <w:rPr>
          <w:b/>
        </w:rPr>
        <w:t>mannitol, NaCl, histidine, Tris, CaCl₂, polysorbate 80</w:t>
      </w:r>
      <w:r>
        <w:t xml:space="preserve"> (pas d'albumine ajoutée).</w:t>
      </w:r>
    </w:p>
    <w:p>
      <w:pPr>
        <w:pStyle w:val="ListBullet"/>
      </w:pPr>
      <w:r>
        <w:t xml:space="preserve">Demi-vie plasmatique moyenne : </w:t>
      </w:r>
      <w:r>
        <w:rPr>
          <w:b/>
        </w:rPr>
        <w:t>12-14 h</w:t>
      </w:r>
      <w:r>
        <w:t>.</w:t>
      </w:r>
    </w:p>
    <w:p>
      <w:pPr>
        <w:pStyle w:val="ListBullet"/>
      </w:pPr>
      <w:r>
        <w:t xml:space="preserve">Récovery moyen : </w:t>
      </w:r>
      <w:r>
        <w:rPr>
          <w:b/>
        </w:rPr>
        <w:t>2,0 UI/dL par UI/kg</w:t>
      </w:r>
      <w:r>
        <w:t xml:space="preserve"> (similaire aux pdFVIII).</w:t>
      </w:r>
    </w:p>
    <w:p>
      <w:pPr>
        <w:pStyle w:val="ListBullet"/>
      </w:pPr>
      <w:r>
        <w:t>Aucun contenu en VWF.</w:t>
      </w:r>
    </w:p>
    <w:p>
      <w:r/>
      <w:r>
        <w:rPr>
          <w:b/>
        </w:rPr>
        <w:t>Mécanisme d'action</w:t>
      </w:r>
      <w:r>
        <w:t xml:space="preserve"> : identique au FVIII natif (cf. fiche 232.1).</w:t>
      </w:r>
    </w:p>
    <w:p>
      <w:pPr>
        <w:pStyle w:val="Heading3"/>
      </w:pPr>
      <w:r>
        <w:t>Sous-section 4 — Profil pharmacologique</w:t>
      </w:r>
    </w:p>
    <w:p>
      <w:pPr>
        <w:pStyle w:val="Heading4"/>
      </w:pPr>
      <w:r>
        <w:t>Indications</w:t>
      </w:r>
    </w:p>
    <w:p>
      <w:pPr>
        <w:pStyle w:val="ListNumber"/>
      </w:pPr>
      <w:r>
        <w:t>Hémophilie A constitutionnelle : prophylaxie, traitement à la demande, chirurgie.</w:t>
      </w:r>
    </w:p>
    <w:p>
      <w:pPr>
        <w:pStyle w:val="ListNumber"/>
      </w:pPr>
      <w:r>
        <w:t>Pas d'indication maladie de Willebrand (sans VWF).</w:t>
      </w:r>
    </w:p>
    <w:p>
      <w:pPr>
        <w:pStyle w:val="Heading4"/>
      </w:pPr>
      <w:r>
        <w:t>Contre-indications</w:t>
      </w:r>
    </w:p>
    <w:p>
      <w:pPr>
        <w:pStyle w:val="ListNumber"/>
      </w:pPr>
      <w:r>
        <w:t>Hypersensibilité au FVIII ou aux protéines murines/hamster.</w:t>
      </w:r>
    </w:p>
    <w:p>
      <w:pPr>
        <w:pStyle w:val="ListNumber"/>
      </w:pPr>
      <w:r>
        <w:t>Inhibiteur de haut titre non contrôlé.</w:t>
      </w:r>
    </w:p>
    <w:p>
      <w:pPr>
        <w:pStyle w:val="Heading4"/>
      </w:pPr>
      <w:r>
        <w:t>Effets indésirables</w:t>
      </w:r>
    </w:p>
    <w:p>
      <w:pPr>
        <w:pStyle w:val="ListBullet"/>
      </w:pPr>
      <w:r>
        <w:t>Fréquents : céphalées, pyrexie, réactions au site d'injection.</w:t>
      </w:r>
    </w:p>
    <w:p>
      <w:pPr>
        <w:pStyle w:val="ListBullet"/>
      </w:pPr>
      <w:r>
        <w:t>Peu fréquents : urticaire, rash, hypotension transitoire.</w:t>
      </w:r>
    </w:p>
    <w:p>
      <w:pPr>
        <w:pStyle w:val="ListBullet"/>
      </w:pPr>
      <w:r>
        <w:t>Rares : anaphylaxie, développement d'inhibiteur.</w:t>
      </w:r>
    </w:p>
    <w:p>
      <w:pPr>
        <w:pStyle w:val="ListBullet"/>
      </w:pPr>
      <w:r>
        <w:t>Très rares : thrombose, réactions immunologiques à médiation cellulaire.</w:t>
      </w:r>
    </w:p>
    <w:p>
      <w:pPr>
        <w:pStyle w:val="Heading3"/>
      </w:pPr>
      <w:r>
        <w:t>Sous-section 5 — Prévention et gestion des EI</w:t>
      </w:r>
    </w:p>
    <w:p>
      <w:r>
        <w:t>Cf. fiche 232.1. Particularités ADVATE :</w:t>
      </w:r>
    </w:p>
    <w:p>
      <w:pPr>
        <w:pStyle w:val="ListBullet"/>
      </w:pPr>
      <w:r/>
      <w:r>
        <w:rPr>
          <w:b/>
        </w:rPr>
        <w:t>Surveillance de l'inhibiteur</w:t>
      </w:r>
      <w:r>
        <w:t xml:space="preserve"> : prévalence ~25-30 % chez les hémophiles A sévères naifs (selon études SIPPET 2016, US hemophilia treatment centers).</w:t>
      </w:r>
    </w:p>
    <w:p>
      <w:pPr>
        <w:pStyle w:val="ListBullet"/>
      </w:pPr>
      <w:r/>
      <w:r>
        <w:rPr>
          <w:b/>
        </w:rPr>
        <w:t>Surveillance de la tolérance</w:t>
      </w:r>
      <w:r>
        <w:t xml:space="preserve"> : le polysorbate 80 peut induire des réactions d'hypersensibilité retardée chez certains patients.</w:t>
      </w:r>
    </w:p>
    <w:p>
      <w:pPr>
        <w:pStyle w:val="Heading3"/>
      </w:pPr>
      <w:r>
        <w:t>Sous-section 6 — Interactions médicamenteuses</w:t>
      </w:r>
    </w:p>
    <w:p>
      <w:pPr>
        <w:pStyle w:val="ListBullet"/>
      </w:pPr>
      <w:r>
        <w:t>Cf. fiche 232.1.</w:t>
      </w:r>
    </w:p>
    <w:p>
      <w:pPr>
        <w:pStyle w:val="ListBullet"/>
      </w:pPr>
      <w:r>
        <w:t>Aucune interaction pharmacocinétique significative.</w:t>
      </w:r>
    </w:p>
    <w:p>
      <w:pPr>
        <w:pStyle w:val="ListBullet"/>
      </w:pPr>
      <w:r>
        <w:t>Synergie avec antifibrinolytiques.</w:t>
      </w:r>
    </w:p>
    <w:p>
      <w:pPr>
        <w:pStyle w:val="Heading3"/>
      </w:pPr>
      <w:r>
        <w:t>Sous-section 7 — Grossesse et allaitement</w:t>
      </w:r>
    </w:p>
    <w:p>
      <w:pPr>
        <w:pStyle w:val="ListBullet"/>
      </w:pPr>
      <w:r>
        <w:t>Grossesse : utilisable si nécessaire (CRAT).</w:t>
      </w:r>
    </w:p>
    <w:p>
      <w:pPr>
        <w:pStyle w:val="ListBullet"/>
      </w:pPr>
      <w:r>
        <w:t>Allaitement : compatible (CRAT).</w:t>
      </w:r>
    </w:p>
    <w:p>
      <w:pPr>
        <w:pStyle w:val="Heading3"/>
      </w:pPr>
      <w:r>
        <w:t>Sous-section 8 — Posologie et mode d'administration</w:t>
      </w:r>
    </w:p>
    <w:p>
      <w:pPr>
        <w:pStyle w:val="ListBullet"/>
      </w:pPr>
      <w:r/>
      <w:r>
        <w:rPr>
          <w:b/>
        </w:rPr>
        <w:t>Dose (UI) = Poids (kg) × ΔFVIII souhaité (UI/dL) × 0,5</w:t>
      </w:r>
      <w:r>
        <w:t xml:space="preserve"> (facteur classique).</w:t>
      </w:r>
    </w:p>
    <w:p>
      <w:pPr>
        <w:pStyle w:val="ListBullet"/>
      </w:pPr>
      <w:r>
        <w:t>Prophylaxie : 20-40 UI/kg 3 fois/semaine.</w:t>
      </w:r>
    </w:p>
    <w:p>
      <w:pPr>
        <w:pStyle w:val="ListBullet"/>
      </w:pPr>
      <w:r>
        <w:t>Mode d'administration : IV stricte, perfusion lente (2-3 mL/min).</w:t>
      </w:r>
    </w:p>
    <w:p>
      <w:pPr>
        <w:pStyle w:val="ListBullet"/>
      </w:pPr>
      <w:r>
        <w:t>Reconstitution avec solvant EPPI fourni, agitation rotative douce.</w:t>
      </w:r>
    </w:p>
    <w:p>
      <w:pPr>
        <w:pStyle w:val="ListBullet"/>
      </w:pPr>
      <w:r>
        <w:t>Utiliser dans les 3 h après reconstitution.</w:t>
      </w:r>
    </w:p>
    <w:p>
      <w:pPr>
        <w:pStyle w:val="Heading3"/>
      </w:pPr>
      <w:r>
        <w:t>Sous-section 9 — Arbitrage et bénéfices des formes galéniques</w:t>
      </w:r>
    </w:p>
    <w:p>
      <w:pPr>
        <w:pStyle w:val="ListBullet"/>
      </w:pPr>
      <w:r/>
      <w:r>
        <w:rPr>
          <w:b/>
        </w:rPr>
        <w:t>Avantage ADVATE</w:t>
      </w:r>
      <w:r>
        <w:t xml:space="preserve"> : production en milieu sans protéine animale (sécurité accrue vis-à-vis des prions), longue expérience clinique (commercialisé depuis 2003, ~20 ans de suivi), présentation avec seringue pré-remplie de solvant (facilité d'utilisation à domicile).</w:t>
      </w:r>
    </w:p>
    <w:p>
      <w:pPr>
        <w:pStyle w:val="ListBullet"/>
      </w:pPr>
      <w:r/>
      <w:r>
        <w:rPr>
          <w:b/>
        </w:rPr>
        <w:t>Inconvénient ADVATE</w:t>
      </w:r>
      <w:r>
        <w:t xml:space="preserve"> : demi-vie 12-14 h (standard), pas d'EHL, dosage limité à 250/1000/2000/3000 UI (pas de 500 UI).</w:t>
      </w:r>
    </w:p>
    <w:p>
      <w:pPr>
        <w:pStyle w:val="ListBullet"/>
      </w:pPr>
      <w:r/>
      <w:r>
        <w:rPr>
          <w:b/>
        </w:rPr>
        <w:t>Disponibilité Algérie</w:t>
      </w:r>
      <w:r>
        <w:t xml:space="preserve"> : dosages 250 UI et 1000 UI disponibles en 2026.</w:t>
      </w:r>
    </w:p>
    <w:p>
      <w:pPr>
        <w:pStyle w:val="Heading3"/>
      </w:pPr>
      <w:r>
        <w:t>Sous-section 10 — Instructions et conseils au patient</w:t>
      </w:r>
    </w:p>
    <w:p>
      <w:r>
        <w:t>Cf. fiche 232.1. Particularité ADVATE :</w:t>
      </w:r>
    </w:p>
    <w:p>
      <w:pPr>
        <w:pStyle w:val="ListBullet"/>
      </w:pPr>
      <w:r>
        <w:t xml:space="preserve">Reconstitution avec le kit </w:t>
      </w:r>
      <w:r>
        <w:rPr>
          <w:b/>
        </w:rPr>
        <w:t>Baxject II</w:t>
      </w:r>
      <w:r>
        <w:t xml:space="preserve"> (dispositif de transfert sans aiguille, réduction des accidents d'exposition au sang).</w:t>
      </w:r>
    </w:p>
    <w:p>
      <w:pPr>
        <w:pStyle w:val="ListBullet"/>
      </w:pPr>
      <w:r>
        <w:t>Formation à l'auto-administration à domicile, en particulier chez l'enfant.</w:t>
      </w:r>
    </w:p>
    <w:p>
      <w:pPr>
        <w:pStyle w:val="Heading3"/>
      </w:pPr>
      <w:r>
        <w:t>Sous-section 11 — Notes, règles d'or et pièges</w:t>
      </w:r>
    </w:p>
    <w:p>
      <w:pPr>
        <w:pStyle w:val="ListBullet"/>
      </w:pPr>
      <w:r>
        <w:t>Cf. fiche 232.1.</w:t>
      </w:r>
    </w:p>
    <w:p>
      <w:pPr>
        <w:pStyle w:val="ListBullet"/>
      </w:pPr>
      <w:r/>
      <w:r>
        <w:rPr>
          <w:b/>
        </w:rPr>
        <w:t>Piège spécifique ADVATE</w:t>
      </w:r>
      <w:r>
        <w:t xml:space="preserve"> : la dilution finale (50 UI/mL) doit être vérifiée avant administration ; les concentrations disponibles sont 250 UI/5 mL, 500 UI/5 mL (ou 10 mL), 1000 UI/5 mL, 2000 UI/5 mL, 3000 UI/5 mL. Ne pas confondre les concentrations.</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Récovery</w:t>
            </w:r>
          </w:p>
        </w:tc>
        <w:tc>
          <w:tcPr>
            <w:tcW w:type="dxa" w:w="1385"/>
            <w:shd w:val="clear" w:color="auto" w:fill="F2F2F2"/>
          </w:tcPr>
          <w:p>
            <w:r>
              <w:rPr>
                <w:rFonts w:ascii="Times New Roman" w:hAnsi="Times New Roman"/>
                <w:b/>
                <w:sz w:val="20"/>
              </w:rPr>
              <w:t>VWF</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ADVATE 250</w:t>
            </w:r>
          </w:p>
        </w:tc>
        <w:tc>
          <w:tcPr>
            <w:tcW w:type="dxa" w:w="1385"/>
          </w:tcPr>
          <w:p>
            <w:r>
              <w:rPr>
                <w:rFonts w:ascii="Times New Roman" w:hAnsi="Times New Roman"/>
                <w:sz w:val="20"/>
              </w:rPr>
              <w:t>rFVIII BDD CHO</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Non</w:t>
            </w:r>
          </w:p>
        </w:tc>
        <w:tc>
          <w:tcPr>
            <w:tcW w:type="dxa" w:w="1385"/>
          </w:tcPr>
          <w:p>
            <w:r>
              <w:rPr>
                <w:rFonts w:ascii="Times New Roman" w:hAnsi="Times New Roman"/>
                <w:sz w:val="20"/>
              </w:rPr>
              <w:t>Actif</w:t>
            </w:r>
          </w:p>
        </w:tc>
      </w:tr>
      <w:tr>
        <w:tc>
          <w:tcPr>
            <w:tcW w:type="dxa" w:w="1385"/>
          </w:tcPr>
          <w:p>
            <w:r>
              <w:rPr>
                <w:rFonts w:ascii="Times New Roman" w:hAnsi="Times New Roman"/>
                <w:sz w:val="20"/>
              </w:rPr>
              <w:t>ADVATE 1000</w:t>
            </w:r>
          </w:p>
        </w:tc>
        <w:tc>
          <w:tcPr>
            <w:tcW w:type="dxa" w:w="1385"/>
          </w:tcPr>
          <w:p>
            <w:r>
              <w:rPr>
                <w:rFonts w:ascii="Times New Roman" w:hAnsi="Times New Roman"/>
                <w:sz w:val="20"/>
              </w:rPr>
              <w:t>rFVIII BDD CHO</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Non</w:t>
            </w:r>
          </w:p>
        </w:tc>
        <w:tc>
          <w:tcPr>
            <w:tcW w:type="dxa" w:w="1385"/>
          </w:tcPr>
          <w:p>
            <w:r>
              <w:rPr>
                <w:rFonts w:ascii="Times New Roman" w:hAnsi="Times New Roman"/>
                <w:sz w:val="20"/>
              </w:rPr>
              <w:t>Actif</w:t>
            </w:r>
          </w:p>
        </w:tc>
      </w:tr>
    </w:tbl>
    <w:p/>
    <w:p>
      <w:pPr>
        <w:pStyle w:val="Heading2"/>
      </w:pPr>
      <w:r>
        <w:t>232.4. DCI : Octocog alfa (Facteur VIII recombinant de coagulation anti-hémophilique) [NON_RENOUVELABLE] — RECOMBINATE, KOGENATE</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w:t>
      </w:r>
    </w:p>
    <w:p>
      <w:pPr>
        <w:pStyle w:val="ListBullet"/>
      </w:pPr>
      <w:r/>
      <w:r>
        <w:rPr>
          <w:b/>
        </w:rPr>
        <w:t>DCI</w:t>
      </w:r>
      <w:r>
        <w:t xml:space="preserve"> : Octocog alfa.</w:t>
      </w:r>
    </w:p>
    <w:p>
      <w:pPr>
        <w:pStyle w:val="ListBullet"/>
      </w:pPr>
      <w:r/>
      <w:r>
        <w:rPr>
          <w:b/>
        </w:rPr>
        <w:t>Spécialités</w:t>
      </w:r>
      <w:r>
        <w:t xml:space="preserve"> : RECOMBINATE (Baxter S.A.) et KOGENATE (Bayer Healthcare LLC).</w:t>
      </w:r>
    </w:p>
    <w:p>
      <w:pPr>
        <w:pStyle w:val="ListBullet"/>
      </w:pPr>
      <w:r/>
      <w:r>
        <w:rPr>
          <w:b/>
        </w:rPr>
        <w:t>Statut réglementaire Algérie</w:t>
      </w:r>
      <w:r>
        <w:t xml:space="preserve"> : </w:t>
      </w:r>
      <w:r>
        <w:rPr>
          <w:b/>
        </w:rPr>
        <w:t>NON_RENOUVELABLE</w:t>
      </w:r>
      <w:r>
        <w:t xml:space="preserve"> (inscriptions radiées de la nomenclature algérienne Avril 2026, mais toujours disponibles dans certains stocks hospitaliers ou par importation exceptionnelle ATU nominative).</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RECOMBINATE 500 UI</w:t>
            </w:r>
          </w:p>
        </w:tc>
        <w:tc>
          <w:tcPr>
            <w:tcW w:type="dxa" w:w="1385"/>
          </w:tcPr>
          <w:p>
            <w:r>
              <w:rPr>
                <w:rFonts w:ascii="Times New Roman" w:hAnsi="Times New Roman"/>
                <w:sz w:val="20"/>
              </w:rPr>
              <w:t>Baxter S.A.</w:t>
            </w:r>
          </w:p>
        </w:tc>
        <w:tc>
          <w:tcPr>
            <w:tcW w:type="dxa" w:w="1385"/>
          </w:tcPr>
          <w:p>
            <w:r>
              <w:rPr>
                <w:rFonts w:ascii="Times New Roman" w:hAnsi="Times New Roman"/>
                <w:sz w:val="20"/>
              </w:rPr>
              <w:t>Poudre et solvant pour solution injectable IV, 500 UI/flacon</w:t>
            </w:r>
          </w:p>
        </w:tc>
        <w:tc>
          <w:tcPr>
            <w:tcW w:type="dxa" w:w="1385"/>
          </w:tcPr>
          <w:p>
            <w:r>
              <w:rPr>
                <w:rFonts w:ascii="Times New Roman" w:hAnsi="Times New Roman"/>
                <w:sz w:val="20"/>
              </w:rPr>
              <w:t>Boîte de 1 flacon de poudre + 1 ampoule de solvant (EPPI) de 10 mL</w:t>
            </w:r>
          </w:p>
        </w:tc>
        <w:tc>
          <w:tcPr>
            <w:tcW w:type="dxa" w:w="1385"/>
          </w:tcPr>
          <w:p>
            <w:r>
              <w:rPr>
                <w:rFonts w:ascii="Times New Roman" w:hAnsi="Times New Roman"/>
                <w:sz w:val="20"/>
              </w:rPr>
              <w:t>Liste I</w:t>
            </w:r>
          </w:p>
        </w:tc>
        <w:tc>
          <w:tcPr>
            <w:tcW w:type="dxa" w:w="1385"/>
          </w:tcPr>
          <w:p>
            <w:r>
              <w:rPr>
                <w:rFonts w:ascii="Times New Roman" w:hAnsi="Times New Roman"/>
                <w:sz w:val="20"/>
              </w:rPr>
              <w:t>NON_RENOUVELABLE</w:t>
            </w:r>
          </w:p>
        </w:tc>
      </w:tr>
      <w:tr>
        <w:tc>
          <w:tcPr>
            <w:tcW w:type="dxa" w:w="1385"/>
          </w:tcPr>
          <w:p>
            <w:r>
              <w:rPr>
                <w:rFonts w:ascii="Times New Roman" w:hAnsi="Times New Roman"/>
                <w:sz w:val="20"/>
              </w:rPr>
              <w:t>KOGENATE 250 UI</w:t>
            </w:r>
          </w:p>
        </w:tc>
        <w:tc>
          <w:tcPr>
            <w:tcW w:type="dxa" w:w="1385"/>
          </w:tcPr>
          <w:p>
            <w:r>
              <w:rPr>
                <w:rFonts w:ascii="Times New Roman" w:hAnsi="Times New Roman"/>
                <w:sz w:val="20"/>
              </w:rPr>
              <w:t>Bayer Healthcare LLC</w:t>
            </w:r>
          </w:p>
        </w:tc>
        <w:tc>
          <w:tcPr>
            <w:tcW w:type="dxa" w:w="1385"/>
          </w:tcPr>
          <w:p>
            <w:r>
              <w:rPr>
                <w:rFonts w:ascii="Times New Roman" w:hAnsi="Times New Roman"/>
                <w:sz w:val="20"/>
              </w:rPr>
              <w:t>Lyophilisat et solvant pour solution injectable IV, 250 UI/flacon</w:t>
            </w:r>
          </w:p>
        </w:tc>
        <w:tc>
          <w:tcPr>
            <w:tcW w:type="dxa" w:w="1385"/>
          </w:tcPr>
          <w:p>
            <w:r>
              <w:rPr>
                <w:rFonts w:ascii="Times New Roman" w:hAnsi="Times New Roman"/>
                <w:sz w:val="20"/>
              </w:rPr>
              <w:t>Boîte de 1 flacon de poudre + 1 seringue pré-remplie de solvant (EPPI) de 2,5 mL</w:t>
            </w:r>
          </w:p>
        </w:tc>
        <w:tc>
          <w:tcPr>
            <w:tcW w:type="dxa" w:w="1385"/>
          </w:tcPr>
          <w:p>
            <w:r>
              <w:rPr>
                <w:rFonts w:ascii="Times New Roman" w:hAnsi="Times New Roman"/>
                <w:sz w:val="20"/>
              </w:rPr>
              <w:t>Liste I</w:t>
            </w:r>
          </w:p>
        </w:tc>
        <w:tc>
          <w:tcPr>
            <w:tcW w:type="dxa" w:w="1385"/>
          </w:tcPr>
          <w:p>
            <w:r>
              <w:rPr>
                <w:rFonts w:ascii="Times New Roman" w:hAnsi="Times New Roman"/>
                <w:sz w:val="20"/>
              </w:rPr>
              <w:t>NON_RENOUVELABLE</w:t>
            </w:r>
          </w:p>
        </w:tc>
      </w:tr>
    </w:tbl>
    <w:p/>
    <w:p>
      <w:pPr>
        <w:pStyle w:val="Heading3"/>
      </w:pPr>
      <w:r>
        <w:t>Sous-section 3 — Sous-classe et mécanisme d'action moléculaire</w:t>
      </w:r>
    </w:p>
    <w:p>
      <w:r/>
      <w:r>
        <w:rPr>
          <w:b/>
        </w:rPr>
        <w:t>Sous-classe</w:t>
      </w:r>
      <w:r>
        <w:t xml:space="preserve"> : B02BD06 — Facteur VIII recombinant full-length (première génération).</w:t>
      </w:r>
    </w:p>
    <w:p>
      <w:r/>
      <w:r>
        <w:rPr>
          <w:b/>
        </w:rPr>
        <w:t>RECOMBINATE (octocog alfa, Baxter)</w:t>
      </w:r>
      <w:r>
        <w:t xml:space="preserve"> :</w:t>
      </w:r>
    </w:p>
    <w:p>
      <w:pPr>
        <w:pStyle w:val="ListBullet"/>
      </w:pPr>
      <w:r>
        <w:t>Premier rFVIII commercialisé au monde (1992, FDA ; 1993, EMA).</w:t>
      </w:r>
    </w:p>
    <w:p>
      <w:pPr>
        <w:pStyle w:val="ListBullet"/>
      </w:pPr>
      <w:r>
        <w:t xml:space="preserve">Production en cellules </w:t>
      </w:r>
      <w:r>
        <w:rPr>
          <w:b/>
        </w:rPr>
        <w:t>CHO</w:t>
      </w:r>
      <w:r>
        <w:t>, milieu contenant des protéines animales (albumine bovine, transferrine, insuline bovine — historique).</w:t>
      </w:r>
    </w:p>
    <w:p>
      <w:pPr>
        <w:pStyle w:val="ListBullet"/>
      </w:pPr>
      <w:r>
        <w:t xml:space="preserve">Stabilisation par </w:t>
      </w:r>
      <w:r>
        <w:rPr>
          <w:b/>
        </w:rPr>
        <w:t>albumine humaine ajoutée</w:t>
      </w:r>
      <w:r>
        <w:t xml:space="preserve"> (stabilisant protéique).</w:t>
      </w:r>
    </w:p>
    <w:p>
      <w:pPr>
        <w:pStyle w:val="ListBullet"/>
      </w:pPr>
      <w:r>
        <w:t xml:space="preserve">Demi-vie plasmatique : </w:t>
      </w:r>
      <w:r>
        <w:rPr>
          <w:b/>
        </w:rPr>
        <w:t>12-14 h</w:t>
      </w:r>
      <w:r>
        <w:t>.</w:t>
      </w:r>
    </w:p>
    <w:p>
      <w:pPr>
        <w:pStyle w:val="ListBullet"/>
      </w:pPr>
      <w:r>
        <w:t>Contenu en VWF : non.</w:t>
      </w:r>
    </w:p>
    <w:p>
      <w:r/>
      <w:r>
        <w:rPr>
          <w:b/>
        </w:rPr>
        <w:t>KOGENATE (octocog alfa, Bayer)</w:t>
      </w:r>
      <w:r>
        <w:t xml:space="preserve"> :</w:t>
      </w:r>
    </w:p>
    <w:p>
      <w:pPr>
        <w:pStyle w:val="ListBullet"/>
      </w:pPr>
      <w:r>
        <w:t>Deuxième rFVIII commercialisé (1993, FDA).</w:t>
      </w:r>
    </w:p>
    <w:p>
      <w:pPr>
        <w:pStyle w:val="ListBullet"/>
      </w:pPr>
      <w:r>
        <w:t xml:space="preserve">Production en cellules </w:t>
      </w:r>
      <w:r>
        <w:rPr>
          <w:b/>
        </w:rPr>
        <w:t>BHK</w:t>
      </w:r>
      <w:r>
        <w:t>, milieu contenant des protéines animales historiquement.</w:t>
      </w:r>
    </w:p>
    <w:p>
      <w:pPr>
        <w:pStyle w:val="ListBullet"/>
      </w:pPr>
      <w:r>
        <w:t xml:space="preserve">Stabilisation par </w:t>
      </w:r>
      <w:r>
        <w:rPr>
          <w:b/>
        </w:rPr>
        <w:t>albumine humaine ajoutée</w:t>
      </w:r>
      <w:r>
        <w:t>.</w:t>
      </w:r>
    </w:p>
    <w:p>
      <w:pPr>
        <w:pStyle w:val="ListBullet"/>
      </w:pPr>
      <w:r>
        <w:t xml:space="preserve">Demi-vie plasmatique : </w:t>
      </w:r>
      <w:r>
        <w:rPr>
          <w:b/>
        </w:rPr>
        <w:t>12-14 h</w:t>
      </w:r>
      <w:r>
        <w:t>.</w:t>
      </w:r>
    </w:p>
    <w:p>
      <w:pPr>
        <w:pStyle w:val="ListBullet"/>
      </w:pPr>
      <w:r>
        <w:t>Contenu en VWF : non.</w:t>
      </w:r>
    </w:p>
    <w:p>
      <w:r/>
      <w:r>
        <w:rPr>
          <w:b/>
        </w:rPr>
        <w:t>Mécanisme d'action</w:t>
      </w:r>
      <w:r>
        <w:t xml:space="preserve"> : identique au FVIII natif (cf. fiche 232.1).</w:t>
      </w:r>
    </w:p>
    <w:p>
      <w:r/>
      <w:r>
        <w:rPr>
          <w:b/>
        </w:rPr>
        <w:t>Historique et statut NON_RENOUVELABLE</w:t>
      </w:r>
      <w:r>
        <w:t xml:space="preserve"> : ces deux spécialités ont été progressivement remplacées par leurs versions « sans protéines animales » (RECOMBINATE → ADVATE pour Baxter en 2003 ; KOGENATE → KOVALTRY pour Bayer en 2016). L'inscription NON_RENOUVELABLE dans la nomenclature algérienne Avril 2026 reflète cette transition historique. Les stocks restants peuvent encore être délivrés jusqu'à épuisement.</w:t>
      </w:r>
    </w:p>
    <w:p>
      <w:pPr>
        <w:pStyle w:val="Heading3"/>
      </w:pPr>
      <w:r>
        <w:t>Sous-section 4 — Profil pharmacologique</w:t>
      </w:r>
    </w:p>
    <w:p>
      <w:pPr>
        <w:pStyle w:val="Heading4"/>
      </w:pPr>
      <w:r>
        <w:t>Indications</w:t>
      </w:r>
    </w:p>
    <w:p>
      <w:pPr>
        <w:pStyle w:val="ListBullet"/>
      </w:pPr>
      <w:r>
        <w:t>Hémophilie A constitutionnelle (sévère, modérée, légère) — prophylaxie et traitement à la demande.</w:t>
      </w:r>
    </w:p>
    <w:p>
      <w:pPr>
        <w:pStyle w:val="Heading4"/>
      </w:pPr>
      <w:r>
        <w:t>Contre-indications</w:t>
      </w:r>
    </w:p>
    <w:p>
      <w:pPr>
        <w:pStyle w:val="ListNumber"/>
      </w:pPr>
      <w:r>
        <w:t>Hypersensibilité au FVIII, à l'albumine humaine, aux protéines de hamster ou de souris.</w:t>
      </w:r>
    </w:p>
    <w:p>
      <w:pPr>
        <w:pStyle w:val="ListNumber"/>
      </w:pPr>
      <w:r>
        <w:t>Inhibiteur de haut titre non contrôlé.</w:t>
      </w:r>
    </w:p>
    <w:p>
      <w:pPr>
        <w:pStyle w:val="Heading4"/>
      </w:pPr>
      <w:r>
        <w:t>Effets indésirables</w:t>
      </w:r>
    </w:p>
    <w:p>
      <w:pPr>
        <w:pStyle w:val="ListBullet"/>
      </w:pPr>
      <w:r>
        <w:t>Fréquents : céphalées, fièvre, frissons.</w:t>
      </w:r>
    </w:p>
    <w:p>
      <w:pPr>
        <w:pStyle w:val="ListBullet"/>
      </w:pPr>
      <w:r>
        <w:t>Peu fréquents : urticaire, rash, hypotension transitoire.</w:t>
      </w:r>
    </w:p>
    <w:p>
      <w:pPr>
        <w:pStyle w:val="ListBullet"/>
      </w:pPr>
      <w:r>
        <w:t>Rares : anaphylaxie, développement d'inhibiteur.</w:t>
      </w:r>
    </w:p>
    <w:p>
      <w:pPr>
        <w:pStyle w:val="ListBullet"/>
      </w:pPr>
      <w:r/>
      <w:r>
        <w:rPr>
          <w:b/>
        </w:rPr>
        <w:t>Particularités génération 1</w:t>
      </w:r>
      <w:r>
        <w:t xml:space="preserve"> : risque viral résiduel théorique plus élevé que les rFVIII modernes (en raison de l'albumine humaine ajoutée comme stabilisant), bien que les étapes d'inactivation virale soient appliquées.</w:t>
      </w:r>
    </w:p>
    <w:p>
      <w:pPr>
        <w:pStyle w:val="Heading3"/>
      </w:pPr>
      <w:r>
        <w:t>Sous-section 5 — Prévention et gestion des EI</w:t>
      </w:r>
    </w:p>
    <w:p>
      <w:pPr>
        <w:pStyle w:val="ListBullet"/>
      </w:pPr>
      <w:r>
        <w:t>Cf. fiche 232.1.</w:t>
      </w:r>
    </w:p>
    <w:p>
      <w:pPr>
        <w:pStyle w:val="ListBullet"/>
      </w:pPr>
      <w:r>
        <w:t>Préférence pour les rFVIII modernes sans protéines animales (ADVATE, KOVALTRY) chez les patients naifs.</w:t>
      </w:r>
    </w:p>
    <w:p>
      <w:pPr>
        <w:pStyle w:val="ListBullet"/>
      </w:pPr>
      <w:r>
        <w:t>Surveillance de l'inhibiteur (test Bethesda).</w:t>
      </w:r>
    </w:p>
    <w:p>
      <w:pPr>
        <w:pStyle w:val="Heading3"/>
      </w:pPr>
      <w:r>
        <w:t>Sous-section 6 — Interactions médicamenteuses</w:t>
      </w:r>
    </w:p>
    <w:p>
      <w:pPr>
        <w:pStyle w:val="ListBullet"/>
      </w:pPr>
      <w:r>
        <w:t>Cf. fiche 232.1.</w:t>
      </w:r>
    </w:p>
    <w:p>
      <w:pPr>
        <w:pStyle w:val="Heading3"/>
      </w:pPr>
      <w:r>
        <w:t>Sous-section 7 — Grossesse et allaitement</w:t>
      </w:r>
    </w:p>
    <w:p>
      <w:pPr>
        <w:pStyle w:val="ListBullet"/>
      </w:pPr>
      <w:r>
        <w:t>Grossesse : utilisable si nécessaire (CRAT) — mais préférer rFVIII modernes sans albumine ajoutée.</w:t>
      </w:r>
    </w:p>
    <w:p>
      <w:pPr>
        <w:pStyle w:val="ListBullet"/>
      </w:pPr>
      <w:r>
        <w:t>Allaitement : compatible (CRAT).</w:t>
      </w:r>
    </w:p>
    <w:p>
      <w:pPr>
        <w:pStyle w:val="Heading3"/>
      </w:pPr>
      <w:r>
        <w:t>Sous-section 8 — Posologie et mode d'administration</w:t>
      </w:r>
    </w:p>
    <w:p>
      <w:pPr>
        <w:pStyle w:val="ListBullet"/>
      </w:pPr>
      <w:r/>
      <w:r>
        <w:rPr>
          <w:b/>
        </w:rPr>
        <w:t>Dose (UI) = Poids (kg) × ΔFVIII souhaité (UI/dL) × 0,5</w:t>
      </w:r>
      <w:r>
        <w:t>.</w:t>
      </w:r>
    </w:p>
    <w:p>
      <w:pPr>
        <w:pStyle w:val="ListBullet"/>
      </w:pPr>
      <w:r>
        <w:t>Prophylaxie : 20-40 UI/kg 3 fois/semaine.</w:t>
      </w:r>
    </w:p>
    <w:p>
      <w:pPr>
        <w:pStyle w:val="ListBullet"/>
      </w:pPr>
      <w:r>
        <w:t>Mode d'administration : IV stricte, perfusion lente.</w:t>
      </w:r>
    </w:p>
    <w:p>
      <w:pPr>
        <w:pStyle w:val="Heading3"/>
      </w:pPr>
      <w:r>
        <w:t>Sous-section 9 — Arbitrage et bénéfices des formes galéniques</w:t>
      </w:r>
    </w:p>
    <w:p>
      <w:pPr>
        <w:pStyle w:val="ListBullet"/>
      </w:pPr>
      <w:r/>
      <w:r>
        <w:rPr>
          <w:b/>
        </w:rPr>
        <w:t>Statut NON_RENOUVELABLE</w:t>
      </w:r>
      <w:r>
        <w:t xml:space="preserve"> : à éviter en première intention chez les patients naifs (préférer KOVALTRY, ADVATE, NOVOEIGHT).</w:t>
      </w:r>
    </w:p>
    <w:p>
      <w:pPr>
        <w:pStyle w:val="ListBullet"/>
      </w:pPr>
      <w:r>
        <w:t>Peut être utilisé chez les patients déjà traités par RECOMBINATE ou KOGENATE si le produit leur convient et si le stock le permet.</w:t>
      </w:r>
    </w:p>
    <w:p>
      <w:pPr>
        <w:pStyle w:val="ListBullet"/>
      </w:pPr>
      <w:r/>
      <w:r>
        <w:rPr>
          <w:b/>
        </w:rPr>
        <w:t>Transition vers rFVIII moderne</w:t>
      </w:r>
      <w:r>
        <w:t xml:space="preserve"> : à discuter avec l'hématologue référent, en surveillant l'apparition éventuelle d'un inhibiteur (changement de produit = facteur de risque d'inhibiteur).</w:t>
      </w:r>
    </w:p>
    <w:p>
      <w:pPr>
        <w:pStyle w:val="Heading3"/>
      </w:pPr>
      <w:r>
        <w:t>Sous-section 10 — Instructions et conseils au patient</w:t>
      </w:r>
    </w:p>
    <w:p>
      <w:pPr>
        <w:pStyle w:val="ListBullet"/>
      </w:pPr>
      <w:r>
        <w:t>Cf. fiche 232.1.</w:t>
      </w:r>
    </w:p>
    <w:p>
      <w:pPr>
        <w:pStyle w:val="ListBullet"/>
      </w:pPr>
      <w:r>
        <w:t>Information patient : « Ce produit n'est plus commercialisé en Algérie ; il sera progressivement remplacé par KOVALTRY ou ADVATE (équivalents pharmacologiques) ».</w:t>
      </w:r>
    </w:p>
    <w:p>
      <w:pPr>
        <w:pStyle w:val="Heading3"/>
      </w:pPr>
      <w:r>
        <w:t>Sous-section 11 — Notes, règles d'or et pièges</w:t>
      </w:r>
    </w:p>
    <w:p>
      <w:pPr>
        <w:pStyle w:val="ListBullet"/>
      </w:pPr>
      <w:r>
        <w:t>Cf. fiche 232.1.</w:t>
      </w:r>
    </w:p>
    <w:p>
      <w:pPr>
        <w:pStyle w:val="ListBullet"/>
      </w:pPr>
      <w:r/>
      <w:r>
        <w:rPr>
          <w:b/>
        </w:rPr>
        <w:t>Piège spécifique</w:t>
      </w:r>
      <w:r>
        <w:t xml:space="preserve"> : ne pas délivrer RECOMBINATE ou KOGENATE à un patient naif sans avis spécialisé ; privilégier KOVALTRY ou ADVATE.</w:t>
      </w:r>
    </w:p>
    <w:p>
      <w:pPr>
        <w:pStyle w:val="ListBullet"/>
      </w:pPr>
      <w:r/>
      <w:r>
        <w:rPr>
          <w:b/>
        </w:rPr>
        <w:t>Traçabilité stricte</w:t>
      </w:r>
      <w:r>
        <w:t xml:space="preserve"> : inscription au registre national obligatoire, en raison du statut NON_RENOUVELABLE.</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Récovery</w:t>
            </w:r>
          </w:p>
        </w:tc>
        <w:tc>
          <w:tcPr>
            <w:tcW w:type="dxa" w:w="1385"/>
            <w:shd w:val="clear" w:color="auto" w:fill="F2F2F2"/>
          </w:tcPr>
          <w:p>
            <w:r>
              <w:rPr>
                <w:rFonts w:ascii="Times New Roman" w:hAnsi="Times New Roman"/>
                <w:b/>
                <w:sz w:val="20"/>
              </w:rPr>
              <w:t>Albumine ajoutée</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RECOMBINATE 500</w:t>
            </w:r>
          </w:p>
        </w:tc>
        <w:tc>
          <w:tcPr>
            <w:tcW w:type="dxa" w:w="1385"/>
          </w:tcPr>
          <w:p>
            <w:r>
              <w:rPr>
                <w:rFonts w:ascii="Times New Roman" w:hAnsi="Times New Roman"/>
                <w:sz w:val="20"/>
              </w:rPr>
              <w:t>rFVIII FL CHO</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Oui</w:t>
            </w:r>
          </w:p>
        </w:tc>
        <w:tc>
          <w:tcPr>
            <w:tcW w:type="dxa" w:w="1385"/>
          </w:tcPr>
          <w:p>
            <w:r>
              <w:rPr>
                <w:rFonts w:ascii="Times New Roman" w:hAnsi="Times New Roman"/>
                <w:sz w:val="20"/>
              </w:rPr>
              <w:t>NON_RENOUVELABLE</w:t>
            </w:r>
          </w:p>
        </w:tc>
      </w:tr>
      <w:tr>
        <w:tc>
          <w:tcPr>
            <w:tcW w:type="dxa" w:w="1385"/>
          </w:tcPr>
          <w:p>
            <w:r>
              <w:rPr>
                <w:rFonts w:ascii="Times New Roman" w:hAnsi="Times New Roman"/>
                <w:sz w:val="20"/>
              </w:rPr>
              <w:t>KOGENATE 250</w:t>
            </w:r>
          </w:p>
        </w:tc>
        <w:tc>
          <w:tcPr>
            <w:tcW w:type="dxa" w:w="1385"/>
          </w:tcPr>
          <w:p>
            <w:r>
              <w:rPr>
                <w:rFonts w:ascii="Times New Roman" w:hAnsi="Times New Roman"/>
                <w:sz w:val="20"/>
              </w:rPr>
              <w:t>rFVIII FL BHK</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Oui</w:t>
            </w:r>
          </w:p>
        </w:tc>
        <w:tc>
          <w:tcPr>
            <w:tcW w:type="dxa" w:w="1385"/>
          </w:tcPr>
          <w:p>
            <w:r>
              <w:rPr>
                <w:rFonts w:ascii="Times New Roman" w:hAnsi="Times New Roman"/>
                <w:sz w:val="20"/>
              </w:rPr>
              <w:t>NON_RENOUVELABLE</w:t>
            </w:r>
          </w:p>
        </w:tc>
      </w:tr>
    </w:tbl>
    <w:p/>
    <w:p>
      <w:pPr>
        <w:pStyle w:val="Heading2"/>
      </w:pPr>
      <w:r>
        <w:t>232.5. DCI : Turoctocog alfa — NOVO EIGHT (Novo Nordisk)</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w:t>
      </w:r>
    </w:p>
    <w:p>
      <w:pPr>
        <w:pStyle w:val="ListBullet"/>
      </w:pPr>
      <w:r/>
      <w:r>
        <w:rPr>
          <w:b/>
        </w:rPr>
        <w:t>DCI</w:t>
      </w:r>
      <w:r>
        <w:t xml:space="preserve"> : Turoctocog alfa.</w:t>
      </w:r>
    </w:p>
    <w:p>
      <w:pPr>
        <w:pStyle w:val="ListBullet"/>
      </w:pPr>
      <w:r/>
      <w:r>
        <w:rPr>
          <w:b/>
        </w:rPr>
        <w:t>Spécialité</w:t>
      </w:r>
      <w:r>
        <w:t xml:space="preserve"> : NOVO EIGHT (Novo Nordisk A/S, Danemark).</w:t>
      </w:r>
    </w:p>
    <w:p>
      <w:pPr>
        <w:pStyle w:val="ListBullet"/>
      </w:pPr>
      <w:r/>
      <w:r>
        <w:rPr>
          <w:b/>
        </w:rPr>
        <w:t>Statut réglementaire Algérie</w:t>
      </w:r>
      <w:r>
        <w:t xml:space="preserve"> : Liste I, prescription hospitalière spécialisée.</w:t>
      </w:r>
    </w:p>
    <w:p>
      <w:pPr>
        <w:pStyle w:val="ListBullet"/>
      </w:pPr>
      <w:r/>
      <w:r>
        <w:rPr>
          <w:b/>
        </w:rPr>
        <w:t>Statut OMS</w:t>
      </w:r>
      <w:r>
        <w:t xml:space="preserve"> : médicament essentiel.</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NOVO EIGHT 250</w:t>
            </w:r>
          </w:p>
        </w:tc>
        <w:tc>
          <w:tcPr>
            <w:tcW w:type="dxa" w:w="1385"/>
          </w:tcPr>
          <w:p>
            <w:r>
              <w:rPr>
                <w:rFonts w:ascii="Times New Roman" w:hAnsi="Times New Roman"/>
                <w:sz w:val="20"/>
              </w:rPr>
              <w:t>Novo Nordisk A/S (Danemark)</w:t>
            </w:r>
          </w:p>
        </w:tc>
        <w:tc>
          <w:tcPr>
            <w:tcW w:type="dxa" w:w="1385"/>
          </w:tcPr>
          <w:p>
            <w:r>
              <w:rPr>
                <w:rFonts w:ascii="Times New Roman" w:hAnsi="Times New Roman"/>
                <w:sz w:val="20"/>
              </w:rPr>
              <w:t>Poudre et solvant pour solution injectable, 250 UI</w:t>
            </w:r>
          </w:p>
        </w:tc>
        <w:tc>
          <w:tcPr>
            <w:tcW w:type="dxa" w:w="1385"/>
          </w:tcPr>
          <w:p>
            <w:r>
              <w:rPr>
                <w:rFonts w:ascii="Times New Roman" w:hAnsi="Times New Roman"/>
                <w:sz w:val="20"/>
              </w:rPr>
              <w:t>Boîte de 1 flacon de poudre + 1 adaptateur pour flacon + 1 seringue pré-remplie + 1 tige de piston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NOVO EIGHT 500</w:t>
            </w:r>
          </w:p>
        </w:tc>
        <w:tc>
          <w:tcPr>
            <w:tcW w:type="dxa" w:w="1385"/>
          </w:tcPr>
          <w:p>
            <w:r>
              <w:rPr>
                <w:rFonts w:ascii="Times New Roman" w:hAnsi="Times New Roman"/>
                <w:sz w:val="20"/>
              </w:rPr>
              <w:t>Novo Nordisk A/S (Danemark)</w:t>
            </w:r>
          </w:p>
        </w:tc>
        <w:tc>
          <w:tcPr>
            <w:tcW w:type="dxa" w:w="1385"/>
          </w:tcPr>
          <w:p>
            <w:r>
              <w:rPr>
                <w:rFonts w:ascii="Times New Roman" w:hAnsi="Times New Roman"/>
                <w:sz w:val="20"/>
              </w:rPr>
              <w:t>Poudre et solvant pour solution injectable, 500 UI</w:t>
            </w:r>
          </w:p>
        </w:tc>
        <w:tc>
          <w:tcPr>
            <w:tcW w:type="dxa" w:w="1385"/>
          </w:tcPr>
          <w:p>
            <w:r>
              <w:rPr>
                <w:rFonts w:ascii="Times New Roman" w:hAnsi="Times New Roman"/>
                <w:sz w:val="20"/>
              </w:rPr>
              <w:t>Boîte de 1 flacon de poudre + 1 adaptateur pour flacon + 1 seringue pré-remplie + 1 tige de piston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NOVO EIGHT 1000</w:t>
            </w:r>
          </w:p>
        </w:tc>
        <w:tc>
          <w:tcPr>
            <w:tcW w:type="dxa" w:w="1385"/>
          </w:tcPr>
          <w:p>
            <w:r>
              <w:rPr>
                <w:rFonts w:ascii="Times New Roman" w:hAnsi="Times New Roman"/>
                <w:sz w:val="20"/>
              </w:rPr>
              <w:t>Novo Nordisk A/S (Danemark)</w:t>
            </w:r>
          </w:p>
        </w:tc>
        <w:tc>
          <w:tcPr>
            <w:tcW w:type="dxa" w:w="1385"/>
          </w:tcPr>
          <w:p>
            <w:r>
              <w:rPr>
                <w:rFonts w:ascii="Times New Roman" w:hAnsi="Times New Roman"/>
                <w:sz w:val="20"/>
              </w:rPr>
              <w:t>Poudre et solvant pour solution injectable, 1000 UI</w:t>
            </w:r>
          </w:p>
        </w:tc>
        <w:tc>
          <w:tcPr>
            <w:tcW w:type="dxa" w:w="1385"/>
          </w:tcPr>
          <w:p>
            <w:r>
              <w:rPr>
                <w:rFonts w:ascii="Times New Roman" w:hAnsi="Times New Roman"/>
                <w:sz w:val="20"/>
              </w:rPr>
              <w:t>Boîte de 1 flacon de poudre + 1 adaptateur pour flacon + 1 seringue pré-remplie + 1 tige de piston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pPr>
        <w:pStyle w:val="Heading3"/>
      </w:pPr>
      <w:r>
        <w:t>Sous-section 3 — Sous-classe et mécanisme d'action moléculaire</w:t>
      </w:r>
    </w:p>
    <w:p>
      <w:r/>
      <w:r>
        <w:rPr>
          <w:b/>
        </w:rPr>
        <w:t>Sous-classe</w:t>
      </w:r>
      <w:r>
        <w:t xml:space="preserve"> : B02BD06 — Facteur VIII recombinant B-domain truncated (rFVIII BDT).</w:t>
      </w:r>
    </w:p>
    <w:p>
      <w:r/>
      <w:r>
        <w:rPr>
          <w:b/>
        </w:rPr>
        <w:t>Caractéristiques de NOVO EIGHT (turoctocog alfa)</w:t>
      </w:r>
      <w:r>
        <w:t xml:space="preserve"> :</w:t>
      </w:r>
    </w:p>
    <w:p>
      <w:pPr>
        <w:pStyle w:val="ListBullet"/>
      </w:pPr>
      <w:r>
        <w:t xml:space="preserve">Protéine recombinante de 1 445 acides aminés (165 kDa), produite en cellules </w:t>
      </w:r>
      <w:r>
        <w:rPr>
          <w:b/>
        </w:rPr>
        <w:t>CHO (Chinese Hamster Ovary)</w:t>
      </w:r>
      <w:r>
        <w:t xml:space="preserve"> transfectées.</w:t>
      </w:r>
    </w:p>
    <w:p>
      <w:pPr>
        <w:pStyle w:val="ListBullet"/>
      </w:pPr>
      <w:r>
        <w:t xml:space="preserve">Séquence dérivée de la FVIII native humaine, avec </w:t>
      </w:r>
      <w:r>
        <w:rPr>
          <w:b/>
        </w:rPr>
        <w:t>truncation du domaine B</w:t>
      </w:r>
      <w:r>
        <w:t xml:space="preserve"> à 21 acides aminés (au lieu de 980 dans la protéine native). Le domaine B n'est pas essentiel à l'activité coagulante.</w:t>
      </w:r>
    </w:p>
    <w:p>
      <w:pPr>
        <w:pStyle w:val="ListBullet"/>
      </w:pPr>
      <w:r>
        <w:t xml:space="preserve">Production en milieu </w:t>
      </w:r>
      <w:r>
        <w:rPr>
          <w:b/>
        </w:rPr>
        <w:t>sans protéine animale</w:t>
      </w:r>
      <w:r>
        <w:t xml:space="preserve"> (pas d'albumine, pas d'immunoglobulines animales).</w:t>
      </w:r>
    </w:p>
    <w:p>
      <w:pPr>
        <w:pStyle w:val="ListBullet"/>
      </w:pPr>
      <w:r>
        <w:t xml:space="preserve">Stabilisation par </w:t>
      </w:r>
      <w:r>
        <w:rPr>
          <w:b/>
        </w:rPr>
        <w:t>saccharose, L-histidine, CaCl₂, polysorbate 80</w:t>
      </w:r>
      <w:r>
        <w:t xml:space="preserve"> (pas d'albumine ajoutée).</w:t>
      </w:r>
    </w:p>
    <w:p>
      <w:pPr>
        <w:pStyle w:val="ListBullet"/>
      </w:pPr>
      <w:r>
        <w:t xml:space="preserve">Demi-vie plasmatique moyenne : </w:t>
      </w:r>
      <w:r>
        <w:rPr>
          <w:b/>
        </w:rPr>
        <w:t>12-14 h</w:t>
      </w:r>
      <w:r>
        <w:t xml:space="preserve"> (standard).</w:t>
      </w:r>
    </w:p>
    <w:p>
      <w:pPr>
        <w:pStyle w:val="ListBullet"/>
      </w:pPr>
      <w:r>
        <w:t xml:space="preserve">Récovery moyen : </w:t>
      </w:r>
      <w:r>
        <w:rPr>
          <w:b/>
        </w:rPr>
        <w:t>2,0 UI/dL par UI/kg</w:t>
      </w:r>
      <w:r>
        <w:t>.</w:t>
      </w:r>
    </w:p>
    <w:p>
      <w:pPr>
        <w:pStyle w:val="ListBullet"/>
      </w:pPr>
      <w:r>
        <w:t>Aucun contenu en VWF.</w:t>
      </w:r>
    </w:p>
    <w:p>
      <w:r/>
      <w:r>
        <w:rPr>
          <w:b/>
        </w:rPr>
        <w:t>Particularités</w:t>
      </w:r>
      <w:r>
        <w:t xml:space="preserve"> :</w:t>
      </w:r>
    </w:p>
    <w:p>
      <w:pPr>
        <w:pStyle w:val="ListBullet"/>
      </w:pPr>
      <w:r>
        <w:t xml:space="preserve">Le processus de fabrication inclut une étape de </w:t>
      </w:r>
      <w:r>
        <w:rPr>
          <w:b/>
        </w:rPr>
        <w:t>purification par chromatographie multimode</w:t>
      </w:r>
      <w:r>
        <w:t>, éliminant les protéines résiduelles de la cellule hôte, les virus (nanofiltration 20 nm) et les acides nucléiques.</w:t>
      </w:r>
    </w:p>
    <w:p>
      <w:pPr>
        <w:pStyle w:val="ListBullet"/>
      </w:pPr>
      <w:r>
        <w:t>L'activité est mesurée par test chromogénique (≈ test chronométrique un stade).</w:t>
      </w:r>
    </w:p>
    <w:p>
      <w:pPr>
        <w:pStyle w:val="ListBullet"/>
      </w:pPr>
      <w:r>
        <w:t>Variante « Esperoct » (turoctocog alfa pegol, NOVO EIGHT PEGylé) : demi-vie 19 h, non disponible en Algérie.</w:t>
      </w:r>
    </w:p>
    <w:p>
      <w:r/>
      <w:r>
        <w:rPr>
          <w:b/>
        </w:rPr>
        <w:t>Mécanisme d'action</w:t>
      </w:r>
      <w:r>
        <w:t xml:space="preserve"> : identique au FVIII natif (cf. fiche 232.1).</w:t>
      </w:r>
    </w:p>
    <w:p>
      <w:pPr>
        <w:pStyle w:val="Heading3"/>
      </w:pPr>
      <w:r>
        <w:t>Sous-section 4 — Profil pharmacologique</w:t>
      </w:r>
    </w:p>
    <w:p>
      <w:pPr>
        <w:pStyle w:val="Heading4"/>
      </w:pPr>
      <w:r>
        <w:t>Indications</w:t>
      </w:r>
    </w:p>
    <w:p>
      <w:pPr>
        <w:pStyle w:val="ListNumber"/>
      </w:pPr>
      <w:r>
        <w:t>Hémophilie A constitutionnelle (sévère, modérée, légère) : prophylaxie et traitement à la demande.</w:t>
      </w:r>
    </w:p>
    <w:p>
      <w:pPr>
        <w:pStyle w:val="ListNumber"/>
      </w:pPr>
      <w:r>
        <w:t>Pas d'indication maladie de Willebrand (sans VWF).</w:t>
      </w:r>
    </w:p>
    <w:p>
      <w:pPr>
        <w:pStyle w:val="Heading4"/>
      </w:pPr>
      <w:r>
        <w:t>Contre-indications</w:t>
      </w:r>
    </w:p>
    <w:p>
      <w:pPr>
        <w:pStyle w:val="ListNumber"/>
      </w:pPr>
      <w:r>
        <w:t>Hypersensibilité à la substance active ou aux protéines de hamster.</w:t>
      </w:r>
    </w:p>
    <w:p>
      <w:pPr>
        <w:pStyle w:val="ListNumber"/>
      </w:pPr>
      <w:r>
        <w:t>Inhibiteur de haut titre non contrôlé.</w:t>
      </w:r>
    </w:p>
    <w:p>
      <w:pPr>
        <w:pStyle w:val="Heading4"/>
      </w:pPr>
      <w:r>
        <w:t>Effets indésirables</w:t>
      </w:r>
    </w:p>
    <w:p>
      <w:pPr>
        <w:pStyle w:val="ListBullet"/>
      </w:pPr>
      <w:r>
        <w:t>Fréquents : céphalées, réactions au site d'injection.</w:t>
      </w:r>
    </w:p>
    <w:p>
      <w:pPr>
        <w:pStyle w:val="ListBullet"/>
      </w:pPr>
      <w:r>
        <w:t>Peu fréquents : urticaire, rash, hypersensibilité.</w:t>
      </w:r>
    </w:p>
    <w:p>
      <w:pPr>
        <w:pStyle w:val="ListBullet"/>
      </w:pPr>
      <w:r>
        <w:t>Rares : anaphylaxie, développement d'inhibiteur (~17-22 % chez les hémophiles A sévères naifs, selon étude Guardian 1, 2016).</w:t>
      </w:r>
    </w:p>
    <w:p>
      <w:pPr>
        <w:pStyle w:val="Heading3"/>
      </w:pPr>
      <w:r>
        <w:t>Sous-section 5 — Prévention et gestion des EI</w:t>
      </w:r>
    </w:p>
    <w:p>
      <w:pPr>
        <w:pStyle w:val="ListBullet"/>
      </w:pPr>
      <w:r>
        <w:t>Cf. fiche 232.1.</w:t>
      </w:r>
    </w:p>
    <w:p>
      <w:pPr>
        <w:pStyle w:val="ListBullet"/>
      </w:pPr>
      <w:r/>
      <w:r>
        <w:rPr>
          <w:b/>
        </w:rPr>
        <w:t>Particularité</w:t>
      </w:r>
      <w:r>
        <w:t xml:space="preserve"> : taux d'inhibiteur chez les patients naifs potentiellement plus faible qu'avec d'autres rFVIII (étude Guardian 1 : 17,4 %), mais à confirmer en pratique clinique.</w:t>
      </w:r>
    </w:p>
    <w:p>
      <w:pPr>
        <w:pStyle w:val="ListBullet"/>
      </w:pPr>
      <w:r>
        <w:t>Surveillance rapprochée des 50 premiers jours d'exposition (EDM).</w:t>
      </w:r>
    </w:p>
    <w:p>
      <w:pPr>
        <w:pStyle w:val="Heading3"/>
      </w:pPr>
      <w:r>
        <w:t>Sous-section 6 — Interactions médicamenteuses</w:t>
      </w:r>
    </w:p>
    <w:p>
      <w:pPr>
        <w:pStyle w:val="ListBullet"/>
      </w:pPr>
      <w:r>
        <w:t>Cf. fiche 232.1.</w:t>
      </w:r>
    </w:p>
    <w:p>
      <w:pPr>
        <w:pStyle w:val="Heading3"/>
      </w:pPr>
      <w:r>
        <w:t>Sous-section 7 — Grossesse et allaitement</w:t>
      </w:r>
    </w:p>
    <w:p>
      <w:pPr>
        <w:pStyle w:val="ListBullet"/>
      </w:pPr>
      <w:r>
        <w:t>Grossesse : utilisable si nécessaire (CRAT).</w:t>
      </w:r>
    </w:p>
    <w:p>
      <w:pPr>
        <w:pStyle w:val="ListBullet"/>
      </w:pPr>
      <w:r>
        <w:t>Allaitement : compatible (CRAT).</w:t>
      </w:r>
    </w:p>
    <w:p>
      <w:pPr>
        <w:pStyle w:val="Heading3"/>
      </w:pPr>
      <w:r>
        <w:t>Sous-section 8 — Posologie et mode d'administration</w:t>
      </w:r>
    </w:p>
    <w:p>
      <w:pPr>
        <w:pStyle w:val="ListBullet"/>
      </w:pPr>
      <w:r/>
      <w:r>
        <w:rPr>
          <w:b/>
        </w:rPr>
        <w:t>Dose (UI) = Poids (kg) × ΔFVIII souhaité (UI/dL) × 0,5</w:t>
      </w:r>
      <w:r>
        <w:t>.</w:t>
      </w:r>
    </w:p>
    <w:p>
      <w:pPr>
        <w:pStyle w:val="ListBullet"/>
      </w:pPr>
      <w:r>
        <w:t>Prophylaxie : 20-40 UI/kg tous les 2 jours ou 3 fois/semaine.</w:t>
      </w:r>
    </w:p>
    <w:p>
      <w:pPr>
        <w:pStyle w:val="ListBullet"/>
      </w:pPr>
      <w:r>
        <w:t>Mode d'administration : IV stricte, perfusion lente (2-3 mL/min).</w:t>
      </w:r>
    </w:p>
    <w:p>
      <w:pPr>
        <w:pStyle w:val="ListBullet"/>
      </w:pPr>
      <w:r>
        <w:t>Reconstitution avec seringue pré-remplie de solvant EPPI, agitation rotative douce.</w:t>
      </w:r>
    </w:p>
    <w:p>
      <w:pPr>
        <w:pStyle w:val="ListBullet"/>
      </w:pPr>
      <w:r>
        <w:t>Utiliser dans les 4 h après reconstitution (selon RCP NovoEight).</w:t>
      </w:r>
    </w:p>
    <w:p>
      <w:pPr>
        <w:pStyle w:val="Heading3"/>
      </w:pPr>
      <w:r>
        <w:t>Sous-section 9 — Arbitrage et bénéfices des formes galéniques</w:t>
      </w:r>
    </w:p>
    <w:p>
      <w:pPr>
        <w:pStyle w:val="ListBullet"/>
      </w:pPr>
      <w:r/>
      <w:r>
        <w:rPr>
          <w:b/>
        </w:rPr>
        <w:t>Avantages NOVO EIGHT</w:t>
      </w:r>
      <w:r>
        <w:t xml:space="preserve"> :</w:t>
      </w:r>
    </w:p>
    <w:p>
      <w:pPr>
        <w:pStyle w:val="ListBullet"/>
      </w:pPr>
      <w:r>
        <w:t>Production sans protéine animale (sécurité accrue).</w:t>
      </w:r>
    </w:p>
    <w:p>
      <w:pPr>
        <w:pStyle w:val="ListBullet"/>
      </w:pPr>
      <w:r>
        <w:t>Seringue pré-remplie de solvant (facilité d'utilisation à domicile).</w:t>
      </w:r>
    </w:p>
    <w:p>
      <w:pPr>
        <w:pStyle w:val="ListBullet"/>
      </w:pPr>
      <w:r>
        <w:t>Adaptateur pour flacon (système Baxject-type, sans aiguille, réduction des accidents d'exposition au sang).</w:t>
      </w:r>
    </w:p>
    <w:p>
      <w:pPr>
        <w:pStyle w:val="ListBullet"/>
      </w:pPr>
      <w:r>
        <w:t>Présentation avec tige de piston (intuitif pour l'auto-administration).</w:t>
      </w:r>
    </w:p>
    <w:p>
      <w:pPr>
        <w:pStyle w:val="ListBullet"/>
      </w:pPr>
      <w:r/>
      <w:r>
        <w:rPr>
          <w:b/>
        </w:rPr>
        <w:t>Inconvénients NOVO EIGHT</w:t>
      </w:r>
      <w:r>
        <w:t xml:space="preserve"> :</w:t>
      </w:r>
    </w:p>
    <w:p>
      <w:pPr>
        <w:pStyle w:val="ListBullet"/>
      </w:pPr>
      <w:r>
        <w:t>Demi-vie 12-14 h (standard, pas d'EHL).</w:t>
      </w:r>
    </w:p>
    <w:p>
      <w:pPr>
        <w:pStyle w:val="ListBullet"/>
      </w:pPr>
      <w:r>
        <w:t>Disponibilité limitée à 3 dosages (250/500/1000 UI) en Algérie.</w:t>
      </w:r>
    </w:p>
    <w:p>
      <w:pPr>
        <w:pStyle w:val="Heading3"/>
      </w:pPr>
      <w:r>
        <w:t>Sous-section 10 — Instructions et conseils au patient</w:t>
      </w:r>
    </w:p>
    <w:p>
      <w:pPr>
        <w:pStyle w:val="ListBullet"/>
      </w:pPr>
      <w:r>
        <w:t>Cf. fiche 232.1.</w:t>
      </w:r>
    </w:p>
    <w:p>
      <w:pPr>
        <w:pStyle w:val="ListBullet"/>
      </w:pPr>
      <w:r>
        <w:t>Formation à l'auto-administration avec le kit NovoEight (système d'adaptateur sans aiguille).</w:t>
      </w:r>
    </w:p>
    <w:p>
      <w:pPr>
        <w:pStyle w:val="ListBullet"/>
      </w:pPr>
      <w:r>
        <w:t>Vérifier que le piston de la seringue pré-remplie se déplace sans résistance avant utilisation.</w:t>
      </w:r>
    </w:p>
    <w:p>
      <w:pPr>
        <w:pStyle w:val="Heading3"/>
      </w:pPr>
      <w:r>
        <w:t>Sous-section 11 — Notes, règles d'or et pièges</w:t>
      </w:r>
    </w:p>
    <w:p>
      <w:pPr>
        <w:pStyle w:val="ListBullet"/>
      </w:pPr>
      <w:r>
        <w:t>Cf. fiche 232.1.</w:t>
      </w:r>
    </w:p>
    <w:p>
      <w:pPr>
        <w:pStyle w:val="ListBullet"/>
      </w:pPr>
      <w:r/>
      <w:r>
        <w:rPr>
          <w:b/>
        </w:rPr>
        <w:t>Piège spécifique</w:t>
      </w:r>
      <w:r>
        <w:t xml:space="preserve"> : ne pas confondre NOVO EIGHT (turoctocog alfa standard) avec ESPEROCT (turoctocog alfa pegol, EHL, non disponible en Algérie).</w:t>
      </w:r>
    </w:p>
    <w:p>
      <w:pPr>
        <w:pStyle w:val="ListBullet"/>
      </w:pPr>
      <w:r/>
      <w:r>
        <w:rPr>
          <w:b/>
        </w:rPr>
        <w:t>Piège</w:t>
      </w:r>
      <w:r>
        <w:t xml:space="preserve"> : ne pas confondre NOVO EIGHT avec NOVOSEVEN (eptacog alfa, rFVIIa, by-passing agent, autre produit Novo Nordisk).</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Spécialité</w:t>
            </w:r>
          </w:p>
        </w:tc>
        <w:tc>
          <w:tcPr>
            <w:tcW w:type="dxa" w:w="1187"/>
            <w:shd w:val="clear" w:color="auto" w:fill="F2F2F2"/>
          </w:tcPr>
          <w:p>
            <w:r>
              <w:rPr>
                <w:rFonts w:ascii="Times New Roman" w:hAnsi="Times New Roman"/>
                <w:b/>
                <w:sz w:val="20"/>
              </w:rPr>
              <w:t>Origine</w:t>
            </w:r>
          </w:p>
        </w:tc>
        <w:tc>
          <w:tcPr>
            <w:tcW w:type="dxa" w:w="1187"/>
            <w:shd w:val="clear" w:color="auto" w:fill="F2F2F2"/>
          </w:tcPr>
          <w:p>
            <w:r>
              <w:rPr>
                <w:rFonts w:ascii="Times New Roman" w:hAnsi="Times New Roman"/>
                <w:b/>
                <w:sz w:val="20"/>
              </w:rPr>
              <w:t>Demi-vie</w:t>
            </w:r>
          </w:p>
        </w:tc>
        <w:tc>
          <w:tcPr>
            <w:tcW w:type="dxa" w:w="1187"/>
            <w:shd w:val="clear" w:color="auto" w:fill="F2F2F2"/>
          </w:tcPr>
          <w:p>
            <w:r>
              <w:rPr>
                <w:rFonts w:ascii="Times New Roman" w:hAnsi="Times New Roman"/>
                <w:b/>
                <w:sz w:val="20"/>
              </w:rPr>
              <w:t>Récovery</w:t>
            </w:r>
          </w:p>
        </w:tc>
        <w:tc>
          <w:tcPr>
            <w:tcW w:type="dxa" w:w="1187"/>
            <w:shd w:val="clear" w:color="auto" w:fill="F2F2F2"/>
          </w:tcPr>
          <w:p>
            <w:r>
              <w:rPr>
                <w:rFonts w:ascii="Times New Roman" w:hAnsi="Times New Roman"/>
                <w:b/>
                <w:sz w:val="20"/>
              </w:rPr>
              <w:t>VWF</w:t>
            </w:r>
          </w:p>
        </w:tc>
        <w:tc>
          <w:tcPr>
            <w:tcW w:type="dxa" w:w="1187"/>
            <w:shd w:val="clear" w:color="auto" w:fill="F2F2F2"/>
          </w:tcPr>
          <w:p>
            <w:r>
              <w:rPr>
                <w:rFonts w:ascii="Times New Roman" w:hAnsi="Times New Roman"/>
                <w:b/>
                <w:sz w:val="20"/>
              </w:rPr>
              <w:t>Présentation</w:t>
            </w:r>
          </w:p>
        </w:tc>
        <w:tc>
          <w:tcPr>
            <w:tcW w:type="dxa" w:w="1187"/>
            <w:shd w:val="clear" w:color="auto" w:fill="F2F2F2"/>
          </w:tcPr>
          <w:p>
            <w:r>
              <w:rPr>
                <w:rFonts w:ascii="Times New Roman" w:hAnsi="Times New Roman"/>
                <w:b/>
                <w:sz w:val="20"/>
              </w:rPr>
              <w:t>Statut Algérie</w:t>
            </w:r>
          </w:p>
        </w:tc>
      </w:tr>
      <w:tr>
        <w:tc>
          <w:tcPr>
            <w:tcW w:type="dxa" w:w="1187"/>
          </w:tcPr>
          <w:p>
            <w:r>
              <w:rPr>
                <w:rFonts w:ascii="Times New Roman" w:hAnsi="Times New Roman"/>
                <w:sz w:val="20"/>
              </w:rPr>
              <w:t>NOVO EIGHT 250</w:t>
            </w:r>
          </w:p>
        </w:tc>
        <w:tc>
          <w:tcPr>
            <w:tcW w:type="dxa" w:w="1187"/>
          </w:tcPr>
          <w:p>
            <w:r>
              <w:rPr>
                <w:rFonts w:ascii="Times New Roman" w:hAnsi="Times New Roman"/>
                <w:sz w:val="20"/>
              </w:rPr>
              <w:t>rFVIII BDT CHO</w:t>
            </w:r>
          </w:p>
        </w:tc>
        <w:tc>
          <w:tcPr>
            <w:tcW w:type="dxa" w:w="1187"/>
          </w:tcPr>
          <w:p>
            <w:r>
              <w:rPr>
                <w:rFonts w:ascii="Times New Roman" w:hAnsi="Times New Roman"/>
                <w:sz w:val="20"/>
              </w:rPr>
              <w:t>12-14 h</w:t>
            </w:r>
          </w:p>
        </w:tc>
        <w:tc>
          <w:tcPr>
            <w:tcW w:type="dxa" w:w="1187"/>
          </w:tcPr>
          <w:p>
            <w:r>
              <w:rPr>
                <w:rFonts w:ascii="Times New Roman" w:hAnsi="Times New Roman"/>
                <w:sz w:val="20"/>
              </w:rPr>
              <w:t>2,0 UI/dL/UI/kg</w:t>
            </w:r>
          </w:p>
        </w:tc>
        <w:tc>
          <w:tcPr>
            <w:tcW w:type="dxa" w:w="1187"/>
          </w:tcPr>
          <w:p>
            <w:r>
              <w:rPr>
                <w:rFonts w:ascii="Times New Roman" w:hAnsi="Times New Roman"/>
                <w:sz w:val="20"/>
              </w:rPr>
              <w:t>Non</w:t>
            </w:r>
          </w:p>
        </w:tc>
        <w:tc>
          <w:tcPr>
            <w:tcW w:type="dxa" w:w="1187"/>
          </w:tcPr>
          <w:p>
            <w:r>
              <w:rPr>
                <w:rFonts w:ascii="Times New Roman" w:hAnsi="Times New Roman"/>
                <w:sz w:val="20"/>
              </w:rPr>
              <w:t>Seringue pré-remplie</w:t>
            </w:r>
          </w:p>
        </w:tc>
        <w:tc>
          <w:tcPr>
            <w:tcW w:type="dxa" w:w="1187"/>
          </w:tcPr>
          <w:p>
            <w:r>
              <w:rPr>
                <w:rFonts w:ascii="Times New Roman" w:hAnsi="Times New Roman"/>
                <w:sz w:val="20"/>
              </w:rPr>
              <w:t>Actif</w:t>
            </w:r>
          </w:p>
        </w:tc>
      </w:tr>
      <w:tr>
        <w:tc>
          <w:tcPr>
            <w:tcW w:type="dxa" w:w="1187"/>
          </w:tcPr>
          <w:p>
            <w:r>
              <w:rPr>
                <w:rFonts w:ascii="Times New Roman" w:hAnsi="Times New Roman"/>
                <w:sz w:val="20"/>
              </w:rPr>
              <w:t>NOVO EIGHT 500</w:t>
            </w:r>
          </w:p>
        </w:tc>
        <w:tc>
          <w:tcPr>
            <w:tcW w:type="dxa" w:w="1187"/>
          </w:tcPr>
          <w:p>
            <w:r>
              <w:rPr>
                <w:rFonts w:ascii="Times New Roman" w:hAnsi="Times New Roman"/>
                <w:sz w:val="20"/>
              </w:rPr>
              <w:t>rFVIII BDT CHO</w:t>
            </w:r>
          </w:p>
        </w:tc>
        <w:tc>
          <w:tcPr>
            <w:tcW w:type="dxa" w:w="1187"/>
          </w:tcPr>
          <w:p>
            <w:r>
              <w:rPr>
                <w:rFonts w:ascii="Times New Roman" w:hAnsi="Times New Roman"/>
                <w:sz w:val="20"/>
              </w:rPr>
              <w:t>12-14 h</w:t>
            </w:r>
          </w:p>
        </w:tc>
        <w:tc>
          <w:tcPr>
            <w:tcW w:type="dxa" w:w="1187"/>
          </w:tcPr>
          <w:p>
            <w:r>
              <w:rPr>
                <w:rFonts w:ascii="Times New Roman" w:hAnsi="Times New Roman"/>
                <w:sz w:val="20"/>
              </w:rPr>
              <w:t>2,0 UI/dL/UI/kg</w:t>
            </w:r>
          </w:p>
        </w:tc>
        <w:tc>
          <w:tcPr>
            <w:tcW w:type="dxa" w:w="1187"/>
          </w:tcPr>
          <w:p>
            <w:r>
              <w:rPr>
                <w:rFonts w:ascii="Times New Roman" w:hAnsi="Times New Roman"/>
                <w:sz w:val="20"/>
              </w:rPr>
              <w:t>Non</w:t>
            </w:r>
          </w:p>
        </w:tc>
        <w:tc>
          <w:tcPr>
            <w:tcW w:type="dxa" w:w="1187"/>
          </w:tcPr>
          <w:p>
            <w:r>
              <w:rPr>
                <w:rFonts w:ascii="Times New Roman" w:hAnsi="Times New Roman"/>
                <w:sz w:val="20"/>
              </w:rPr>
              <w:t>Seringue pré-remplie</w:t>
            </w:r>
          </w:p>
        </w:tc>
        <w:tc>
          <w:tcPr>
            <w:tcW w:type="dxa" w:w="1187"/>
          </w:tcPr>
          <w:p>
            <w:r>
              <w:rPr>
                <w:rFonts w:ascii="Times New Roman" w:hAnsi="Times New Roman"/>
                <w:sz w:val="20"/>
              </w:rPr>
              <w:t>Actif</w:t>
            </w:r>
          </w:p>
        </w:tc>
      </w:tr>
      <w:tr>
        <w:tc>
          <w:tcPr>
            <w:tcW w:type="dxa" w:w="1187"/>
          </w:tcPr>
          <w:p>
            <w:r>
              <w:rPr>
                <w:rFonts w:ascii="Times New Roman" w:hAnsi="Times New Roman"/>
                <w:sz w:val="20"/>
              </w:rPr>
              <w:t>NOVO EIGHT 1000</w:t>
            </w:r>
          </w:p>
        </w:tc>
        <w:tc>
          <w:tcPr>
            <w:tcW w:type="dxa" w:w="1187"/>
          </w:tcPr>
          <w:p>
            <w:r>
              <w:rPr>
                <w:rFonts w:ascii="Times New Roman" w:hAnsi="Times New Roman"/>
                <w:sz w:val="20"/>
              </w:rPr>
              <w:t>rFVIII BDT CHO</w:t>
            </w:r>
          </w:p>
        </w:tc>
        <w:tc>
          <w:tcPr>
            <w:tcW w:type="dxa" w:w="1187"/>
          </w:tcPr>
          <w:p>
            <w:r>
              <w:rPr>
                <w:rFonts w:ascii="Times New Roman" w:hAnsi="Times New Roman"/>
                <w:sz w:val="20"/>
              </w:rPr>
              <w:t>12-14 h</w:t>
            </w:r>
          </w:p>
        </w:tc>
        <w:tc>
          <w:tcPr>
            <w:tcW w:type="dxa" w:w="1187"/>
          </w:tcPr>
          <w:p>
            <w:r>
              <w:rPr>
                <w:rFonts w:ascii="Times New Roman" w:hAnsi="Times New Roman"/>
                <w:sz w:val="20"/>
              </w:rPr>
              <w:t>2,0 UI/dL/UI/kg</w:t>
            </w:r>
          </w:p>
        </w:tc>
        <w:tc>
          <w:tcPr>
            <w:tcW w:type="dxa" w:w="1187"/>
          </w:tcPr>
          <w:p>
            <w:r>
              <w:rPr>
                <w:rFonts w:ascii="Times New Roman" w:hAnsi="Times New Roman"/>
                <w:sz w:val="20"/>
              </w:rPr>
              <w:t>Non</w:t>
            </w:r>
          </w:p>
        </w:tc>
        <w:tc>
          <w:tcPr>
            <w:tcW w:type="dxa" w:w="1187"/>
          </w:tcPr>
          <w:p>
            <w:r>
              <w:rPr>
                <w:rFonts w:ascii="Times New Roman" w:hAnsi="Times New Roman"/>
                <w:sz w:val="20"/>
              </w:rPr>
              <w:t>Seringue pré-remplie</w:t>
            </w:r>
          </w:p>
        </w:tc>
        <w:tc>
          <w:tcPr>
            <w:tcW w:type="dxa" w:w="1187"/>
          </w:tcPr>
          <w:p>
            <w:r>
              <w:rPr>
                <w:rFonts w:ascii="Times New Roman" w:hAnsi="Times New Roman"/>
                <w:sz w:val="20"/>
              </w:rPr>
              <w:t>Actif</w:t>
            </w:r>
          </w:p>
        </w:tc>
      </w:tr>
    </w:tbl>
    <w:p/>
    <w:p>
      <w:pPr>
        <w:pStyle w:val="Heading2"/>
      </w:pPr>
      <w:r>
        <w:t>232.6. DCI : Moroctocog alfa — REFACTO AF (Pfizer), OCTOFACTOR (JSC Generium)</w:t>
      </w:r>
    </w:p>
    <w:p>
      <w:pPr>
        <w:pStyle w:val="Heading3"/>
      </w:pPr>
      <w:r>
        <w:t>Sous-section 1 — Liste des catégories thérapeutiques</w:t>
      </w:r>
    </w:p>
    <w:p>
      <w:pPr>
        <w:pStyle w:val="ListBullet"/>
      </w:pPr>
      <w:r/>
      <w:r>
        <w:rPr>
          <w:b/>
        </w:rPr>
        <w:t>Code ATC</w:t>
      </w:r>
      <w:r>
        <w:t xml:space="preserve"> : </w:t>
      </w:r>
      <w:r>
        <w:rPr>
          <w:b/>
        </w:rPr>
        <w:t>B02BD06</w:t>
      </w:r>
      <w:r>
        <w:t xml:space="preserve"> — Facteur VIII recombinant.</w:t>
      </w:r>
    </w:p>
    <w:p>
      <w:pPr>
        <w:pStyle w:val="ListBullet"/>
      </w:pPr>
      <w:r/>
      <w:r>
        <w:rPr>
          <w:b/>
        </w:rPr>
        <w:t>DCI</w:t>
      </w:r>
      <w:r>
        <w:t xml:space="preserve"> : Moroctocog alfa.</w:t>
      </w:r>
    </w:p>
    <w:p>
      <w:pPr>
        <w:pStyle w:val="ListBullet"/>
      </w:pPr>
      <w:r/>
      <w:r>
        <w:rPr>
          <w:b/>
        </w:rPr>
        <w:t>Spécialités</w:t>
      </w:r>
      <w:r>
        <w:t xml:space="preserve"> : REFACTO AF (Pfizer Limited) et OCTOFACTOR (JSC Generium, Russie — générique biosimilaire de REFACTO AF).</w:t>
      </w:r>
    </w:p>
    <w:p>
      <w:pPr>
        <w:pStyle w:val="ListBullet"/>
      </w:pPr>
      <w:r/>
      <w:r>
        <w:rPr>
          <w:b/>
        </w:rPr>
        <w:t>Statut réglementaire Algérie</w:t>
      </w:r>
      <w:r>
        <w:t xml:space="preserve"> : Liste I, prescription hospitalière spécialisée.</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REFACTO AF 250</w:t>
            </w:r>
          </w:p>
        </w:tc>
        <w:tc>
          <w:tcPr>
            <w:tcW w:type="dxa" w:w="1385"/>
          </w:tcPr>
          <w:p>
            <w:r>
              <w:rPr>
                <w:rFonts w:ascii="Times New Roman" w:hAnsi="Times New Roman"/>
                <w:sz w:val="20"/>
              </w:rPr>
              <w:t>Pfizer Limited (USA/Royaume-Uni)</w:t>
            </w:r>
          </w:p>
        </w:tc>
        <w:tc>
          <w:tcPr>
            <w:tcW w:type="dxa" w:w="1385"/>
          </w:tcPr>
          <w:p>
            <w:r>
              <w:rPr>
                <w:rFonts w:ascii="Times New Roman" w:hAnsi="Times New Roman"/>
                <w:sz w:val="20"/>
              </w:rPr>
              <w:t>Poudre et solvant pour solution injectable IV, 250 UI/flacon</w:t>
            </w:r>
          </w:p>
        </w:tc>
        <w:tc>
          <w:tcPr>
            <w:tcW w:type="dxa" w:w="1385"/>
          </w:tcPr>
          <w:p>
            <w:r>
              <w:rPr>
                <w:rFonts w:ascii="Times New Roman" w:hAnsi="Times New Roman"/>
                <w:sz w:val="20"/>
              </w:rPr>
              <w:t>Boîte d'1 kit : 1 flacon de poudre + 1 seringue pré-remplie de 4 mL de solvant (NaCl 0,9 % + EPPI) + 1 adaptateur pour flacon + 1 nécessaire de perfusion + 2 tampons d'alcool + 1 pansement + 1 compresse de gaze</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REFACTO AF 500</w:t>
            </w:r>
          </w:p>
        </w:tc>
        <w:tc>
          <w:tcPr>
            <w:tcW w:type="dxa" w:w="1385"/>
          </w:tcPr>
          <w:p>
            <w:r>
              <w:rPr>
                <w:rFonts w:ascii="Times New Roman" w:hAnsi="Times New Roman"/>
                <w:sz w:val="20"/>
              </w:rPr>
              <w:t>Pfizer Limited (USA/Royaume-Uni)</w:t>
            </w:r>
          </w:p>
        </w:tc>
        <w:tc>
          <w:tcPr>
            <w:tcW w:type="dxa" w:w="1385"/>
          </w:tcPr>
          <w:p>
            <w:r>
              <w:rPr>
                <w:rFonts w:ascii="Times New Roman" w:hAnsi="Times New Roman"/>
                <w:sz w:val="20"/>
              </w:rPr>
              <w:t>Poudre et solvant pour solution injectable IV, 500 UI/flacon</w:t>
            </w:r>
          </w:p>
        </w:tc>
        <w:tc>
          <w:tcPr>
            <w:tcW w:type="dxa" w:w="1385"/>
          </w:tcPr>
          <w:p>
            <w:r>
              <w:rPr>
                <w:rFonts w:ascii="Times New Roman" w:hAnsi="Times New Roman"/>
                <w:sz w:val="20"/>
              </w:rPr>
              <w:t>Boîte d'1 kit : 1 flacon de poudre + 1 seringue pré-remplie de 4 mL de solvant (NaCl 0,9 % + EPPI) + 1 adaptateur pour flacon + 1 nécessaire de perfusion + 2 tampons d'alcool + 1 pansement + 1 compresse de gaze</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OCTOFACTOR 500</w:t>
            </w:r>
          </w:p>
        </w:tc>
        <w:tc>
          <w:tcPr>
            <w:tcW w:type="dxa" w:w="1385"/>
          </w:tcPr>
          <w:p>
            <w:r>
              <w:rPr>
                <w:rFonts w:ascii="Times New Roman" w:hAnsi="Times New Roman"/>
                <w:sz w:val="20"/>
              </w:rPr>
              <w:t>JSC Generium (Russie)</w:t>
            </w:r>
          </w:p>
        </w:tc>
        <w:tc>
          <w:tcPr>
            <w:tcW w:type="dxa" w:w="1385"/>
          </w:tcPr>
          <w:p>
            <w:r>
              <w:rPr>
                <w:rFonts w:ascii="Times New Roman" w:hAnsi="Times New Roman"/>
                <w:sz w:val="20"/>
              </w:rPr>
              <w:t>Poudre et solvant pour solution injectable IV, 500 UI/flacon</w:t>
            </w:r>
          </w:p>
        </w:tc>
        <w:tc>
          <w:tcPr>
            <w:tcW w:type="dxa" w:w="1385"/>
          </w:tcPr>
          <w:p>
            <w:r>
              <w:rPr>
                <w:rFonts w:ascii="Times New Roman" w:hAnsi="Times New Roman"/>
                <w:sz w:val="20"/>
              </w:rPr>
              <w:t>Boîte de 1 flacon de lyophilisat + 1 flacon de 5 mL de solvant</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pPr>
        <w:pStyle w:val="Heading3"/>
      </w:pPr>
      <w:r>
        <w:t>Sous-section 3 — Sous-classe et mécanisme d'action moléculaire</w:t>
      </w:r>
    </w:p>
    <w:p>
      <w:r/>
      <w:r>
        <w:rPr>
          <w:b/>
        </w:rPr>
        <w:t>Sous-classe</w:t>
      </w:r>
      <w:r>
        <w:t xml:space="preserve"> : B02BD06 — Facteur VIII recombinant B-domain deleted (BDD-rFVIII).</w:t>
      </w:r>
    </w:p>
    <w:p>
      <w:r/>
      <w:r>
        <w:rPr>
          <w:b/>
        </w:rPr>
        <w:t>Caractéristiques de REFACTO AF / OCTOFACTOR (moroctocog alfa)</w:t>
      </w:r>
      <w:r>
        <w:t xml:space="preserve"> :</w:t>
      </w:r>
    </w:p>
    <w:p>
      <w:pPr>
        <w:pStyle w:val="ListBullet"/>
      </w:pPr>
      <w:r>
        <w:t xml:space="preserve">Protéine recombinante de 1 438 acides aminés (165 kDa), produite en cellules </w:t>
      </w:r>
      <w:r>
        <w:rPr>
          <w:b/>
        </w:rPr>
        <w:t>CHO (Chinese Hamster Ovary)</w:t>
      </w:r>
      <w:r>
        <w:t xml:space="preserve"> transfectées.</w:t>
      </w:r>
    </w:p>
    <w:p>
      <w:pPr>
        <w:pStyle w:val="ListBullet"/>
      </w:pPr>
      <w:r>
        <w:t xml:space="preserve">Séquence dérivée de la FVIII native humaine, avec </w:t>
      </w:r>
      <w:r>
        <w:rPr>
          <w:b/>
        </w:rPr>
        <w:t>délétion complète du domaine B</w:t>
      </w:r>
      <w:r>
        <w:t xml:space="preserve"> (remplacement par une courte séquence de 14 acides aminés « BDD linker » permettant le clivage par la furine).</w:t>
      </w:r>
    </w:p>
    <w:p>
      <w:pPr>
        <w:pStyle w:val="ListBullet"/>
      </w:pPr>
      <w:r>
        <w:t xml:space="preserve">Production en milieu </w:t>
      </w:r>
      <w:r>
        <w:rPr>
          <w:b/>
        </w:rPr>
        <w:t>sans protéine animale</w:t>
      </w:r>
      <w:r>
        <w:t xml:space="preserve"> (pas d'albumine, pas d'immunoglobulines animales).</w:t>
      </w:r>
    </w:p>
    <w:p>
      <w:pPr>
        <w:pStyle w:val="ListBullet"/>
      </w:pPr>
      <w:r>
        <w:t xml:space="preserve">Stabilisation par </w:t>
      </w:r>
      <w:r>
        <w:rPr>
          <w:b/>
        </w:rPr>
        <w:t>saccharose, CaCl₂, polysorbate 80, L-histidine</w:t>
      </w:r>
      <w:r>
        <w:t xml:space="preserve"> (pas d'albumine ajoutée).</w:t>
      </w:r>
    </w:p>
    <w:p>
      <w:pPr>
        <w:pStyle w:val="ListBullet"/>
      </w:pPr>
      <w:r>
        <w:t xml:space="preserve">Demi-vie plasmatique moyenne : </w:t>
      </w:r>
      <w:r>
        <w:rPr>
          <w:b/>
        </w:rPr>
        <w:t>12-14 h</w:t>
      </w:r>
      <w:r>
        <w:t xml:space="preserve"> (standard).</w:t>
      </w:r>
    </w:p>
    <w:p>
      <w:pPr>
        <w:pStyle w:val="ListBullet"/>
      </w:pPr>
      <w:r>
        <w:t xml:space="preserve">Récovery moyen : </w:t>
      </w:r>
      <w:r>
        <w:rPr>
          <w:b/>
        </w:rPr>
        <w:t>2,0 UI/dL par UI/kg</w:t>
      </w:r>
      <w:r>
        <w:t xml:space="preserve"> (mais à vérifier par pharmacocinétique individuelle, car la mesure du FVIII:C par test chronométrique un stade sous-estime la concentration réelle par ~20 % par rapport au test chromogénique ; le RCP recommande le test chromogénique pour moroctocog alfa).</w:t>
      </w:r>
    </w:p>
    <w:p>
      <w:pPr>
        <w:pStyle w:val="ListBullet"/>
      </w:pPr>
      <w:r>
        <w:t>Aucun contenu en VWF.</w:t>
      </w:r>
    </w:p>
    <w:p>
      <w:r/>
      <w:r>
        <w:rPr>
          <w:b/>
        </w:rPr>
        <w:t>Particularités</w:t>
      </w:r>
      <w:r>
        <w:t xml:space="preserve"> :</w:t>
      </w:r>
    </w:p>
    <w:p>
      <w:pPr>
        <w:pStyle w:val="ListBullet"/>
      </w:pPr>
      <w:r>
        <w:t>« AF » = « Anti-Hemophilic Factor », désignation réglementaire américaine.</w:t>
      </w:r>
    </w:p>
    <w:p>
      <w:pPr>
        <w:pStyle w:val="ListBullet"/>
      </w:pPr>
      <w:r>
        <w:t>Le moroctocog alfa a été l'un des premiers rFVIII BDD commercialisés (première autorisation FDA 1999 sous le nom REFACTO, reformulation en REFACTO AF en 2008 sans ajout d'albumine animale).</w:t>
      </w:r>
    </w:p>
    <w:p>
      <w:pPr>
        <w:pStyle w:val="ListBullet"/>
      </w:pPr>
      <w:r>
        <w:t>OCTOFACTOR est un biosimilaire russe approuvé en 2015 (essai clinique équivalence démontrée).</w:t>
      </w:r>
    </w:p>
    <w:p>
      <w:r/>
      <w:r>
        <w:rPr>
          <w:b/>
        </w:rPr>
        <w:t>Mécanisme d'action</w:t>
      </w:r>
      <w:r>
        <w:t xml:space="preserve"> : identique au FVIII natif (cf. fiche 232.1).</w:t>
      </w:r>
    </w:p>
    <w:p>
      <w:pPr>
        <w:pStyle w:val="Heading3"/>
      </w:pPr>
      <w:r>
        <w:t>Sous-section 4 — Profil pharmacologique</w:t>
      </w:r>
    </w:p>
    <w:p>
      <w:pPr>
        <w:pStyle w:val="Heading4"/>
      </w:pPr>
      <w:r>
        <w:t>Indications</w:t>
      </w:r>
    </w:p>
    <w:p>
      <w:pPr>
        <w:pStyle w:val="ListNumber"/>
      </w:pPr>
      <w:r>
        <w:t>Hémophilie A constitutionnelle : prophylaxie et traitement à la demande.</w:t>
      </w:r>
    </w:p>
    <w:p>
      <w:pPr>
        <w:pStyle w:val="ListNumber"/>
      </w:pPr>
      <w:r>
        <w:t>Pas d'indication maladie de Willebrand (sans VWF).</w:t>
      </w:r>
    </w:p>
    <w:p>
      <w:pPr>
        <w:pStyle w:val="Heading4"/>
      </w:pPr>
      <w:r>
        <w:t>Contre-indications</w:t>
      </w:r>
    </w:p>
    <w:p>
      <w:pPr>
        <w:pStyle w:val="ListNumber"/>
      </w:pPr>
      <w:r>
        <w:t>Hypersensibilité au FVIII, aux protéines de hamster, ou aux excipients.</w:t>
      </w:r>
    </w:p>
    <w:p>
      <w:pPr>
        <w:pStyle w:val="ListNumber"/>
      </w:pPr>
      <w:r>
        <w:t>Inhibiteur de haut titre non contrôlé.</w:t>
      </w:r>
    </w:p>
    <w:p>
      <w:pPr>
        <w:pStyle w:val="Heading4"/>
      </w:pPr>
      <w:r>
        <w:t>Effets indésirables</w:t>
      </w:r>
    </w:p>
    <w:p>
      <w:pPr>
        <w:pStyle w:val="ListBullet"/>
      </w:pPr>
      <w:r>
        <w:t>Fréquents : céphalées, fièvre, réactions au site d'injection.</w:t>
      </w:r>
    </w:p>
    <w:p>
      <w:pPr>
        <w:pStyle w:val="ListBullet"/>
      </w:pPr>
      <w:r>
        <w:t>Peu fréquents : urticaire, rash, hypotension transitoire.</w:t>
      </w:r>
    </w:p>
    <w:p>
      <w:pPr>
        <w:pStyle w:val="ListBullet"/>
      </w:pPr>
      <w:r>
        <w:t>Rares : anaphylaxie, développement d'inhibiteur (~30 % chez les hémophiles A sévères naifs selon étude A-LONG, 2013).</w:t>
      </w:r>
    </w:p>
    <w:p>
      <w:pPr>
        <w:pStyle w:val="Heading3"/>
      </w:pPr>
      <w:r>
        <w:t>Sous-section 5 — Prévention et gestion des EI</w:t>
      </w:r>
    </w:p>
    <w:p>
      <w:pPr>
        <w:pStyle w:val="ListBullet"/>
      </w:pPr>
      <w:r>
        <w:t>Cf. fiche 232.1.</w:t>
      </w:r>
    </w:p>
    <w:p>
      <w:pPr>
        <w:pStyle w:val="ListBullet"/>
      </w:pPr>
      <w:r/>
      <w:r>
        <w:rPr>
          <w:b/>
        </w:rPr>
        <w:t>Particularité</w:t>
      </w:r>
      <w:r>
        <w:t xml:space="preserve"> : la mesure du taux de FVIII:C doit se faire par </w:t>
      </w:r>
      <w:r>
        <w:rPr>
          <w:b/>
        </w:rPr>
        <w:t>test chromogénique</w:t>
      </w:r>
      <w:r>
        <w:t xml:space="preserve"> (et non chronométrique un stade) pour REFACTO AF et OCTOFACTOR, en raison de la sous-estimation du test un stade (~20 %).</w:t>
      </w:r>
    </w:p>
    <w:p>
      <w:pPr>
        <w:pStyle w:val="Heading3"/>
      </w:pPr>
      <w:r>
        <w:t>Sous-section 6 — Interactions médicamenteuses</w:t>
      </w:r>
    </w:p>
    <w:p>
      <w:pPr>
        <w:pStyle w:val="ListBullet"/>
      </w:pPr>
      <w:r>
        <w:t>Cf. fiche 232.1.</w:t>
      </w:r>
    </w:p>
    <w:p>
      <w:pPr>
        <w:pStyle w:val="Heading3"/>
      </w:pPr>
      <w:r>
        <w:t>Sous-section 7 — Grossesse et allaitement</w:t>
      </w:r>
    </w:p>
    <w:p>
      <w:pPr>
        <w:pStyle w:val="ListBullet"/>
      </w:pPr>
      <w:r>
        <w:t>Grossesse : utilisable si nécessaire (CRAT).</w:t>
      </w:r>
    </w:p>
    <w:p>
      <w:pPr>
        <w:pStyle w:val="ListBullet"/>
      </w:pPr>
      <w:r>
        <w:t>Allaitement : compatible (CRAT).</w:t>
      </w:r>
    </w:p>
    <w:p>
      <w:pPr>
        <w:pStyle w:val="Heading3"/>
      </w:pPr>
      <w:r>
        <w:t>Sous-section 8 — Posologie et mode d'administration</w:t>
      </w:r>
    </w:p>
    <w:p>
      <w:pPr>
        <w:pStyle w:val="ListBullet"/>
      </w:pPr>
      <w:r/>
      <w:r>
        <w:rPr>
          <w:b/>
        </w:rPr>
        <w:t>Dose (UI) = Poids (kg) × ΔFVIII souhaité (UI/dL) × 0,5</w:t>
      </w:r>
      <w:r>
        <w:t>.</w:t>
      </w:r>
    </w:p>
    <w:p>
      <w:pPr>
        <w:pStyle w:val="ListBullet"/>
      </w:pPr>
      <w:r>
        <w:t>Prophylaxie : 20-40 UI/kg 3 fois/semaine.</w:t>
      </w:r>
    </w:p>
    <w:p>
      <w:pPr>
        <w:pStyle w:val="ListBullet"/>
      </w:pPr>
      <w:r>
        <w:t>Mode d'administration : IV stricte, perfusion lente.</w:t>
      </w:r>
    </w:p>
    <w:p>
      <w:pPr>
        <w:pStyle w:val="ListBullet"/>
      </w:pPr>
      <w:r>
        <w:t>Reconstitution avec le kit Pfizer (système Baxject Q ou adaptateur pour flacon, sans aiguille).</w:t>
      </w:r>
    </w:p>
    <w:p>
      <w:pPr>
        <w:pStyle w:val="ListBullet"/>
      </w:pPr>
      <w:r>
        <w:t>Utiliser dans les 3 h après reconstitution.</w:t>
      </w:r>
    </w:p>
    <w:p>
      <w:pPr>
        <w:pStyle w:val="Heading3"/>
      </w:pPr>
      <w:r>
        <w:t>Sous-section 9 — Arbitrage et bénéfices des formes galéniques</w:t>
      </w:r>
    </w:p>
    <w:p>
      <w:pPr>
        <w:pStyle w:val="ListBullet"/>
      </w:pPr>
      <w:r/>
      <w:r>
        <w:rPr>
          <w:b/>
        </w:rPr>
        <w:t>Avantages REFACTO AF</w:t>
      </w:r>
      <w:r>
        <w:t xml:space="preserve"> :</w:t>
      </w:r>
    </w:p>
    <w:p>
      <w:pPr>
        <w:pStyle w:val="ListBullet"/>
      </w:pPr>
      <w:r>
        <w:t>Kit complet (flacon + seringue pré-remplie de solvant + adaptateur sans aiguille + nécessaire de perfusion + tampons alcool + pansement + compresse) — facilité d'utilisation à domicile.</w:t>
      </w:r>
    </w:p>
    <w:p>
      <w:pPr>
        <w:pStyle w:val="ListBullet"/>
      </w:pPr>
      <w:r>
        <w:t>Système de reconstitution « sans aiguille » (Baxject Q), réduction des accidents d'exposition au sang.</w:t>
      </w:r>
    </w:p>
    <w:p>
      <w:pPr>
        <w:pStyle w:val="ListBullet"/>
      </w:pPr>
      <w:r/>
      <w:r>
        <w:rPr>
          <w:b/>
        </w:rPr>
        <w:t>Avantages OCTOFACTOR</w:t>
      </w:r>
      <w:r>
        <w:t xml:space="preserve"> :</w:t>
      </w:r>
    </w:p>
    <w:p>
      <w:pPr>
        <w:pStyle w:val="ListBullet"/>
      </w:pPr>
      <w:r>
        <w:t>Coût réduit (générique biosimilaire russe) par rapport à REFACTO AF.</w:t>
      </w:r>
    </w:p>
    <w:p>
      <w:pPr>
        <w:pStyle w:val="ListBullet"/>
      </w:pPr>
      <w:r>
        <w:t>Conditionnement simple (flacon de poudre + flacon de solvant, sans dispositif spécial).</w:t>
      </w:r>
    </w:p>
    <w:p>
      <w:pPr>
        <w:pStyle w:val="ListBullet"/>
      </w:pPr>
      <w:r/>
      <w:r>
        <w:rPr>
          <w:b/>
        </w:rPr>
        <w:t>Inconvénients</w:t>
      </w:r>
      <w:r>
        <w:t xml:space="preserve"> :</w:t>
      </w:r>
    </w:p>
    <w:p>
      <w:pPr>
        <w:pStyle w:val="ListBullet"/>
      </w:pPr>
      <w:r>
        <w:t>Demi-vie 12-14 h (standard).</w:t>
      </w:r>
    </w:p>
    <w:p>
      <w:pPr>
        <w:pStyle w:val="ListBullet"/>
      </w:pPr>
      <w:r>
        <w:t>Mesure du FVIII:C par test chromogénique (plus coûteux que le test chronométrique un stade).</w:t>
      </w:r>
    </w:p>
    <w:p>
      <w:pPr>
        <w:pStyle w:val="Heading3"/>
      </w:pPr>
      <w:r>
        <w:t>Sous-section 10 — Instructions et conseils au patient</w:t>
      </w:r>
    </w:p>
    <w:p>
      <w:pPr>
        <w:pStyle w:val="ListBullet"/>
      </w:pPr>
      <w:r>
        <w:t>Cf. fiche 232.1.</w:t>
      </w:r>
    </w:p>
    <w:p>
      <w:pPr>
        <w:pStyle w:val="ListBullet"/>
      </w:pPr>
      <w:r>
        <w:t>Formation à la reconstitution avec le kit Pfizer (Baxject Q) ou avec aiguille double pour OCTOFACTOR.</w:t>
      </w:r>
    </w:p>
    <w:p>
      <w:pPr>
        <w:pStyle w:val="ListBullet"/>
      </w:pPr>
      <w:r>
        <w:t>Information patient : « Vérifier l'activité par test chromogénique si dosage sanguin réalisé ».</w:t>
      </w:r>
    </w:p>
    <w:p>
      <w:pPr>
        <w:pStyle w:val="Heading3"/>
      </w:pPr>
      <w:r>
        <w:t>Sous-section 11 — Notes, règles d'or et pièges</w:t>
      </w:r>
    </w:p>
    <w:p>
      <w:pPr>
        <w:pStyle w:val="ListBullet"/>
      </w:pPr>
      <w:r>
        <w:t>Cf. fiche 232.1.</w:t>
      </w:r>
    </w:p>
    <w:p>
      <w:pPr>
        <w:pStyle w:val="ListBullet"/>
      </w:pPr>
      <w:r/>
      <w:r>
        <w:rPr>
          <w:b/>
        </w:rPr>
        <w:t>Piège spécifique</w:t>
      </w:r>
      <w:r>
        <w:t xml:space="preserve"> : le test chronométrique un stade (aPTT) sous-estime la concentration de FVIII:C pour REFACTO AF et OCTOFACTOR ; toujours utiliser le </w:t>
      </w:r>
      <w:r>
        <w:rPr>
          <w:b/>
        </w:rPr>
        <w:t>test chromogénique</w:t>
      </w:r>
      <w:r>
        <w:t xml:space="preserve"> pour le suivi pharmacocinétique.</w:t>
      </w:r>
    </w:p>
    <w:p>
      <w:pPr>
        <w:pStyle w:val="ListBullet"/>
      </w:pPr>
      <w:r/>
      <w:r>
        <w:rPr>
          <w:b/>
        </w:rPr>
        <w:t>Piège</w:t>
      </w:r>
      <w:r>
        <w:t xml:space="preserve"> : ne pas confondre REFACTO AF (moroctocog alfa, BDD) avec REFACTO (forme historique avec albumine ajoutée, retirée du marché).</w:t>
      </w:r>
    </w:p>
    <w:p>
      <w:pPr>
        <w:pStyle w:val="ListBullet"/>
      </w:pPr>
      <w:r/>
      <w:r>
        <w:rPr>
          <w:b/>
        </w:rPr>
        <w:t>Piège OCTOFACTOR</w:t>
      </w:r>
      <w:r>
        <w:t xml:space="preserve"> : biosimilaire russe, vérifier la traçabilité du lot en raison du contexte géopolitique (approvisionnement potentiellement irrégulier).</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Récovery</w:t>
            </w:r>
          </w:p>
        </w:tc>
        <w:tc>
          <w:tcPr>
            <w:tcW w:type="dxa" w:w="1385"/>
            <w:shd w:val="clear" w:color="auto" w:fill="F2F2F2"/>
          </w:tcPr>
          <w:p>
            <w:r>
              <w:rPr>
                <w:rFonts w:ascii="Times New Roman" w:hAnsi="Times New Roman"/>
                <w:b/>
                <w:sz w:val="20"/>
              </w:rPr>
              <w:t>Test FVIII:C</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REFACTO AF 250</w:t>
            </w:r>
          </w:p>
        </w:tc>
        <w:tc>
          <w:tcPr>
            <w:tcW w:type="dxa" w:w="1385"/>
          </w:tcPr>
          <w:p>
            <w:r>
              <w:rPr>
                <w:rFonts w:ascii="Times New Roman" w:hAnsi="Times New Roman"/>
                <w:sz w:val="20"/>
              </w:rPr>
              <w:t>rFVIII BDD CHO</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Chromogénique</w:t>
            </w:r>
          </w:p>
        </w:tc>
        <w:tc>
          <w:tcPr>
            <w:tcW w:type="dxa" w:w="1385"/>
          </w:tcPr>
          <w:p>
            <w:r>
              <w:rPr>
                <w:rFonts w:ascii="Times New Roman" w:hAnsi="Times New Roman"/>
                <w:sz w:val="20"/>
              </w:rPr>
              <w:t>Actif</w:t>
            </w:r>
          </w:p>
        </w:tc>
      </w:tr>
      <w:tr>
        <w:tc>
          <w:tcPr>
            <w:tcW w:type="dxa" w:w="1385"/>
          </w:tcPr>
          <w:p>
            <w:r>
              <w:rPr>
                <w:rFonts w:ascii="Times New Roman" w:hAnsi="Times New Roman"/>
                <w:sz w:val="20"/>
              </w:rPr>
              <w:t>REFACTO AF 500</w:t>
            </w:r>
          </w:p>
        </w:tc>
        <w:tc>
          <w:tcPr>
            <w:tcW w:type="dxa" w:w="1385"/>
          </w:tcPr>
          <w:p>
            <w:r>
              <w:rPr>
                <w:rFonts w:ascii="Times New Roman" w:hAnsi="Times New Roman"/>
                <w:sz w:val="20"/>
              </w:rPr>
              <w:t>rFVIII BDD CHO</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Chromogénique</w:t>
            </w:r>
          </w:p>
        </w:tc>
        <w:tc>
          <w:tcPr>
            <w:tcW w:type="dxa" w:w="1385"/>
          </w:tcPr>
          <w:p>
            <w:r>
              <w:rPr>
                <w:rFonts w:ascii="Times New Roman" w:hAnsi="Times New Roman"/>
                <w:sz w:val="20"/>
              </w:rPr>
              <w:t>Actif</w:t>
            </w:r>
          </w:p>
        </w:tc>
      </w:tr>
      <w:tr>
        <w:tc>
          <w:tcPr>
            <w:tcW w:type="dxa" w:w="1385"/>
          </w:tcPr>
          <w:p>
            <w:r>
              <w:rPr>
                <w:rFonts w:ascii="Times New Roman" w:hAnsi="Times New Roman"/>
                <w:sz w:val="20"/>
              </w:rPr>
              <w:t>OCTOFACTOR 500</w:t>
            </w:r>
          </w:p>
        </w:tc>
        <w:tc>
          <w:tcPr>
            <w:tcW w:type="dxa" w:w="1385"/>
          </w:tcPr>
          <w:p>
            <w:r>
              <w:rPr>
                <w:rFonts w:ascii="Times New Roman" w:hAnsi="Times New Roman"/>
                <w:sz w:val="20"/>
              </w:rPr>
              <w:t>rFVIII BDD CHO (biosimilaire)</w:t>
            </w:r>
          </w:p>
        </w:tc>
        <w:tc>
          <w:tcPr>
            <w:tcW w:type="dxa" w:w="1385"/>
          </w:tcPr>
          <w:p>
            <w:r>
              <w:rPr>
                <w:rFonts w:ascii="Times New Roman" w:hAnsi="Times New Roman"/>
                <w:sz w:val="20"/>
              </w:rPr>
              <w:t>12-14 h</w:t>
            </w:r>
          </w:p>
        </w:tc>
        <w:tc>
          <w:tcPr>
            <w:tcW w:type="dxa" w:w="1385"/>
          </w:tcPr>
          <w:p>
            <w:r>
              <w:rPr>
                <w:rFonts w:ascii="Times New Roman" w:hAnsi="Times New Roman"/>
                <w:sz w:val="20"/>
              </w:rPr>
              <w:t>2,0 UI/dL/UI/kg</w:t>
            </w:r>
          </w:p>
        </w:tc>
        <w:tc>
          <w:tcPr>
            <w:tcW w:type="dxa" w:w="1385"/>
          </w:tcPr>
          <w:p>
            <w:r>
              <w:rPr>
                <w:rFonts w:ascii="Times New Roman" w:hAnsi="Times New Roman"/>
                <w:sz w:val="20"/>
              </w:rPr>
              <w:t>Chromogénique</w:t>
            </w:r>
          </w:p>
        </w:tc>
        <w:tc>
          <w:tcPr>
            <w:tcW w:type="dxa" w:w="1385"/>
          </w:tcPr>
          <w:p>
            <w:r>
              <w:rPr>
                <w:rFonts w:ascii="Times New Roman" w:hAnsi="Times New Roman"/>
                <w:sz w:val="20"/>
              </w:rPr>
              <w:t>Actif</w:t>
            </w:r>
          </w:p>
        </w:tc>
      </w:tr>
    </w:tbl>
    <w:p/>
    <w:p>
      <w:pPr>
        <w:pStyle w:val="Heading2"/>
      </w:pPr>
      <w:r>
        <w:t>232.7. DCI : Eftrenonacog alpha — ALPROLIX (Sobi/Biogen) [Note : rFIX-Fc, étiqueté FVIII par erreur nomenclature algérienne]</w:t>
      </w:r>
    </w:p>
    <w:p>
      <w:pPr>
        <w:pStyle w:val="Heading3"/>
      </w:pPr>
      <w:r>
        <w:t>Sous-section 1 — Liste des catégories thérapeutiques</w:t>
      </w:r>
    </w:p>
    <w:p>
      <w:pPr>
        <w:pStyle w:val="ListBullet"/>
      </w:pPr>
      <w:r/>
      <w:r>
        <w:rPr>
          <w:b/>
        </w:rPr>
        <w:t>Code ATC international (EMA)</w:t>
      </w:r>
      <w:r>
        <w:t xml:space="preserve"> : </w:t>
      </w:r>
      <w:r>
        <w:rPr>
          <w:b/>
        </w:rPr>
        <w:t>B02BD10</w:t>
      </w:r>
      <w:r>
        <w:t xml:space="preserve"> — Eftrenonacog alpha (Facteur IX recombinant Fc-fusion, EHL).</w:t>
      </w:r>
    </w:p>
    <w:p>
      <w:pPr>
        <w:pStyle w:val="ListBullet"/>
      </w:pPr>
      <w:r/>
      <w:r>
        <w:rPr>
          <w:b/>
        </w:rPr>
        <w:t>Code ATC selon nomenclature algérienne</w:t>
      </w:r>
      <w:r>
        <w:t xml:space="preserve"> : classé dans B02BD06 (Facteur VIII) par erreur administrative.</w:t>
      </w:r>
    </w:p>
    <w:p>
      <w:pPr>
        <w:pStyle w:val="ListBullet"/>
      </w:pPr>
      <w:r/>
      <w:r>
        <w:rPr>
          <w:b/>
        </w:rPr>
        <w:t>DCI</w:t>
      </w:r>
      <w:r>
        <w:t xml:space="preserve"> : Eftrenonacog alpha.</w:t>
      </w:r>
    </w:p>
    <w:p>
      <w:pPr>
        <w:pStyle w:val="ListBullet"/>
      </w:pPr>
      <w:r/>
      <w:r>
        <w:rPr>
          <w:b/>
        </w:rPr>
        <w:t>Spécialité</w:t>
      </w:r>
      <w:r>
        <w:t xml:space="preserve"> : ALPROLIX (Swedish Orphan Biovitrum AB — Sobi, Suède).</w:t>
      </w:r>
    </w:p>
    <w:p>
      <w:pPr>
        <w:pStyle w:val="ListBullet"/>
      </w:pPr>
      <w:r/>
      <w:r>
        <w:rPr>
          <w:b/>
        </w:rPr>
        <w:t>Statut réglementaire Algérie</w:t>
      </w:r>
      <w:r>
        <w:t xml:space="preserve"> : Liste I, prescription hospitalière spécialisée.</w:t>
      </w:r>
    </w:p>
    <w:p>
      <w:pPr>
        <w:pStyle w:val="ListBullet"/>
      </w:pPr>
      <w:r/>
      <w:r>
        <w:rPr>
          <w:b/>
        </w:rPr>
        <w:t>Statut OMS</w:t>
      </w:r>
      <w:r>
        <w:t xml:space="preserve"> : médicament essentiel.</w:t>
      </w:r>
    </w:p>
    <w:p>
      <w:pPr>
        <w:ind w:left="567"/>
      </w:pPr>
      <w:r>
        <w:rPr>
          <w:i/>
          <w:color w:val="606060"/>
        </w:rPr>
        <w:t>**NOTE IMPORTANTE — ERREUR DE NOMENCLATURE** : L'eftrenonacog alpha (ALPROLIX) est, pharmacologiquement, un **facteur IX recombinant de fusion Fc (rFIX-Fc)** indiqué dans l'**hémophilie B** (et non A). Il est fabriqué par fusion du gène FIX humain avec le domaine Fc des IgG1 humaines, ce qui prolonge la demi-vie plasmatique à ~80 h (vs 18-24 h pour le rFIX standard). La nomenclature algérienne l'a probablement confondu avec un by-passing agent pour hémophilie A (par analogie avec FEIBA, qui est également dénommé "Eftrenonacog alpha" dans la nomenclature algérienne — cf. fiche 232.8). Nous traitons ici l'ALPROLIX selon sa vraie nature pharmacologique, à savoir un rFIX-Fc EHL pour l'hémophilie B. Le lecteur est invité à consulter la fiche 233.1 (Nonacog alpha) pour la physiologie de l'hémophilie B. La présente fiche respecte néanmoins la structure 12-sous-sections pour ALPROLIX.</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ALPROLIX 250</w:t>
            </w:r>
          </w:p>
        </w:tc>
        <w:tc>
          <w:tcPr>
            <w:tcW w:type="dxa" w:w="1385"/>
          </w:tcPr>
          <w:p>
            <w:r>
              <w:rPr>
                <w:rFonts w:ascii="Times New Roman" w:hAnsi="Times New Roman"/>
                <w:sz w:val="20"/>
              </w:rPr>
              <w:t>Swedish Orphan Biovitrum AB (Suède)</w:t>
            </w:r>
          </w:p>
        </w:tc>
        <w:tc>
          <w:tcPr>
            <w:tcW w:type="dxa" w:w="1385"/>
          </w:tcPr>
          <w:p>
            <w:r>
              <w:rPr>
                <w:rFonts w:ascii="Times New Roman" w:hAnsi="Times New Roman"/>
                <w:sz w:val="20"/>
              </w:rPr>
              <w:t>Poudre et solvant pour solution injectable, 250 UI</w:t>
            </w:r>
          </w:p>
        </w:tc>
        <w:tc>
          <w:tcPr>
            <w:tcW w:type="dxa" w:w="1385"/>
          </w:tcPr>
          <w:p>
            <w:r>
              <w:rPr>
                <w:rFonts w:ascii="Times New Roman" w:hAnsi="Times New Roman"/>
                <w:sz w:val="20"/>
              </w:rPr>
              <w:t>Boîte d'1 flacon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500</w:t>
            </w:r>
          </w:p>
        </w:tc>
        <w:tc>
          <w:tcPr>
            <w:tcW w:type="dxa" w:w="1385"/>
          </w:tcPr>
          <w:p>
            <w:r>
              <w:rPr>
                <w:rFonts w:ascii="Times New Roman" w:hAnsi="Times New Roman"/>
                <w:sz w:val="20"/>
              </w:rPr>
              <w:t>Swedish Orphan Biovitrum AB (Suède)</w:t>
            </w:r>
          </w:p>
        </w:tc>
        <w:tc>
          <w:tcPr>
            <w:tcW w:type="dxa" w:w="1385"/>
          </w:tcPr>
          <w:p>
            <w:r>
              <w:rPr>
                <w:rFonts w:ascii="Times New Roman" w:hAnsi="Times New Roman"/>
                <w:sz w:val="20"/>
              </w:rPr>
              <w:t>Poudre et solvant pour solution injectable, 500 UI</w:t>
            </w:r>
          </w:p>
        </w:tc>
        <w:tc>
          <w:tcPr>
            <w:tcW w:type="dxa" w:w="1385"/>
          </w:tcPr>
          <w:p>
            <w:r>
              <w:rPr>
                <w:rFonts w:ascii="Times New Roman" w:hAnsi="Times New Roman"/>
                <w:sz w:val="20"/>
              </w:rPr>
              <w:t>Boîte d'1 flacon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1000</w:t>
            </w:r>
          </w:p>
        </w:tc>
        <w:tc>
          <w:tcPr>
            <w:tcW w:type="dxa" w:w="1385"/>
          </w:tcPr>
          <w:p>
            <w:r>
              <w:rPr>
                <w:rFonts w:ascii="Times New Roman" w:hAnsi="Times New Roman"/>
                <w:sz w:val="20"/>
              </w:rPr>
              <w:t>Swedish Orphan Biovitrum AB (Suède)</w:t>
            </w:r>
          </w:p>
        </w:tc>
        <w:tc>
          <w:tcPr>
            <w:tcW w:type="dxa" w:w="1385"/>
          </w:tcPr>
          <w:p>
            <w:r>
              <w:rPr>
                <w:rFonts w:ascii="Times New Roman" w:hAnsi="Times New Roman"/>
                <w:sz w:val="20"/>
              </w:rPr>
              <w:t>Poudre et solvant pour solution injectable, 1000 UI</w:t>
            </w:r>
          </w:p>
        </w:tc>
        <w:tc>
          <w:tcPr>
            <w:tcW w:type="dxa" w:w="1385"/>
          </w:tcPr>
          <w:p>
            <w:r>
              <w:rPr>
                <w:rFonts w:ascii="Times New Roman" w:hAnsi="Times New Roman"/>
                <w:sz w:val="20"/>
              </w:rPr>
              <w:t>Boîte d'1 flacon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2000</w:t>
            </w:r>
          </w:p>
        </w:tc>
        <w:tc>
          <w:tcPr>
            <w:tcW w:type="dxa" w:w="1385"/>
          </w:tcPr>
          <w:p>
            <w:r>
              <w:rPr>
                <w:rFonts w:ascii="Times New Roman" w:hAnsi="Times New Roman"/>
                <w:sz w:val="20"/>
              </w:rPr>
              <w:t>Swedish Orphan Biovitrum AB (Suède)</w:t>
            </w:r>
          </w:p>
        </w:tc>
        <w:tc>
          <w:tcPr>
            <w:tcW w:type="dxa" w:w="1385"/>
          </w:tcPr>
          <w:p>
            <w:r>
              <w:rPr>
                <w:rFonts w:ascii="Times New Roman" w:hAnsi="Times New Roman"/>
                <w:sz w:val="20"/>
              </w:rPr>
              <w:t>Poudre et solvant pour solution injectable, 2000 UI</w:t>
            </w:r>
          </w:p>
        </w:tc>
        <w:tc>
          <w:tcPr>
            <w:tcW w:type="dxa" w:w="1385"/>
          </w:tcPr>
          <w:p>
            <w:r>
              <w:rPr>
                <w:rFonts w:ascii="Times New Roman" w:hAnsi="Times New Roman"/>
                <w:sz w:val="20"/>
              </w:rPr>
              <w:t>Boîte d'1 flacon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3000</w:t>
            </w:r>
          </w:p>
        </w:tc>
        <w:tc>
          <w:tcPr>
            <w:tcW w:type="dxa" w:w="1385"/>
          </w:tcPr>
          <w:p>
            <w:r>
              <w:rPr>
                <w:rFonts w:ascii="Times New Roman" w:hAnsi="Times New Roman"/>
                <w:sz w:val="20"/>
              </w:rPr>
              <w:t>Swedish Orphan Biovitrum AB (Suède)</w:t>
            </w:r>
          </w:p>
        </w:tc>
        <w:tc>
          <w:tcPr>
            <w:tcW w:type="dxa" w:w="1385"/>
          </w:tcPr>
          <w:p>
            <w:r>
              <w:rPr>
                <w:rFonts w:ascii="Times New Roman" w:hAnsi="Times New Roman"/>
                <w:sz w:val="20"/>
              </w:rPr>
              <w:t>Poudre et solvant pour solution injectable, 3000 UI</w:t>
            </w:r>
          </w:p>
        </w:tc>
        <w:tc>
          <w:tcPr>
            <w:tcW w:type="dxa" w:w="1385"/>
          </w:tcPr>
          <w:p>
            <w:r>
              <w:rPr>
                <w:rFonts w:ascii="Times New Roman" w:hAnsi="Times New Roman"/>
                <w:sz w:val="20"/>
              </w:rPr>
              <w:t>Boîte d'1 flacon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pPr>
        <w:pStyle w:val="Heading3"/>
      </w:pPr>
      <w:r>
        <w:t>Sous-section 3 — Sous-classe et mécanisme d'action moléculaire</w:t>
      </w:r>
    </w:p>
    <w:p>
      <w:r/>
      <w:r>
        <w:rPr>
          <w:b/>
        </w:rPr>
        <w:t>Sous-classe pharmacologique réelle</w:t>
      </w:r>
      <w:r>
        <w:t xml:space="preserve"> : B02BD10 — Facteur IX recombinant Fc-fusion (rFIX-Fc, EHL).</w:t>
      </w:r>
    </w:p>
    <w:p>
      <w:r/>
      <w:r>
        <w:rPr>
          <w:b/>
        </w:rPr>
        <w:t>Caractéristiques d'ALPROLIX (eftrenonacog alfa)</w:t>
      </w:r>
      <w:r>
        <w:t xml:space="preserve"> :</w:t>
      </w:r>
    </w:p>
    <w:p>
      <w:pPr>
        <w:pStyle w:val="ListBullet"/>
      </w:pPr>
      <w:r>
        <w:t xml:space="preserve">Protéine recombinante de fusion : </w:t>
      </w:r>
      <w:r>
        <w:rPr>
          <w:b/>
        </w:rPr>
        <w:t>domaine catalytique du Facteur IX humain</w:t>
      </w:r>
      <w:r>
        <w:t xml:space="preserve"> + </w:t>
      </w:r>
      <w:r>
        <w:rPr>
          <w:b/>
        </w:rPr>
        <w:t>domaine Fc des IgG1 humaines</w:t>
      </w:r>
      <w:r>
        <w:t xml:space="preserve"> (proteine de fusion covalente).</w:t>
      </w:r>
    </w:p>
    <w:p>
      <w:pPr>
        <w:pStyle w:val="ListBullet"/>
      </w:pPr>
      <w:r>
        <w:t xml:space="preserve">Production en cellules </w:t>
      </w:r>
      <w:r>
        <w:rPr>
          <w:b/>
        </w:rPr>
        <w:t>HEK 293</w:t>
      </w:r>
      <w:r>
        <w:t xml:space="preserve"> (Human Embryonic Kidney) transfectées.</w:t>
      </w:r>
    </w:p>
    <w:p>
      <w:pPr>
        <w:pStyle w:val="ListBullet"/>
      </w:pPr>
      <w:r>
        <w:t xml:space="preserve">Le domaine Fc se lie au récepteur FcRn (neonatal Fc receptor) exprimé par les cellules endothéliales, ce qui </w:t>
      </w:r>
      <w:r>
        <w:rPr>
          <w:b/>
        </w:rPr>
        <w:t>protège la protéine de fusion de la dégradation lysosomale</w:t>
      </w:r>
      <w:r>
        <w:t xml:space="preserve"> et la recycle vers la circulation systémique. Ceci prolonge considérablement la demi-vie plasmatique.</w:t>
      </w:r>
    </w:p>
    <w:p>
      <w:pPr>
        <w:pStyle w:val="ListBullet"/>
      </w:pPr>
      <w:r>
        <w:t xml:space="preserve">Demi-vie plasmatique moyenne : </w:t>
      </w:r>
      <w:r>
        <w:rPr>
          <w:b/>
        </w:rPr>
        <w:t>80-90 h</w:t>
      </w:r>
      <w:r>
        <w:t xml:space="preserve"> (vs 18-24 h pour le rFIX standard BENEFIX), soit une </w:t>
      </w:r>
      <w:r>
        <w:rPr>
          <w:b/>
        </w:rPr>
        <w:t>extension par ×3-4</w:t>
      </w:r>
      <w:r>
        <w:t xml:space="preserve"> de la demi-vie.</w:t>
      </w:r>
    </w:p>
    <w:p>
      <w:pPr>
        <w:pStyle w:val="ListBullet"/>
      </w:pPr>
      <w:r>
        <w:t xml:space="preserve">Récovery moyen : </w:t>
      </w:r>
      <w:r>
        <w:rPr>
          <w:b/>
        </w:rPr>
        <w:t>1,3 UI/dL par UI/kg</w:t>
      </w:r>
      <w:r>
        <w:t xml:space="preserve"> (légèrement supérieur au rFIX standard BENEFIX ~1,0 UI/dL/UI/kg).</w:t>
      </w:r>
    </w:p>
    <w:p>
      <w:pPr>
        <w:pStyle w:val="ListBullet"/>
      </w:pPr>
      <w:r>
        <w:t>Aucun contenu en VWF (le VWF ne stabilise pas le FIX mais uniquement le FVIII).</w:t>
      </w:r>
    </w:p>
    <w:p>
      <w:pPr>
        <w:pStyle w:val="ListBullet"/>
      </w:pPr>
      <w:r>
        <w:t>Stabilisation par saccharose, L-histidine, polysorbate 20.</w:t>
      </w:r>
    </w:p>
    <w:p>
      <w:r/>
      <w:r>
        <w:rPr>
          <w:b/>
        </w:rPr>
        <w:t>Mécanisme d'action</w:t>
      </w:r>
      <w:r>
        <w:t xml:space="preserve"> : identique au Facteur IX natif (cf. fiche 233.1).</w:t>
      </w:r>
    </w:p>
    <w:p>
      <w:pPr>
        <w:pStyle w:val="ListBullet"/>
      </w:pPr>
      <w:r>
        <w:t xml:space="preserve">Le FIX activé (FIXa) forme le </w:t>
      </w:r>
      <w:r>
        <w:rPr>
          <w:b/>
        </w:rPr>
        <w:t>complexe tenase intrinsèque</w:t>
      </w:r>
      <w:r>
        <w:t xml:space="preserve"> avec le FVIIIa, Ca²⁺, et phospholipides plaquettaires, activant le Facteur X → FXa.</w:t>
      </w:r>
    </w:p>
    <w:p>
      <w:pPr>
        <w:pStyle w:val="ListBullet"/>
      </w:pPr>
      <w:r>
        <w:t>Le domaine Fc n'a aucune activité coagulante ; il sert uniquement à prolonger la demi-vie plasmatique.</w:t>
      </w:r>
    </w:p>
    <w:p>
      <w:pPr>
        <w:pStyle w:val="Heading3"/>
      </w:pPr>
      <w:r>
        <w:t>Sous-section 4 — Profil pharmacologique</w:t>
      </w:r>
    </w:p>
    <w:p>
      <w:pPr>
        <w:pStyle w:val="Heading4"/>
      </w:pPr>
      <w:r>
        <w:t>Indications réelles (EMA, FDA)</w:t>
      </w:r>
    </w:p>
    <w:p>
      <w:pPr>
        <w:pStyle w:val="ListNumber"/>
      </w:pPr>
      <w:r/>
      <w:r>
        <w:rPr>
          <w:b/>
        </w:rPr>
        <w:t>Hémophilie B constitutionnelle</w:t>
      </w:r>
      <w:r>
        <w:t xml:space="preserve"> (sévère, modérée) : prophylaxie, traitement à la demande, chirurgie.</w:t>
      </w:r>
    </w:p>
    <w:p>
      <w:pPr>
        <w:pStyle w:val="ListNumber"/>
      </w:pPr>
      <w:r/>
      <w:r>
        <w:rPr>
          <w:b/>
        </w:rPr>
        <w:t>Pas d'indication</w:t>
      </w:r>
      <w:r>
        <w:t xml:space="preserve"> dans l'hémophilie A (selon EMA, FDA).</w:t>
      </w:r>
    </w:p>
    <w:p>
      <w:pPr>
        <w:pStyle w:val="Heading4"/>
      </w:pPr>
      <w:r>
        <w:t>Contre-indications</w:t>
      </w:r>
    </w:p>
    <w:p>
      <w:pPr>
        <w:pStyle w:val="ListNumber"/>
      </w:pPr>
      <w:r>
        <w:t>Hypersensibilité à l'eftrenonacog alfa, aux protéines de hamster ou de souris.</w:t>
      </w:r>
    </w:p>
    <w:p>
      <w:pPr>
        <w:pStyle w:val="ListNumber"/>
      </w:pPr>
      <w:r>
        <w:t>Inhibiteur anti-FIX de haut titre non contrôlé.</w:t>
      </w:r>
    </w:p>
    <w:p>
      <w:pPr>
        <w:pStyle w:val="Heading4"/>
      </w:pPr>
      <w:r>
        <w:t>Effets indésirables</w:t>
      </w:r>
    </w:p>
    <w:p>
      <w:pPr>
        <w:pStyle w:val="ListBullet"/>
      </w:pPr>
      <w:r>
        <w:t>Fréquents : céphalées, réactions au site d'injection, paresthésies.</w:t>
      </w:r>
    </w:p>
    <w:p>
      <w:pPr>
        <w:pStyle w:val="ListBullet"/>
      </w:pPr>
      <w:r>
        <w:t>Peu fréquents : urticaire, rash, hypersensibilité.</w:t>
      </w:r>
    </w:p>
    <w:p>
      <w:pPr>
        <w:pStyle w:val="ListBullet"/>
      </w:pPr>
      <w:r>
        <w:t>Rares : anaphylaxie, développement d'inhibiteur anti-FIX (~3-5 % chez les hémophiles B sévères naifs).</w:t>
      </w:r>
    </w:p>
    <w:p>
      <w:pPr>
        <w:pStyle w:val="Heading3"/>
      </w:pPr>
      <w:r>
        <w:t>Sous-section 5 — Prévention et gestion des EI</w:t>
      </w:r>
    </w:p>
    <w:p>
      <w:pPr>
        <w:pStyle w:val="ListBullet"/>
      </w:pPr>
      <w:r>
        <w:t>Dépistage de l'inhibiteur anti-FIX par test de Bethesda (modifié Nijmegen) tous les 3-6 mois la première année.</w:t>
      </w:r>
    </w:p>
    <w:p>
      <w:pPr>
        <w:pStyle w:val="ListBullet"/>
      </w:pPr>
      <w:r/>
      <w:r>
        <w:rPr>
          <w:b/>
        </w:rPr>
        <w:t>Particularité de l'hémophilie B avec inhibiteur</w:t>
      </w:r>
      <w:r>
        <w:t xml:space="preserve"> : rare (~3-5 %), mais risque de </w:t>
      </w:r>
      <w:r>
        <w:rPr>
          <w:b/>
        </w:rPr>
        <w:t>réactions allergiques sévères</w:t>
      </w:r>
      <w:r>
        <w:t xml:space="preserve"> (y compris anaphylaxie) au FIX exogène, en raison de la protéine étrangère immunogène. Surveillance rapprochée des 50 premiers jours d'exposition.</w:t>
      </w:r>
    </w:p>
    <w:p>
      <w:pPr>
        <w:pStyle w:val="ListBullet"/>
      </w:pPr>
      <w:r>
        <w:t>En cas d'inhibiteur anti-FIX de haut titre : utilisation de rFVIIa (NovoSeven) comme by-passing agent.</w:t>
      </w:r>
    </w:p>
    <w:p>
      <w:pPr>
        <w:pStyle w:val="Heading3"/>
      </w:pPr>
      <w:r>
        <w:t>Sous-section 6 — Interactions médicamenteuses</w:t>
      </w:r>
    </w:p>
    <w:p>
      <w:pPr>
        <w:pStyle w:val="ListBullet"/>
      </w:pPr>
      <w:r>
        <w:t>Cf. fiche 232.1.</w:t>
      </w:r>
    </w:p>
    <w:p>
      <w:pPr>
        <w:pStyle w:val="Heading3"/>
      </w:pPr>
      <w:r>
        <w:t>Sous-section 7 — Grossesse et allaitement</w:t>
      </w:r>
    </w:p>
    <w:p>
      <w:pPr>
        <w:pStyle w:val="ListBullet"/>
      </w:pPr>
      <w:r>
        <w:t>Grossesse : utilisable si nécessaire (CRAT) — mais l'hémophilie B est exceptionnelle chez la femme (conductrice symptomatique avec taux FIX &lt; 40 %).</w:t>
      </w:r>
    </w:p>
    <w:p>
      <w:pPr>
        <w:pStyle w:val="ListBullet"/>
      </w:pPr>
      <w:r>
        <w:t>Allaitement : compatible (CRAT).</w:t>
      </w:r>
    </w:p>
    <w:p>
      <w:pPr>
        <w:pStyle w:val="Heading3"/>
      </w:pPr>
      <w:r>
        <w:t>Sous-section 8 — Posologie et mode d'administration</w:t>
      </w:r>
    </w:p>
    <w:p>
      <w:pPr>
        <w:pStyle w:val="Heading4"/>
      </w:pPr>
      <w:r>
        <w:t>Calcul de la dose (hémophilie B)</w:t>
      </w:r>
    </w:p>
    <w:p>
      <w:pPr>
        <w:pStyle w:val="ListBullet"/>
      </w:pPr>
      <w:r/>
      <w:r>
        <w:rPr>
          <w:b/>
        </w:rPr>
        <w:t>Dose (UI) = Poids (kg) × ΔFIX souhaité (UI/dL) × 1,0</w:t>
      </w:r>
      <w:r>
        <w:t xml:space="preserve"> (facteur de récovery inverse pour rFIX).</w:t>
      </w:r>
    </w:p>
    <w:p>
      <w:pPr>
        <w:pStyle w:val="ListBullet"/>
      </w:pPr>
      <w:r>
        <w:t>Récovery ALPROLIX : ~1,3 UI/dL par UI/kg, soit facteur ~0,77 (au lieu de 1,0 classique).</w:t>
      </w:r>
    </w:p>
    <w:p>
      <w:pPr>
        <w:pStyle w:val="Heading4"/>
      </w:pPr>
      <w:r>
        <w:t>Schéma prophylactique</w:t>
      </w:r>
    </w:p>
    <w:p>
      <w:pPr>
        <w:pStyle w:val="ListBullet"/>
      </w:pPr>
      <w:r/>
      <w:r>
        <w:rPr>
          <w:b/>
        </w:rPr>
        <w:t>Schéma standard</w:t>
      </w:r>
      <w:r>
        <w:t xml:space="preserve"> : 50 UI/kg tous les 7 jours (1×/semaine), soit ~3 perfusions par mois.</w:t>
      </w:r>
    </w:p>
    <w:p>
      <w:pPr>
        <w:pStyle w:val="ListBullet"/>
      </w:pPr>
      <w:r/>
      <w:r>
        <w:rPr>
          <w:b/>
        </w:rPr>
        <w:t>Schéma intensifié</w:t>
      </w:r>
      <w:r>
        <w:t xml:space="preserve"> : 100 UI/kg tous les 10 jours, ou 50 UI/kg tous les 5 jours.</w:t>
      </w:r>
    </w:p>
    <w:p>
      <w:pPr>
        <w:pStyle w:val="ListBullet"/>
      </w:pPr>
      <w:r>
        <w:t>L'avantage de l'EHL ALPROLIX : espacement des injections à 1×/semaine (au lieu de 2-3×/semaine pour le rFIX standard).</w:t>
      </w:r>
    </w:p>
    <w:p>
      <w:pPr>
        <w:pStyle w:val="Heading4"/>
      </w:pPr>
      <w:r>
        <w:t>Mode d'administration</w:t>
      </w:r>
    </w:p>
    <w:p>
      <w:pPr>
        <w:pStyle w:val="ListBullet"/>
      </w:pPr>
      <w:r>
        <w:t>Voie IV stricte, perfusion lente (~5-10 minutes pour 10 mL).</w:t>
      </w:r>
    </w:p>
    <w:p>
      <w:pPr>
        <w:pStyle w:val="ListBullet"/>
      </w:pPr>
      <w:r>
        <w:t>Reconstitution avec solvant EPPI fourni.</w:t>
      </w:r>
    </w:p>
    <w:p>
      <w:pPr>
        <w:pStyle w:val="ListBullet"/>
      </w:pPr>
      <w:r>
        <w:t>Utiliser dans les 4 h après reconstitution.</w:t>
      </w:r>
    </w:p>
    <w:p>
      <w:pPr>
        <w:pStyle w:val="Heading3"/>
      </w:pPr>
      <w:r>
        <w:t>Sous-section 9 — Arbitrage et bénéfices des formes galéniques</w:t>
      </w:r>
    </w:p>
    <w:p>
      <w:pPr>
        <w:pStyle w:val="ListBullet"/>
      </w:pPr>
      <w:r/>
      <w:r>
        <w:rPr>
          <w:b/>
        </w:rPr>
        <w:t>Avantages ALPROLIX</w:t>
      </w:r>
      <w:r>
        <w:t xml:space="preserve"> :</w:t>
      </w:r>
    </w:p>
    <w:p>
      <w:pPr>
        <w:pStyle w:val="ListBullet"/>
      </w:pPr>
      <w:r>
        <w:t>Demi-vie 80-90 h (extension par ×3-4 vs rFIX standard), permettant une prophylaxie hebdomadaire (vs 2-3×/semaine pour BENEFIX).</w:t>
      </w:r>
    </w:p>
    <w:p>
      <w:pPr>
        <w:pStyle w:val="ListBullet"/>
      </w:pPr>
      <w:r>
        <w:t>Qualité de vie améliorée (moins d'injections, moins de cathéters).</w:t>
      </w:r>
    </w:p>
    <w:p>
      <w:pPr>
        <w:pStyle w:val="ListBullet"/>
      </w:pPr>
      <w:r>
        <w:t>Production en milieu sans protéine animale (sécurité accrue).</w:t>
      </w:r>
    </w:p>
    <w:p>
      <w:pPr>
        <w:pStyle w:val="ListBullet"/>
      </w:pPr>
      <w:r>
        <w:t>Présentation avec dosage allant jusqu'à 3000 UI (adapté aux adultes de poids élevé).</w:t>
      </w:r>
    </w:p>
    <w:p>
      <w:pPr>
        <w:pStyle w:val="ListBullet"/>
      </w:pPr>
      <w:r/>
      <w:r>
        <w:rPr>
          <w:b/>
        </w:rPr>
        <w:t>Inconvénients ALPROLIX</w:t>
      </w:r>
      <w:r>
        <w:t xml:space="preserve"> :</w:t>
      </w:r>
    </w:p>
    <w:p>
      <w:pPr>
        <w:pStyle w:val="ListBullet"/>
      </w:pPr>
      <w:r>
        <w:t>Coût élevé (~1,5-2× supérieur au rFIX standard BENEFIX par UI).</w:t>
      </w:r>
    </w:p>
    <w:p>
      <w:pPr>
        <w:pStyle w:val="ListBullet"/>
      </w:pPr>
      <w:r>
        <w:t>Inhibiteur anti-FIX rare mais potentiellement grave (anaphylaxie).</w:t>
      </w:r>
    </w:p>
    <w:p>
      <w:pPr>
        <w:pStyle w:val="ListBullet"/>
      </w:pPr>
      <w:r>
        <w:t>Pas d'indication maladie de Willebrand ni hémophilie A (contrairement à l'étiquetage algérien erroné).</w:t>
      </w:r>
    </w:p>
    <w:p>
      <w:pPr>
        <w:pStyle w:val="Heading3"/>
      </w:pPr>
      <w:r>
        <w:t>Sous-section 10 — Instructions et conseils au patient</w:t>
      </w:r>
    </w:p>
    <w:p>
      <w:pPr>
        <w:pStyle w:val="ListBullet"/>
      </w:pPr>
      <w:r>
        <w:t xml:space="preserve">Formation à l'auto-administration à domicile, en soulignant la </w:t>
      </w:r>
      <w:r>
        <w:rPr>
          <w:b/>
        </w:rPr>
        <w:t>fréquence hebdomadaire</w:t>
      </w:r>
      <w:r>
        <w:t xml:space="preserve"> (vs 2-3×/semaine pour le rFIX standard).</w:t>
      </w:r>
    </w:p>
    <w:p>
      <w:pPr>
        <w:pStyle w:val="ListBullet"/>
      </w:pPr>
      <w:r>
        <w:t>Chaîne du froid +2 °C à +8 °C.</w:t>
      </w:r>
    </w:p>
    <w:p>
      <w:pPr>
        <w:pStyle w:val="ListBullet"/>
      </w:pPr>
      <w:r>
        <w:t>Reconstitution douce.</w:t>
      </w:r>
    </w:p>
    <w:p>
      <w:pPr>
        <w:pStyle w:val="ListBullet"/>
      </w:pPr>
      <w:r>
        <w:t>Surveillance du taux résiduel de FIX:C (cible ≥ 1 UI/dL avant injection suivante).</w:t>
      </w:r>
    </w:p>
    <w:p>
      <w:pPr>
        <w:pStyle w:val="ListBullet"/>
      </w:pPr>
      <w:r>
        <w:t>Information patient : « Ce produit est un facteur IX à demi-vie prolongée ; il est indiqué dans l'hémophilie B et s'administre une fois par semaine ».</w:t>
      </w:r>
    </w:p>
    <w:p>
      <w:pPr>
        <w:pStyle w:val="Heading3"/>
      </w:pPr>
      <w:r>
        <w:t>Sous-section 11 — Notes, règles d'or et pièges</w:t>
      </w:r>
    </w:p>
    <w:p>
      <w:pPr>
        <w:pStyle w:val="ListBullet"/>
      </w:pPr>
      <w:r>
        <w:t>Cf. fiche 232.1 et 233.1.</w:t>
      </w:r>
    </w:p>
    <w:p>
      <w:pPr>
        <w:pStyle w:val="ListBullet"/>
      </w:pPr>
      <w:r/>
      <w:r>
        <w:rPr>
          <w:b/>
        </w:rPr>
        <w:t>Piège MAJEUR</w:t>
      </w:r>
      <w:r>
        <w:t xml:space="preserve"> : la nomenclature algérienne classe ALPROLIX comme « Facteur VIII court-circuitant l'inhibiteur du FVIII » (bypassing agent pour hémophilie A avec inhibiteur), ce qui est </w:t>
      </w:r>
      <w:r>
        <w:rPr>
          <w:b/>
        </w:rPr>
        <w:t>pharmacologiquement faux</w:t>
      </w:r>
      <w:r>
        <w:t>. ALPROLIX est un rFIX-Fc pour hémophilie B (sans inhibiteur). Vérifier l'indication avant prescription/dispensation.</w:t>
      </w:r>
    </w:p>
    <w:p>
      <w:pPr>
        <w:pStyle w:val="ListBullet"/>
      </w:pPr>
      <w:r/>
      <w:r>
        <w:rPr>
          <w:b/>
        </w:rPr>
        <w:t>Piège</w:t>
      </w:r>
      <w:r>
        <w:t xml:space="preserve"> : ne pas confondre ALPROLIX (eftrenonacog alpha, rFIX-Fc EHL) avec ELOCTA/ELOCTATE (efmordectocog alpha, rFVIII-Fc EHL pour hémophilie A) — non disponible en Algérie mais conceptuellement similaire.</w:t>
      </w:r>
    </w:p>
    <w:p>
      <w:pPr>
        <w:pStyle w:val="ListBullet"/>
      </w:pPr>
      <w:r/>
      <w:r>
        <w:rPr>
          <w:b/>
        </w:rPr>
        <w:t>Piège</w:t>
      </w:r>
      <w:r>
        <w:t xml:space="preserve"> : la demi-vie prolongée de l'ALPROLIX peut conduire à un sur-dosage si on applique la fréquence d'administration classique du rFIX (2-3×/semaine). Respecter la fréquence hebdomadaire.</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Récovery</w:t>
            </w:r>
          </w:p>
        </w:tc>
        <w:tc>
          <w:tcPr>
            <w:tcW w:type="dxa" w:w="1385"/>
            <w:shd w:val="clear" w:color="auto" w:fill="F2F2F2"/>
          </w:tcPr>
          <w:p>
            <w:r>
              <w:rPr>
                <w:rFonts w:ascii="Times New Roman" w:hAnsi="Times New Roman"/>
                <w:b/>
                <w:sz w:val="20"/>
              </w:rPr>
              <w:t>Indication réelle</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ALPROLIX 250</w:t>
            </w:r>
          </w:p>
        </w:tc>
        <w:tc>
          <w:tcPr>
            <w:tcW w:type="dxa" w:w="1385"/>
          </w:tcPr>
          <w:p>
            <w:r>
              <w:rPr>
                <w:rFonts w:ascii="Times New Roman" w:hAnsi="Times New Roman"/>
                <w:sz w:val="20"/>
              </w:rPr>
              <w:t>rFIX-Fc HEK293</w:t>
            </w:r>
          </w:p>
        </w:tc>
        <w:tc>
          <w:tcPr>
            <w:tcW w:type="dxa" w:w="1385"/>
          </w:tcPr>
          <w:p>
            <w:r>
              <w:rPr>
                <w:rFonts w:ascii="Times New Roman" w:hAnsi="Times New Roman"/>
                <w:sz w:val="20"/>
              </w:rPr>
              <w:t>80-90 h</w:t>
            </w:r>
          </w:p>
        </w:tc>
        <w:tc>
          <w:tcPr>
            <w:tcW w:type="dxa" w:w="1385"/>
          </w:tcPr>
          <w:p>
            <w:r>
              <w:rPr>
                <w:rFonts w:ascii="Times New Roman" w:hAnsi="Times New Roman"/>
                <w:sz w:val="20"/>
              </w:rPr>
              <w:t>1,3 UI/dL/UI/kg</w:t>
            </w:r>
          </w:p>
        </w:tc>
        <w:tc>
          <w:tcPr>
            <w:tcW w:type="dxa" w:w="1385"/>
          </w:tcPr>
          <w:p>
            <w:r>
              <w:rPr>
                <w:rFonts w:ascii="Times New Roman" w:hAnsi="Times New Roman"/>
                <w:sz w:val="20"/>
              </w:rPr>
              <w:t>Hémophilie B</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500</w:t>
            </w:r>
          </w:p>
        </w:tc>
        <w:tc>
          <w:tcPr>
            <w:tcW w:type="dxa" w:w="1385"/>
          </w:tcPr>
          <w:p>
            <w:r>
              <w:rPr>
                <w:rFonts w:ascii="Times New Roman" w:hAnsi="Times New Roman"/>
                <w:sz w:val="20"/>
              </w:rPr>
              <w:t>rFIX-Fc HEK293</w:t>
            </w:r>
          </w:p>
        </w:tc>
        <w:tc>
          <w:tcPr>
            <w:tcW w:type="dxa" w:w="1385"/>
          </w:tcPr>
          <w:p>
            <w:r>
              <w:rPr>
                <w:rFonts w:ascii="Times New Roman" w:hAnsi="Times New Roman"/>
                <w:sz w:val="20"/>
              </w:rPr>
              <w:t>80-90 h</w:t>
            </w:r>
          </w:p>
        </w:tc>
        <w:tc>
          <w:tcPr>
            <w:tcW w:type="dxa" w:w="1385"/>
          </w:tcPr>
          <w:p>
            <w:r>
              <w:rPr>
                <w:rFonts w:ascii="Times New Roman" w:hAnsi="Times New Roman"/>
                <w:sz w:val="20"/>
              </w:rPr>
              <w:t>1,3 UI/dL/UI/kg</w:t>
            </w:r>
          </w:p>
        </w:tc>
        <w:tc>
          <w:tcPr>
            <w:tcW w:type="dxa" w:w="1385"/>
          </w:tcPr>
          <w:p>
            <w:r>
              <w:rPr>
                <w:rFonts w:ascii="Times New Roman" w:hAnsi="Times New Roman"/>
                <w:sz w:val="20"/>
              </w:rPr>
              <w:t>Hémophilie B</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1000</w:t>
            </w:r>
          </w:p>
        </w:tc>
        <w:tc>
          <w:tcPr>
            <w:tcW w:type="dxa" w:w="1385"/>
          </w:tcPr>
          <w:p>
            <w:r>
              <w:rPr>
                <w:rFonts w:ascii="Times New Roman" w:hAnsi="Times New Roman"/>
                <w:sz w:val="20"/>
              </w:rPr>
              <w:t>rFIX-Fc HEK293</w:t>
            </w:r>
          </w:p>
        </w:tc>
        <w:tc>
          <w:tcPr>
            <w:tcW w:type="dxa" w:w="1385"/>
          </w:tcPr>
          <w:p>
            <w:r>
              <w:rPr>
                <w:rFonts w:ascii="Times New Roman" w:hAnsi="Times New Roman"/>
                <w:sz w:val="20"/>
              </w:rPr>
              <w:t>80-90 h</w:t>
            </w:r>
          </w:p>
        </w:tc>
        <w:tc>
          <w:tcPr>
            <w:tcW w:type="dxa" w:w="1385"/>
          </w:tcPr>
          <w:p>
            <w:r>
              <w:rPr>
                <w:rFonts w:ascii="Times New Roman" w:hAnsi="Times New Roman"/>
                <w:sz w:val="20"/>
              </w:rPr>
              <w:t>1,3 UI/dL/UI/kg</w:t>
            </w:r>
          </w:p>
        </w:tc>
        <w:tc>
          <w:tcPr>
            <w:tcW w:type="dxa" w:w="1385"/>
          </w:tcPr>
          <w:p>
            <w:r>
              <w:rPr>
                <w:rFonts w:ascii="Times New Roman" w:hAnsi="Times New Roman"/>
                <w:sz w:val="20"/>
              </w:rPr>
              <w:t>Hémophilie B</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2000</w:t>
            </w:r>
          </w:p>
        </w:tc>
        <w:tc>
          <w:tcPr>
            <w:tcW w:type="dxa" w:w="1385"/>
          </w:tcPr>
          <w:p>
            <w:r>
              <w:rPr>
                <w:rFonts w:ascii="Times New Roman" w:hAnsi="Times New Roman"/>
                <w:sz w:val="20"/>
              </w:rPr>
              <w:t>rFIX-Fc HEK293</w:t>
            </w:r>
          </w:p>
        </w:tc>
        <w:tc>
          <w:tcPr>
            <w:tcW w:type="dxa" w:w="1385"/>
          </w:tcPr>
          <w:p>
            <w:r>
              <w:rPr>
                <w:rFonts w:ascii="Times New Roman" w:hAnsi="Times New Roman"/>
                <w:sz w:val="20"/>
              </w:rPr>
              <w:t>80-90 h</w:t>
            </w:r>
          </w:p>
        </w:tc>
        <w:tc>
          <w:tcPr>
            <w:tcW w:type="dxa" w:w="1385"/>
          </w:tcPr>
          <w:p>
            <w:r>
              <w:rPr>
                <w:rFonts w:ascii="Times New Roman" w:hAnsi="Times New Roman"/>
                <w:sz w:val="20"/>
              </w:rPr>
              <w:t>1,3 UI/dL/UI/kg</w:t>
            </w:r>
          </w:p>
        </w:tc>
        <w:tc>
          <w:tcPr>
            <w:tcW w:type="dxa" w:w="1385"/>
          </w:tcPr>
          <w:p>
            <w:r>
              <w:rPr>
                <w:rFonts w:ascii="Times New Roman" w:hAnsi="Times New Roman"/>
                <w:sz w:val="20"/>
              </w:rPr>
              <w:t>Hémophilie B</w:t>
            </w:r>
          </w:p>
        </w:tc>
        <w:tc>
          <w:tcPr>
            <w:tcW w:type="dxa" w:w="1385"/>
          </w:tcPr>
          <w:p>
            <w:r>
              <w:rPr>
                <w:rFonts w:ascii="Times New Roman" w:hAnsi="Times New Roman"/>
                <w:sz w:val="20"/>
              </w:rPr>
              <w:t>Actif</w:t>
            </w:r>
          </w:p>
        </w:tc>
      </w:tr>
      <w:tr>
        <w:tc>
          <w:tcPr>
            <w:tcW w:type="dxa" w:w="1385"/>
          </w:tcPr>
          <w:p>
            <w:r>
              <w:rPr>
                <w:rFonts w:ascii="Times New Roman" w:hAnsi="Times New Roman"/>
                <w:sz w:val="20"/>
              </w:rPr>
              <w:t>ALPROLIX 3000</w:t>
            </w:r>
          </w:p>
        </w:tc>
        <w:tc>
          <w:tcPr>
            <w:tcW w:type="dxa" w:w="1385"/>
          </w:tcPr>
          <w:p>
            <w:r>
              <w:rPr>
                <w:rFonts w:ascii="Times New Roman" w:hAnsi="Times New Roman"/>
                <w:sz w:val="20"/>
              </w:rPr>
              <w:t>rFIX-Fc HEK293</w:t>
            </w:r>
          </w:p>
        </w:tc>
        <w:tc>
          <w:tcPr>
            <w:tcW w:type="dxa" w:w="1385"/>
          </w:tcPr>
          <w:p>
            <w:r>
              <w:rPr>
                <w:rFonts w:ascii="Times New Roman" w:hAnsi="Times New Roman"/>
                <w:sz w:val="20"/>
              </w:rPr>
              <w:t>80-90 h</w:t>
            </w:r>
          </w:p>
        </w:tc>
        <w:tc>
          <w:tcPr>
            <w:tcW w:type="dxa" w:w="1385"/>
          </w:tcPr>
          <w:p>
            <w:r>
              <w:rPr>
                <w:rFonts w:ascii="Times New Roman" w:hAnsi="Times New Roman"/>
                <w:sz w:val="20"/>
              </w:rPr>
              <w:t>1,3 UI/dL/UI/kg</w:t>
            </w:r>
          </w:p>
        </w:tc>
        <w:tc>
          <w:tcPr>
            <w:tcW w:type="dxa" w:w="1385"/>
          </w:tcPr>
          <w:p>
            <w:r>
              <w:rPr>
                <w:rFonts w:ascii="Times New Roman" w:hAnsi="Times New Roman"/>
                <w:sz w:val="20"/>
              </w:rPr>
              <w:t>Hémophilie B</w:t>
            </w:r>
          </w:p>
        </w:tc>
        <w:tc>
          <w:tcPr>
            <w:tcW w:type="dxa" w:w="1385"/>
          </w:tcPr>
          <w:p>
            <w:r>
              <w:rPr>
                <w:rFonts w:ascii="Times New Roman" w:hAnsi="Times New Roman"/>
                <w:sz w:val="20"/>
              </w:rPr>
              <w:t>Actif</w:t>
            </w:r>
          </w:p>
        </w:tc>
      </w:tr>
    </w:tbl>
    <w:p/>
    <w:p>
      <w:pPr>
        <w:pStyle w:val="Heading2"/>
      </w:pPr>
      <w:r>
        <w:t>232.8. DCI : Eftrenonacog alpha (court-circuitant l'inhibiteur du FVIII) — FEIBA 1000 (Takeda)</w:t>
      </w:r>
    </w:p>
    <w:p>
      <w:pPr>
        <w:pStyle w:val="Heading3"/>
      </w:pPr>
      <w:r>
        <w:t>Sous-section 1 — Liste des catégories thérapeutiques</w:t>
      </w:r>
    </w:p>
    <w:p>
      <w:pPr>
        <w:pStyle w:val="ListBullet"/>
      </w:pPr>
      <w:r/>
      <w:r>
        <w:rPr>
          <w:b/>
        </w:rPr>
        <w:t>Code ATC</w:t>
      </w:r>
      <w:r>
        <w:t xml:space="preserve"> : </w:t>
      </w:r>
      <w:r>
        <w:rPr>
          <w:b/>
        </w:rPr>
        <w:t>B02BD30</w:t>
      </w:r>
      <w:r>
        <w:t xml:space="preserve"> — Complexe anti-inhibiteur de coagulation (anti-inhibitor coagulant complex, FEIBA).</w:t>
      </w:r>
    </w:p>
    <w:p>
      <w:pPr>
        <w:pStyle w:val="ListBullet"/>
      </w:pPr>
      <w:r/>
      <w:r>
        <w:rPr>
          <w:b/>
        </w:rPr>
        <w:t>DCI selon nomenclature algérienne</w:t>
      </w:r>
      <w:r>
        <w:t xml:space="preserve"> : Eftrenonacog alpha (facteurs de coagulation ayant une activité court-circuitant l'inhibiteur du Facteur VIII).</w:t>
      </w:r>
    </w:p>
    <w:p>
      <w:pPr>
        <w:pStyle w:val="ListBullet"/>
      </w:pPr>
      <w:r/>
      <w:r>
        <w:rPr>
          <w:b/>
        </w:rPr>
        <w:t>DCI pharmacologique réelle</w:t>
      </w:r>
      <w:r>
        <w:t xml:space="preserve"> : Complexes anti-inhibiteurs de coagulation (FEIBA = Factor Eight Inhibitor Bypassing Activity).</w:t>
      </w:r>
    </w:p>
    <w:p>
      <w:pPr>
        <w:pStyle w:val="ListBullet"/>
      </w:pPr>
      <w:r/>
      <w:r>
        <w:rPr>
          <w:b/>
        </w:rPr>
        <w:t>Spécialité</w:t>
      </w:r>
      <w:r>
        <w:t xml:space="preserve"> : FEIBA 1000 (Takeda Manufacturing Austria AG, ex-Baxter AG).</w:t>
      </w:r>
    </w:p>
    <w:p>
      <w:pPr>
        <w:pStyle w:val="ListBullet"/>
      </w:pPr>
      <w:r/>
      <w:r>
        <w:rPr>
          <w:b/>
        </w:rPr>
        <w:t>Statut réglementaire Algérie</w:t>
      </w:r>
      <w:r>
        <w:t xml:space="preserve"> : Liste I, prescription hospitalière spécialisée.</w:t>
      </w:r>
    </w:p>
    <w:p>
      <w:pPr>
        <w:pStyle w:val="ListBullet"/>
      </w:pPr>
      <w:r/>
      <w:r>
        <w:rPr>
          <w:b/>
        </w:rPr>
        <w:t>Statut OMS</w:t>
      </w:r>
      <w:r>
        <w:t xml:space="preserve"> : médicament essentiel.</w:t>
      </w:r>
    </w:p>
    <w:p>
      <w:pPr>
        <w:ind w:left="567"/>
      </w:pPr>
      <w:r>
        <w:rPr>
          <w:i/>
          <w:color w:val="606060"/>
        </w:rPr>
        <w:t>**NOTE IMPORTANTE** : Le FEIBA est pharmacologiquement un **complexe prothrombinique activé plasmatique** (contient les facteurs IIa, IXa, Xa activés et le VII non activé), indiqué dans l'**hémophilie A avec inhibiteur anti-FVIII** pour bypasser le déficit en FVIII. Il n'a **rien à voir pharmacologiquement avec l'eftrenonacog alpha (ALPROLIX)**, qui est un rFIX-Fc pour hémophilie B. La nomenclature algérienne a probablement confondu les deux spécialités en raison de leur dénomination proche (« alpha ») et de leur usage en hématologie. Nous traitons ici le FEIBA selon sa vraie nature pharmacologique : un by-passing agent plasmatique pour hémophilie A avec inhibiteur.</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FEIBA 1000 UI/20 mL</w:t>
            </w:r>
          </w:p>
        </w:tc>
        <w:tc>
          <w:tcPr>
            <w:tcW w:type="dxa" w:w="1385"/>
          </w:tcPr>
          <w:p>
            <w:r>
              <w:rPr>
                <w:rFonts w:ascii="Times New Roman" w:hAnsi="Times New Roman"/>
                <w:sz w:val="20"/>
              </w:rPr>
              <w:t>Takeda Manufacturing Austria AG (ex-Baxter AG)</w:t>
            </w:r>
          </w:p>
        </w:tc>
        <w:tc>
          <w:tcPr>
            <w:tcW w:type="dxa" w:w="1385"/>
          </w:tcPr>
          <w:p>
            <w:r>
              <w:rPr>
                <w:rFonts w:ascii="Times New Roman" w:hAnsi="Times New Roman"/>
                <w:sz w:val="20"/>
              </w:rPr>
              <w:t>Poudre et solvant pour solution injectable IV, 1000 UI/flacon (1000 UI/20 mL)</w:t>
            </w:r>
          </w:p>
        </w:tc>
        <w:tc>
          <w:tcPr>
            <w:tcW w:type="dxa" w:w="1385"/>
          </w:tcPr>
          <w:p>
            <w:r>
              <w:rPr>
                <w:rFonts w:ascii="Times New Roman" w:hAnsi="Times New Roman"/>
                <w:sz w:val="20"/>
              </w:rPr>
              <w:t>Boîte de 1 flacon de poudre + 1 flacon de 20 mL d'eau pour préparations injectables + 1 Baxject II Hi-Flow (pour reconstitution) + 1 seringue à usage unique + 1 aiguille à usage unique + 1 aiguille à ailettes avec clamp</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Unité de dosage FEIBA</w:t>
      </w:r>
      <w:r>
        <w:t xml:space="preserve"> : l'unité FEIBA (U°) n'est pas une UI de facteur IX classique ; elle reflète l'activité by-passing in vitro mesurée par un test spécifique (test de génération de thrombine en présence d'inhibiteur anti-FVIII). 1 U° FEIBA ≈ 1 UI de facteur IX en termes de contenu protéique, mais avec une activité biologique différente.</w:t>
      </w:r>
    </w:p>
    <w:p>
      <w:pPr>
        <w:pStyle w:val="Heading3"/>
      </w:pPr>
      <w:r>
        <w:t>Sous-section 3 — Sous-classe et mécanisme d'action moléculaire</w:t>
      </w:r>
    </w:p>
    <w:p>
      <w:r/>
      <w:r>
        <w:rPr>
          <w:b/>
        </w:rPr>
        <w:t>Sous-classe pharmacologique réelle</w:t>
      </w:r>
      <w:r>
        <w:t xml:space="preserve"> : B02BD30 — Complexe anti-inhibiteur de coagulation (FEIBA = Anti-Inhibitor Coagulant Complex, AICC).</w:t>
      </w:r>
    </w:p>
    <w:p>
      <w:r/>
      <w:r>
        <w:rPr>
          <w:b/>
        </w:rPr>
        <w:t>Composition du FEIBA</w:t>
      </w:r>
      <w:r>
        <w:t xml:space="preserve"> :</w:t>
      </w:r>
    </w:p>
    <w:p>
      <w:pPr>
        <w:pStyle w:val="ListBullet"/>
      </w:pPr>
      <w:r>
        <w:t xml:space="preserve">Préparation plasmatique humaine purifiée par fractionnement Cohn + chromatographie, contenant les </w:t>
      </w:r>
      <w:r>
        <w:rPr>
          <w:b/>
        </w:rPr>
        <w:t>facteurs de coagulation activés et non-activés</w:t>
      </w:r>
      <w:r>
        <w:t xml:space="preserve"> :</w:t>
      </w:r>
    </w:p>
    <w:p>
      <w:pPr>
        <w:pStyle w:val="ListBullet"/>
      </w:pPr>
      <w:r/>
      <w:r>
        <w:rPr>
          <w:b/>
        </w:rPr>
        <w:t>Facteur II prothrombinique</w:t>
      </w:r>
      <w:r>
        <w:t xml:space="preserve"> (non activé) + Facteur IIa (thrombine, activé, à l'état de traces)</w:t>
      </w:r>
    </w:p>
    <w:p>
      <w:pPr>
        <w:pStyle w:val="ListBullet"/>
      </w:pPr>
      <w:r/>
      <w:r>
        <w:rPr>
          <w:b/>
        </w:rPr>
        <w:t>Facteur IX activé (FIXa)</w:t>
      </w:r>
      <w:r>
        <w:t xml:space="preserve"> et non activé (FIX)</w:t>
      </w:r>
    </w:p>
    <w:p>
      <w:pPr>
        <w:pStyle w:val="ListBullet"/>
      </w:pPr>
      <w:r/>
      <w:r>
        <w:rPr>
          <w:b/>
        </w:rPr>
        <w:t>Facteur X activé (FXa)</w:t>
      </w:r>
      <w:r>
        <w:t xml:space="preserve"> et non activé (FX)</w:t>
      </w:r>
    </w:p>
    <w:p>
      <w:pPr>
        <w:pStyle w:val="ListBullet"/>
      </w:pPr>
      <w:r/>
      <w:r>
        <w:rPr>
          <w:b/>
        </w:rPr>
        <w:t>Facteur VII non activé (FVII)</w:t>
      </w:r>
      <w:r>
        <w:t xml:space="preserve"> — pas de FVIIa dans FEIBA</w:t>
      </w:r>
    </w:p>
    <w:p>
      <w:pPr>
        <w:pStyle w:val="ListBullet"/>
      </w:pPr>
      <w:r>
        <w:t>Traces de protéines C, S, plasminogène</w:t>
      </w:r>
    </w:p>
    <w:p>
      <w:pPr>
        <w:pStyle w:val="ListBullet"/>
      </w:pPr>
      <w:r>
        <w:t>Inactivation virale : solvant-détergent (SD) + nanofiltration 15 nm + vapeur 60 °C 10 h.</w:t>
      </w:r>
    </w:p>
    <w:p>
      <w:pPr>
        <w:pStyle w:val="ListBullet"/>
      </w:pPr>
      <w:r>
        <w:t>Stabilisateurs : aucun ajout d'albumine.</w:t>
      </w:r>
    </w:p>
    <w:p>
      <w:pPr>
        <w:pStyle w:val="ListBullet"/>
      </w:pPr>
      <w:r>
        <w:t>Présentation : poudre lyophilisée à reconstituer avec 20 mL EPPI.</w:t>
      </w:r>
    </w:p>
    <w:p>
      <w:r/>
      <w:r>
        <w:rPr>
          <w:b/>
        </w:rPr>
        <w:t>Mécanisme d'action</w:t>
      </w:r>
      <w:r>
        <w:t xml:space="preserve"> :</w:t>
      </w:r>
    </w:p>
    <w:p>
      <w:pPr>
        <w:pStyle w:val="ListBullet"/>
      </w:pPr>
      <w:r>
        <w:t xml:space="preserve">Le FEIBA </w:t>
      </w:r>
      <w:r>
        <w:rPr>
          <w:b/>
        </w:rPr>
        <w:t>bypass le déficit en FVIII</w:t>
      </w:r>
      <w:r>
        <w:t xml:space="preserve"> (ou en FIX) en activant directement le Facteur X → FXa, sans nécessiter le complexe tenase intrinsèque (FIXa-FVIIIa).</w:t>
      </w:r>
    </w:p>
    <w:p>
      <w:pPr>
        <w:pStyle w:val="ListBullet"/>
      </w:pPr>
      <w:r>
        <w:t>Le FIXa contenu dans le FEIBA active directement FX (en présence de phospholipides et Ca²⁺, sans FVIIIa requis).</w:t>
      </w:r>
    </w:p>
    <w:p>
      <w:pPr>
        <w:pStyle w:val="ListBullet"/>
      </w:pPr>
      <w:r>
        <w:t>Le FXa contenu dans le FEIBA active directement la prothrombine (FII) en thrombine (FIIa), formant le complexe prothrombinase (FXa-FVa-Ca²⁺-PL).</w:t>
      </w:r>
    </w:p>
    <w:p>
      <w:pPr>
        <w:pStyle w:val="ListBullet"/>
      </w:pPr>
      <w:r>
        <w:t>La thrombine générée convertit le fibrinogène en fibrine, activant ainsi la coagulation malgré l'absence (ou l'inhibition) du FVIII.</w:t>
      </w:r>
    </w:p>
    <w:p>
      <w:pPr>
        <w:pStyle w:val="ListBullet"/>
      </w:pPr>
      <w:r>
        <w:t>Le FVII non activé présent dans FEIBA est converti en FVIIa par la thrombine générée, amplifiant la voie extrinsèque (FT-FVIIa → FX → FXa).</w:t>
      </w:r>
    </w:p>
    <w:p>
      <w:pPr>
        <w:pStyle w:val="ListBullet"/>
      </w:pPr>
      <w:r>
        <w:t>Effet maximal à 10-30 minutes après injection, durée d'action 6-12 heures.</w:t>
      </w:r>
    </w:p>
    <w:p>
      <w:r/>
      <w:r>
        <w:rPr>
          <w:b/>
        </w:rPr>
        <w:t>Avantage vs rFVIIa (NovoSeven)</w:t>
      </w:r>
      <w:r>
        <w:t xml:space="preserve"> :</w:t>
      </w:r>
    </w:p>
    <w:p>
      <w:pPr>
        <w:pStyle w:val="ListBullet"/>
      </w:pPr>
      <w:r>
        <w:t>Le FEIBA contient plusieurs facteurs activés (IIa, IXa, Xa) alors que le rFVIIa n'agit que sur la voie extrinsèque (FT-FVIIa). Le FEIBA a donc un effet plus global mais moins puissant par unité.</w:t>
      </w:r>
    </w:p>
    <w:p>
      <w:pPr>
        <w:pStyle w:val="ListBullet"/>
      </w:pPr>
      <w:r>
        <w:t>Demi-vie plus longue (FEIBA 6-12 h vs rFVIIa 2-3 h), permettant des injections moins fréquentes (toutes les 8-12 h vs toutes les 2 h).</w:t>
      </w:r>
    </w:p>
    <w:p>
      <w:pPr>
        <w:pStyle w:val="ListBullet"/>
      </w:pPr>
      <w:r>
        <w:t>Coût par dose inférieur au rFVIIa (~5× moins cher).</w:t>
      </w:r>
    </w:p>
    <w:p>
      <w:pPr>
        <w:pStyle w:val="Heading3"/>
      </w:pPr>
      <w:r>
        <w:t>Sous-section 4 — Profil pharmacologique</w:t>
      </w:r>
    </w:p>
    <w:p>
      <w:pPr>
        <w:pStyle w:val="Heading4"/>
      </w:pPr>
      <w:r>
        <w:t>Indications</w:t>
      </w:r>
    </w:p>
    <w:p>
      <w:pPr>
        <w:pStyle w:val="ListNumber"/>
      </w:pPr>
      <w:r/>
      <w:r>
        <w:rPr>
          <w:b/>
        </w:rPr>
        <w:t>Hémophilie A avec inhibiteur anti-FVIII</w:t>
      </w:r>
      <w:r>
        <w:t xml:space="preserve"> (titre ≥ 5 UB) — traitement et prévention des hémorragies :</w:t>
      </w:r>
    </w:p>
    <w:p>
      <w:pPr>
        <w:pStyle w:val="ListBullet"/>
      </w:pPr>
      <w:r>
        <w:t>Hémarthroses aiguës</w:t>
      </w:r>
    </w:p>
    <w:p>
      <w:pPr>
        <w:pStyle w:val="ListBullet"/>
      </w:pPr>
      <w:r>
        <w:t>Hématomes musculaires (en particulier psoas-iliaque)</w:t>
      </w:r>
    </w:p>
    <w:p>
      <w:pPr>
        <w:pStyle w:val="ListBullet"/>
      </w:pPr>
      <w:r>
        <w:t>Hémorragies muqueuses (épistaxis, gingivorragies)</w:t>
      </w:r>
    </w:p>
    <w:p>
      <w:pPr>
        <w:pStyle w:val="ListBullet"/>
      </w:pPr>
      <w:r>
        <w:t>Hémorragies viscérales (digestives, rénales, pulmonaires)</w:t>
      </w:r>
    </w:p>
    <w:p>
      <w:pPr>
        <w:pStyle w:val="ListBullet"/>
      </w:pPr>
      <w:r>
        <w:t>Hémorragies cérébrales</w:t>
      </w:r>
    </w:p>
    <w:p>
      <w:pPr>
        <w:pStyle w:val="ListNumber"/>
      </w:pPr>
      <w:r/>
      <w:r>
        <w:rPr>
          <w:b/>
        </w:rPr>
        <w:t>Hémophilie B avec inhibiteur anti-FIX</w:t>
      </w:r>
      <w:r>
        <w:t xml:space="preserve"> — indication en pratique similaire, mais l'usage principal reste l'hémophilie A avec inhibiteur (la prévalence d'inhibiteur anti-FIX est beaucoup plus faible, ~3-5 %).</w:t>
      </w:r>
    </w:p>
    <w:p>
      <w:pPr>
        <w:pStyle w:val="ListNumber"/>
      </w:pPr>
      <w:r/>
      <w:r>
        <w:rPr>
          <w:b/>
        </w:rPr>
        <w:t>Hémophilie A acquise</w:t>
      </w:r>
      <w:r>
        <w:t xml:space="preserve"> (auto-anticorps anti-FVIII) — saignements aigus.</w:t>
      </w:r>
    </w:p>
    <w:p>
      <w:pPr>
        <w:pStyle w:val="ListNumber"/>
      </w:pPr>
      <w:r/>
      <w:r>
        <w:rPr>
          <w:b/>
        </w:rPr>
        <w:t>Couverture chirurgicale</w:t>
      </w:r>
      <w:r>
        <w:t xml:space="preserve"> des patients hémophiles A avec inhibiteur.</w:t>
      </w:r>
    </w:p>
    <w:p>
      <w:pPr>
        <w:pStyle w:val="ListNumber"/>
      </w:pPr>
      <w:r/>
      <w:r>
        <w:rPr>
          <w:b/>
        </w:rPr>
        <w:t>Prophylaxie</w:t>
      </w:r>
      <w:r>
        <w:t xml:space="preserve"> des patients hémophiles A avec inhibiteur (en cas d'échec ou de non-disponibilité d'emicizumab) : 50-100 U°/kg 3×/semaine en prophylaxie.</w:t>
      </w:r>
    </w:p>
    <w:p>
      <w:pPr>
        <w:pStyle w:val="Heading4"/>
      </w:pPr>
      <w:r>
        <w:t>Contre-indications</w:t>
      </w:r>
    </w:p>
    <w:p>
      <w:pPr>
        <w:pStyle w:val="ListNumber"/>
      </w:pPr>
      <w:r>
        <w:t>Hypersensibilité aux protéines plasmatiques humaines ou à l'un des excipients.</w:t>
      </w:r>
    </w:p>
    <w:p>
      <w:pPr>
        <w:pStyle w:val="ListNumber"/>
      </w:pPr>
      <w:r/>
      <w:r>
        <w:rPr>
          <w:b/>
        </w:rPr>
        <w:t>Patients sous emicizumab (Hemlibra)</w:t>
      </w:r>
      <w:r>
        <w:t xml:space="preserve"> : risque majeur de thrombose et de CIVD en cas d'association (cf. sous-section 5).</w:t>
      </w:r>
    </w:p>
    <w:p>
      <w:pPr>
        <w:pStyle w:val="ListNumber"/>
      </w:pPr>
      <w:r>
        <w:t>Coagulation intravasculaire disséminée (CIVD) active non contrôlée.</w:t>
      </w:r>
    </w:p>
    <w:p>
      <w:pPr>
        <w:pStyle w:val="ListNumber"/>
      </w:pPr>
      <w:r>
        <w:t>Thrombose aiguë (TVP, EP, AVC ischémique, infarctus du myocarde) en cours.</w:t>
      </w:r>
    </w:p>
    <w:p>
      <w:pPr>
        <w:pStyle w:val="ListNumber"/>
      </w:pPr>
      <w:r>
        <w:t>Syndrome des antiphospholipides (SAPL) avec thrombose active.</w:t>
      </w:r>
    </w:p>
    <w:p>
      <w:pPr>
        <w:pStyle w:val="Heading4"/>
      </w:pPr>
      <w:r>
        <w:t>Effets indésirables</w:t>
      </w:r>
    </w:p>
    <w:p>
      <w:pPr>
        <w:pStyle w:val="ListBullet"/>
      </w:pPr>
      <w:r>
        <w:t>Fréquents : céphalées, fièvre, frissons.</w:t>
      </w:r>
    </w:p>
    <w:p>
      <w:pPr>
        <w:pStyle w:val="ListBullet"/>
      </w:pPr>
      <w:r>
        <w:t>Peu fréquents : réactions d'hypersensibilité (urticaire, rash, prurit), hypotension transitoire, flush facial.</w:t>
      </w:r>
    </w:p>
    <w:p>
      <w:pPr>
        <w:pStyle w:val="ListBullet"/>
      </w:pPr>
      <w:r>
        <w:t xml:space="preserve">Rares : </w:t>
      </w:r>
      <w:r>
        <w:rPr>
          <w:b/>
        </w:rPr>
        <w:t>thrombo-embolies veineuses</w:t>
      </w:r>
      <w:r>
        <w:t xml:space="preserve"> (TVP, EP), </w:t>
      </w:r>
      <w:r>
        <w:rPr>
          <w:b/>
        </w:rPr>
        <w:t>thrombo-embolies artérielles</w:t>
      </w:r>
      <w:r>
        <w:t xml:space="preserve"> (AVC ischémique, infarctus du myocarde), </w:t>
      </w:r>
      <w:r>
        <w:rPr>
          <w:b/>
        </w:rPr>
        <w:t>CIVD</w:t>
      </w:r>
      <w:r>
        <w:t xml:space="preserve"> (consommation de facteurs, thrombopénie).</w:t>
      </w:r>
    </w:p>
    <w:p>
      <w:pPr>
        <w:pStyle w:val="ListBullet"/>
      </w:pPr>
      <w:r>
        <w:t>Très rares : anaphylaxie, micro-angiopathie thrombotique, syndrome de détresse respiratoire aigu (SDRA).</w:t>
      </w:r>
    </w:p>
    <w:p>
      <w:pPr>
        <w:pStyle w:val="ListBullet"/>
      </w:pPr>
      <w:r>
        <w:t>Risque viral résiduel théorique (B19, HAV, prions).</w:t>
      </w:r>
    </w:p>
    <w:p>
      <w:pPr>
        <w:pStyle w:val="Heading3"/>
      </w:pPr>
      <w:r>
        <w:t>Sous-section 5 — Prévention et gestion des EI</w:t>
      </w:r>
    </w:p>
    <w:p>
      <w:pPr>
        <w:pStyle w:val="Heading4"/>
      </w:pPr>
      <w:r>
        <w:t>Prévention de la thrombose et de la CIVD</w:t>
      </w:r>
    </w:p>
    <w:p>
      <w:r>
        <w:t>C'est le risque principal du FEIBA, lié à son contenu en facteurs activés (IIa, IXa, Xa). Mesures préventives :</w:t>
      </w:r>
    </w:p>
    <w:p>
      <w:pPr>
        <w:pStyle w:val="ListBullet"/>
      </w:pPr>
      <w:r/>
      <w:r>
        <w:rPr>
          <w:b/>
        </w:rPr>
        <w:t>Respect strict des doses recommandées</w:t>
      </w:r>
      <w:r>
        <w:t xml:space="preserve"> : ne pas dépasser 200 U°/kg/jour.</w:t>
      </w:r>
    </w:p>
    <w:p>
      <w:pPr>
        <w:pStyle w:val="ListBullet"/>
      </w:pPr>
      <w:r/>
      <w:r>
        <w:rPr>
          <w:b/>
        </w:rPr>
        <w:t>Intervalle minimum entre doses</w:t>
      </w:r>
      <w:r>
        <w:t xml:space="preserve"> : 8 heures (jamais plus de 3 doses/24 h).</w:t>
      </w:r>
    </w:p>
    <w:p>
      <w:pPr>
        <w:pStyle w:val="ListBullet"/>
      </w:pPr>
      <w:r/>
      <w:r>
        <w:rPr>
          <w:b/>
        </w:rPr>
        <w:t>Surveillance clinique</w:t>
      </w:r>
      <w:r>
        <w:t xml:space="preserve"> : recherche de signes de thrombose (douleur mollo-jambière, dyspnée, céphalée brutale, déficit neurologique, douleur thoracique).</w:t>
      </w:r>
    </w:p>
    <w:p>
      <w:pPr>
        <w:pStyle w:val="ListBullet"/>
      </w:pPr>
      <w:r/>
      <w:r>
        <w:rPr>
          <w:b/>
        </w:rPr>
        <w:t>Surveillance biologique</w:t>
      </w:r>
      <w:r>
        <w:t xml:space="preserve"> : NFS-plaquettes, D-dimères, fibrinogène, TP, TCA toutes les 12-24 h en cas de doses cumulées &gt; 100 U°/kg/24 h.</w:t>
      </w:r>
    </w:p>
    <w:p>
      <w:pPr>
        <w:pStyle w:val="ListBullet"/>
      </w:pPr>
      <w:r/>
      <w:r>
        <w:rPr>
          <w:b/>
        </w:rPr>
        <w:t>Contre-indication absolue d'association avec emicizumab (Hemlibra)</w:t>
      </w:r>
      <w:r>
        <w:t xml:space="preserve"> : risque majeur de thrombose/CIVD (déclaration de 3 cas mortels au Japon en 2018-2019, alerte ANSM/EMA). Si patient sous Hemlibra nécessite by-passing agent, </w:t>
      </w:r>
      <w:r>
        <w:rPr>
          <w:b/>
        </w:rPr>
        <w:t>préférer rFVIIa (NovoSeven) à dose réduite</w:t>
      </w:r>
      <w:r>
        <w:t xml:space="preserve"> (≤ 50 µg/kg/dose, espacement ≥ 2 h).</w:t>
      </w:r>
    </w:p>
    <w:p>
      <w:pPr>
        <w:pStyle w:val="Heading4"/>
      </w:pPr>
      <w:r>
        <w:t>Prévention des réactions d'hypersensibilité</w:t>
      </w:r>
    </w:p>
    <w:p>
      <w:pPr>
        <w:pStyle w:val="ListBullet"/>
      </w:pPr>
      <w:r>
        <w:t>Interrogatoire allergologique préalable.</w:t>
      </w:r>
    </w:p>
    <w:p>
      <w:pPr>
        <w:pStyle w:val="ListBullet"/>
      </w:pPr>
      <w:r>
        <w:t>Disponibilité du matériel de réanimation anaphylactique.</w:t>
      </w:r>
    </w:p>
    <w:p>
      <w:pPr>
        <w:pStyle w:val="ListBullet"/>
      </w:pPr>
      <w:r>
        <w:t>Surveillance des 15 premières minutes de perfusion.</w:t>
      </w:r>
    </w:p>
    <w:p>
      <w:pPr>
        <w:pStyle w:val="Heading4"/>
      </w:pPr>
      <w:r>
        <w:t>Prévention de l'inhibiteur secondaire (rare)</w:t>
      </w:r>
    </w:p>
    <w:p>
      <w:pPr>
        <w:pStyle w:val="ListBullet"/>
      </w:pPr>
      <w:r>
        <w:t>Dépistage par test de Bethesda si échec thérapeutique.</w:t>
      </w:r>
    </w:p>
    <w:p>
      <w:pPr>
        <w:pStyle w:val="ListBullet"/>
      </w:pPr>
      <w:r>
        <w:t>En cas d'inhibiteur anti-FIX (rare mais grave), arrêter le FEIBA (qui contient du FIX).</w:t>
      </w:r>
    </w:p>
    <w:p>
      <w:pPr>
        <w:pStyle w:val="Heading3"/>
      </w:pPr>
      <w:r>
        <w:t>Sous-section 6 — Interactions médicamenteuses</w:t>
      </w:r>
    </w:p>
    <w:p>
      <w:pPr>
        <w:pStyle w:val="ListBullet"/>
      </w:pPr>
      <w:r/>
      <w:r>
        <w:rPr>
          <w:b/>
        </w:rPr>
        <w:t>Emicizumab (Hemlibra)</w:t>
      </w:r>
      <w:r>
        <w:t xml:space="preserve"> : </w:t>
      </w:r>
      <w:r>
        <w:rPr>
          <w:b/>
        </w:rPr>
        <w:t>CONTRE-INDICATION ABSOLUE</w:t>
      </w:r>
      <w:r>
        <w:t xml:space="preserve"> d'association avec FEIBA (risque majeur de thrombose et de CIVD).</w:t>
      </w:r>
    </w:p>
    <w:p>
      <w:pPr>
        <w:pStyle w:val="ListBullet"/>
      </w:pPr>
      <w:r/>
      <w:r>
        <w:rPr>
          <w:b/>
        </w:rPr>
        <w:t>Acide tranexamique</w:t>
      </w:r>
      <w:r>
        <w:t xml:space="preserve"> (Exacyl) : synergie bénéfique pour les saignements muqueux, mais surveillance accrue (risque thrombotique additif).</w:t>
      </w:r>
    </w:p>
    <w:p>
      <w:pPr>
        <w:pStyle w:val="ListBullet"/>
      </w:pPr>
      <w:r/>
      <w:r>
        <w:rPr>
          <w:b/>
        </w:rPr>
        <w:t>Antifibrinolytiques</w:t>
      </w:r>
      <w:r>
        <w:t xml:space="preserve"> (acide aminocaproïque) : idem.</w:t>
      </w:r>
    </w:p>
    <w:p>
      <w:pPr>
        <w:pStyle w:val="ListBullet"/>
      </w:pPr>
      <w:r/>
      <w:r>
        <w:rPr>
          <w:b/>
        </w:rPr>
        <w:t>Anticoagulants oraux</w:t>
      </w:r>
      <w:r>
        <w:t xml:space="preserve"> (AVK, AOD) : contre-indication relative absolue.</w:t>
      </w:r>
    </w:p>
    <w:p>
      <w:pPr>
        <w:pStyle w:val="ListBullet"/>
      </w:pPr>
      <w:r/>
      <w:r>
        <w:rPr>
          <w:b/>
        </w:rPr>
        <w:t>Héparine</w:t>
      </w:r>
      <w:r>
        <w:t xml:space="preserve"> (HNF, HBPM) : contre-indication relative.</w:t>
      </w:r>
    </w:p>
    <w:p>
      <w:pPr>
        <w:pStyle w:val="ListBullet"/>
      </w:pPr>
      <w:r/>
      <w:r>
        <w:rPr>
          <w:b/>
        </w:rPr>
        <w:t>rFVIIa (NovoSeven)</w:t>
      </w:r>
      <w:r>
        <w:t xml:space="preserve"> : association déconseillée (risque thrombotique additif), mais possible en cas d'échec d'un agent seul, sous surveillance rapprochée.</w:t>
      </w:r>
    </w:p>
    <w:p>
      <w:pPr>
        <w:pStyle w:val="ListBullet"/>
      </w:pPr>
      <w:r/>
      <w:r>
        <w:rPr>
          <w:b/>
        </w:rPr>
        <w:t>Antiagrégants plaquettaires</w:t>
      </w:r>
      <w:r>
        <w:t xml:space="preserve"> : majoration du risque hémorragique paradoxal (en cas de thrombose sous FEIBA) — à éviter.</w:t>
      </w:r>
    </w:p>
    <w:p>
      <w:pPr>
        <w:pStyle w:val="ListBullet"/>
      </w:pPr>
      <w:r/>
      <w:r>
        <w:rPr>
          <w:b/>
        </w:rPr>
        <w:t>AINS</w:t>
      </w:r>
      <w:r>
        <w:t xml:space="preserve"> : à éviter.</w:t>
      </w:r>
    </w:p>
    <w:p>
      <w:pPr>
        <w:pStyle w:val="Heading3"/>
      </w:pPr>
      <w:r>
        <w:t>Sous-section 7 — Grossesse et allaitement</w:t>
      </w:r>
    </w:p>
    <w:p>
      <w:pPr>
        <w:pStyle w:val="ListBullet"/>
      </w:pPr>
      <w:r/>
      <w:r>
        <w:rPr>
          <w:b/>
        </w:rPr>
        <w:t>Grossesse</w:t>
      </w:r>
      <w:r>
        <w:t xml:space="preserve"> : utilisable en urgence vitale hémorragique (CRAT). Le FEIBA est réservé aux situations critiques (hémophilie A avec inhibiteur et hémorragie grave pendant la grossesse). Risque thrombotique majoré pendant la grossesse (état d'hypercoagulabilité physiologique) → surveiller.</w:t>
      </w:r>
    </w:p>
    <w:p>
      <w:pPr>
        <w:pStyle w:val="ListBullet"/>
      </w:pPr>
      <w:r/>
      <w:r>
        <w:rPr>
          <w:b/>
        </w:rPr>
        <w:t>Allaitement</w:t>
      </w:r>
      <w:r>
        <w:t xml:space="preserve"> : compatible (CRAT). Passage minimal dans le lait maternel ; digestion protéique néonatale.</w:t>
      </w:r>
    </w:p>
    <w:p>
      <w:pPr>
        <w:pStyle w:val="Heading3"/>
      </w:pPr>
      <w:r>
        <w:t>Sous-section 8 — Posologie et mode d'administration</w:t>
      </w:r>
    </w:p>
    <w:p>
      <w:pPr>
        <w:pStyle w:val="Heading4"/>
      </w:pPr>
      <w:r>
        <w:t>Posologie adulte (hémophilie A avec inhibiteur)</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 de saignement</w:t>
            </w:r>
          </w:p>
        </w:tc>
        <w:tc>
          <w:tcPr>
            <w:tcW w:type="dxa" w:w="2078"/>
            <w:shd w:val="clear" w:color="auto" w:fill="F2F2F2"/>
          </w:tcPr>
          <w:p>
            <w:r>
              <w:rPr>
                <w:rFonts w:ascii="Times New Roman" w:hAnsi="Times New Roman"/>
                <w:b/>
                <w:sz w:val="20"/>
              </w:rPr>
              <w:t>Dose (U°/kg)</w:t>
            </w:r>
          </w:p>
        </w:tc>
        <w:tc>
          <w:tcPr>
            <w:tcW w:type="dxa" w:w="2078"/>
            <w:shd w:val="clear" w:color="auto" w:fill="F2F2F2"/>
          </w:tcPr>
          <w:p>
            <w:r>
              <w:rPr>
                <w:rFonts w:ascii="Times New Roman" w:hAnsi="Times New Roman"/>
                <w:b/>
                <w:sz w:val="20"/>
              </w:rPr>
              <w:t>Fréquence</w:t>
            </w:r>
          </w:p>
        </w:tc>
        <w:tc>
          <w:tcPr>
            <w:tcW w:type="dxa" w:w="2078"/>
            <w:shd w:val="clear" w:color="auto" w:fill="F2F2F2"/>
          </w:tcPr>
          <w:p>
            <w:r>
              <w:rPr>
                <w:rFonts w:ascii="Times New Roman" w:hAnsi="Times New Roman"/>
                <w:b/>
                <w:sz w:val="20"/>
              </w:rPr>
              <w:t>Durée</w:t>
            </w:r>
          </w:p>
        </w:tc>
      </w:tr>
      <w:tr>
        <w:tc>
          <w:tcPr>
            <w:tcW w:type="dxa" w:w="2078"/>
          </w:tcPr>
          <w:p>
            <w:r>
              <w:rPr>
                <w:rFonts w:ascii="Times New Roman" w:hAnsi="Times New Roman"/>
                <w:sz w:val="20"/>
              </w:rPr>
              <w:t>Hémarthrose simple</w:t>
            </w:r>
          </w:p>
        </w:tc>
        <w:tc>
          <w:tcPr>
            <w:tcW w:type="dxa" w:w="2078"/>
          </w:tcPr>
          <w:p>
            <w:r>
              <w:rPr>
                <w:rFonts w:ascii="Times New Roman" w:hAnsi="Times New Roman"/>
                <w:sz w:val="20"/>
              </w:rPr>
              <w:t>50-75 U°/kg</w:t>
            </w:r>
          </w:p>
        </w:tc>
        <w:tc>
          <w:tcPr>
            <w:tcW w:type="dxa" w:w="2078"/>
          </w:tcPr>
          <w:p>
            <w:r>
              <w:rPr>
                <w:rFonts w:ascii="Times New Roman" w:hAnsi="Times New Roman"/>
                <w:sz w:val="20"/>
              </w:rPr>
              <w:t>Toutes les 8-12 h</w:t>
            </w:r>
          </w:p>
        </w:tc>
        <w:tc>
          <w:tcPr>
            <w:tcW w:type="dxa" w:w="2078"/>
          </w:tcPr>
          <w:p>
            <w:r>
              <w:rPr>
                <w:rFonts w:ascii="Times New Roman" w:hAnsi="Times New Roman"/>
                <w:sz w:val="20"/>
              </w:rPr>
              <w:t>1-3 jours</w:t>
            </w:r>
          </w:p>
        </w:tc>
      </w:tr>
      <w:tr>
        <w:tc>
          <w:tcPr>
            <w:tcW w:type="dxa" w:w="2078"/>
          </w:tcPr>
          <w:p>
            <w:r>
              <w:rPr>
                <w:rFonts w:ascii="Times New Roman" w:hAnsi="Times New Roman"/>
                <w:sz w:val="20"/>
              </w:rPr>
              <w:t>Hématome musculaire</w:t>
            </w:r>
          </w:p>
        </w:tc>
        <w:tc>
          <w:tcPr>
            <w:tcW w:type="dxa" w:w="2078"/>
          </w:tcPr>
          <w:p>
            <w:r>
              <w:rPr>
                <w:rFonts w:ascii="Times New Roman" w:hAnsi="Times New Roman"/>
                <w:sz w:val="20"/>
              </w:rPr>
              <w:t>50-75 U°/kg</w:t>
            </w:r>
          </w:p>
        </w:tc>
        <w:tc>
          <w:tcPr>
            <w:tcW w:type="dxa" w:w="2078"/>
          </w:tcPr>
          <w:p>
            <w:r>
              <w:rPr>
                <w:rFonts w:ascii="Times New Roman" w:hAnsi="Times New Roman"/>
                <w:sz w:val="20"/>
              </w:rPr>
              <w:t>Toutesles 8-12 h</w:t>
            </w:r>
          </w:p>
        </w:tc>
        <w:tc>
          <w:tcPr>
            <w:tcW w:type="dxa" w:w="2078"/>
          </w:tcPr>
          <w:p>
            <w:r>
              <w:rPr>
                <w:rFonts w:ascii="Times New Roman" w:hAnsi="Times New Roman"/>
                <w:sz w:val="20"/>
              </w:rPr>
              <w:t>3-7 jours</w:t>
            </w:r>
          </w:p>
        </w:tc>
      </w:tr>
      <w:tr>
        <w:tc>
          <w:tcPr>
            <w:tcW w:type="dxa" w:w="2078"/>
          </w:tcPr>
          <w:p>
            <w:r>
              <w:rPr>
                <w:rFonts w:ascii="Times New Roman" w:hAnsi="Times New Roman"/>
                <w:sz w:val="20"/>
              </w:rPr>
              <w:t>Hématome psoas</w:t>
            </w:r>
          </w:p>
        </w:tc>
        <w:tc>
          <w:tcPr>
            <w:tcW w:type="dxa" w:w="2078"/>
          </w:tcPr>
          <w:p>
            <w:r>
              <w:rPr>
                <w:rFonts w:ascii="Times New Roman" w:hAnsi="Times New Roman"/>
                <w:sz w:val="20"/>
              </w:rPr>
              <w:t>75-100 U°/kg</w:t>
            </w:r>
          </w:p>
        </w:tc>
        <w:tc>
          <w:tcPr>
            <w:tcW w:type="dxa" w:w="2078"/>
          </w:tcPr>
          <w:p>
            <w:r>
              <w:rPr>
                <w:rFonts w:ascii="Times New Roman" w:hAnsi="Times New Roman"/>
                <w:sz w:val="20"/>
              </w:rPr>
              <w:t>Toutes les 8 h</w:t>
            </w:r>
          </w:p>
        </w:tc>
        <w:tc>
          <w:tcPr>
            <w:tcW w:type="dxa" w:w="2078"/>
          </w:tcPr>
          <w:p>
            <w:r>
              <w:rPr>
                <w:rFonts w:ascii="Times New Roman" w:hAnsi="Times New Roman"/>
                <w:sz w:val="20"/>
              </w:rPr>
              <w:t>7-14 jours</w:t>
            </w:r>
          </w:p>
        </w:tc>
      </w:tr>
      <w:tr>
        <w:tc>
          <w:tcPr>
            <w:tcW w:type="dxa" w:w="2078"/>
          </w:tcPr>
          <w:p>
            <w:r>
              <w:rPr>
                <w:rFonts w:ascii="Times New Roman" w:hAnsi="Times New Roman"/>
                <w:sz w:val="20"/>
              </w:rPr>
              <w:t>Hémorragie digestive</w:t>
            </w:r>
          </w:p>
        </w:tc>
        <w:tc>
          <w:tcPr>
            <w:tcW w:type="dxa" w:w="2078"/>
          </w:tcPr>
          <w:p>
            <w:r>
              <w:rPr>
                <w:rFonts w:ascii="Times New Roman" w:hAnsi="Times New Roman"/>
                <w:sz w:val="20"/>
              </w:rPr>
              <w:t>75-100 U°/kg</w:t>
            </w:r>
          </w:p>
        </w:tc>
        <w:tc>
          <w:tcPr>
            <w:tcW w:type="dxa" w:w="2078"/>
          </w:tcPr>
          <w:p>
            <w:r>
              <w:rPr>
                <w:rFonts w:ascii="Times New Roman" w:hAnsi="Times New Roman"/>
                <w:sz w:val="20"/>
              </w:rPr>
              <w:t>Toutes les 8 h</w:t>
            </w:r>
          </w:p>
        </w:tc>
        <w:tc>
          <w:tcPr>
            <w:tcW w:type="dxa" w:w="2078"/>
          </w:tcPr>
          <w:p>
            <w:r>
              <w:rPr>
                <w:rFonts w:ascii="Times New Roman" w:hAnsi="Times New Roman"/>
                <w:sz w:val="20"/>
              </w:rPr>
              <w:t>5-10 jours</w:t>
            </w:r>
          </w:p>
        </w:tc>
      </w:tr>
      <w:tr>
        <w:tc>
          <w:tcPr>
            <w:tcW w:type="dxa" w:w="2078"/>
          </w:tcPr>
          <w:p>
            <w:r>
              <w:rPr>
                <w:rFonts w:ascii="Times New Roman" w:hAnsi="Times New Roman"/>
                <w:sz w:val="20"/>
              </w:rPr>
              <w:t>Hémorragie cérébrale</w:t>
            </w:r>
          </w:p>
        </w:tc>
        <w:tc>
          <w:tcPr>
            <w:tcW w:type="dxa" w:w="2078"/>
          </w:tcPr>
          <w:p>
            <w:r>
              <w:rPr>
                <w:rFonts w:ascii="Times New Roman" w:hAnsi="Times New Roman"/>
                <w:sz w:val="20"/>
              </w:rPr>
              <w:t>100 U°/kg</w:t>
            </w:r>
          </w:p>
        </w:tc>
        <w:tc>
          <w:tcPr>
            <w:tcW w:type="dxa" w:w="2078"/>
          </w:tcPr>
          <w:p>
            <w:r>
              <w:rPr>
                <w:rFonts w:ascii="Times New Roman" w:hAnsi="Times New Roman"/>
                <w:sz w:val="20"/>
              </w:rPr>
              <w:t>Toutes les 8 h</w:t>
            </w:r>
          </w:p>
        </w:tc>
        <w:tc>
          <w:tcPr>
            <w:tcW w:type="dxa" w:w="2078"/>
          </w:tcPr>
          <w:p>
            <w:r>
              <w:rPr>
                <w:rFonts w:ascii="Times New Roman" w:hAnsi="Times New Roman"/>
                <w:sz w:val="20"/>
              </w:rPr>
              <w:t>10-14 jours</w:t>
            </w:r>
          </w:p>
        </w:tc>
      </w:tr>
      <w:tr>
        <w:tc>
          <w:tcPr>
            <w:tcW w:type="dxa" w:w="2078"/>
          </w:tcPr>
          <w:p>
            <w:r>
              <w:rPr>
                <w:rFonts w:ascii="Times New Roman" w:hAnsi="Times New Roman"/>
                <w:sz w:val="20"/>
              </w:rPr>
              <w:t>Chirurgie mineure</w:t>
            </w:r>
          </w:p>
        </w:tc>
        <w:tc>
          <w:tcPr>
            <w:tcW w:type="dxa" w:w="2078"/>
          </w:tcPr>
          <w:p>
            <w:r>
              <w:rPr>
                <w:rFonts w:ascii="Times New Roman" w:hAnsi="Times New Roman"/>
                <w:sz w:val="20"/>
              </w:rPr>
              <w:t>50-75 U°/kg</w:t>
            </w:r>
          </w:p>
        </w:tc>
        <w:tc>
          <w:tcPr>
            <w:tcW w:type="dxa" w:w="2078"/>
          </w:tcPr>
          <w:p>
            <w:r>
              <w:rPr>
                <w:rFonts w:ascii="Times New Roman" w:hAnsi="Times New Roman"/>
                <w:sz w:val="20"/>
              </w:rPr>
              <w:t>Toutes les 8-12 h</w:t>
            </w:r>
          </w:p>
        </w:tc>
        <w:tc>
          <w:tcPr>
            <w:tcW w:type="dxa" w:w="2078"/>
          </w:tcPr>
          <w:p>
            <w:r>
              <w:rPr>
                <w:rFonts w:ascii="Times New Roman" w:hAnsi="Times New Roman"/>
                <w:sz w:val="20"/>
              </w:rPr>
              <w:t>5-7 jours</w:t>
            </w:r>
          </w:p>
        </w:tc>
      </w:tr>
      <w:tr>
        <w:tc>
          <w:tcPr>
            <w:tcW w:type="dxa" w:w="2078"/>
          </w:tcPr>
          <w:p>
            <w:r>
              <w:rPr>
                <w:rFonts w:ascii="Times New Roman" w:hAnsi="Times New Roman"/>
                <w:sz w:val="20"/>
              </w:rPr>
              <w:t>Chirurgie majeure</w:t>
            </w:r>
          </w:p>
        </w:tc>
        <w:tc>
          <w:tcPr>
            <w:tcW w:type="dxa" w:w="2078"/>
          </w:tcPr>
          <w:p>
            <w:r>
              <w:rPr>
                <w:rFonts w:ascii="Times New Roman" w:hAnsi="Times New Roman"/>
                <w:sz w:val="20"/>
              </w:rPr>
              <w:t>75-100 U°/kg</w:t>
            </w:r>
          </w:p>
        </w:tc>
        <w:tc>
          <w:tcPr>
            <w:tcW w:type="dxa" w:w="2078"/>
          </w:tcPr>
          <w:p>
            <w:r>
              <w:rPr>
                <w:rFonts w:ascii="Times New Roman" w:hAnsi="Times New Roman"/>
                <w:sz w:val="20"/>
              </w:rPr>
              <w:t>Toutes les 8 h</w:t>
            </w:r>
          </w:p>
        </w:tc>
        <w:tc>
          <w:tcPr>
            <w:tcW w:type="dxa" w:w="2078"/>
          </w:tcPr>
          <w:p>
            <w:r>
              <w:rPr>
                <w:rFonts w:ascii="Times New Roman" w:hAnsi="Times New Roman"/>
                <w:sz w:val="20"/>
              </w:rPr>
              <w:t>7-14 jours</w:t>
            </w:r>
          </w:p>
        </w:tc>
      </w:tr>
      <w:tr>
        <w:tc>
          <w:tcPr>
            <w:tcW w:type="dxa" w:w="2078"/>
          </w:tcPr>
          <w:p>
            <w:r>
              <w:rPr>
                <w:rFonts w:ascii="Times New Roman" w:hAnsi="Times New Roman"/>
                <w:sz w:val="20"/>
              </w:rPr>
              <w:t>Prophylaxie</w:t>
            </w:r>
          </w:p>
        </w:tc>
        <w:tc>
          <w:tcPr>
            <w:tcW w:type="dxa" w:w="2078"/>
          </w:tcPr>
          <w:p>
            <w:r>
              <w:rPr>
                <w:rFonts w:ascii="Times New Roman" w:hAnsi="Times New Roman"/>
                <w:sz w:val="20"/>
              </w:rPr>
              <w:t>50-100 U°/kg</w:t>
            </w:r>
          </w:p>
        </w:tc>
        <w:tc>
          <w:tcPr>
            <w:tcW w:type="dxa" w:w="2078"/>
          </w:tcPr>
          <w:p>
            <w:r>
              <w:rPr>
                <w:rFonts w:ascii="Times New Roman" w:hAnsi="Times New Roman"/>
                <w:sz w:val="20"/>
              </w:rPr>
              <w:t>3 fois/semaine</w:t>
            </w:r>
          </w:p>
        </w:tc>
        <w:tc>
          <w:tcPr>
            <w:tcW w:type="dxa" w:w="2078"/>
          </w:tcPr>
          <w:p>
            <w:r>
              <w:rPr>
                <w:rFonts w:ascii="Times New Roman" w:hAnsi="Times New Roman"/>
                <w:sz w:val="20"/>
              </w:rPr>
              <w:t>Au long cours</w:t>
            </w:r>
          </w:p>
        </w:tc>
      </w:tr>
    </w:tbl>
    <w:p/>
    <w:p>
      <w:r/>
      <w:r>
        <w:rPr>
          <w:b/>
        </w:rPr>
        <w:t>Dose maximale</w:t>
      </w:r>
      <w:r>
        <w:t xml:space="preserve"> : 200 U°/kg/jour, ne pas dépasser 3 doses/24 h.</w:t>
      </w:r>
    </w:p>
    <w:p>
      <w:pPr>
        <w:pStyle w:val="Heading4"/>
      </w:pPr>
      <w:r>
        <w:t>Posologie pédiatrique</w:t>
      </w:r>
    </w:p>
    <w:p>
      <w:pPr>
        <w:pStyle w:val="ListBullet"/>
      </w:pPr>
      <w:r>
        <w:t>Même schéma en U°/kg, mais surveiller le volume perfusé (20 mL par flacon, soit potentiellement 60 mL/jour pour 3 doses chez un enfant de 10 kg).</w:t>
      </w:r>
    </w:p>
    <w:p>
      <w:pPr>
        <w:pStyle w:val="Heading4"/>
      </w:pPr>
      <w:r>
        <w:t>Mode d'administration</w:t>
      </w:r>
    </w:p>
    <w:p>
      <w:pPr>
        <w:pStyle w:val="ListBullet"/>
      </w:pPr>
      <w:r/>
      <w:r>
        <w:rPr>
          <w:b/>
        </w:rPr>
        <w:t>Voie IV stricte</w:t>
      </w:r>
      <w:r>
        <w:t>, perfusion lente (≤ 2 U°/kg/min, soit 5-10 minutes pour 1000 U° chez l'adulte).</w:t>
      </w:r>
    </w:p>
    <w:p>
      <w:pPr>
        <w:pStyle w:val="ListBullet"/>
      </w:pPr>
      <w:r/>
      <w:r>
        <w:rPr>
          <w:b/>
        </w:rPr>
        <w:t>Jamais en bolus IV direct</w:t>
      </w:r>
      <w:r>
        <w:t xml:space="preserve"> (risque d'hypotension, de flush).</w:t>
      </w:r>
    </w:p>
    <w:p>
      <w:pPr>
        <w:pStyle w:val="ListBullet"/>
      </w:pPr>
      <w:r>
        <w:t>Reconstitution avec le kit Baxject II Hi-Flow (système sans aiguille).</w:t>
      </w:r>
    </w:p>
    <w:p>
      <w:pPr>
        <w:pStyle w:val="ListBullet"/>
      </w:pPr>
      <w:r>
        <w:t>Utiliser dans les 3 h après reconstitution.</w:t>
      </w:r>
    </w:p>
    <w:p>
      <w:pPr>
        <w:pStyle w:val="ListBullet"/>
      </w:pPr>
      <w:r>
        <w:t>Voie veineuse périphérique autorisée, ou voie centrale.</w:t>
      </w:r>
    </w:p>
    <w:p>
      <w:pPr>
        <w:pStyle w:val="Heading3"/>
      </w:pPr>
      <w:r>
        <w:t>Sous-section 9 — Arbitrage et bénéfices des formes galéniques</w:t>
      </w:r>
    </w:p>
    <w:p>
      <w:pPr>
        <w:pStyle w:val="ListBullet"/>
      </w:pPr>
      <w:r/>
      <w:r>
        <w:rPr>
          <w:b/>
        </w:rPr>
        <w:t>Avantages FEIBA</w:t>
      </w:r>
      <w:r>
        <w:t xml:space="preserve"> :</w:t>
      </w:r>
    </w:p>
    <w:p>
      <w:pPr>
        <w:pStyle w:val="ListBullet"/>
      </w:pPr>
      <w:r>
        <w:t>Demi-vie 6-12 h (vs 2-3 h pour rFVIIa NovoSeven), permettant des injections moins fréquentes (toutes les 8-12 h vs toutes les 2 h).</w:t>
      </w:r>
    </w:p>
    <w:p>
      <w:pPr>
        <w:pStyle w:val="ListBullet"/>
      </w:pPr>
      <w:r>
        <w:t>Coût par dose inférieur au rFVIIa (~5× moins cher).</w:t>
      </w:r>
    </w:p>
    <w:p>
      <w:pPr>
        <w:pStyle w:val="ListBullet"/>
      </w:pPr>
      <w:r>
        <w:t>Efficacité équivalente au rFVIIa dans la plupart des études comparatives.</w:t>
      </w:r>
    </w:p>
    <w:p>
      <w:pPr>
        <w:pStyle w:val="ListBullet"/>
      </w:pPr>
      <w:r>
        <w:t>Présentation avec dosage 1000 UI adaptée à l'adulte.</w:t>
      </w:r>
    </w:p>
    <w:p>
      <w:pPr>
        <w:pStyle w:val="ListBullet"/>
      </w:pPr>
      <w:r/>
      <w:r>
        <w:rPr>
          <w:b/>
        </w:rPr>
        <w:t>Inconvénients FEIBA</w:t>
      </w:r>
      <w:r>
        <w:t xml:space="preserve"> :</w:t>
      </w:r>
    </w:p>
    <w:p>
      <w:pPr>
        <w:pStyle w:val="ListBullet"/>
      </w:pPr>
      <w:r>
        <w:t>Risque thrombotique et CIVD (plus élevé que rFVIIa en raison du contenu en facteurs activés multiples).</w:t>
      </w:r>
    </w:p>
    <w:p>
      <w:pPr>
        <w:pStyle w:val="ListBullet"/>
      </w:pPr>
      <w:r>
        <w:t>Contre-indication absolue d'association avec emicizumab.</w:t>
      </w:r>
    </w:p>
    <w:p>
      <w:pPr>
        <w:pStyle w:val="ListBullet"/>
      </w:pPr>
      <w:r>
        <w:t>Origine plasmatique (risque viral résiduel théorique).</w:t>
      </w:r>
    </w:p>
    <w:p>
      <w:pPr>
        <w:pStyle w:val="ListBullet"/>
      </w:pPr>
      <w:r>
        <w:t>Volume perfusé (20 mL par dose) plus important que pour rFVIIa.</w:t>
      </w:r>
    </w:p>
    <w:p>
      <w:pPr>
        <w:pStyle w:val="Heading3"/>
      </w:pPr>
      <w:r>
        <w:t>Sous-section 10 — Instructions et conseils au patient</w:t>
      </w:r>
    </w:p>
    <w:p>
      <w:pPr>
        <w:pStyle w:val="ListBullet"/>
      </w:pPr>
      <w:r>
        <w:t>Information patient : « Ce produit est un by-passing agent, qui court-circute votre inhibiteur anti-FVIII pour permettre la coagulation ».</w:t>
      </w:r>
    </w:p>
    <w:p>
      <w:pPr>
        <w:pStyle w:val="ListBullet"/>
      </w:pPr>
      <w:r>
        <w:t xml:space="preserve">Formation à l'auto-administration à domicile, en soulignant la </w:t>
      </w:r>
      <w:r>
        <w:rPr>
          <w:b/>
        </w:rPr>
        <w:t>surveillance des signes de thrombose</w:t>
      </w:r>
      <w:r>
        <w:t xml:space="preserve"> (douleur mollo-jambière, dyspnée, céphalée brutale).</w:t>
      </w:r>
    </w:p>
    <w:p>
      <w:pPr>
        <w:pStyle w:val="ListBullet"/>
      </w:pPr>
      <w:r>
        <w:t>Chaîne du froid +2 °C à +8 °C.</w:t>
      </w:r>
    </w:p>
    <w:p>
      <w:pPr>
        <w:pStyle w:val="ListBullet"/>
      </w:pPr>
      <w:r>
        <w:t>Reconstitution douce.</w:t>
      </w:r>
    </w:p>
    <w:p>
      <w:pPr>
        <w:pStyle w:val="ListBullet"/>
      </w:pPr>
      <w:r>
        <w:t>Éviter l'association avec des antifibrinolytiques à forte dose (acide tranexamique &gt; 1 g/24 h).</w:t>
      </w:r>
    </w:p>
    <w:p>
      <w:pPr>
        <w:pStyle w:val="ListBullet"/>
      </w:pPr>
      <w:r>
        <w:t>Contre-indication absolue de l'emicizumab (Hemlibra) en association.</w:t>
      </w:r>
    </w:p>
    <w:p>
      <w:pPr>
        <w:pStyle w:val="Heading3"/>
      </w:pPr>
      <w:r>
        <w:t>Sous-section 11 — Notes, règles d'or et pièges</w:t>
      </w:r>
    </w:p>
    <w:p>
      <w:pPr>
        <w:pStyle w:val="ListBullet"/>
      </w:pPr>
      <w:r/>
      <w:r>
        <w:rPr>
          <w:b/>
        </w:rPr>
        <w:t>Règle d'or n°1</w:t>
      </w:r>
      <w:r>
        <w:t xml:space="preserve"> : ne jamais dépasser 200 U°/kg/jour de FEIBA (risque thrombotique majeur).</w:t>
      </w:r>
    </w:p>
    <w:p>
      <w:pPr>
        <w:pStyle w:val="ListBullet"/>
      </w:pPr>
      <w:r/>
      <w:r>
        <w:rPr>
          <w:b/>
        </w:rPr>
        <w:t>Règle d'or n°2</w:t>
      </w:r>
      <w:r>
        <w:t xml:space="preserve"> : ne jamais associer FEIBA et emicizumab (Hemlibra) — risque de thrombose/CIVD potentiellement létale.</w:t>
      </w:r>
    </w:p>
    <w:p>
      <w:pPr>
        <w:pStyle w:val="ListBullet"/>
      </w:pPr>
      <w:r/>
      <w:r>
        <w:rPr>
          <w:b/>
        </w:rPr>
        <w:t>Règle d'or n°3</w:t>
      </w:r>
      <w:r>
        <w:t xml:space="preserve"> : respecter l'intervalle minimum de 8 heures entre deux doses.</w:t>
      </w:r>
    </w:p>
    <w:p>
      <w:pPr>
        <w:pStyle w:val="ListBullet"/>
      </w:pPr>
      <w:r/>
      <w:r>
        <w:rPr>
          <w:b/>
        </w:rPr>
        <w:t>Piège spécifique</w:t>
      </w:r>
      <w:r>
        <w:t xml:space="preserve"> : la nomenclature algérienne classe FEIBA 1000 sous le libellé « Eftrenonacog alpha court-circuitant l'inhibiteur du FVIII », ce qui peut induire en erreur (FEIBA n'est pas l'eftrenonacog alpha ALPROLIX — ce sont deux produits pharmacologiquement différents).</w:t>
      </w:r>
    </w:p>
    <w:p>
      <w:pPr>
        <w:pStyle w:val="ListBullet"/>
      </w:pPr>
      <w:r/>
      <w:r>
        <w:rPr>
          <w:b/>
        </w:rPr>
        <w:t>Piège</w:t>
      </w:r>
      <w:r>
        <w:t xml:space="preserve"> : l'unité FEIBA (U°) n'est pas équivalente à l'UI standard ; ne pas confondre les dosages.</w:t>
      </w:r>
    </w:p>
    <w:p>
      <w:pPr>
        <w:pStyle w:val="ListBullet"/>
      </w:pPr>
      <w:r/>
      <w:r>
        <w:rPr>
          <w:b/>
        </w:rPr>
        <w:t>Piège</w:t>
      </w:r>
      <w:r>
        <w:t xml:space="preserve"> : chez l'enfant, surveiller le volume perfusé (20 mL par flacon).</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Contenu</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Indication</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FEIBA 1000 U°</w:t>
            </w:r>
          </w:p>
        </w:tc>
        <w:tc>
          <w:tcPr>
            <w:tcW w:type="dxa" w:w="1385"/>
          </w:tcPr>
          <w:p>
            <w:r>
              <w:rPr>
                <w:rFonts w:ascii="Times New Roman" w:hAnsi="Times New Roman"/>
                <w:sz w:val="20"/>
              </w:rPr>
              <w:t>Plasma humain (complexe prothrombinique activé)</w:t>
            </w:r>
          </w:p>
        </w:tc>
        <w:tc>
          <w:tcPr>
            <w:tcW w:type="dxa" w:w="1385"/>
          </w:tcPr>
          <w:p>
            <w:r>
              <w:rPr>
                <w:rFonts w:ascii="Times New Roman" w:hAnsi="Times New Roman"/>
                <w:sz w:val="20"/>
              </w:rPr>
              <w:t>IIa, IXa, Xa, FVII non activé</w:t>
            </w:r>
          </w:p>
        </w:tc>
        <w:tc>
          <w:tcPr>
            <w:tcW w:type="dxa" w:w="1385"/>
          </w:tcPr>
          <w:p>
            <w:r>
              <w:rPr>
                <w:rFonts w:ascii="Times New Roman" w:hAnsi="Times New Roman"/>
                <w:sz w:val="20"/>
              </w:rPr>
              <w:t>6-12 h</w:t>
            </w:r>
          </w:p>
        </w:tc>
        <w:tc>
          <w:tcPr>
            <w:tcW w:type="dxa" w:w="1385"/>
          </w:tcPr>
          <w:p>
            <w:r>
              <w:rPr>
                <w:rFonts w:ascii="Times New Roman" w:hAnsi="Times New Roman"/>
                <w:sz w:val="20"/>
              </w:rPr>
              <w:t>Hémophilie A avec inhibiteur</w:t>
            </w:r>
          </w:p>
        </w:tc>
        <w:tc>
          <w:tcPr>
            <w:tcW w:type="dxa" w:w="1385"/>
          </w:tcPr>
          <w:p>
            <w:r>
              <w:rPr>
                <w:rFonts w:ascii="Times New Roman" w:hAnsi="Times New Roman"/>
                <w:sz w:val="20"/>
              </w:rPr>
              <w:t>Actif</w:t>
            </w:r>
          </w:p>
        </w:tc>
      </w:tr>
    </w:tbl>
    <w:p/>
    <w:p>
      <w:r/>
      <w:r>
        <w:rPr>
          <w:b/>
        </w:rPr>
        <w:t>Comparaison avec rFVIIa (NovoSeven, non disponible en Algérie)</w:t>
      </w:r>
      <w:r>
        <w:t xml:space="preserve"> :</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Paramètre</w:t>
            </w:r>
          </w:p>
        </w:tc>
        <w:tc>
          <w:tcPr>
            <w:tcW w:type="dxa" w:w="2771"/>
            <w:shd w:val="clear" w:color="auto" w:fill="F2F2F2"/>
          </w:tcPr>
          <w:p>
            <w:r>
              <w:rPr>
                <w:rFonts w:ascii="Times New Roman" w:hAnsi="Times New Roman"/>
                <w:b/>
                <w:sz w:val="20"/>
              </w:rPr>
              <w:t>FEIBA 1000</w:t>
            </w:r>
          </w:p>
        </w:tc>
        <w:tc>
          <w:tcPr>
            <w:tcW w:type="dxa" w:w="2771"/>
            <w:shd w:val="clear" w:color="auto" w:fill="F2F2F2"/>
          </w:tcPr>
          <w:p>
            <w:r>
              <w:rPr>
                <w:rFonts w:ascii="Times New Roman" w:hAnsi="Times New Roman"/>
                <w:b/>
                <w:sz w:val="20"/>
              </w:rPr>
              <w:t>NovoSeven (rFVIIa)</w:t>
            </w:r>
          </w:p>
        </w:tc>
      </w:tr>
      <w:tr>
        <w:tc>
          <w:tcPr>
            <w:tcW w:type="dxa" w:w="2771"/>
          </w:tcPr>
          <w:p>
            <w:r>
              <w:rPr>
                <w:rFonts w:ascii="Times New Roman" w:hAnsi="Times New Roman"/>
                <w:sz w:val="20"/>
              </w:rPr>
              <w:t>Origine</w:t>
            </w:r>
          </w:p>
        </w:tc>
        <w:tc>
          <w:tcPr>
            <w:tcW w:type="dxa" w:w="2771"/>
          </w:tcPr>
          <w:p>
            <w:r>
              <w:rPr>
                <w:rFonts w:ascii="Times New Roman" w:hAnsi="Times New Roman"/>
                <w:sz w:val="20"/>
              </w:rPr>
              <w:t>Plasma humain</w:t>
            </w:r>
          </w:p>
        </w:tc>
        <w:tc>
          <w:tcPr>
            <w:tcW w:type="dxa" w:w="2771"/>
          </w:tcPr>
          <w:p>
            <w:r>
              <w:rPr>
                <w:rFonts w:ascii="Times New Roman" w:hAnsi="Times New Roman"/>
                <w:sz w:val="20"/>
              </w:rPr>
              <w:t>Recombinant (CHO)</w:t>
            </w:r>
          </w:p>
        </w:tc>
      </w:tr>
      <w:tr>
        <w:tc>
          <w:tcPr>
            <w:tcW w:type="dxa" w:w="2771"/>
          </w:tcPr>
          <w:p>
            <w:r>
              <w:rPr>
                <w:rFonts w:ascii="Times New Roman" w:hAnsi="Times New Roman"/>
                <w:sz w:val="20"/>
              </w:rPr>
              <w:t>Contenu</w:t>
            </w:r>
          </w:p>
        </w:tc>
        <w:tc>
          <w:tcPr>
            <w:tcW w:type="dxa" w:w="2771"/>
          </w:tcPr>
          <w:p>
            <w:r>
              <w:rPr>
                <w:rFonts w:ascii="Times New Roman" w:hAnsi="Times New Roman"/>
                <w:sz w:val="20"/>
              </w:rPr>
              <w:t>IIa + IXa + Xa + FVII (non activé)</w:t>
            </w:r>
          </w:p>
        </w:tc>
        <w:tc>
          <w:tcPr>
            <w:tcW w:type="dxa" w:w="2771"/>
          </w:tcPr>
          <w:p>
            <w:r>
              <w:rPr>
                <w:rFonts w:ascii="Times New Roman" w:hAnsi="Times New Roman"/>
                <w:sz w:val="20"/>
              </w:rPr>
              <w:t>FVIIa seul</w:t>
            </w:r>
          </w:p>
        </w:tc>
      </w:tr>
      <w:tr>
        <w:tc>
          <w:tcPr>
            <w:tcW w:type="dxa" w:w="2771"/>
          </w:tcPr>
          <w:p>
            <w:r>
              <w:rPr>
                <w:rFonts w:ascii="Times New Roman" w:hAnsi="Times New Roman"/>
                <w:sz w:val="20"/>
              </w:rPr>
              <w:t>Mécanisme</w:t>
            </w:r>
          </w:p>
        </w:tc>
        <w:tc>
          <w:tcPr>
            <w:tcW w:type="dxa" w:w="2771"/>
          </w:tcPr>
          <w:p>
            <w:r>
              <w:rPr>
                <w:rFonts w:ascii="Times New Roman" w:hAnsi="Times New Roman"/>
                <w:sz w:val="20"/>
              </w:rPr>
              <w:t>Multi-site (tenase intrinsèque + extrinsèque + prothrombinase)</w:t>
            </w:r>
          </w:p>
        </w:tc>
        <w:tc>
          <w:tcPr>
            <w:tcW w:type="dxa" w:w="2771"/>
          </w:tcPr>
          <w:p>
            <w:r>
              <w:rPr>
                <w:rFonts w:ascii="Times New Roman" w:hAnsi="Times New Roman"/>
                <w:sz w:val="20"/>
              </w:rPr>
              <w:t>Voie extrinsèque (FT-FVIIa → FX)</w:t>
            </w:r>
          </w:p>
        </w:tc>
      </w:tr>
      <w:tr>
        <w:tc>
          <w:tcPr>
            <w:tcW w:type="dxa" w:w="2771"/>
          </w:tcPr>
          <w:p>
            <w:r>
              <w:rPr>
                <w:rFonts w:ascii="Times New Roman" w:hAnsi="Times New Roman"/>
                <w:sz w:val="20"/>
              </w:rPr>
              <w:t>Demi-vie</w:t>
            </w:r>
          </w:p>
        </w:tc>
        <w:tc>
          <w:tcPr>
            <w:tcW w:type="dxa" w:w="2771"/>
          </w:tcPr>
          <w:p>
            <w:r>
              <w:rPr>
                <w:rFonts w:ascii="Times New Roman" w:hAnsi="Times New Roman"/>
                <w:sz w:val="20"/>
              </w:rPr>
              <w:t>6-12 h</w:t>
            </w:r>
          </w:p>
        </w:tc>
        <w:tc>
          <w:tcPr>
            <w:tcW w:type="dxa" w:w="2771"/>
          </w:tcPr>
          <w:p>
            <w:r>
              <w:rPr>
                <w:rFonts w:ascii="Times New Roman" w:hAnsi="Times New Roman"/>
                <w:sz w:val="20"/>
              </w:rPr>
              <w:t>2-3 h</w:t>
            </w:r>
          </w:p>
        </w:tc>
      </w:tr>
      <w:tr>
        <w:tc>
          <w:tcPr>
            <w:tcW w:type="dxa" w:w="2771"/>
          </w:tcPr>
          <w:p>
            <w:r>
              <w:rPr>
                <w:rFonts w:ascii="Times New Roman" w:hAnsi="Times New Roman"/>
                <w:sz w:val="20"/>
              </w:rPr>
              <w:t>Fréquence d'administration</w:t>
            </w:r>
          </w:p>
        </w:tc>
        <w:tc>
          <w:tcPr>
            <w:tcW w:type="dxa" w:w="2771"/>
          </w:tcPr>
          <w:p>
            <w:r>
              <w:rPr>
                <w:rFonts w:ascii="Times New Roman" w:hAnsi="Times New Roman"/>
                <w:sz w:val="20"/>
              </w:rPr>
              <w:t>Toutes les 8-12 h</w:t>
            </w:r>
          </w:p>
        </w:tc>
        <w:tc>
          <w:tcPr>
            <w:tcW w:type="dxa" w:w="2771"/>
          </w:tcPr>
          <w:p>
            <w:r>
              <w:rPr>
                <w:rFonts w:ascii="Times New Roman" w:hAnsi="Times New Roman"/>
                <w:sz w:val="20"/>
              </w:rPr>
              <w:t>Toutes les 2 h</w:t>
            </w:r>
          </w:p>
        </w:tc>
      </w:tr>
      <w:tr>
        <w:tc>
          <w:tcPr>
            <w:tcW w:type="dxa" w:w="2771"/>
          </w:tcPr>
          <w:p>
            <w:r>
              <w:rPr>
                <w:rFonts w:ascii="Times New Roman" w:hAnsi="Times New Roman"/>
                <w:sz w:val="20"/>
              </w:rPr>
              <w:t>Dose</w:t>
            </w:r>
          </w:p>
        </w:tc>
        <w:tc>
          <w:tcPr>
            <w:tcW w:type="dxa" w:w="2771"/>
          </w:tcPr>
          <w:p>
            <w:r>
              <w:rPr>
                <w:rFonts w:ascii="Times New Roman" w:hAnsi="Times New Roman"/>
                <w:sz w:val="20"/>
              </w:rPr>
              <w:t>50-100 U°/kg</w:t>
            </w:r>
          </w:p>
        </w:tc>
        <w:tc>
          <w:tcPr>
            <w:tcW w:type="dxa" w:w="2771"/>
          </w:tcPr>
          <w:p>
            <w:r>
              <w:rPr>
                <w:rFonts w:ascii="Times New Roman" w:hAnsi="Times New Roman"/>
                <w:sz w:val="20"/>
              </w:rPr>
              <w:t>90 µg/kg</w:t>
            </w:r>
          </w:p>
        </w:tc>
      </w:tr>
      <w:tr>
        <w:tc>
          <w:tcPr>
            <w:tcW w:type="dxa" w:w="2771"/>
          </w:tcPr>
          <w:p>
            <w:r>
              <w:rPr>
                <w:rFonts w:ascii="Times New Roman" w:hAnsi="Times New Roman"/>
                <w:sz w:val="20"/>
              </w:rPr>
              <w:t>Coût relatif</w:t>
            </w:r>
          </w:p>
        </w:tc>
        <w:tc>
          <w:tcPr>
            <w:tcW w:type="dxa" w:w="2771"/>
          </w:tcPr>
          <w:p>
            <w:r>
              <w:rPr>
                <w:rFonts w:ascii="Times New Roman" w:hAnsi="Times New Roman"/>
                <w:sz w:val="20"/>
              </w:rPr>
              <w:t>×1</w:t>
            </w:r>
          </w:p>
        </w:tc>
        <w:tc>
          <w:tcPr>
            <w:tcW w:type="dxa" w:w="2771"/>
          </w:tcPr>
          <w:p>
            <w:r>
              <w:rPr>
                <w:rFonts w:ascii="Times New Roman" w:hAnsi="Times New Roman"/>
                <w:sz w:val="20"/>
              </w:rPr>
              <w:t>×5-10</w:t>
            </w:r>
          </w:p>
        </w:tc>
      </w:tr>
      <w:tr>
        <w:tc>
          <w:tcPr>
            <w:tcW w:type="dxa" w:w="2771"/>
          </w:tcPr>
          <w:p>
            <w:r>
              <w:rPr>
                <w:rFonts w:ascii="Times New Roman" w:hAnsi="Times New Roman"/>
                <w:sz w:val="20"/>
              </w:rPr>
              <w:t>Risque thrombotique</w:t>
            </w:r>
          </w:p>
        </w:tc>
        <w:tc>
          <w:tcPr>
            <w:tcW w:type="dxa" w:w="2771"/>
          </w:tcPr>
          <w:p>
            <w:r>
              <w:rPr>
                <w:rFonts w:ascii="Times New Roman" w:hAnsi="Times New Roman"/>
                <w:sz w:val="20"/>
              </w:rPr>
              <w:t>Modéré (multi-facteurs)</w:t>
            </w:r>
          </w:p>
        </w:tc>
        <w:tc>
          <w:tcPr>
            <w:tcW w:type="dxa" w:w="2771"/>
          </w:tcPr>
          <w:p>
            <w:r>
              <w:rPr>
                <w:rFonts w:ascii="Times New Roman" w:hAnsi="Times New Roman"/>
                <w:sz w:val="20"/>
              </w:rPr>
              <w:t>Plus faible (mono-facteur)</w:t>
            </w:r>
          </w:p>
        </w:tc>
      </w:tr>
      <w:tr>
        <w:tc>
          <w:tcPr>
            <w:tcW w:type="dxa" w:w="2771"/>
          </w:tcPr>
          <w:p>
            <w:r>
              <w:rPr>
                <w:rFonts w:ascii="Times New Roman" w:hAnsi="Times New Roman"/>
                <w:sz w:val="20"/>
              </w:rPr>
              <w:t>Association emicizumab</w:t>
            </w:r>
          </w:p>
        </w:tc>
        <w:tc>
          <w:tcPr>
            <w:tcW w:type="dxa" w:w="2771"/>
          </w:tcPr>
          <w:p>
            <w:r>
              <w:rPr>
                <w:rFonts w:ascii="Times New Roman" w:hAnsi="Times New Roman"/>
                <w:sz w:val="20"/>
              </w:rPr>
              <w:t>CONTRE-INDICATION ABSOLUE</w:t>
            </w:r>
          </w:p>
        </w:tc>
        <w:tc>
          <w:tcPr>
            <w:tcW w:type="dxa" w:w="2771"/>
          </w:tcPr>
          <w:p>
            <w:r>
              <w:rPr>
                <w:rFonts w:ascii="Times New Roman" w:hAnsi="Times New Roman"/>
                <w:sz w:val="20"/>
              </w:rPr>
              <w:t>Possible à dose réduite (≤ 50 µg/kg)</w:t>
            </w:r>
          </w:p>
        </w:tc>
      </w:tr>
    </w:tbl>
    <w:p/>
    <w:p>
      <w:pPr>
        <w:pStyle w:val="Heading2"/>
      </w:pPr>
      <w:r>
        <w:t>232.9. DCI : Facteurs de coagulation court-circuitant l'inhibiteur du Facteur VIII [NON_RENOUVELABLE] — FEIBA 500</w:t>
      </w:r>
    </w:p>
    <w:p>
      <w:pPr>
        <w:pStyle w:val="Heading3"/>
      </w:pPr>
      <w:r>
        <w:t>Sous-section 1 — Liste des catégories thérapeutiques</w:t>
      </w:r>
    </w:p>
    <w:p>
      <w:pPr>
        <w:pStyle w:val="ListBullet"/>
      </w:pPr>
      <w:r/>
      <w:r>
        <w:rPr>
          <w:b/>
        </w:rPr>
        <w:t>Code ATC</w:t>
      </w:r>
      <w:r>
        <w:t xml:space="preserve"> : </w:t>
      </w:r>
      <w:r>
        <w:rPr>
          <w:b/>
        </w:rPr>
        <w:t>B02BD30</w:t>
      </w:r>
      <w:r>
        <w:t xml:space="preserve"> — Complexe anti-inhibiteur de coagulation (FEIBA).</w:t>
      </w:r>
    </w:p>
    <w:p>
      <w:pPr>
        <w:pStyle w:val="ListBullet"/>
      </w:pPr>
      <w:r/>
      <w:r>
        <w:rPr>
          <w:b/>
        </w:rPr>
        <w:t>DCI selon nomenclature algérienne</w:t>
      </w:r>
      <w:r>
        <w:t xml:space="preserve"> : Facteurs de coagulation ayant une activité court-circuitant l'inhibiteur de Facteur VIII (facteurs antihémophiliques).</w:t>
      </w:r>
    </w:p>
    <w:p>
      <w:pPr>
        <w:pStyle w:val="ListBullet"/>
      </w:pPr>
      <w:r/>
      <w:r>
        <w:rPr>
          <w:b/>
        </w:rPr>
        <w:t>DCI pharmacologique réelle</w:t>
      </w:r>
      <w:r>
        <w:t xml:space="preserve"> : Complexe anti-inhibiteur de coagulation plasmatique (FEIBA = Factor Eight Inhibitor Bypassing Activity).</w:t>
      </w:r>
    </w:p>
    <w:p>
      <w:pPr>
        <w:pStyle w:val="ListBullet"/>
      </w:pPr>
      <w:r/>
      <w:r>
        <w:rPr>
          <w:b/>
        </w:rPr>
        <w:t>Spécialité</w:t>
      </w:r>
      <w:r>
        <w:t xml:space="preserve"> : FEIBA 500 U/20 mL (Baxter AG).</w:t>
      </w:r>
    </w:p>
    <w:p>
      <w:pPr>
        <w:pStyle w:val="ListBullet"/>
      </w:pPr>
      <w:r/>
      <w:r>
        <w:rPr>
          <w:b/>
        </w:rPr>
        <w:t>Statut réglementaire Algérie</w:t>
      </w:r>
      <w:r>
        <w:t xml:space="preserve"> : </w:t>
      </w:r>
      <w:r>
        <w:rPr>
          <w:b/>
        </w:rPr>
        <w:t>NON_RENOUVELABLE</w:t>
      </w:r>
      <w:r>
        <w:t xml:space="preserve"> (inscription radiée de la nomenclature algérienne Avril 2026, en raison du remplacement par FEIBA 1000 UI qui est resté actif).</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FEIBA 500 U/20 mL</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Poudre et solvant pour solution injectable IV, 500 U°/flacon (500 U°/20 mL)</w:t>
            </w:r>
          </w:p>
        </w:tc>
        <w:tc>
          <w:tcPr>
            <w:tcW w:type="dxa" w:w="1385"/>
          </w:tcPr>
          <w:p>
            <w:r>
              <w:rPr>
                <w:rFonts w:ascii="Times New Roman" w:hAnsi="Times New Roman"/>
                <w:sz w:val="20"/>
              </w:rPr>
              <w:t>Boîte de 1 flacon de poudre + 1 flacon de solvant (EPPI) de 20 mL + 1 aiguille à usage unique à ailette avec pince + 1 seringue à usage unique + 1 Baxject II Hi-Flow pour la reconstitution OU + 1 aiguille de perfusion + 1 aiguille d'aération, aiguille-filtre + (1 aiguille + 1 seringue à usage unique) + tubulure + aiguille à ailettes</w:t>
            </w:r>
          </w:p>
        </w:tc>
        <w:tc>
          <w:tcPr>
            <w:tcW w:type="dxa" w:w="1385"/>
          </w:tcPr>
          <w:p>
            <w:r>
              <w:rPr>
                <w:rFonts w:ascii="Times New Roman" w:hAnsi="Times New Roman"/>
                <w:sz w:val="20"/>
              </w:rPr>
              <w:t>Liste I</w:t>
            </w:r>
          </w:p>
        </w:tc>
        <w:tc>
          <w:tcPr>
            <w:tcW w:type="dxa" w:w="1385"/>
          </w:tcPr>
          <w:p>
            <w:r>
              <w:rPr>
                <w:rFonts w:ascii="Times New Roman" w:hAnsi="Times New Roman"/>
                <w:sz w:val="20"/>
              </w:rPr>
              <w:t>NON_RENOUVELABLE</w:t>
            </w:r>
          </w:p>
        </w:tc>
      </w:tr>
    </w:tbl>
    <w:p/>
    <w:p>
      <w:pPr>
        <w:pStyle w:val="Heading3"/>
      </w:pPr>
      <w:r>
        <w:t>Sous-section 3 — Sous-classe et mécanisme d'action moléculaire</w:t>
      </w:r>
    </w:p>
    <w:p>
      <w:pPr>
        <w:pStyle w:val="ListBullet"/>
      </w:pPr>
      <w:r>
        <w:t>Cf. fiche 232.8 (FEIBA 1000). Mécanisme identique.</w:t>
      </w:r>
    </w:p>
    <w:p>
      <w:pPr>
        <w:pStyle w:val="ListBullet"/>
      </w:pPr>
      <w:r>
        <w:t>Le dosage 500 U° est adapté aux enfants de petit poids (&lt; 25 kg) et aux faibles doses prophylactiques.</w:t>
      </w:r>
    </w:p>
    <w:p>
      <w:pPr>
        <w:pStyle w:val="Heading3"/>
      </w:pPr>
      <w:r>
        <w:t>Sous-section 4 — Profil pharmacologique</w:t>
      </w:r>
    </w:p>
    <w:p>
      <w:pPr>
        <w:pStyle w:val="ListBullet"/>
      </w:pPr>
      <w:r>
        <w:t>Cf. fiche 232.8. Indications, contre-indications, EI identiques au FEIBA 1000.</w:t>
      </w:r>
    </w:p>
    <w:p>
      <w:pPr>
        <w:pStyle w:val="Heading3"/>
      </w:pPr>
      <w:r>
        <w:t>Sous-section 5 — Prévention et gestion des EI</w:t>
      </w:r>
    </w:p>
    <w:p>
      <w:pPr>
        <w:pStyle w:val="ListBullet"/>
      </w:pPr>
      <w:r>
        <w:t>Cf. fiche 232.8.</w:t>
      </w:r>
    </w:p>
    <w:p>
      <w:pPr>
        <w:pStyle w:val="Heading3"/>
      </w:pPr>
      <w:r>
        <w:t>Sous-section 6 — Interactions médicamenteuses</w:t>
      </w:r>
    </w:p>
    <w:p>
      <w:pPr>
        <w:pStyle w:val="ListBullet"/>
      </w:pPr>
      <w:r>
        <w:t>Cf. fiche 232.8.</w:t>
      </w:r>
    </w:p>
    <w:p>
      <w:pPr>
        <w:pStyle w:val="Heading3"/>
      </w:pPr>
      <w:r>
        <w:t>Sous-section 7 — Grossesse et allaitement</w:t>
      </w:r>
    </w:p>
    <w:p>
      <w:pPr>
        <w:pStyle w:val="ListBullet"/>
      </w:pPr>
      <w:r>
        <w:t>Cf. fiche 232.8.</w:t>
      </w:r>
    </w:p>
    <w:p>
      <w:pPr>
        <w:pStyle w:val="Heading3"/>
      </w:pPr>
      <w:r>
        <w:t>Sous-section 8 — Posologie et mode d'administration</w:t>
      </w:r>
    </w:p>
    <w:p>
      <w:pPr>
        <w:pStyle w:val="ListBullet"/>
      </w:pPr>
      <w:r>
        <w:t>Cf. fiche 232.8. Adaptation posologique selon le poids de l'enfant :</w:t>
      </w:r>
    </w:p>
    <w:p>
      <w:pPr>
        <w:pStyle w:val="ListBullet"/>
      </w:pPr>
      <w:r>
        <w:t>Enfant de 10 kg : dose 50 U°/kg = 500 U° = 1 flacon de FEIBA 500.</w:t>
      </w:r>
    </w:p>
    <w:p>
      <w:pPr>
        <w:pStyle w:val="ListBullet"/>
      </w:pPr>
      <w:r>
        <w:t>Enfant de 20 kg : dose 75 U°/kg = 1500 U° = 3 flacons de FEIBA 500.</w:t>
      </w:r>
    </w:p>
    <w:p>
      <w:pPr>
        <w:pStyle w:val="ListBullet"/>
      </w:pPr>
      <w:r>
        <w:t>Dose maximale : 200 U°/kg/jour, ne pas dépasser 3 doses/24 h.</w:t>
      </w:r>
    </w:p>
    <w:p>
      <w:pPr>
        <w:pStyle w:val="Heading3"/>
      </w:pPr>
      <w:r>
        <w:t>Sous-section 9 — Arbitrage et bénéfices des formes galéniques</w:t>
      </w:r>
    </w:p>
    <w:p>
      <w:pPr>
        <w:pStyle w:val="ListBullet"/>
      </w:pPr>
      <w:r/>
      <w:r>
        <w:rPr>
          <w:b/>
        </w:rPr>
        <w:t>Avantage FEIBA 500</w:t>
      </w:r>
      <w:r>
        <w:t xml:space="preserve"> : dosage adapté aux enfants et aux faibles doses prophylactiques (réduction du gaspillage, calcul simplifié).</w:t>
      </w:r>
    </w:p>
    <w:p>
      <w:pPr>
        <w:pStyle w:val="ListBullet"/>
      </w:pPr>
      <w:r/>
      <w:r>
        <w:rPr>
          <w:b/>
        </w:rPr>
        <w:t>Inconvénient</w:t>
      </w:r>
      <w:r>
        <w:t xml:space="preserve"> : </w:t>
      </w:r>
      <w:r>
        <w:rPr>
          <w:b/>
        </w:rPr>
        <w:t>statut NON_RENOUVELABLE</w:t>
      </w:r>
      <w:r>
        <w:t xml:space="preserve"> — à remplacer par FEIBA 1000 (avec division de dose si nécessaire) ou par un autre by-passing agent.</w:t>
      </w:r>
    </w:p>
    <w:p>
      <w:pPr>
        <w:pStyle w:val="Heading3"/>
      </w:pPr>
      <w:r>
        <w:t>Sous-section 10 — Instructions et conseils au patient</w:t>
      </w:r>
    </w:p>
    <w:p>
      <w:pPr>
        <w:pStyle w:val="ListBullet"/>
      </w:pPr>
      <w:r>
        <w:t>Cf. fiche 232.8.</w:t>
      </w:r>
    </w:p>
    <w:p>
      <w:pPr>
        <w:pStyle w:val="Heading3"/>
      </w:pPr>
      <w:r>
        <w:t>Sous-section 11 — Notes, règles d'or et pièges</w:t>
      </w:r>
    </w:p>
    <w:p>
      <w:pPr>
        <w:pStyle w:val="ListBullet"/>
      </w:pPr>
      <w:r>
        <w:t>Cf. fiche 232.8.</w:t>
      </w:r>
    </w:p>
    <w:p>
      <w:pPr>
        <w:pStyle w:val="ListBullet"/>
      </w:pPr>
      <w:r/>
      <w:r>
        <w:rPr>
          <w:b/>
        </w:rPr>
        <w:t>Piège spécifique</w:t>
      </w:r>
      <w:r>
        <w:t xml:space="preserve"> : FEIBA 500 est NON_RENOUVELABLE en Algérie ; pour les patients actuellement traités, transition vers FEIBA 1000 à discuter avec l'hématologue référent.</w:t>
      </w:r>
    </w:p>
    <w:p>
      <w:pPr>
        <w:pStyle w:val="Heading3"/>
      </w:pPr>
      <w:r>
        <w:t>Sous-section 12 — Tableau comparatif de sous-classe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Origine</w:t>
            </w:r>
          </w:p>
        </w:tc>
        <w:tc>
          <w:tcPr>
            <w:tcW w:type="dxa" w:w="1385"/>
            <w:shd w:val="clear" w:color="auto" w:fill="F2F2F2"/>
          </w:tcPr>
          <w:p>
            <w:r>
              <w:rPr>
                <w:rFonts w:ascii="Times New Roman" w:hAnsi="Times New Roman"/>
                <w:b/>
                <w:sz w:val="20"/>
              </w:rPr>
              <w:t>Dosage</w:t>
            </w:r>
          </w:p>
        </w:tc>
        <w:tc>
          <w:tcPr>
            <w:tcW w:type="dxa" w:w="1385"/>
            <w:shd w:val="clear" w:color="auto" w:fill="F2F2F2"/>
          </w:tcPr>
          <w:p>
            <w:r>
              <w:rPr>
                <w:rFonts w:ascii="Times New Roman" w:hAnsi="Times New Roman"/>
                <w:b/>
                <w:sz w:val="20"/>
              </w:rPr>
              <w:t>Demi-vie</w:t>
            </w:r>
          </w:p>
        </w:tc>
        <w:tc>
          <w:tcPr>
            <w:tcW w:type="dxa" w:w="1385"/>
            <w:shd w:val="clear" w:color="auto" w:fill="F2F2F2"/>
          </w:tcPr>
          <w:p>
            <w:r>
              <w:rPr>
                <w:rFonts w:ascii="Times New Roman" w:hAnsi="Times New Roman"/>
                <w:b/>
                <w:sz w:val="20"/>
              </w:rPr>
              <w:t>Indication</w:t>
            </w:r>
          </w:p>
        </w:tc>
        <w:tc>
          <w:tcPr>
            <w:tcW w:type="dxa" w:w="1385"/>
            <w:shd w:val="clear" w:color="auto" w:fill="F2F2F2"/>
          </w:tcPr>
          <w:p>
            <w:r>
              <w:rPr>
                <w:rFonts w:ascii="Times New Roman" w:hAnsi="Times New Roman"/>
                <w:b/>
                <w:sz w:val="20"/>
              </w:rPr>
              <w:t>Statut Algérie</w:t>
            </w:r>
          </w:p>
        </w:tc>
      </w:tr>
      <w:tr>
        <w:tc>
          <w:tcPr>
            <w:tcW w:type="dxa" w:w="1385"/>
          </w:tcPr>
          <w:p>
            <w:r>
              <w:rPr>
                <w:rFonts w:ascii="Times New Roman" w:hAnsi="Times New Roman"/>
                <w:sz w:val="20"/>
              </w:rPr>
              <w:t>FEIBA 500 U°</w:t>
            </w:r>
          </w:p>
        </w:tc>
        <w:tc>
          <w:tcPr>
            <w:tcW w:type="dxa" w:w="1385"/>
          </w:tcPr>
          <w:p>
            <w:r>
              <w:rPr>
                <w:rFonts w:ascii="Times New Roman" w:hAnsi="Times New Roman"/>
                <w:sz w:val="20"/>
              </w:rPr>
              <w:t>Plasma humain (complexe prothrombinique activé)</w:t>
            </w:r>
          </w:p>
        </w:tc>
        <w:tc>
          <w:tcPr>
            <w:tcW w:type="dxa" w:w="1385"/>
          </w:tcPr>
          <w:p>
            <w:r>
              <w:rPr>
                <w:rFonts w:ascii="Times New Roman" w:hAnsi="Times New Roman"/>
                <w:sz w:val="20"/>
              </w:rPr>
              <w:t>500 U°/20 mL</w:t>
            </w:r>
          </w:p>
        </w:tc>
        <w:tc>
          <w:tcPr>
            <w:tcW w:type="dxa" w:w="1385"/>
          </w:tcPr>
          <w:p>
            <w:r>
              <w:rPr>
                <w:rFonts w:ascii="Times New Roman" w:hAnsi="Times New Roman"/>
                <w:sz w:val="20"/>
              </w:rPr>
              <w:t>6-12 h</w:t>
            </w:r>
          </w:p>
        </w:tc>
        <w:tc>
          <w:tcPr>
            <w:tcW w:type="dxa" w:w="1385"/>
          </w:tcPr>
          <w:p>
            <w:r>
              <w:rPr>
                <w:rFonts w:ascii="Times New Roman" w:hAnsi="Times New Roman"/>
                <w:sz w:val="20"/>
              </w:rPr>
              <w:t>Hémophilie A avec inhibiteur</w:t>
            </w:r>
          </w:p>
        </w:tc>
        <w:tc>
          <w:tcPr>
            <w:tcW w:type="dxa" w:w="1385"/>
          </w:tcPr>
          <w:p>
            <w:r>
              <w:rPr>
                <w:rFonts w:ascii="Times New Roman" w:hAnsi="Times New Roman"/>
                <w:sz w:val="20"/>
              </w:rPr>
              <w:t>NON_RENOUVELABLE</w:t>
            </w:r>
          </w:p>
        </w:tc>
      </w:tr>
      <w:tr>
        <w:tc>
          <w:tcPr>
            <w:tcW w:type="dxa" w:w="1385"/>
          </w:tcPr>
          <w:p>
            <w:r>
              <w:rPr>
                <w:rFonts w:ascii="Times New Roman" w:hAnsi="Times New Roman"/>
                <w:sz w:val="20"/>
              </w:rPr>
              <w:t>FEIBA 1000 U°</w:t>
            </w:r>
          </w:p>
        </w:tc>
        <w:tc>
          <w:tcPr>
            <w:tcW w:type="dxa" w:w="1385"/>
          </w:tcPr>
          <w:p>
            <w:r>
              <w:rPr>
                <w:rFonts w:ascii="Times New Roman" w:hAnsi="Times New Roman"/>
                <w:sz w:val="20"/>
              </w:rPr>
              <w:t>Plasma humain (complexe prothrombinique activé)</w:t>
            </w:r>
          </w:p>
        </w:tc>
        <w:tc>
          <w:tcPr>
            <w:tcW w:type="dxa" w:w="1385"/>
          </w:tcPr>
          <w:p>
            <w:r>
              <w:rPr>
                <w:rFonts w:ascii="Times New Roman" w:hAnsi="Times New Roman"/>
                <w:sz w:val="20"/>
              </w:rPr>
              <w:t>1000 U°/20 mL</w:t>
            </w:r>
          </w:p>
        </w:tc>
        <w:tc>
          <w:tcPr>
            <w:tcW w:type="dxa" w:w="1385"/>
          </w:tcPr>
          <w:p>
            <w:r>
              <w:rPr>
                <w:rFonts w:ascii="Times New Roman" w:hAnsi="Times New Roman"/>
                <w:sz w:val="20"/>
              </w:rPr>
              <w:t>6-12 h</w:t>
            </w:r>
          </w:p>
        </w:tc>
        <w:tc>
          <w:tcPr>
            <w:tcW w:type="dxa" w:w="1385"/>
          </w:tcPr>
          <w:p>
            <w:r>
              <w:rPr>
                <w:rFonts w:ascii="Times New Roman" w:hAnsi="Times New Roman"/>
                <w:sz w:val="20"/>
              </w:rPr>
              <w:t>Hémophilie A avec inhibiteur</w:t>
            </w:r>
          </w:p>
        </w:tc>
        <w:tc>
          <w:tcPr>
            <w:tcW w:type="dxa" w:w="1385"/>
          </w:tcPr>
          <w:p>
            <w:r>
              <w:rPr>
                <w:rFonts w:ascii="Times New Roman" w:hAnsi="Times New Roman"/>
                <w:sz w:val="20"/>
              </w:rPr>
              <w:t>Actif</w:t>
            </w:r>
          </w:p>
        </w:tc>
      </w:tr>
    </w:tbl>
    <w:p/>
    <w:p>
      <w:pPr>
        <w:pStyle w:val="Heading2"/>
      </w:pPr>
      <w:r>
        <w:t>232.10. Tableau comparatif de sous-classe (9 DCI × 12 paramètres)</w:t>
      </w:r>
    </w:p>
    <w:tbl>
      <w:tblPr>
        <w:tblStyle w:val="LightGrid-Accent1"/>
        <w:tblW w:type="auto" w:w="0"/>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shd w:val="clear" w:color="auto" w:fill="F2F2F2"/>
          </w:tcPr>
          <w:p>
            <w:r>
              <w:rPr>
                <w:rFonts w:ascii="Times New Roman" w:hAnsi="Times New Roman"/>
                <w:b/>
                <w:sz w:val="20"/>
              </w:rPr>
              <w:t>#</w:t>
            </w:r>
          </w:p>
        </w:tc>
        <w:tc>
          <w:tcPr>
            <w:tcW w:type="dxa" w:w="831"/>
            <w:shd w:val="clear" w:color="auto" w:fill="F2F2F2"/>
          </w:tcPr>
          <w:p>
            <w:r>
              <w:rPr>
                <w:rFonts w:ascii="Times New Roman" w:hAnsi="Times New Roman"/>
                <w:b/>
                <w:sz w:val="20"/>
              </w:rPr>
              <w:t>DCI</w:t>
            </w:r>
          </w:p>
        </w:tc>
        <w:tc>
          <w:tcPr>
            <w:tcW w:type="dxa" w:w="831"/>
            <w:shd w:val="clear" w:color="auto" w:fill="F2F2F2"/>
          </w:tcPr>
          <w:p>
            <w:r>
              <w:rPr>
                <w:rFonts w:ascii="Times New Roman" w:hAnsi="Times New Roman"/>
                <w:b/>
                <w:sz w:val="20"/>
              </w:rPr>
              <w:t>Spécialité</w:t>
            </w:r>
          </w:p>
        </w:tc>
        <w:tc>
          <w:tcPr>
            <w:tcW w:type="dxa" w:w="831"/>
            <w:shd w:val="clear" w:color="auto" w:fill="F2F2F2"/>
          </w:tcPr>
          <w:p>
            <w:r>
              <w:rPr>
                <w:rFonts w:ascii="Times New Roman" w:hAnsi="Times New Roman"/>
                <w:b/>
                <w:sz w:val="20"/>
              </w:rPr>
              <w:t>Origine</w:t>
            </w:r>
          </w:p>
        </w:tc>
        <w:tc>
          <w:tcPr>
            <w:tcW w:type="dxa" w:w="831"/>
            <w:shd w:val="clear" w:color="auto" w:fill="F2F2F2"/>
          </w:tcPr>
          <w:p>
            <w:r>
              <w:rPr>
                <w:rFonts w:ascii="Times New Roman" w:hAnsi="Times New Roman"/>
                <w:b/>
                <w:sz w:val="20"/>
              </w:rPr>
              <w:t>Demi-vie</w:t>
            </w:r>
          </w:p>
        </w:tc>
        <w:tc>
          <w:tcPr>
            <w:tcW w:type="dxa" w:w="831"/>
            <w:shd w:val="clear" w:color="auto" w:fill="F2F2F2"/>
          </w:tcPr>
          <w:p>
            <w:r>
              <w:rPr>
                <w:rFonts w:ascii="Times New Roman" w:hAnsi="Times New Roman"/>
                <w:b/>
                <w:sz w:val="20"/>
              </w:rPr>
              <w:t>Récovery</w:t>
            </w:r>
          </w:p>
        </w:tc>
        <w:tc>
          <w:tcPr>
            <w:tcW w:type="dxa" w:w="831"/>
            <w:shd w:val="clear" w:color="auto" w:fill="F2F2F2"/>
          </w:tcPr>
          <w:p>
            <w:r>
              <w:rPr>
                <w:rFonts w:ascii="Times New Roman" w:hAnsi="Times New Roman"/>
                <w:b/>
                <w:sz w:val="20"/>
              </w:rPr>
              <w:t>VWF</w:t>
            </w:r>
          </w:p>
        </w:tc>
        <w:tc>
          <w:tcPr>
            <w:tcW w:type="dxa" w:w="831"/>
            <w:shd w:val="clear" w:color="auto" w:fill="F2F2F2"/>
          </w:tcPr>
          <w:p>
            <w:r>
              <w:rPr>
                <w:rFonts w:ascii="Times New Roman" w:hAnsi="Times New Roman"/>
                <w:b/>
                <w:sz w:val="20"/>
              </w:rPr>
              <w:t>Indication principale</w:t>
            </w:r>
          </w:p>
        </w:tc>
        <w:tc>
          <w:tcPr>
            <w:tcW w:type="dxa" w:w="831"/>
            <w:shd w:val="clear" w:color="auto" w:fill="F2F2F2"/>
          </w:tcPr>
          <w:p>
            <w:r>
              <w:rPr>
                <w:rFonts w:ascii="Times New Roman" w:hAnsi="Times New Roman"/>
                <w:b/>
                <w:sz w:val="20"/>
              </w:rPr>
              <w:t>Statut Algérie</w:t>
            </w:r>
          </w:p>
        </w:tc>
        <w:tc>
          <w:tcPr>
            <w:tcW w:type="dxa" w:w="831"/>
            <w:shd w:val="clear" w:color="auto" w:fill="F2F2F2"/>
          </w:tcPr>
          <w:p>
            <w:r>
              <w:rPr>
                <w:rFonts w:ascii="Times New Roman" w:hAnsi="Times New Roman"/>
                <w:b/>
                <w:sz w:val="20"/>
              </w:rPr>
              <w:t>Code ATC</w:t>
            </w:r>
          </w:p>
        </w:tc>
      </w:tr>
      <w:tr>
        <w:tc>
          <w:tcPr>
            <w:tcW w:type="dxa" w:w="831"/>
          </w:tcPr>
          <w:p>
            <w:r>
              <w:rPr>
                <w:rFonts w:ascii="Times New Roman" w:hAnsi="Times New Roman"/>
                <w:sz w:val="20"/>
              </w:rPr>
              <w:t>1</w:t>
            </w:r>
          </w:p>
        </w:tc>
        <w:tc>
          <w:tcPr>
            <w:tcW w:type="dxa" w:w="831"/>
          </w:tcPr>
          <w:p>
            <w:r>
              <w:rPr>
                <w:rFonts w:ascii="Times New Roman" w:hAnsi="Times New Roman"/>
                <w:sz w:val="20"/>
              </w:rPr>
              <w:t>Octocog alfa (pdFVIII)</w:t>
            </w:r>
          </w:p>
        </w:tc>
        <w:tc>
          <w:tcPr>
            <w:tcW w:type="dxa" w:w="831"/>
          </w:tcPr>
          <w:p>
            <w:r>
              <w:rPr>
                <w:rFonts w:ascii="Times New Roman" w:hAnsi="Times New Roman"/>
                <w:sz w:val="20"/>
              </w:rPr>
              <w:t>HAEMOCTIN SDH, OCTANATE, HEMOREL-A</w:t>
            </w:r>
          </w:p>
        </w:tc>
        <w:tc>
          <w:tcPr>
            <w:tcW w:type="dxa" w:w="831"/>
          </w:tcPr>
          <w:p>
            <w:r>
              <w:rPr>
                <w:rFonts w:ascii="Times New Roman" w:hAnsi="Times New Roman"/>
                <w:sz w:val="20"/>
              </w:rPr>
              <w:t>Plasma humain</w:t>
            </w:r>
          </w:p>
        </w:tc>
        <w:tc>
          <w:tcPr>
            <w:tcW w:type="dxa" w:w="831"/>
          </w:tcPr>
          <w:p>
            <w:r>
              <w:rPr>
                <w:rFonts w:ascii="Times New Roman" w:hAnsi="Times New Roman"/>
                <w:sz w:val="20"/>
              </w:rPr>
              <w:t>12-15 h</w:t>
            </w:r>
          </w:p>
        </w:tc>
        <w:tc>
          <w:tcPr>
            <w:tcW w:type="dxa" w:w="831"/>
          </w:tcPr>
          <w:p>
            <w:r>
              <w:rPr>
                <w:rFonts w:ascii="Times New Roman" w:hAnsi="Times New Roman"/>
                <w:sz w:val="20"/>
              </w:rPr>
              <w:t>1,5-2,0 UI/dL/UI/kg</w:t>
            </w:r>
          </w:p>
        </w:tc>
        <w:tc>
          <w:tcPr>
            <w:tcW w:type="dxa" w:w="831"/>
          </w:tcPr>
          <w:p>
            <w:r>
              <w:rPr>
                <w:rFonts w:ascii="Times New Roman" w:hAnsi="Times New Roman"/>
                <w:sz w:val="20"/>
              </w:rPr>
              <w:t>Oui</w:t>
            </w:r>
          </w:p>
        </w:tc>
        <w:tc>
          <w:tcPr>
            <w:tcW w:type="dxa" w:w="831"/>
          </w:tcPr>
          <w:p>
            <w:r>
              <w:rPr>
                <w:rFonts w:ascii="Times New Roman" w:hAnsi="Times New Roman"/>
                <w:sz w:val="20"/>
              </w:rPr>
              <w:t>Hémophilie A + VWD</w:t>
            </w:r>
          </w:p>
        </w:tc>
        <w:tc>
          <w:tcPr>
            <w:tcW w:type="dxa" w:w="831"/>
          </w:tcPr>
          <w:p>
            <w:r>
              <w:rPr>
                <w:rFonts w:ascii="Times New Roman" w:hAnsi="Times New Roman"/>
                <w:sz w:val="20"/>
              </w:rPr>
              <w:t>Actif</w:t>
            </w:r>
          </w:p>
        </w:tc>
        <w:tc>
          <w:tcPr>
            <w:tcW w:type="dxa" w:w="831"/>
          </w:tcPr>
          <w:p>
            <w:r>
              <w:rPr>
                <w:rFonts w:ascii="Times New Roman" w:hAnsi="Times New Roman"/>
                <w:sz w:val="20"/>
              </w:rPr>
              <w:t>B02BD03</w:t>
            </w:r>
          </w:p>
        </w:tc>
      </w:tr>
      <w:tr>
        <w:tc>
          <w:tcPr>
            <w:tcW w:type="dxa" w:w="831"/>
          </w:tcPr>
          <w:p>
            <w:r>
              <w:rPr>
                <w:rFonts w:ascii="Times New Roman" w:hAnsi="Times New Roman"/>
                <w:sz w:val="20"/>
              </w:rPr>
              <w:t>2</w:t>
            </w:r>
          </w:p>
        </w:tc>
        <w:tc>
          <w:tcPr>
            <w:tcW w:type="dxa" w:w="831"/>
          </w:tcPr>
          <w:p>
            <w:r>
              <w:rPr>
                <w:rFonts w:ascii="Times New Roman" w:hAnsi="Times New Roman"/>
                <w:sz w:val="20"/>
              </w:rPr>
              <w:t>Octocog alfa (KOVALTRY)</w:t>
            </w:r>
          </w:p>
        </w:tc>
        <w:tc>
          <w:tcPr>
            <w:tcW w:type="dxa" w:w="831"/>
          </w:tcPr>
          <w:p>
            <w:r>
              <w:rPr>
                <w:rFonts w:ascii="Times New Roman" w:hAnsi="Times New Roman"/>
                <w:sz w:val="20"/>
              </w:rPr>
              <w:t>KOVALTRY 250/500/1000</w:t>
            </w:r>
          </w:p>
        </w:tc>
        <w:tc>
          <w:tcPr>
            <w:tcW w:type="dxa" w:w="831"/>
          </w:tcPr>
          <w:p>
            <w:r>
              <w:rPr>
                <w:rFonts w:ascii="Times New Roman" w:hAnsi="Times New Roman"/>
                <w:sz w:val="20"/>
              </w:rPr>
              <w:t>Recombinant BHK full-length</w:t>
            </w:r>
          </w:p>
        </w:tc>
        <w:tc>
          <w:tcPr>
            <w:tcW w:type="dxa" w:w="831"/>
          </w:tcPr>
          <w:p>
            <w:r>
              <w:rPr>
                <w:rFonts w:ascii="Times New Roman" w:hAnsi="Times New Roman"/>
                <w:sz w:val="20"/>
              </w:rPr>
              <w:t>14 h</w:t>
            </w:r>
          </w:p>
        </w:tc>
        <w:tc>
          <w:tcPr>
            <w:tcW w:type="dxa" w:w="831"/>
          </w:tcPr>
          <w:p>
            <w:r>
              <w:rPr>
                <w:rFonts w:ascii="Times New Roman" w:hAnsi="Times New Roman"/>
                <w:sz w:val="20"/>
              </w:rPr>
              <w:t>2,4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A</w:t>
            </w:r>
          </w:p>
        </w:tc>
        <w:tc>
          <w:tcPr>
            <w:tcW w:type="dxa" w:w="831"/>
          </w:tcPr>
          <w:p>
            <w:r>
              <w:rPr>
                <w:rFonts w:ascii="Times New Roman" w:hAnsi="Times New Roman"/>
                <w:sz w:val="20"/>
              </w:rPr>
              <w:t>Actif</w:t>
            </w:r>
          </w:p>
        </w:tc>
        <w:tc>
          <w:tcPr>
            <w:tcW w:type="dxa" w:w="831"/>
          </w:tcPr>
          <w:p>
            <w:r>
              <w:rPr>
                <w:rFonts w:ascii="Times New Roman" w:hAnsi="Times New Roman"/>
                <w:sz w:val="20"/>
              </w:rPr>
              <w:t>B02BD06</w:t>
            </w:r>
          </w:p>
        </w:tc>
      </w:tr>
      <w:tr>
        <w:tc>
          <w:tcPr>
            <w:tcW w:type="dxa" w:w="831"/>
          </w:tcPr>
          <w:p>
            <w:r>
              <w:rPr>
                <w:rFonts w:ascii="Times New Roman" w:hAnsi="Times New Roman"/>
                <w:sz w:val="20"/>
              </w:rPr>
              <w:t>3</w:t>
            </w:r>
          </w:p>
        </w:tc>
        <w:tc>
          <w:tcPr>
            <w:tcW w:type="dxa" w:w="831"/>
          </w:tcPr>
          <w:p>
            <w:r>
              <w:rPr>
                <w:rFonts w:ascii="Times New Roman" w:hAnsi="Times New Roman"/>
                <w:sz w:val="20"/>
              </w:rPr>
              <w:t>Octocog alfa (ADVATE)</w:t>
            </w:r>
          </w:p>
        </w:tc>
        <w:tc>
          <w:tcPr>
            <w:tcW w:type="dxa" w:w="831"/>
          </w:tcPr>
          <w:p>
            <w:r>
              <w:rPr>
                <w:rFonts w:ascii="Times New Roman" w:hAnsi="Times New Roman"/>
                <w:sz w:val="20"/>
              </w:rPr>
              <w:t>ADVATE 250/1000</w:t>
            </w:r>
          </w:p>
        </w:tc>
        <w:tc>
          <w:tcPr>
            <w:tcW w:type="dxa" w:w="831"/>
          </w:tcPr>
          <w:p>
            <w:r>
              <w:rPr>
                <w:rFonts w:ascii="Times New Roman" w:hAnsi="Times New Roman"/>
                <w:sz w:val="20"/>
              </w:rPr>
              <w:t>Recombinant CHO BDD</w:t>
            </w:r>
          </w:p>
        </w:tc>
        <w:tc>
          <w:tcPr>
            <w:tcW w:type="dxa" w:w="831"/>
          </w:tcPr>
          <w:p>
            <w:r>
              <w:rPr>
                <w:rFonts w:ascii="Times New Roman" w:hAnsi="Times New Roman"/>
                <w:sz w:val="20"/>
              </w:rPr>
              <w:t>12-14 h</w:t>
            </w:r>
          </w:p>
        </w:tc>
        <w:tc>
          <w:tcPr>
            <w:tcW w:type="dxa" w:w="831"/>
          </w:tcPr>
          <w:p>
            <w:r>
              <w:rPr>
                <w:rFonts w:ascii="Times New Roman" w:hAnsi="Times New Roman"/>
                <w:sz w:val="20"/>
              </w:rPr>
              <w:t>2,0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A</w:t>
            </w:r>
          </w:p>
        </w:tc>
        <w:tc>
          <w:tcPr>
            <w:tcW w:type="dxa" w:w="831"/>
          </w:tcPr>
          <w:p>
            <w:r>
              <w:rPr>
                <w:rFonts w:ascii="Times New Roman" w:hAnsi="Times New Roman"/>
                <w:sz w:val="20"/>
              </w:rPr>
              <w:t>Actif</w:t>
            </w:r>
          </w:p>
        </w:tc>
        <w:tc>
          <w:tcPr>
            <w:tcW w:type="dxa" w:w="831"/>
          </w:tcPr>
          <w:p>
            <w:r>
              <w:rPr>
                <w:rFonts w:ascii="Times New Roman" w:hAnsi="Times New Roman"/>
                <w:sz w:val="20"/>
              </w:rPr>
              <w:t>B02BD06</w:t>
            </w:r>
          </w:p>
        </w:tc>
      </w:tr>
      <w:tr>
        <w:tc>
          <w:tcPr>
            <w:tcW w:type="dxa" w:w="831"/>
          </w:tcPr>
          <w:p>
            <w:r>
              <w:rPr>
                <w:rFonts w:ascii="Times New Roman" w:hAnsi="Times New Roman"/>
                <w:sz w:val="20"/>
              </w:rPr>
              <w:t>4</w:t>
            </w:r>
          </w:p>
        </w:tc>
        <w:tc>
          <w:tcPr>
            <w:tcW w:type="dxa" w:w="831"/>
          </w:tcPr>
          <w:p>
            <w:r>
              <w:rPr>
                <w:rFonts w:ascii="Times New Roman" w:hAnsi="Times New Roman"/>
                <w:sz w:val="20"/>
              </w:rPr>
              <w:t>Octocog alfa (RECOMBINATE/KOGENATE)</w:t>
            </w:r>
          </w:p>
        </w:tc>
        <w:tc>
          <w:tcPr>
            <w:tcW w:type="dxa" w:w="831"/>
          </w:tcPr>
          <w:p>
            <w:r>
              <w:rPr>
                <w:rFonts w:ascii="Times New Roman" w:hAnsi="Times New Roman"/>
                <w:sz w:val="20"/>
              </w:rPr>
              <w:t>RECOMBINATE 500, KOGENATE 250</w:t>
            </w:r>
          </w:p>
        </w:tc>
        <w:tc>
          <w:tcPr>
            <w:tcW w:type="dxa" w:w="831"/>
          </w:tcPr>
          <w:p>
            <w:r>
              <w:rPr>
                <w:rFonts w:ascii="Times New Roman" w:hAnsi="Times New Roman"/>
                <w:sz w:val="20"/>
              </w:rPr>
              <w:t>Recombinant CHO/BHK full-length (génération 1)</w:t>
            </w:r>
          </w:p>
        </w:tc>
        <w:tc>
          <w:tcPr>
            <w:tcW w:type="dxa" w:w="831"/>
          </w:tcPr>
          <w:p>
            <w:r>
              <w:rPr>
                <w:rFonts w:ascii="Times New Roman" w:hAnsi="Times New Roman"/>
                <w:sz w:val="20"/>
              </w:rPr>
              <w:t>12-14 h</w:t>
            </w:r>
          </w:p>
        </w:tc>
        <w:tc>
          <w:tcPr>
            <w:tcW w:type="dxa" w:w="831"/>
          </w:tcPr>
          <w:p>
            <w:r>
              <w:rPr>
                <w:rFonts w:ascii="Times New Roman" w:hAnsi="Times New Roman"/>
                <w:sz w:val="20"/>
              </w:rPr>
              <w:t>2,0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A</w:t>
            </w:r>
          </w:p>
        </w:tc>
        <w:tc>
          <w:tcPr>
            <w:tcW w:type="dxa" w:w="831"/>
          </w:tcPr>
          <w:p>
            <w:r>
              <w:rPr>
                <w:rFonts w:ascii="Times New Roman" w:hAnsi="Times New Roman"/>
                <w:sz w:val="20"/>
              </w:rPr>
              <w:t>NON_RENOUVELABLE</w:t>
            </w:r>
          </w:p>
        </w:tc>
        <w:tc>
          <w:tcPr>
            <w:tcW w:type="dxa" w:w="831"/>
          </w:tcPr>
          <w:p>
            <w:r>
              <w:rPr>
                <w:rFonts w:ascii="Times New Roman" w:hAnsi="Times New Roman"/>
                <w:sz w:val="20"/>
              </w:rPr>
              <w:t>B02BD06</w:t>
            </w:r>
          </w:p>
        </w:tc>
      </w:tr>
      <w:tr>
        <w:tc>
          <w:tcPr>
            <w:tcW w:type="dxa" w:w="831"/>
          </w:tcPr>
          <w:p>
            <w:r>
              <w:rPr>
                <w:rFonts w:ascii="Times New Roman" w:hAnsi="Times New Roman"/>
                <w:sz w:val="20"/>
              </w:rPr>
              <w:t>5</w:t>
            </w:r>
          </w:p>
        </w:tc>
        <w:tc>
          <w:tcPr>
            <w:tcW w:type="dxa" w:w="831"/>
          </w:tcPr>
          <w:p>
            <w:r>
              <w:rPr>
                <w:rFonts w:ascii="Times New Roman" w:hAnsi="Times New Roman"/>
                <w:sz w:val="20"/>
              </w:rPr>
              <w:t>Turoctocog alfa</w:t>
            </w:r>
          </w:p>
        </w:tc>
        <w:tc>
          <w:tcPr>
            <w:tcW w:type="dxa" w:w="831"/>
          </w:tcPr>
          <w:p>
            <w:r>
              <w:rPr>
                <w:rFonts w:ascii="Times New Roman" w:hAnsi="Times New Roman"/>
                <w:sz w:val="20"/>
              </w:rPr>
              <w:t>NOVO EIGHT 250/500/1000</w:t>
            </w:r>
          </w:p>
        </w:tc>
        <w:tc>
          <w:tcPr>
            <w:tcW w:type="dxa" w:w="831"/>
          </w:tcPr>
          <w:p>
            <w:r>
              <w:rPr>
                <w:rFonts w:ascii="Times New Roman" w:hAnsi="Times New Roman"/>
                <w:sz w:val="20"/>
              </w:rPr>
              <w:t>Recombinant CHO BDT</w:t>
            </w:r>
          </w:p>
        </w:tc>
        <w:tc>
          <w:tcPr>
            <w:tcW w:type="dxa" w:w="831"/>
          </w:tcPr>
          <w:p>
            <w:r>
              <w:rPr>
                <w:rFonts w:ascii="Times New Roman" w:hAnsi="Times New Roman"/>
                <w:sz w:val="20"/>
              </w:rPr>
              <w:t>12-14 h</w:t>
            </w:r>
          </w:p>
        </w:tc>
        <w:tc>
          <w:tcPr>
            <w:tcW w:type="dxa" w:w="831"/>
          </w:tcPr>
          <w:p>
            <w:r>
              <w:rPr>
                <w:rFonts w:ascii="Times New Roman" w:hAnsi="Times New Roman"/>
                <w:sz w:val="20"/>
              </w:rPr>
              <w:t>2,0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A</w:t>
            </w:r>
          </w:p>
        </w:tc>
        <w:tc>
          <w:tcPr>
            <w:tcW w:type="dxa" w:w="831"/>
          </w:tcPr>
          <w:p>
            <w:r>
              <w:rPr>
                <w:rFonts w:ascii="Times New Roman" w:hAnsi="Times New Roman"/>
                <w:sz w:val="20"/>
              </w:rPr>
              <w:t>Actif</w:t>
            </w:r>
          </w:p>
        </w:tc>
        <w:tc>
          <w:tcPr>
            <w:tcW w:type="dxa" w:w="831"/>
          </w:tcPr>
          <w:p>
            <w:r>
              <w:rPr>
                <w:rFonts w:ascii="Times New Roman" w:hAnsi="Times New Roman"/>
                <w:sz w:val="20"/>
              </w:rPr>
              <w:t>B02BD06</w:t>
            </w:r>
          </w:p>
        </w:tc>
      </w:tr>
      <w:tr>
        <w:tc>
          <w:tcPr>
            <w:tcW w:type="dxa" w:w="831"/>
          </w:tcPr>
          <w:p>
            <w:r>
              <w:rPr>
                <w:rFonts w:ascii="Times New Roman" w:hAnsi="Times New Roman"/>
                <w:sz w:val="20"/>
              </w:rPr>
              <w:t>6</w:t>
            </w:r>
          </w:p>
        </w:tc>
        <w:tc>
          <w:tcPr>
            <w:tcW w:type="dxa" w:w="831"/>
          </w:tcPr>
          <w:p>
            <w:r>
              <w:rPr>
                <w:rFonts w:ascii="Times New Roman" w:hAnsi="Times New Roman"/>
                <w:sz w:val="20"/>
              </w:rPr>
              <w:t>Moroctocog alfa</w:t>
            </w:r>
          </w:p>
        </w:tc>
        <w:tc>
          <w:tcPr>
            <w:tcW w:type="dxa" w:w="831"/>
          </w:tcPr>
          <w:p>
            <w:r>
              <w:rPr>
                <w:rFonts w:ascii="Times New Roman" w:hAnsi="Times New Roman"/>
                <w:sz w:val="20"/>
              </w:rPr>
              <w:t>REFACTO AF 250/500, OCTOFACTOR 500</w:t>
            </w:r>
          </w:p>
        </w:tc>
        <w:tc>
          <w:tcPr>
            <w:tcW w:type="dxa" w:w="831"/>
          </w:tcPr>
          <w:p>
            <w:r>
              <w:rPr>
                <w:rFonts w:ascii="Times New Roman" w:hAnsi="Times New Roman"/>
                <w:sz w:val="20"/>
              </w:rPr>
              <w:t>Recombinant CHO BDD</w:t>
            </w:r>
          </w:p>
        </w:tc>
        <w:tc>
          <w:tcPr>
            <w:tcW w:type="dxa" w:w="831"/>
          </w:tcPr>
          <w:p>
            <w:r>
              <w:rPr>
                <w:rFonts w:ascii="Times New Roman" w:hAnsi="Times New Roman"/>
                <w:sz w:val="20"/>
              </w:rPr>
              <w:t>12-14 h</w:t>
            </w:r>
          </w:p>
        </w:tc>
        <w:tc>
          <w:tcPr>
            <w:tcW w:type="dxa" w:w="831"/>
          </w:tcPr>
          <w:p>
            <w:r>
              <w:rPr>
                <w:rFonts w:ascii="Times New Roman" w:hAnsi="Times New Roman"/>
                <w:sz w:val="20"/>
              </w:rPr>
              <w:t>2,0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A</w:t>
            </w:r>
          </w:p>
        </w:tc>
        <w:tc>
          <w:tcPr>
            <w:tcW w:type="dxa" w:w="831"/>
          </w:tcPr>
          <w:p>
            <w:r>
              <w:rPr>
                <w:rFonts w:ascii="Times New Roman" w:hAnsi="Times New Roman"/>
                <w:sz w:val="20"/>
              </w:rPr>
              <w:t>Actif</w:t>
            </w:r>
          </w:p>
        </w:tc>
        <w:tc>
          <w:tcPr>
            <w:tcW w:type="dxa" w:w="831"/>
          </w:tcPr>
          <w:p>
            <w:r>
              <w:rPr>
                <w:rFonts w:ascii="Times New Roman" w:hAnsi="Times New Roman"/>
                <w:sz w:val="20"/>
              </w:rPr>
              <w:t>B02BD06</w:t>
            </w:r>
          </w:p>
        </w:tc>
      </w:tr>
      <w:tr>
        <w:tc>
          <w:tcPr>
            <w:tcW w:type="dxa" w:w="831"/>
          </w:tcPr>
          <w:p>
            <w:r>
              <w:rPr>
                <w:rFonts w:ascii="Times New Roman" w:hAnsi="Times New Roman"/>
                <w:sz w:val="20"/>
              </w:rPr>
              <w:t>7</w:t>
            </w:r>
          </w:p>
        </w:tc>
        <w:tc>
          <w:tcPr>
            <w:tcW w:type="dxa" w:w="831"/>
          </w:tcPr>
          <w:p>
            <w:r>
              <w:rPr>
                <w:rFonts w:ascii="Times New Roman" w:hAnsi="Times New Roman"/>
                <w:sz w:val="20"/>
              </w:rPr>
              <w:t>Eftrenonacog alpha (ALPROLIX)</w:t>
            </w:r>
          </w:p>
        </w:tc>
        <w:tc>
          <w:tcPr>
            <w:tcW w:type="dxa" w:w="831"/>
          </w:tcPr>
          <w:p>
            <w:r>
              <w:rPr>
                <w:rFonts w:ascii="Times New Roman" w:hAnsi="Times New Roman"/>
                <w:sz w:val="20"/>
              </w:rPr>
              <w:t>ALPROLIX 250/500/1000/2000/3000</w:t>
            </w:r>
          </w:p>
        </w:tc>
        <w:tc>
          <w:tcPr>
            <w:tcW w:type="dxa" w:w="831"/>
          </w:tcPr>
          <w:p>
            <w:r>
              <w:rPr>
                <w:rFonts w:ascii="Times New Roman" w:hAnsi="Times New Roman"/>
                <w:sz w:val="20"/>
              </w:rPr>
              <w:t>Recombinant HEK293 rFIX-Fc EHL</w:t>
            </w:r>
          </w:p>
        </w:tc>
        <w:tc>
          <w:tcPr>
            <w:tcW w:type="dxa" w:w="831"/>
          </w:tcPr>
          <w:p>
            <w:r>
              <w:rPr>
                <w:rFonts w:ascii="Times New Roman" w:hAnsi="Times New Roman"/>
                <w:sz w:val="20"/>
              </w:rPr>
              <w:t>80-90 h</w:t>
            </w:r>
          </w:p>
        </w:tc>
        <w:tc>
          <w:tcPr>
            <w:tcW w:type="dxa" w:w="831"/>
          </w:tcPr>
          <w:p>
            <w:r>
              <w:rPr>
                <w:rFonts w:ascii="Times New Roman" w:hAnsi="Times New Roman"/>
                <w:sz w:val="20"/>
              </w:rPr>
              <w:t>1,3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B** (malgré libellé)</w:t>
            </w:r>
          </w:p>
        </w:tc>
        <w:tc>
          <w:tcPr>
            <w:tcW w:type="dxa" w:w="831"/>
          </w:tcPr>
          <w:p>
            <w:r>
              <w:rPr>
                <w:rFonts w:ascii="Times New Roman" w:hAnsi="Times New Roman"/>
                <w:sz w:val="20"/>
              </w:rPr>
              <w:t>Actif</w:t>
            </w:r>
          </w:p>
        </w:tc>
        <w:tc>
          <w:tcPr>
            <w:tcW w:type="dxa" w:w="831"/>
          </w:tcPr>
          <w:p>
            <w:r>
              <w:rPr>
                <w:rFonts w:ascii="Times New Roman" w:hAnsi="Times New Roman"/>
                <w:sz w:val="20"/>
              </w:rPr>
              <w:t>B02BD10</w:t>
            </w:r>
          </w:p>
        </w:tc>
      </w:tr>
      <w:tr>
        <w:tc>
          <w:tcPr>
            <w:tcW w:type="dxa" w:w="831"/>
          </w:tcPr>
          <w:p>
            <w:r>
              <w:rPr>
                <w:rFonts w:ascii="Times New Roman" w:hAnsi="Times New Roman"/>
                <w:sz w:val="20"/>
              </w:rPr>
              <w:t>8</w:t>
            </w:r>
          </w:p>
        </w:tc>
        <w:tc>
          <w:tcPr>
            <w:tcW w:type="dxa" w:w="831"/>
          </w:tcPr>
          <w:p>
            <w:r>
              <w:rPr>
                <w:rFonts w:ascii="Times New Roman" w:hAnsi="Times New Roman"/>
                <w:sz w:val="20"/>
              </w:rPr>
              <w:t>Eftrenonacog alpha (FEIBA 1000)</w:t>
            </w:r>
          </w:p>
        </w:tc>
        <w:tc>
          <w:tcPr>
            <w:tcW w:type="dxa" w:w="831"/>
          </w:tcPr>
          <w:p>
            <w:r>
              <w:rPr>
                <w:rFonts w:ascii="Times New Roman" w:hAnsi="Times New Roman"/>
                <w:sz w:val="20"/>
              </w:rPr>
              <w:t>FEIBA 1000 U°</w:t>
            </w:r>
          </w:p>
        </w:tc>
        <w:tc>
          <w:tcPr>
            <w:tcW w:type="dxa" w:w="831"/>
          </w:tcPr>
          <w:p>
            <w:r>
              <w:rPr>
                <w:rFonts w:ascii="Times New Roman" w:hAnsi="Times New Roman"/>
                <w:sz w:val="20"/>
              </w:rPr>
              <w:t>Plasma humain (complexe prothrombinique activé)</w:t>
            </w:r>
          </w:p>
        </w:tc>
        <w:tc>
          <w:tcPr>
            <w:tcW w:type="dxa" w:w="831"/>
          </w:tcPr>
          <w:p>
            <w:r>
              <w:rPr>
                <w:rFonts w:ascii="Times New Roman" w:hAnsi="Times New Roman"/>
                <w:sz w:val="20"/>
              </w:rPr>
              <w:t>6-12 h</w:t>
            </w:r>
          </w:p>
        </w:tc>
        <w:tc>
          <w:tcPr>
            <w:tcW w:type="dxa" w:w="831"/>
          </w:tcPr>
          <w:p>
            <w:r>
              <w:rPr>
                <w:rFonts w:ascii="Times New Roman" w:hAnsi="Times New Roman"/>
                <w:sz w:val="20"/>
              </w:rPr>
              <w:t>N/A (activité by-pass)</w:t>
            </w:r>
          </w:p>
        </w:tc>
        <w:tc>
          <w:tcPr>
            <w:tcW w:type="dxa" w:w="831"/>
          </w:tcPr>
          <w:p>
            <w:r>
              <w:rPr>
                <w:rFonts w:ascii="Times New Roman" w:hAnsi="Times New Roman"/>
                <w:sz w:val="20"/>
              </w:rPr>
              <w:t>Non</w:t>
            </w:r>
          </w:p>
        </w:tc>
        <w:tc>
          <w:tcPr>
            <w:tcW w:type="dxa" w:w="831"/>
          </w:tcPr>
          <w:p>
            <w:r>
              <w:rPr>
                <w:rFonts w:ascii="Times New Roman" w:hAnsi="Times New Roman"/>
                <w:sz w:val="20"/>
              </w:rPr>
              <w:t>Hémophilie A avec inhibiteur</w:t>
            </w:r>
          </w:p>
        </w:tc>
        <w:tc>
          <w:tcPr>
            <w:tcW w:type="dxa" w:w="831"/>
          </w:tcPr>
          <w:p>
            <w:r>
              <w:rPr>
                <w:rFonts w:ascii="Times New Roman" w:hAnsi="Times New Roman"/>
                <w:sz w:val="20"/>
              </w:rPr>
              <w:t>Actif</w:t>
            </w:r>
          </w:p>
        </w:tc>
        <w:tc>
          <w:tcPr>
            <w:tcW w:type="dxa" w:w="831"/>
          </w:tcPr>
          <w:p>
            <w:r>
              <w:rPr>
                <w:rFonts w:ascii="Times New Roman" w:hAnsi="Times New Roman"/>
                <w:sz w:val="20"/>
              </w:rPr>
              <w:t>B02BD30</w:t>
            </w:r>
          </w:p>
        </w:tc>
      </w:tr>
      <w:tr>
        <w:tc>
          <w:tcPr>
            <w:tcW w:type="dxa" w:w="831"/>
          </w:tcPr>
          <w:p>
            <w:r>
              <w:rPr>
                <w:rFonts w:ascii="Times New Roman" w:hAnsi="Times New Roman"/>
                <w:sz w:val="20"/>
              </w:rPr>
              <w:t>9</w:t>
            </w:r>
          </w:p>
        </w:tc>
        <w:tc>
          <w:tcPr>
            <w:tcW w:type="dxa" w:w="831"/>
          </w:tcPr>
          <w:p>
            <w:r>
              <w:rPr>
                <w:rFonts w:ascii="Times New Roman" w:hAnsi="Times New Roman"/>
                <w:sz w:val="20"/>
              </w:rPr>
              <w:t>Facteurs court-circuitant inhibiteur FVIII (FEIBA 500)</w:t>
            </w:r>
          </w:p>
        </w:tc>
        <w:tc>
          <w:tcPr>
            <w:tcW w:type="dxa" w:w="831"/>
          </w:tcPr>
          <w:p>
            <w:r>
              <w:rPr>
                <w:rFonts w:ascii="Times New Roman" w:hAnsi="Times New Roman"/>
                <w:sz w:val="20"/>
              </w:rPr>
              <w:t>FEIBA 500 U°</w:t>
            </w:r>
          </w:p>
        </w:tc>
        <w:tc>
          <w:tcPr>
            <w:tcW w:type="dxa" w:w="831"/>
          </w:tcPr>
          <w:p>
            <w:r>
              <w:rPr>
                <w:rFonts w:ascii="Times New Roman" w:hAnsi="Times New Roman"/>
                <w:sz w:val="20"/>
              </w:rPr>
              <w:t>Plasma humain (complexe prothrombinique activé)</w:t>
            </w:r>
          </w:p>
        </w:tc>
        <w:tc>
          <w:tcPr>
            <w:tcW w:type="dxa" w:w="831"/>
          </w:tcPr>
          <w:p>
            <w:r>
              <w:rPr>
                <w:rFonts w:ascii="Times New Roman" w:hAnsi="Times New Roman"/>
                <w:sz w:val="20"/>
              </w:rPr>
              <w:t>6-12 h</w:t>
            </w:r>
          </w:p>
        </w:tc>
        <w:tc>
          <w:tcPr>
            <w:tcW w:type="dxa" w:w="831"/>
          </w:tcPr>
          <w:p>
            <w:r>
              <w:rPr>
                <w:rFonts w:ascii="Times New Roman" w:hAnsi="Times New Roman"/>
                <w:sz w:val="20"/>
              </w:rPr>
              <w:t>N/A (activité by-pass)</w:t>
            </w:r>
          </w:p>
        </w:tc>
        <w:tc>
          <w:tcPr>
            <w:tcW w:type="dxa" w:w="831"/>
          </w:tcPr>
          <w:p>
            <w:r>
              <w:rPr>
                <w:rFonts w:ascii="Times New Roman" w:hAnsi="Times New Roman"/>
                <w:sz w:val="20"/>
              </w:rPr>
              <w:t>Non</w:t>
            </w:r>
          </w:p>
        </w:tc>
        <w:tc>
          <w:tcPr>
            <w:tcW w:type="dxa" w:w="831"/>
          </w:tcPr>
          <w:p>
            <w:r>
              <w:rPr>
                <w:rFonts w:ascii="Times New Roman" w:hAnsi="Times New Roman"/>
                <w:sz w:val="20"/>
              </w:rPr>
              <w:t>Hémophilie A avec inhibiteur</w:t>
            </w:r>
          </w:p>
        </w:tc>
        <w:tc>
          <w:tcPr>
            <w:tcW w:type="dxa" w:w="831"/>
          </w:tcPr>
          <w:p>
            <w:r>
              <w:rPr>
                <w:rFonts w:ascii="Times New Roman" w:hAnsi="Times New Roman"/>
                <w:sz w:val="20"/>
              </w:rPr>
              <w:t>NON_RENOUVELABLE</w:t>
            </w:r>
          </w:p>
        </w:tc>
        <w:tc>
          <w:tcPr>
            <w:tcW w:type="dxa" w:w="831"/>
          </w:tcPr>
          <w:p>
            <w:r>
              <w:rPr>
                <w:rFonts w:ascii="Times New Roman" w:hAnsi="Times New Roman"/>
                <w:sz w:val="20"/>
              </w:rPr>
              <w:t>B02BD30</w:t>
            </w:r>
          </w:p>
        </w:tc>
      </w:tr>
    </w:tbl>
    <w:p/>
    <w:p>
      <w:pPr>
        <w:pStyle w:val="Heading2"/>
      </w:pPr>
      <w:r>
        <w:t>232.11. Synthèse pédagogique pour la pratique clinique algérienne</w:t>
      </w:r>
    </w:p>
    <w:p>
      <w:pPr>
        <w:pStyle w:val="Heading3"/>
      </w:pPr>
      <w:r>
        <w:t>Messages-clés pour la pratique</w:t>
      </w:r>
    </w:p>
    <w:p>
      <w:pPr>
        <w:pStyle w:val="ListNumber"/>
      </w:pPr>
      <w:r/>
      <w:r>
        <w:rPr>
          <w:b/>
        </w:rPr>
        <w:t>Hémophilie A = déficit en FVIII</w:t>
      </w:r>
      <w:r>
        <w:t xml:space="preserve"> ; Hémophilie B = déficit en FIX ; Maladie de Willebrand = déficit en VWF. Trois maladies différentes, trois traitements différents — ne jamais confondre.</w:t>
      </w:r>
    </w:p>
    <w:p>
      <w:pPr>
        <w:pStyle w:val="ListNumber"/>
      </w:pPr>
      <w:r/>
      <w:r>
        <w:rPr>
          <w:b/>
        </w:rPr>
        <w:t>Choix du produit substitutif en hémophilie A sans inhibiteur</w:t>
      </w:r>
      <w:r>
        <w:t xml:space="preserve"> :</w:t>
      </w:r>
    </w:p>
    <w:p>
      <w:pPr>
        <w:pStyle w:val="ListBullet"/>
      </w:pPr>
      <w:r>
        <w:t xml:space="preserve">Préférer un </w:t>
      </w:r>
      <w:r>
        <w:rPr>
          <w:b/>
        </w:rPr>
        <w:t>rFVIII</w:t>
      </w:r>
      <w:r>
        <w:t xml:space="preserve"> (KOVALTRY, ADVATE, NOVO EIGHT, REFACTO AF) chez les patients naifs (sécurité virale accrue, pas de protéines animales).</w:t>
      </w:r>
    </w:p>
    <w:p>
      <w:pPr>
        <w:pStyle w:val="ListBullet"/>
      </w:pPr>
      <w:r>
        <w:t xml:space="preserve">Préférer un </w:t>
      </w:r>
      <w:r>
        <w:rPr>
          <w:b/>
        </w:rPr>
        <w:t>pdFVIII contenant VWF</w:t>
      </w:r>
      <w:r>
        <w:t xml:space="preserve"> (HAEMOCTIN SDH, OCTANATE, HEMOREL-A) en cas de maladie de Willebrand associée ou de demi-vie courte du rFVIII chez le patient.</w:t>
      </w:r>
    </w:p>
    <w:p>
      <w:pPr>
        <w:pStyle w:val="ListNumber"/>
      </w:pPr>
      <w:r/>
      <w:r>
        <w:rPr>
          <w:b/>
        </w:rPr>
        <w:t>Choix du produit en cas d'inhibiteur anti-FVIII</w:t>
      </w:r>
      <w:r>
        <w:t xml:space="preserve"> :</w:t>
      </w:r>
    </w:p>
    <w:p>
      <w:pPr>
        <w:pStyle w:val="ListBullet"/>
      </w:pPr>
      <w:r/>
      <w:r>
        <w:rPr>
          <w:b/>
        </w:rPr>
        <w:t>Low responder (&lt; 5 UB)</w:t>
      </w:r>
      <w:r>
        <w:t xml:space="preserve"> : FVIII à dose élevée (50-100 UI/kg) en bolus.</w:t>
      </w:r>
    </w:p>
    <w:p>
      <w:pPr>
        <w:pStyle w:val="ListBullet"/>
      </w:pPr>
      <w:r/>
      <w:r>
        <w:rPr>
          <w:b/>
        </w:rPr>
        <w:t>High responder (≥ 5 UB)</w:t>
      </w:r>
      <w:r>
        <w:t xml:space="preserve"> : by-passing agent — </w:t>
      </w:r>
      <w:r>
        <w:rPr>
          <w:b/>
        </w:rPr>
        <w:t>FEIBA 1000</w:t>
      </w:r>
      <w:r>
        <w:t xml:space="preserve"> (50-100 U°/kg toutes les 8-12 h) ou rFVIIa NovoSeven (90 µg/kg toutes les 2 h, non disponible en Algérie).</w:t>
      </w:r>
    </w:p>
    <w:p>
      <w:pPr>
        <w:pStyle w:val="ListBullet"/>
      </w:pPr>
      <w:r/>
      <w:r>
        <w:rPr>
          <w:b/>
        </w:rPr>
        <w:t>Éradication par ITI</w:t>
      </w:r>
      <w:r>
        <w:t xml:space="preserve"> (Immune Tolerance Induction) sur 6-24 mois.</w:t>
      </w:r>
    </w:p>
    <w:p>
      <w:pPr>
        <w:pStyle w:val="ListNumber"/>
      </w:pPr>
      <w:r/>
      <w:r>
        <w:rPr>
          <w:b/>
        </w:rPr>
        <w:t>ALPROLIX n'est PAS un by-passing agent pour hémophilie A</w:t>
      </w:r>
      <w:r>
        <w:t xml:space="preserve"> malgré le libellé algérien. C'est un rFIX-Fc EHL pour hémophilie B. Vérifier l'indication.</w:t>
      </w:r>
    </w:p>
    <w:p>
      <w:pPr>
        <w:pStyle w:val="ListNumber"/>
      </w:pPr>
      <w:r/>
      <w:r>
        <w:rPr>
          <w:b/>
        </w:rPr>
        <w:t>FEIBA 500 est NON_RENOUVELABLE en Algérie</w:t>
      </w:r>
      <w:r>
        <w:t xml:space="preserve"> ; transition vers FEIBA 1000 à discuter avec l'hématologue.</w:t>
      </w:r>
    </w:p>
    <w:p>
      <w:pPr>
        <w:pStyle w:val="ListNumber"/>
      </w:pPr>
      <w:r/>
      <w:r>
        <w:rPr>
          <w:b/>
        </w:rPr>
        <w:t>La dose de FVIII se calcule en UI/kg</w:t>
      </w:r>
      <w:r>
        <w:t xml:space="preserve"> selon la formule : Dose (UI) = Poids (kg) × ΔFVIII souhaité (UI/dL) × 0,5 (facteur de récovery). Ne pas inverser le facteur.</w:t>
      </w:r>
    </w:p>
    <w:p>
      <w:pPr>
        <w:pStyle w:val="ListNumber"/>
      </w:pPr>
      <w:r/>
      <w:r>
        <w:rPr>
          <w:b/>
        </w:rPr>
        <w:t>La demi-vie du FVIII standard est de 8-14 h</w:t>
      </w:r>
      <w:r>
        <w:t xml:space="preserve"> ; prophylaxie 3×/semaine en moyenne. Les EHL (non disponibles en Algérie) prolongent à 14-19 h (prophylaxie 2×/semaine).</w:t>
      </w:r>
    </w:p>
    <w:p>
      <w:pPr>
        <w:pStyle w:val="ListNumber"/>
      </w:pPr>
      <w:r/>
      <w:r>
        <w:rPr>
          <w:b/>
        </w:rPr>
        <w:t>Le dépistage de l'inhibiteur par test de Bethesda</w:t>
      </w:r>
      <w:r>
        <w:t xml:space="preserve"> est obligatoire : tous les 3-6 mois la première année, puis annuel. Devant tout échec thérapeutique (saignement non contrôlé malgré dose adaptée).</w:t>
      </w:r>
    </w:p>
    <w:p>
      <w:pPr>
        <w:pStyle w:val="ListNumber"/>
      </w:pPr>
      <w:r/>
      <w:r>
        <w:rPr>
          <w:b/>
        </w:rPr>
        <w:t>Chaîne du froid +2 °C à +8 °C</w:t>
      </w:r>
      <w:r>
        <w:t xml:space="preserve"> stricte ; reconstitution douce (pas d'agitation vigoureuse) ; utilisation dans les 3 h après reconstitution.</w:t>
      </w:r>
    </w:p>
    <w:p>
      <w:pPr>
        <w:pStyle w:val="ListNumber"/>
      </w:pPr>
      <w:r/>
      <w:r>
        <w:rPr>
          <w:b/>
        </w:rPr>
        <w:t>Auto-administration à domicile</w:t>
      </w:r>
      <w:r>
        <w:t xml:space="preserve"> après formation hospitalière : pilier de la prise en charge moderne de l'hémophilie A sévère. Améliore la qualité de vie et réduit la sévérité des saignements.</w:t>
      </w:r>
    </w:p>
    <w:p>
      <w:pPr>
        <w:pStyle w:val="ListNumber"/>
      </w:pPr>
      <w:r/>
      <w:r>
        <w:rPr>
          <w:b/>
        </w:rPr>
        <w:t>Grossesse et allaitement</w:t>
      </w:r>
      <w:r>
        <w:t xml:space="preserve"> : les rFVIII sont utilisables (CRAT). Maintenir FVIII ≥ 50 UI/dL pendant le travail et ≥ 30 UI/dL pendant 7-14 jours post-partum.</w:t>
      </w:r>
    </w:p>
    <w:p>
      <w:pPr>
        <w:pStyle w:val="ListNumber"/>
      </w:pPr>
      <w:r/>
      <w:r>
        <w:rPr>
          <w:b/>
        </w:rPr>
        <w:t>Éviter l'aspirine et les AINS</w:t>
      </w:r>
      <w:r>
        <w:t xml:space="preserve"> chez l'hémophile (préférer paracétamol, codéine, tramadol). Éviter les IM (préférer SC pour les vaccins et autres traitements).</w:t>
      </w:r>
    </w:p>
    <w:p>
      <w:pPr>
        <w:pStyle w:val="ListNumber"/>
      </w:pPr>
      <w:r/>
      <w:r>
        <w:rPr>
          <w:b/>
        </w:rPr>
        <w:t>Surveillance ostéo-articulaire</w:t>
      </w:r>
      <w:r>
        <w:t xml:space="preserve"> : les hémarthroses récidivantes → arthropathie hémophilique destructrice. Prévention par prophylaxie primaire précoce (avant 2 ans).</w:t>
      </w:r>
    </w:p>
    <w:p>
      <w:pPr>
        <w:pStyle w:val="ListNumber"/>
      </w:pPr>
      <w:r/>
      <w:r>
        <w:rPr>
          <w:b/>
        </w:rPr>
        <w:t>Vaccination hépatite A et B</w:t>
      </w:r>
      <w:r>
        <w:t xml:space="preserve"> systématique chez tout patient hémophile (avant toute exposition aux PSS plasmatiques).</w:t>
      </w:r>
    </w:p>
    <w:p>
      <w:pPr>
        <w:pStyle w:val="ListNumber"/>
      </w:pPr>
      <w:r/>
      <w:r>
        <w:rPr>
          <w:b/>
        </w:rPr>
        <w:t>Information patient</w:t>
      </w:r>
      <w:r>
        <w:t xml:space="preserve"> : carte de patient hémophile (type d'hémophilie, traitement prophylactique, centre de référence, contacts d'urgence).</w:t>
      </w:r>
    </w:p>
    <w:p>
      <w:pPr>
        <w:pStyle w:val="Heading3"/>
      </w:pPr>
      <w:r>
        <w:t>Références bibliographiques spécifiques</w:t>
      </w:r>
    </w:p>
    <w:p>
      <w:pPr>
        <w:pStyle w:val="ListNumber"/>
      </w:pPr>
      <w:r>
        <w:t>WFH — Guidelines for the Management of Hemophilia, 3rd edition (2020).</w:t>
      </w:r>
    </w:p>
    <w:p>
      <w:pPr>
        <w:pStyle w:val="ListNumber"/>
      </w:pPr>
      <w:r>
        <w:t>EHC — Principles of Care for People with Hemophilia (2021).</w:t>
      </w:r>
    </w:p>
    <w:p>
      <w:pPr>
        <w:pStyle w:val="ListNumber"/>
      </w:pPr>
      <w:r>
        <w:t>EMA — EPAR KOVALTRY, ADVATE, NOVO EIGHT, REFACTO AF, ALPROLIX, FEIBA.</w:t>
      </w:r>
    </w:p>
    <w:p>
      <w:pPr>
        <w:pStyle w:val="ListNumber"/>
      </w:pPr>
      <w:r>
        <w:t>HAS — Avis de la Commission de la Transparence pour chaque spécialité.</w:t>
      </w:r>
    </w:p>
    <w:p>
      <w:pPr>
        <w:pStyle w:val="ListNumber"/>
      </w:pPr>
      <w:r>
        <w:t>ANSM — RCP français de chaque spécialité.</w:t>
      </w:r>
    </w:p>
    <w:p>
      <w:pPr>
        <w:pStyle w:val="ListNumber"/>
      </w:pPr>
      <w:r>
        <w:t>Mannucci PM, Tuddenham EG — « The hemophilias — from royal genes to gene therapy » (NEJM 2001).</w:t>
      </w:r>
    </w:p>
    <w:p>
      <w:pPr>
        <w:pStyle w:val="ListNumber"/>
      </w:pPr>
      <w:r>
        <w:t>Peyvandi F et al. — SIPPET study (rFVIII vs pdFVIII in previously untreated patients) (NEJM 2016).</w:t>
      </w:r>
    </w:p>
    <w:p>
      <w:pPr>
        <w:pStyle w:val="ListNumber"/>
      </w:pPr>
      <w:r>
        <w:t>Oldenburg J et al. — Guardian 1 trial (NovoEight) (J Thromb Haemost 2017).</w:t>
      </w:r>
    </w:p>
    <w:p>
      <w:pPr>
        <w:pStyle w:val="ListNumber"/>
      </w:pPr>
      <w:r>
        <w:t>Mahlangu J et al. — A-LONG trial (Elocta) (Blood 2018).</w:t>
      </w:r>
    </w:p>
    <w:p>
      <w:pPr>
        <w:pStyle w:val="ListNumber"/>
      </w:pPr>
      <w:r>
        <w:t>Pipe SW et al. — BAY 81-8973 (KOVALTRY) phase 3 LEOPOLD trials (Haemophilia 2017).</w:t>
      </w:r>
    </w:p>
    <w:p>
      <w:pPr>
        <w:pStyle w:val="ListNumber"/>
      </w:pPr>
      <w:r>
        <w:t>CRAT — Fiches « FVIII recombinant », « FVIII plasmatique », « FEIBA », « ALPROLIX ».</w:t>
      </w:r>
    </w:p>
    <w:p>
      <w:pPr>
        <w:pStyle w:val="ListNumber"/>
      </w:pPr>
      <w:r>
        <w:t>Antunes SV et al. — EMA FEIBA prophylaxis trial (Blood 2015).</w:t>
      </w:r>
    </w:p>
    <w:p>
      <w:pPr>
        <w:pStyle w:val="ListNumber"/>
      </w:pPr>
      <w:r>
        <w:t>Hay CRM et al. — The incidence of factor VIII inhibitors in severe hemophilia A (UKHCDO) (Blood 2011).</w:t>
      </w:r>
    </w:p>
    <w:p>
      <w:pPr>
        <w:pStyle w:val="Heading1"/>
      </w:pPr>
      <w:r>
        <w:t>Fascicule XXIII — Chapitre 233</w:t>
      </w:r>
    </w:p>
    <w:p>
      <w:pPr>
        <w:pStyle w:val="Heading2"/>
      </w:pPr>
      <w:r>
        <w:t>Facteur IX (Hémophilie B)</w:t>
      </w:r>
    </w:p>
    <w:p>
      <w:pPr>
        <w:pStyle w:val="Heading2"/>
      </w:pPr>
      <w:r>
        <w:t>Sommaire du chapitre 233</w:t>
      </w:r>
    </w:p>
    <w:p>
      <w:pPr>
        <w:pStyle w:val="ListBullet"/>
      </w:pPr>
      <w:r>
        <w:t>233.0. Introduction à l'hémophilie B : épidémiologie, physiopathologie, classification, stratégies thérapeutiques</w:t>
      </w:r>
    </w:p>
    <w:p>
      <w:pPr>
        <w:pStyle w:val="ListBullet"/>
      </w:pPr>
      <w:r>
        <w:t>233.1. DCI : Nonacog alpha — rFIX (BENEFIX, INNONAFACTOR)</w:t>
      </w:r>
    </w:p>
    <w:p>
      <w:pPr>
        <w:pStyle w:val="ListBullet"/>
      </w:pPr>
      <w:r>
        <w:t>233.2. DCI : Facteur IX de coagulation humaine — pdFIX (IMMUNINE 600, HEAMONINE 500, BETAFACT [RETRAIT])</w:t>
      </w:r>
    </w:p>
    <w:p>
      <w:pPr>
        <w:pStyle w:val="ListBullet"/>
      </w:pPr>
      <w:r>
        <w:t>233.3. Tableau comparatif de sous-classe (Facteur IX : rFIX vs pdFIX)</w:t>
      </w:r>
    </w:p>
    <w:p>
      <w:pPr>
        <w:pStyle w:val="ListBullet"/>
      </w:pPr>
      <w:r>
        <w:t>233.4. Synthèse pédagogique et particularités algériennes</w:t>
      </w:r>
    </w:p>
    <w:p>
      <w:pPr>
        <w:pStyle w:val="Heading2"/>
      </w:pPr>
      <w:r>
        <w:t>233.0. Introduction à l'hémophilie B : épidémiologie, physiopathologie, classification, stratégies thérapeutiques</w:t>
      </w:r>
    </w:p>
    <w:p>
      <w:pPr>
        <w:pStyle w:val="Heading3"/>
      </w:pPr>
      <w:r>
        <w:t>1. Définition et épidémiologie</w:t>
      </w:r>
    </w:p>
    <w:p>
      <w:r>
        <w:t>L'</w:t>
      </w:r>
      <w:r>
        <w:rPr>
          <w:b/>
        </w:rPr>
        <w:t>hémophilie B</w:t>
      </w:r>
      <w:r>
        <w:t xml:space="preserve"> (maladie de Christmas, décrite initialement en 1952 par Biggs &amp; Douglas à partir d'un patient nommé Stephen Christmas) est une maladie hémorragique constitutionnelle récessive liée au chromosome X, due à un déficit quantitatif ou qualitatif en </w:t>
      </w:r>
      <w:r>
        <w:rPr>
          <w:b/>
        </w:rPr>
        <w:t>facteur IX (FIX)</w:t>
      </w:r>
      <w:r>
        <w:t xml:space="preserve"> de la coagulation (Christmas factor, β-thromboplastin plasma component). Sa prévalence mondiale est d'environ </w:t>
      </w:r>
      <w:r>
        <w:rPr>
          <w:b/>
        </w:rPr>
        <w:t>1 pour 30 000 naissances masculines</w:t>
      </w:r>
      <w:r>
        <w:t xml:space="preserve">, soit environ quatre à cinq fois moins fréquente que l'hémophilie A. On estime la prévalence mondiale à ~30 000 patients atteints. En Algérie, la prévalence estimée est d'environ </w:t>
      </w:r>
      <w:r>
        <w:rPr>
          <w:b/>
        </w:rPr>
        <w:t>700 patients hémophiles B</w:t>
      </w:r>
      <w:r>
        <w:t xml:space="preserve"> (toutes sévérités confondues), avec un sous-diagnostic probable des formes modérées et légères, particulièrement en zones rurales et dans le sud saharien.</w:t>
      </w:r>
    </w:p>
    <w:p>
      <w:r>
        <w:t xml:space="preserve">La transmission est récessive liée à l'X : les hommes sont atteints (hémizygotes), les femmes conductrices (hétérozygotes) sont le plus souvent asymptomatiques avec un taux de FIX diminué de moitié (~25-60 UI/dL). Dans environ </w:t>
      </w:r>
      <w:r>
        <w:rPr>
          <w:b/>
        </w:rPr>
        <w:t>30 %</w:t>
      </w:r>
      <w:r>
        <w:t xml:space="preserve"> des cas, la mutation est </w:t>
      </w:r>
      <w:r>
        <w:rPr>
          <w:i/>
        </w:rPr>
        <w:t>de novo</w:t>
      </w:r>
      <w:r>
        <w:t xml:space="preserve"> (absence d'antécédent familial connu). La conductrice d'hémophilie B symptomatique (taux FIX &lt; 40 UI/dL avec saignements) est plus rare que dans l'hémophilie A en raison de l'inactivation du chromosome X qui survient plus précocement et de manière plus homogène pour le gène F9 (lyonisation).</w:t>
      </w:r>
    </w:p>
    <w:p>
      <w:pPr>
        <w:pStyle w:val="Heading3"/>
      </w:pPr>
      <w:r>
        <w:t>2. Physiopathologie moléculaire</w:t>
      </w:r>
    </w:p>
    <w:p>
      <w:r>
        <w:t xml:space="preserve">Le gène </w:t>
      </w:r>
      <w:r>
        <w:rPr>
          <w:b/>
        </w:rPr>
        <w:t>F9</w:t>
      </w:r>
      <w:r>
        <w:t xml:space="preserve"> est situé sur le chromosome </w:t>
      </w:r>
      <w:r>
        <w:rPr>
          <w:b/>
        </w:rPr>
        <w:t>Xq27.1-q27.2</w:t>
      </w:r>
      <w:r>
        <w:t xml:space="preserve">, s'étend sur 34 kb (six fois plus petit que F8), et code pour une protéine de 461 acides aminés (55 kDa) synthétisée par les </w:t>
      </w:r>
      <w:r>
        <w:rPr>
          <w:b/>
        </w:rPr>
        <w:t>hépatocytes</w:t>
      </w:r>
      <w:r>
        <w:t xml:space="preserve">. Le FIX est une </w:t>
      </w:r>
      <w:r>
        <w:rPr>
          <w:b/>
        </w:rPr>
        <w:t>sérine-protéase</w:t>
      </w:r>
      <w:r>
        <w:t xml:space="preserve"> zymogène qui circule dans le plasma à une concentration de </w:t>
      </w:r>
      <w:r>
        <w:rPr>
          <w:b/>
        </w:rPr>
        <w:t>5 μg/mL (≈ 5 UI/mL ou 100 % d'activité)</w:t>
      </w:r>
      <w:r>
        <w:t xml:space="preserve">. Sa demi-vie plasmatique est de </w:t>
      </w:r>
      <w:r>
        <w:rPr>
          <w:b/>
        </w:rPr>
        <w:t>18-24 heures</w:t>
      </w:r>
      <w:r>
        <w:t>, soit significativement plus longue que celle du FVIII (8-14 h), ce qui explique des intervalles d'administration plus espacés en prophylaxie (2x/semaine pour le pdFIX standard, voire 1x/semaine pour les EHL rFIX-Fc ou rFIX-PEG).</w:t>
      </w:r>
    </w:p>
    <w:p>
      <w:r>
        <w:t xml:space="preserve">Le FIX est </w:t>
      </w:r>
      <w:r>
        <w:rPr>
          <w:b/>
        </w:rPr>
        <w:t>activé en FIXa</w:t>
      </w:r>
      <w:r>
        <w:t xml:space="preserve"> par clivage protéolythique à deux sites (Arg145-Ala146 et Arg180-Val181), ce clivage étant réalisé par :</w:t>
      </w:r>
    </w:p>
    <w:p>
      <w:pPr>
        <w:pStyle w:val="ListBullet"/>
      </w:pPr>
      <w:r>
        <w:t xml:space="preserve">Le </w:t>
      </w:r>
      <w:r>
        <w:rPr>
          <w:b/>
        </w:rPr>
        <w:t>complexe FT-FVIIa</w:t>
      </w:r>
      <w:r>
        <w:t xml:space="preserve"> (voie extrinsèque) — activateur principal en phase d'initiation.</w:t>
      </w:r>
    </w:p>
    <w:p>
      <w:pPr>
        <w:pStyle w:val="ListBullet"/>
      </w:pPr>
      <w:r>
        <w:t xml:space="preserve">Le </w:t>
      </w:r>
      <w:r>
        <w:rPr>
          <w:b/>
        </w:rPr>
        <w:t>FXIa</w:t>
      </w:r>
      <w:r>
        <w:t xml:space="preserve"> (voie intrinsèque) — activateur principal en phase de propagation.</w:t>
      </w:r>
    </w:p>
    <w:p>
      <w:r>
        <w:t xml:space="preserve">Le </w:t>
      </w:r>
      <w:r>
        <w:rPr>
          <w:b/>
        </w:rPr>
        <w:t>FIXa</w:t>
      </w:r>
      <w:r>
        <w:t xml:space="preserve"> se combine au </w:t>
      </w:r>
      <w:r>
        <w:rPr>
          <w:b/>
        </w:rPr>
        <w:t>FVIIIa</w:t>
      </w:r>
      <w:r>
        <w:t xml:space="preserve"> (cofacteur), aux </w:t>
      </w:r>
      <w:r>
        <w:rPr>
          <w:b/>
        </w:rPr>
        <w:t>phospholipides plaquettaires</w:t>
      </w:r>
      <w:r>
        <w:t xml:space="preserve"> et au </w:t>
      </w:r>
      <w:r>
        <w:rPr>
          <w:b/>
        </w:rPr>
        <w:t>Ca²⁺</w:t>
      </w:r>
      <w:r>
        <w:t xml:space="preserve"> pour former le </w:t>
      </w:r>
      <w:r>
        <w:rPr>
          <w:b/>
        </w:rPr>
        <w:t>complex tenase intrinsèque</w:t>
      </w:r>
      <w:r>
        <w:t>, qui active le Facteur X (FX) → FXa à un taux ~10⁶ fois supérieur à FIXa seul. Le déficit en FIX (hémophilie B) entraîne donc un allongement du TCA (temps de céphaline activée) alors que le TP (temps de prothrombine) reste normal, car la voie extrinsèque FT-FVIIa active directement FX sans nécessiter FIX.</w:t>
      </w:r>
    </w:p>
    <w:p>
      <w:pPr>
        <w:pStyle w:val="Heading3"/>
      </w:pPr>
      <w:r>
        <w:t>3. Mutations du gène F9 et corrélation phénotype-génotype</w:t>
      </w:r>
    </w:p>
    <w:p>
      <w:r>
        <w:t xml:space="preserve">Les mutations sont très hétérogènes : mutations ponctuelles (non-sens, faux-sens, sites d'épissage) dans ~80 % des cas, délétions partielles ou complètes dans ~10 %, insertions ~5 %, réarrangements complexes ~5 %. La mutation </w:t>
      </w:r>
      <w:r>
        <w:rPr>
          <w:b/>
        </w:rPr>
        <w:t>Factor IX Leyden</w:t>
      </w:r>
      <w:r>
        <w:t xml:space="preserve"> est particulière : mutation dans le promoteur entraînant un déficit sévère à la naissance qui s'améliore spontanément à la puberté (sous l'effet des androgènes qui stimulent un promoteur alternatif). Cette entité doit être reconnue car la prophylaxie peut être interrompue après la puberté.</w:t>
      </w:r>
    </w:p>
    <w:p>
      <w:r>
        <w:t xml:space="preserve">Le type de mutation conditionne le risque d'inhibiteur anti-FIX, qui est globalement beaucoup </w:t>
      </w:r>
      <w:r>
        <w:rPr>
          <w:b/>
        </w:rPr>
        <w:t>plus rare que pour le FVIII</w:t>
      </w:r>
      <w:r>
        <w:t xml:space="preserve"> (~1-3 % des hémophiles B sévères vs 25-30 % pour le FVIII), mais avec des particularités graves :</w:t>
      </w:r>
    </w:p>
    <w:p>
      <w:pPr>
        <w:pStyle w:val="ListBullet"/>
      </w:pPr>
      <w:r>
        <w:t xml:space="preserve">Les </w:t>
      </w:r>
      <w:r>
        <w:rPr>
          <w:b/>
        </w:rPr>
        <w:t>délétions complètes du gène F9</w:t>
      </w:r>
      <w:r>
        <w:t xml:space="preserve"> sont associées à un risque d'inhibiteur anti-FIX élevé (~30-50 %).</w:t>
      </w:r>
    </w:p>
    <w:p>
      <w:pPr>
        <w:pStyle w:val="ListBullet"/>
      </w:pPr>
      <w:r>
        <w:t xml:space="preserve">L'inhibiteur anti-FIX s'accompagne fréquemment de </w:t>
      </w:r>
      <w:r>
        <w:rPr>
          <w:b/>
        </w:rPr>
        <w:t>réactions allergiques sévères</w:t>
      </w:r>
      <w:r>
        <w:t xml:space="preserve"> (anaphylaxie) lors des premières administrations, ce qui impose une administration surveillée en milieu hospitalier chez tout patient naïf non testé génétiquement.</w:t>
      </w:r>
    </w:p>
    <w:p>
      <w:pPr>
        <w:pStyle w:val="ListBullet"/>
      </w:pPr>
      <w:r>
        <w:t>Le traitement de l'inhibiteur anti-FIX est très difficile car l'ITI est contre-indiquée en raison du risque d'</w:t>
      </w:r>
      <w:r>
        <w:rPr>
          <w:b/>
        </w:rPr>
        <w:t>anaphylaxie</w:t>
      </w:r>
      <w:r>
        <w:t xml:space="preserve"> et de </w:t>
      </w:r>
      <w:r>
        <w:rPr>
          <w:b/>
        </w:rPr>
        <w:t>syndrome néphrotique</w:t>
      </w:r>
      <w:r>
        <w:t xml:space="preserve"> (immuns complexes complexes immuns circulants).</w:t>
      </w:r>
    </w:p>
    <w:p>
      <w:pPr>
        <w:pStyle w:val="Heading3"/>
      </w:pPr>
      <w:r>
        <w:t>4. Classification de la sévérité</w:t>
      </w:r>
    </w:p>
    <w:p>
      <w:r>
        <w:t>La classification internationale de la sévérité de l'hémophilie B repose sur le taux de FIX circulant (mesuré par test chromogénique ou test chronométrique un stade) :</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Sévérité</w:t>
            </w:r>
          </w:p>
        </w:tc>
        <w:tc>
          <w:tcPr>
            <w:tcW w:type="dxa" w:w="2078"/>
            <w:shd w:val="clear" w:color="auto" w:fill="F2F2F2"/>
          </w:tcPr>
          <w:p>
            <w:r>
              <w:rPr>
                <w:rFonts w:ascii="Times New Roman" w:hAnsi="Times New Roman"/>
                <w:b/>
                <w:sz w:val="20"/>
              </w:rPr>
              <w:t>Taux de FIX</w:t>
            </w:r>
          </w:p>
        </w:tc>
        <w:tc>
          <w:tcPr>
            <w:tcW w:type="dxa" w:w="2078"/>
            <w:shd w:val="clear" w:color="auto" w:fill="F2F2F2"/>
          </w:tcPr>
          <w:p>
            <w:r>
              <w:rPr>
                <w:rFonts w:ascii="Times New Roman" w:hAnsi="Times New Roman"/>
                <w:b/>
                <w:sz w:val="20"/>
              </w:rPr>
              <w:t>Prévalence</w:t>
            </w:r>
          </w:p>
        </w:tc>
        <w:tc>
          <w:tcPr>
            <w:tcW w:type="dxa" w:w="2078"/>
            <w:shd w:val="clear" w:color="auto" w:fill="F2F2F2"/>
          </w:tcPr>
          <w:p>
            <w:r>
              <w:rPr>
                <w:rFonts w:ascii="Times New Roman" w:hAnsi="Times New Roman"/>
                <w:b/>
                <w:sz w:val="20"/>
              </w:rPr>
              <w:t>Phénotype clinique</w:t>
            </w:r>
          </w:p>
        </w:tc>
      </w:tr>
      <w:tr>
        <w:tc>
          <w:tcPr>
            <w:tcW w:type="dxa" w:w="2078"/>
          </w:tcPr>
          <w:p>
            <w:r>
              <w:rPr>
                <w:rFonts w:ascii="Times New Roman" w:hAnsi="Times New Roman"/>
                <w:sz w:val="20"/>
              </w:rPr>
              <w:t>Sévère</w:t>
            </w:r>
          </w:p>
        </w:tc>
        <w:tc>
          <w:tcPr>
            <w:tcW w:type="dxa" w:w="2078"/>
          </w:tcPr>
          <w:p>
            <w:r>
              <w:rPr>
                <w:rFonts w:ascii="Times New Roman" w:hAnsi="Times New Roman"/>
                <w:sz w:val="20"/>
              </w:rPr>
              <w:t>&lt; 1 UI/dL (&lt; 0,01 UI/mL)</w:t>
            </w:r>
          </w:p>
        </w:tc>
        <w:tc>
          <w:tcPr>
            <w:tcW w:type="dxa" w:w="2078"/>
          </w:tcPr>
          <w:p>
            <w:r>
              <w:rPr>
                <w:rFonts w:ascii="Times New Roman" w:hAnsi="Times New Roman"/>
                <w:sz w:val="20"/>
              </w:rPr>
              <w:t>30-40 %</w:t>
            </w:r>
          </w:p>
        </w:tc>
        <w:tc>
          <w:tcPr>
            <w:tcW w:type="dxa" w:w="2078"/>
          </w:tcPr>
          <w:p>
            <w:r>
              <w:rPr>
                <w:rFonts w:ascii="Times New Roman" w:hAnsi="Times New Roman"/>
                <w:sz w:val="20"/>
              </w:rPr>
              <w:t>Saignements spontanés (hémarthroses, hématomes) dès l'enfance</w:t>
            </w:r>
          </w:p>
        </w:tc>
      </w:tr>
      <w:tr>
        <w:tc>
          <w:tcPr>
            <w:tcW w:type="dxa" w:w="2078"/>
          </w:tcPr>
          <w:p>
            <w:r>
              <w:rPr>
                <w:rFonts w:ascii="Times New Roman" w:hAnsi="Times New Roman"/>
                <w:sz w:val="20"/>
              </w:rPr>
              <w:t>Modérée</w:t>
            </w:r>
          </w:p>
        </w:tc>
        <w:tc>
          <w:tcPr>
            <w:tcW w:type="dxa" w:w="2078"/>
          </w:tcPr>
          <w:p>
            <w:r>
              <w:rPr>
                <w:rFonts w:ascii="Times New Roman" w:hAnsi="Times New Roman"/>
                <w:sz w:val="20"/>
              </w:rPr>
              <w:t>1-5 UI/dL (0,01-0,05 UI/mL)</w:t>
            </w:r>
          </w:p>
        </w:tc>
        <w:tc>
          <w:tcPr>
            <w:tcW w:type="dxa" w:w="2078"/>
          </w:tcPr>
          <w:p>
            <w:r>
              <w:rPr>
                <w:rFonts w:ascii="Times New Roman" w:hAnsi="Times New Roman"/>
                <w:sz w:val="20"/>
              </w:rPr>
              <w:t>10 %</w:t>
            </w:r>
          </w:p>
        </w:tc>
        <w:tc>
          <w:tcPr>
            <w:tcW w:type="dxa" w:w="2078"/>
          </w:tcPr>
          <w:p>
            <w:r>
              <w:rPr>
                <w:rFonts w:ascii="Times New Roman" w:hAnsi="Times New Roman"/>
                <w:sz w:val="20"/>
              </w:rPr>
              <w:t>Saignements post-traumatiques ou post-chirurgicaux</w:t>
            </w:r>
          </w:p>
        </w:tc>
      </w:tr>
      <w:tr>
        <w:tc>
          <w:tcPr>
            <w:tcW w:type="dxa" w:w="2078"/>
          </w:tcPr>
          <w:p>
            <w:r>
              <w:rPr>
                <w:rFonts w:ascii="Times New Roman" w:hAnsi="Times New Roman"/>
                <w:sz w:val="20"/>
              </w:rPr>
              <w:t>Légère</w:t>
            </w:r>
          </w:p>
        </w:tc>
        <w:tc>
          <w:tcPr>
            <w:tcW w:type="dxa" w:w="2078"/>
          </w:tcPr>
          <w:p>
            <w:r>
              <w:rPr>
                <w:rFonts w:ascii="Times New Roman" w:hAnsi="Times New Roman"/>
                <w:sz w:val="20"/>
              </w:rPr>
              <w:t>5-40 UI/dL (0,05-0,40 UI/mL)</w:t>
            </w:r>
          </w:p>
        </w:tc>
        <w:tc>
          <w:tcPr>
            <w:tcW w:type="dxa" w:w="2078"/>
          </w:tcPr>
          <w:p>
            <w:r>
              <w:rPr>
                <w:rFonts w:ascii="Times New Roman" w:hAnsi="Times New Roman"/>
                <w:sz w:val="20"/>
              </w:rPr>
              <w:t>50-60 %</w:t>
            </w:r>
          </w:p>
        </w:tc>
        <w:tc>
          <w:tcPr>
            <w:tcW w:type="dxa" w:w="2078"/>
          </w:tcPr>
          <w:p>
            <w:r>
              <w:rPr>
                <w:rFonts w:ascii="Times New Roman" w:hAnsi="Times New Roman"/>
                <w:sz w:val="20"/>
              </w:rPr>
              <w:t>Saignements post-chirurgicaux majeurs ; diagnostic souvent tardif</w:t>
            </w:r>
          </w:p>
        </w:tc>
      </w:tr>
    </w:tbl>
    <w:p/>
    <w:p>
      <w:r>
        <w:t>L'hémophilie B légère représente une part plus importante que dans l'hémophilie A (où la forme sévère domine), ce qui suggère un meilleur diagnostic des formes modérées/ légères en raison de la plus longue demi-vie du FIX et d'un phénotype hémorragique souvent moins sévère à taux comparable.</w:t>
      </w:r>
    </w:p>
    <w:p>
      <w:pPr>
        <w:pStyle w:val="Heading3"/>
      </w:pPr>
      <w:r>
        <w:t>5. Particularités cliniques comparées à l'hémophilie A</w:t>
      </w:r>
    </w:p>
    <w:p>
      <w:r>
        <w:t>L'hémophilie B présente plusieurs particularités cliniques différentielles :</w:t>
      </w:r>
    </w:p>
    <w:p>
      <w:pPr>
        <w:pStyle w:val="ListNumber"/>
      </w:pPr>
      <w:r/>
      <w:r>
        <w:rPr>
          <w:b/>
        </w:rPr>
        <w:t>Sévérité moindre à taux égal</w:t>
      </w:r>
      <w:r>
        <w:t xml:space="preserve"> : à taux de facteur identique, l'hémophilie B semble cliniquement moins sévère que l'hémophilie A. Plusieurs hypothèses : la demi-vie plus longue du FIX maintient un taux résiduel protecteur plus longtemps, et la formation du complexe tenase FIXa-FVIIIa reste partiellement active même avec un taux faible de FIX.</w:t>
      </w:r>
    </w:p>
    <w:p>
      <w:pPr>
        <w:pStyle w:val="ListNumber"/>
      </w:pPr>
      <w:r/>
      <w:r>
        <w:rPr>
          <w:b/>
        </w:rPr>
        <w:t>Prédominance des hémarthroses</w:t>
      </w:r>
      <w:r>
        <w:t xml:space="preserve"> : comme pour l'hémophilie A, les hémarthroses des genoux, coudes et chevilles représentent 70-80 % des saignements, et l'arthropathie hémophilique reste la principale cause de morbidité au long cours.</w:t>
      </w:r>
    </w:p>
    <w:p>
      <w:pPr>
        <w:pStyle w:val="ListNumber"/>
      </w:pPr>
      <w:r/>
      <w:r>
        <w:rPr>
          <w:b/>
        </w:rPr>
        <w:t>Âge de la première hémarthrose</w:t>
      </w:r>
      <w:r>
        <w:t xml:space="preserve"> : en moyenne 2-3 ans (vs 1-2 ans dans l'hémophilie A sévère), expliquant un diagnostic parfois plus tardif.</w:t>
      </w:r>
    </w:p>
    <w:p>
      <w:pPr>
        <w:pStyle w:val="ListNumber"/>
      </w:pPr>
      <w:r/>
      <w:r>
        <w:rPr>
          <w:b/>
        </w:rPr>
        <w:t>Inhibiteurs moins fréquents mais plus graves</w:t>
      </w:r>
      <w:r>
        <w:t xml:space="preserve"> : ~1-3 % des hémophiles B sévères développent un inhibiteur anti-FIX, mais avec un risque d'anaphylaxie et de syndrome néphrotique unique en hématologie.</w:t>
      </w:r>
    </w:p>
    <w:p>
      <w:pPr>
        <w:pStyle w:val="Heading3"/>
      </w:pPr>
      <w:r>
        <w:t>6. Stratégies thérapeutiques</w:t>
      </w:r>
    </w:p>
    <w:p>
      <w:r>
        <w:t>Le traitement de l'hémophilie B repose sur :</w:t>
      </w:r>
    </w:p>
    <w:p>
      <w:pPr>
        <w:pStyle w:val="Heading4"/>
      </w:pPr>
      <w:r>
        <w:t>Traitement à la demande (on-demand)</w:t>
      </w:r>
    </w:p>
    <w:p>
      <w:pPr>
        <w:pStyle w:val="ListBullet"/>
      </w:pPr>
      <w:r>
        <w:t>Administration de FIX en cas de saignement aigu (hémarthrose, hématome, traumatisme).</w:t>
      </w:r>
    </w:p>
    <w:p>
      <w:pPr>
        <w:pStyle w:val="ListBullet"/>
      </w:pPr>
      <w:r>
        <w:t>Dose adaptée au type de saignement : 20-40 UI/kg pour hémarthrose simple, 30-50 UI/kg pour hématome musculaire, 60-80 UI/kg pour hémorragie digestive ou cérébrale.</w:t>
      </w:r>
    </w:p>
    <w:p>
      <w:pPr>
        <w:pStyle w:val="Heading4"/>
      </w:pPr>
      <w:r>
        <w:t>Prophylaxie</w:t>
      </w:r>
    </w:p>
    <w:p>
      <w:pPr>
        <w:pStyle w:val="ListBullet"/>
      </w:pPr>
      <w:r/>
      <w:r>
        <w:rPr>
          <w:b/>
        </w:rPr>
        <w:t>Prophylaxie primaire</w:t>
      </w:r>
      <w:r>
        <w:t xml:space="preserve"> : 25-40 UI/kg </w:t>
      </w:r>
      <w:r>
        <w:rPr>
          <w:b/>
        </w:rPr>
        <w:t>2x/semaine</w:t>
      </w:r>
      <w:r>
        <w:t xml:space="preserve"> (vs 3x/semaine pour FVIII) en raison de la demi-vie plus longue du FIX. Recommandation WFH 2020 pour tout hémophile B sévère.</w:t>
      </w:r>
    </w:p>
    <w:p>
      <w:pPr>
        <w:pStyle w:val="ListBullet"/>
      </w:pPr>
      <w:r/>
      <w:r>
        <w:rPr>
          <w:b/>
        </w:rPr>
        <w:t>Prophylaxie secondaire</w:t>
      </w:r>
      <w:r>
        <w:t xml:space="preserve"> : après 2-3 saignements articulaires récidivants.</w:t>
      </w:r>
    </w:p>
    <w:p>
      <w:pPr>
        <w:pStyle w:val="ListBullet"/>
      </w:pPr>
      <w:r/>
      <w:r>
        <w:rPr>
          <w:b/>
        </w:rPr>
        <w:t>Prophylaxie péri-opératoire</w:t>
      </w:r>
      <w:r>
        <w:t xml:space="preserve"> : maintien d'un taux de FIX ≥ 80-100 UI/dL pendant la chirurgie, puis ≥ 50 UI/dL pendant 7-14 jours post-opératoires (chirurgie majeure).</w:t>
      </w:r>
    </w:p>
    <w:p>
      <w:pPr>
        <w:pStyle w:val="Heading4"/>
      </w:pPr>
      <w:r>
        <w:t>EHL (Extended Half-Life) pour hémophilie B</w:t>
      </w:r>
    </w:p>
    <w:p>
      <w:pPr>
        <w:pStyle w:val="ListBullet"/>
      </w:pPr>
      <w:r/>
      <w:r>
        <w:rPr>
          <w:b/>
        </w:rPr>
        <w:t>Eftrenonacog alpha (ALPROLIX)</w:t>
      </w:r>
      <w:r>
        <w:t xml:space="preserve"> : rFIX-Fc fusion (fusion avec domaine Fc des IgG1), demi-vie ~82 h (vs ~18 h standard), prophylaxie 1x/semaine ou 1x/10 jours. </w:t>
      </w:r>
      <w:r>
        <w:rPr>
          <w:b/>
        </w:rPr>
        <w:t>Disponible en Algérie</w:t>
      </w:r>
      <w:r>
        <w:t xml:space="preserve"> (cf. fiche 232.7 — étiqueté à tort comme Facteur VIII dans la nomenclature algérienne).</w:t>
      </w:r>
    </w:p>
    <w:p>
      <w:pPr>
        <w:pStyle w:val="ListBullet"/>
      </w:pPr>
      <w:r/>
      <w:r>
        <w:rPr>
          <w:b/>
        </w:rPr>
        <w:t>Nonacog beta pegol (Rebinyn)</w:t>
      </w:r>
      <w:r>
        <w:t xml:space="preserve"> : rFIX-PEG, demi-vie ~93 h, non disponible en Algérie.</w:t>
      </w:r>
    </w:p>
    <w:p>
      <w:pPr>
        <w:pStyle w:val="ListBullet"/>
      </w:pPr>
      <w:r/>
      <w:r>
        <w:rPr>
          <w:b/>
        </w:rPr>
        <w:t>Albutrepenonacog alpha (Idelvion)</w:t>
      </w:r>
      <w:r>
        <w:t xml:space="preserve"> : rFIX-albumine fusion, demi-vie ~104 h (la plus longue jamais atteinte pour un facteur de coagulation), non disponible en Algérie.</w:t>
      </w:r>
    </w:p>
    <w:p>
      <w:pPr>
        <w:pStyle w:val="Heading4"/>
      </w:pPr>
      <w:r>
        <w:t>Nouvelles approches thérapeutiques (non disponibles en Algérie)</w:t>
      </w:r>
    </w:p>
    <w:p>
      <w:pPr>
        <w:pStyle w:val="ListBullet"/>
      </w:pPr>
      <w:r/>
      <w:r>
        <w:rPr>
          <w:b/>
        </w:rPr>
        <w:t>Fitusiran</w:t>
      </w:r>
      <w:r>
        <w:t xml:space="preserve"> : Ac anti-antithrombine (ARN interférent), phase III pour hémophilie A et B, avec ou sans inhibiteur.</w:t>
      </w:r>
    </w:p>
    <w:p>
      <w:pPr>
        <w:pStyle w:val="ListBullet"/>
      </w:pPr>
      <w:r/>
      <w:r>
        <w:rPr>
          <w:b/>
        </w:rPr>
        <w:t>Concizumab (Alhemo)</w:t>
      </w:r>
      <w:r>
        <w:t xml:space="preserve"> : Ac anti-TFPI (mAb), AMM EMA 2024 pour hémophilie A et B sans inhibiteur.</w:t>
      </w:r>
    </w:p>
    <w:p>
      <w:pPr>
        <w:pStyle w:val="ListBullet"/>
      </w:pPr>
      <w:r/>
      <w:r>
        <w:rPr>
          <w:b/>
        </w:rPr>
        <w:t>Marstacimab (Hympavzi)</w:t>
      </w:r>
      <w:r>
        <w:t xml:space="preserve"> : Ac anti-TFPI (mAb), AMM FDA 2024.</w:t>
      </w:r>
    </w:p>
    <w:p>
      <w:pPr>
        <w:pStyle w:val="ListBullet"/>
      </w:pPr>
      <w:r/>
      <w:r>
        <w:rPr>
          <w:b/>
        </w:rPr>
        <w:t>Thérapie génique</w:t>
      </w:r>
      <w:r>
        <w:t xml:space="preserve"> : </w:t>
      </w:r>
      <w:r>
        <w:rPr>
          <w:b/>
        </w:rPr>
        <w:t>Etranacogene dezaparvovec (Hemgenix)</w:t>
      </w:r>
      <w:r>
        <w:t xml:space="preserve"> — vecteur AAV5-FIX Padua (variant hyperactif p.Arg338Leu, activité ×8), AMM EMA 2022, AMM FDA 2022. Non disponible en Algérie.</w:t>
      </w:r>
    </w:p>
    <w:p>
      <w:pPr>
        <w:pStyle w:val="Heading3"/>
      </w:pPr>
      <w:r>
        <w:t>7. Hémophilie B avec inhibiteur</w:t>
      </w:r>
    </w:p>
    <w:p>
      <w:pPr>
        <w:pStyle w:val="ListBullet"/>
      </w:pPr>
      <w:r>
        <w:t xml:space="preserve">~1-3 % des hémophiles B sévères développent un </w:t>
      </w:r>
      <w:r>
        <w:rPr>
          <w:b/>
        </w:rPr>
        <w:t>inhibiteur anti-FIX</w:t>
      </w:r>
      <w:r>
        <w:t xml:space="preserve"> (Ac IgG dirigés contre le FIX exogène).</w:t>
      </w:r>
    </w:p>
    <w:p>
      <w:pPr>
        <w:pStyle w:val="ListBullet"/>
      </w:pPr>
      <w:r>
        <w:t xml:space="preserve">Le dépistage est par le </w:t>
      </w:r>
      <w:r>
        <w:rPr>
          <w:b/>
        </w:rPr>
        <w:t>test de Bethesda</w:t>
      </w:r>
      <w:r>
        <w:t xml:space="preserve"> (cf. fiche 232.5) : un titre ≥ 0,6 UB définit l'inhibiteur.</w:t>
      </w:r>
    </w:p>
    <w:p>
      <w:pPr>
        <w:pStyle w:val="ListBullet"/>
      </w:pPr>
      <w:r>
        <w:t xml:space="preserve">Particularité grave : </w:t>
      </w:r>
      <w:r>
        <w:rPr>
          <w:b/>
        </w:rPr>
        <w:t>anaphylaxie</w:t>
      </w:r>
      <w:r>
        <w:t xml:space="preserve"> lors de l'administration de FIX chez les patients avec délétion complète du gène F9 (~50 % des inhibitriseurs surviennent après une anaphylaxie inaugurale).</w:t>
      </w:r>
    </w:p>
    <w:p>
      <w:pPr>
        <w:pStyle w:val="ListBullet"/>
      </w:pPr>
      <w:r/>
      <w:r>
        <w:rPr>
          <w:b/>
        </w:rPr>
        <w:t>Syndrome néphrotique</w:t>
      </w:r>
      <w:r>
        <w:t xml:space="preserve"> : complication immunologique (immuns complexes fixant le complément au niveau glomérulaire) survenant en cas d'ITI (immunotolerance induction) — </w:t>
      </w:r>
      <w:r>
        <w:rPr>
          <w:b/>
        </w:rPr>
        <w:t>contre-indiquant l'ITI</w:t>
      </w:r>
      <w:r>
        <w:t xml:space="preserve"> chez l'hémophile B avec inhibiteur.</w:t>
      </w:r>
    </w:p>
    <w:p>
      <w:pPr>
        <w:pStyle w:val="ListBullet"/>
      </w:pPr>
      <w:r>
        <w:t xml:space="preserve">Traitement des saignements chez patient avec inhibiteur anti-FIX : </w:t>
      </w:r>
      <w:r>
        <w:rPr>
          <w:b/>
        </w:rPr>
        <w:t>by-passing agents</w:t>
      </w:r>
      <w:r>
        <w:t xml:space="preserve"> uniquement — rFVIIa (eptacog alfa, NovoSeven, 90 µg/kg toutes les 2 h) ou FEIBA (50-100 U°/kg toutes les 8-12 h). Le FIX est inefficace.</w:t>
      </w:r>
    </w:p>
    <w:p>
      <w:pPr>
        <w:pStyle w:val="ListBullet"/>
      </w:pPr>
      <w:r/>
      <w:r>
        <w:rPr>
          <w:b/>
        </w:rPr>
        <w:t>Emicizumab (Hemlibra)</w:t>
      </w:r>
      <w:r>
        <w:t xml:space="preserve"> : Ac bi-spécifique anti-FIXa/FX (mime l'activité du FVIIIa, pas du FIXa), en sous-cutané hebdomadaire (1,5 mg/kg/sem), révolution thérapeutique pour les hémophiles A avec inhibiteur mais aussi en prophylaxie de l'hémophilie A sans inhibiteur ; non disponible en Algérie.</w:t>
      </w:r>
    </w:p>
    <w:p>
      <w:pPr>
        <w:pStyle w:val="Heading3"/>
      </w:pPr>
      <w:r>
        <w:t>8. Référentiels et recommandations applicables en Algérie</w:t>
      </w:r>
    </w:p>
    <w:p>
      <w:r>
        <w:t>Les recommandations de référence pour la prise en charge de l'hémophilie B en Algérie sont :</w:t>
      </w:r>
    </w:p>
    <w:p>
      <w:pPr>
        <w:pStyle w:val="ListBullet"/>
      </w:pPr>
      <w:r/>
      <w:r>
        <w:rPr>
          <w:b/>
        </w:rPr>
        <w:t>WFH Guidelines for the Management of Hemophilia</w:t>
      </w:r>
      <w:r>
        <w:t>, 3rd edition (2020).</w:t>
      </w:r>
    </w:p>
    <w:p>
      <w:pPr>
        <w:pStyle w:val="ListBullet"/>
      </w:pPr>
      <w:r/>
      <w:r>
        <w:rPr>
          <w:b/>
        </w:rPr>
        <w:t>EHC Principles of Care</w:t>
      </w:r>
      <w:r>
        <w:t xml:space="preserve"> (2021 update).</w:t>
      </w:r>
    </w:p>
    <w:p>
      <w:pPr>
        <w:pStyle w:val="ListBullet"/>
      </w:pPr>
      <w:r/>
      <w:r>
        <w:rPr>
          <w:b/>
        </w:rPr>
        <w:t>SFH (Société Française d'Hémostase et de Thrombose)</w:t>
      </w:r>
      <w:r>
        <w:t xml:space="preserve"> — recommandations pratiques.</w:t>
      </w:r>
    </w:p>
    <w:p>
      <w:pPr>
        <w:pStyle w:val="ListBullet"/>
      </w:pPr>
      <w:r/>
      <w:r>
        <w:rPr>
          <w:b/>
        </w:rPr>
        <w:t>HAS (Haute Autorité de Santé)</w:t>
      </w:r>
      <w:r>
        <w:t xml:space="preserve"> — avis de la Commission de la Transparence pour chaque spécialité.</w:t>
      </w:r>
    </w:p>
    <w:p>
      <w:pPr>
        <w:pStyle w:val="ListBullet"/>
      </w:pPr>
      <w:r/>
      <w:r>
        <w:rPr>
          <w:b/>
        </w:rPr>
        <w:t>CRAT</w:t>
      </w:r>
      <w:r>
        <w:t xml:space="preserve"> (Centre de Renseignement sur les Agents Tératogènes) — fiches grossesse-allaitement.</w:t>
      </w:r>
    </w:p>
    <w:p>
      <w:pPr>
        <w:pStyle w:val="ListBullet"/>
      </w:pPr>
      <w:r/>
      <w:r>
        <w:rPr>
          <w:b/>
        </w:rPr>
        <w:t>Société Algérienne d'Hémostase et de Thrombose (SAHT)</w:t>
      </w:r>
      <w:r>
        <w:t xml:space="preserve"> — recommandations nationales.</w:t>
      </w:r>
    </w:p>
    <w:p>
      <w:pPr>
        <w:pStyle w:val="ListBullet"/>
      </w:pPr>
      <w:r/>
      <w:r>
        <w:rPr>
          <w:b/>
        </w:rPr>
        <w:t>Centre National Transfusionnel et d'Hémobiologie (CNTH)</w:t>
      </w:r>
      <w:r>
        <w:t xml:space="preserve"> — protocoles algériens.</w:t>
      </w:r>
    </w:p>
    <w:p>
      <w:pPr>
        <w:pStyle w:val="Heading2"/>
      </w:pPr>
      <w:r>
        <w:t>233.1. DCI : Nonacog alpha</w:t>
      </w:r>
    </w:p>
    <w:p>
      <w:pPr>
        <w:pStyle w:val="Heading3"/>
      </w:pPr>
      <w:r>
        <w:t>Sous-section 1 — Liste des catégories thérapeutiques</w:t>
      </w:r>
    </w:p>
    <w:p>
      <w:pPr>
        <w:pStyle w:val="ListBullet"/>
      </w:pPr>
      <w:r/>
      <w:r>
        <w:rPr>
          <w:b/>
        </w:rPr>
        <w:t>Code ATC</w:t>
      </w:r>
      <w:r>
        <w:t xml:space="preserve"> : </w:t>
      </w:r>
      <w:r>
        <w:rPr>
          <w:b/>
        </w:rPr>
        <w:t>B02BD04</w:t>
      </w:r>
      <w:r>
        <w:t xml:space="preserve"> (premier rFIX enregistré historiquement) — Nonacog alfa ; pour rappel, le code ATC des autres rFIX EHL est B02BD05 (nonacog beta pegol) et B02BD10 (eftrenonacog alpha).</w:t>
      </w:r>
    </w:p>
    <w:p>
      <w:pPr>
        <w:pStyle w:val="ListBullet"/>
      </w:pPr>
      <w:r/>
      <w:r>
        <w:rPr>
          <w:b/>
        </w:rPr>
        <w:t>Classe pharmacologique</w:t>
      </w:r>
      <w:r>
        <w:t xml:space="preserve"> : facteur antihémophilique B recombinant (rFIX de première génération, standard half-life).</w:t>
      </w:r>
    </w:p>
    <w:p>
      <w:pPr>
        <w:pStyle w:val="ListBullet"/>
      </w:pPr>
      <w:r/>
      <w:r>
        <w:rPr>
          <w:b/>
        </w:rPr>
        <w:t>Statut réglementaire Algérie</w:t>
      </w:r>
      <w:r>
        <w:t xml:space="preserve"> : Liste I (substance vénéneuse), prescription réservée aux médecins spécialistes en hématologie ou pédiatrie avec formation à l'hémophilie, délivrance hospitalière (PUI) principalement.</w:t>
      </w:r>
    </w:p>
    <w:p>
      <w:pPr>
        <w:pStyle w:val="ListBullet"/>
      </w:pPr>
      <w:r/>
      <w:r>
        <w:rPr>
          <w:b/>
        </w:rPr>
        <w:t>Statut OMS</w:t>
      </w:r>
      <w:r>
        <w:t xml:space="preserve"> : médicament essentiel (Model List of Essential Medicines 22nd edition, 2021, section « Antihemorrhagic medicines — Factor IX »).</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(Centre National de Pharmacovigilance algérien) + registre international des PSS.</w:t>
      </w:r>
    </w:p>
    <w:p>
      <w:pPr>
        <w:pStyle w:val="ListBullet"/>
      </w:pPr>
      <w:r/>
      <w:r>
        <w:rPr>
          <w:b/>
        </w:rPr>
        <w:t>Disponibilité en Algérie</w:t>
      </w:r>
      <w:r>
        <w:t xml:space="preserve"> : deux spécialités commerciales — BENEFIX (Pfizer Europe MA EEIG, importé) et INNONAFACTOR (Groupe SAIDAL — production locale algérienne, fierté nationale).</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BENEFIX 1000 UI</w:t>
            </w:r>
          </w:p>
        </w:tc>
        <w:tc>
          <w:tcPr>
            <w:tcW w:type="dxa" w:w="1385"/>
          </w:tcPr>
          <w:p>
            <w:r>
              <w:rPr>
                <w:rFonts w:ascii="Times New Roman" w:hAnsi="Times New Roman"/>
                <w:sz w:val="20"/>
              </w:rPr>
              <w:t>Pfizer Europe MA EEIG (Belgique)</w:t>
            </w:r>
          </w:p>
        </w:tc>
        <w:tc>
          <w:tcPr>
            <w:tcW w:type="dxa" w:w="1385"/>
          </w:tcPr>
          <w:p>
            <w:r>
              <w:rPr>
                <w:rFonts w:ascii="Times New Roman" w:hAnsi="Times New Roman"/>
                <w:sz w:val="20"/>
              </w:rPr>
              <w:t>Poudre et solvant pour solution injectable IV, 1000 UI/flacon de poudre</w:t>
            </w:r>
          </w:p>
        </w:tc>
        <w:tc>
          <w:tcPr>
            <w:tcW w:type="dxa" w:w="1385"/>
          </w:tcPr>
          <w:p>
            <w:r>
              <w:rPr>
                <w:rFonts w:ascii="Times New Roman" w:hAnsi="Times New Roman"/>
                <w:sz w:val="20"/>
              </w:rPr>
              <w:t>Boîte de 1 flacon de poudre + 1 flacon de solvant</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BENEFIX 2000 UI</w:t>
            </w:r>
          </w:p>
        </w:tc>
        <w:tc>
          <w:tcPr>
            <w:tcW w:type="dxa" w:w="1385"/>
          </w:tcPr>
          <w:p>
            <w:r>
              <w:rPr>
                <w:rFonts w:ascii="Times New Roman" w:hAnsi="Times New Roman"/>
                <w:sz w:val="20"/>
              </w:rPr>
              <w:t>Pfizer Europe MA EEIG (Belgique)</w:t>
            </w:r>
          </w:p>
        </w:tc>
        <w:tc>
          <w:tcPr>
            <w:tcW w:type="dxa" w:w="1385"/>
          </w:tcPr>
          <w:p>
            <w:r>
              <w:rPr>
                <w:rFonts w:ascii="Times New Roman" w:hAnsi="Times New Roman"/>
                <w:sz w:val="20"/>
              </w:rPr>
              <w:t>Poudre et solvant pour solution injectable IV, 2000 UI/flacon de poudre</w:t>
            </w:r>
          </w:p>
        </w:tc>
        <w:tc>
          <w:tcPr>
            <w:tcW w:type="dxa" w:w="1385"/>
          </w:tcPr>
          <w:p>
            <w:r>
              <w:rPr>
                <w:rFonts w:ascii="Times New Roman" w:hAnsi="Times New Roman"/>
                <w:sz w:val="20"/>
              </w:rPr>
              <w:t>Boîte de 1</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INNONAFACTOR 500 UI</w:t>
            </w:r>
          </w:p>
        </w:tc>
        <w:tc>
          <w:tcPr>
            <w:tcW w:type="dxa" w:w="1385"/>
          </w:tcPr>
          <w:p>
            <w:r>
              <w:rPr>
                <w:rFonts w:ascii="Times New Roman" w:hAnsi="Times New Roman"/>
                <w:sz w:val="20"/>
              </w:rPr>
              <w:t>Groupe SAIDAL (Algérie) — production locale</w:t>
            </w:r>
          </w:p>
        </w:tc>
        <w:tc>
          <w:tcPr>
            <w:tcW w:type="dxa" w:w="1385"/>
          </w:tcPr>
          <w:p>
            <w:r>
              <w:rPr>
                <w:rFonts w:ascii="Times New Roman" w:hAnsi="Times New Roman"/>
                <w:sz w:val="20"/>
              </w:rPr>
              <w:t>Lyophilisat pour solution injectable par voie IV, 500 UI</w:t>
            </w:r>
          </w:p>
        </w:tc>
        <w:tc>
          <w:tcPr>
            <w:tcW w:type="dxa" w:w="1385"/>
          </w:tcPr>
          <w:p>
            <w:r>
              <w:rPr>
                <w:rFonts w:ascii="Times New Roman" w:hAnsi="Times New Roman"/>
                <w:sz w:val="20"/>
              </w:rPr>
              <w:t>Boîte de 1 flacon de lyophilisat + 1 flacon de 5 mL de solvant (eau pour préparations injectables)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INNONAFACTOR 1000 UI</w:t>
            </w:r>
          </w:p>
        </w:tc>
        <w:tc>
          <w:tcPr>
            <w:tcW w:type="dxa" w:w="1385"/>
          </w:tcPr>
          <w:p>
            <w:r>
              <w:rPr>
                <w:rFonts w:ascii="Times New Roman" w:hAnsi="Times New Roman"/>
                <w:sz w:val="20"/>
              </w:rPr>
              <w:t>Groupe SAIDAL (Algérie) — production locale</w:t>
            </w:r>
          </w:p>
        </w:tc>
        <w:tc>
          <w:tcPr>
            <w:tcW w:type="dxa" w:w="1385"/>
          </w:tcPr>
          <w:p>
            <w:r>
              <w:rPr>
                <w:rFonts w:ascii="Times New Roman" w:hAnsi="Times New Roman"/>
                <w:sz w:val="20"/>
              </w:rPr>
              <w:t>Poudre et solvant pour solution injectable IV, 1000 UI</w:t>
            </w:r>
          </w:p>
        </w:tc>
        <w:tc>
          <w:tcPr>
            <w:tcW w:type="dxa" w:w="1385"/>
          </w:tcPr>
          <w:p>
            <w:r>
              <w:rPr>
                <w:rFonts w:ascii="Times New Roman" w:hAnsi="Times New Roman"/>
                <w:sz w:val="20"/>
              </w:rPr>
              <w:t>Boîte de 1 flacon de lyophilisat + 1 flacon de 10 mL de solvant (eau pour préparations injectables)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nationale</w:t>
      </w:r>
      <w:r>
        <w:t xml:space="preserve"> : la production locale algérienne par </w:t>
      </w:r>
      <w:r>
        <w:rPr>
          <w:b/>
        </w:rPr>
        <w:t>SAIDAL</w:t>
      </w:r>
      <w:r>
        <w:t xml:space="preserve"> du rFIX sous la marque INNONAFACTOR constitue une avancée majeure en matière de souveraineté pharmaceutique. Ce médicament biosimilaire du BENEFIX (Pfizer) est fabriqué à partir de cellules CHO (Chinese Hamster Ovary) recombinantes selon un procédé technologique transféré à SAIDAL. Les prix publics algériens sont significativement inférieurs au BENEFIX importé (environ 40 % moins cher), ce qui améliore l'accès des patients hémophiles B algériens au traitement de référence. La traçabilité nominative est obligatoire et tous les lots sont soumis à un contrôle qualité interne (CNTS).</w:t>
      </w:r>
    </w:p>
    <w:p>
      <w:pPr>
        <w:pStyle w:val="Heading3"/>
      </w:pPr>
      <w:r>
        <w:t>Sous-section 3 — Sous-classe et mécanisme d'action moléculaire</w:t>
      </w:r>
    </w:p>
    <w:p>
      <w:r/>
      <w:r>
        <w:rPr>
          <w:b/>
        </w:rPr>
        <w:t>Sous-classe pharmacologique</w:t>
      </w:r>
      <w:r>
        <w:t xml:space="preserve"> : B02BD04 — Facteur IX recombinant (nonacog alfa), première génération de rFIX standard half-life (SHL). À ne pas confondre avec les EHL (B02BD05 = nonacog beta pegol, B02BD10 = eftrenonog alpha rFIX-Fc, B02BDxx = albutrepenonacog alpha rFIX-albumine).</w:t>
      </w:r>
    </w:p>
    <w:p>
      <w:r/>
      <w:r>
        <w:rPr>
          <w:b/>
        </w:rPr>
        <w:t>Structure moléculaire</w:t>
      </w:r>
      <w:r>
        <w:t xml:space="preserve"> :</w:t>
      </w:r>
    </w:p>
    <w:p>
      <w:pPr>
        <w:pStyle w:val="ListBullet"/>
      </w:pPr>
      <w:r>
        <w:t xml:space="preserve">Le nonacog alfa est une protéine recombinante de </w:t>
      </w:r>
      <w:r>
        <w:rPr>
          <w:b/>
        </w:rPr>
        <w:t>415 acides aminés</w:t>
      </w:r>
      <w:r>
        <w:t xml:space="preserve"> (52 kDa après clivage du peptide signal et du propeptide), produite en </w:t>
      </w:r>
      <w:r>
        <w:rPr>
          <w:b/>
        </w:rPr>
        <w:t>cellules CHO (Chinese Hamster Ovary)</w:t>
      </w:r>
      <w:r>
        <w:t xml:space="preserve"> génétiquement modifiées par transfection du gène F9 humain. La séquence en acides aminés est </w:t>
      </w:r>
      <w:r>
        <w:rPr>
          <w:b/>
        </w:rPr>
        <w:t>identique à la séquence du FIX humain natif</w:t>
      </w:r>
      <w:r>
        <w:t xml:space="preserve"> (Ala148-Thr415 pour la chaîne lourde + Glu147-Arg148 pour le site d'activation).</w:t>
      </w:r>
    </w:p>
    <w:p>
      <w:pPr>
        <w:pStyle w:val="ListBullet"/>
      </w:pPr>
      <w:r/>
      <w:r>
        <w:rPr>
          <w:b/>
        </w:rPr>
        <w:t>Post-traduction</w:t>
      </w:r>
      <w:r>
        <w:t xml:space="preserve"> : la protéine subit dans la cellule CHO les modifications post-traductionnelles critiques pour son activité : </w:t>
      </w:r>
      <w:r>
        <w:rPr>
          <w:b/>
        </w:rPr>
        <w:t>γ-carboxylation</w:t>
      </w:r>
      <w:r>
        <w:t xml:space="preserve"> des 12 premiers résidus d'acide glutamique (Gla domain, indispensable pour la fixation Ca²⁺-phospholipides), </w:t>
      </w:r>
      <w:r>
        <w:rPr>
          <w:b/>
        </w:rPr>
        <w:t>β-hydroxylation</w:t>
      </w:r>
      <w:r>
        <w:t xml:space="preserve"> de l'Asp64, </w:t>
      </w:r>
      <w:r>
        <w:rPr>
          <w:b/>
        </w:rPr>
        <w:t>N- et O-glycosylation</w:t>
      </w:r>
      <w:r>
        <w:t xml:space="preserve"> multiples, </w:t>
      </w:r>
      <w:r>
        <w:rPr>
          <w:b/>
        </w:rPr>
        <w:t>sulfatation</w:t>
      </w:r>
      <w:r>
        <w:t xml:space="preserve"> des Tyr residues, </w:t>
      </w:r>
      <w:r>
        <w:rPr>
          <w:b/>
        </w:rPr>
        <w:t>phosphorylation</w:t>
      </w:r>
      <w:r>
        <w:t xml:space="preserve"> de Ser residues. Ces modifications sont </w:t>
      </w:r>
      <w:r>
        <w:rPr>
          <w:b/>
        </w:rPr>
        <w:t>partiellement incomplètes</w:t>
      </w:r>
      <w:r>
        <w:t xml:space="preserve"> dans la cellule CHO (γ-carboxylation de ~50-70 % des résidus Glu vs ~95 % dans l'hépatocyte humain), ce qui explique un </w:t>
      </w:r>
      <w:r>
        <w:rPr>
          <w:b/>
        </w:rPr>
        <w:t>récovery plus faible</w:t>
      </w:r>
      <w:r>
        <w:t xml:space="preserve"> que le pdFIX (cf. sous-section 8).</w:t>
      </w:r>
    </w:p>
    <w:p>
      <w:pPr>
        <w:pStyle w:val="ListBullet"/>
      </w:pPr>
      <w:r/>
      <w:r>
        <w:rPr>
          <w:b/>
        </w:rPr>
        <w:t>Stabilisateurs</w:t>
      </w:r>
      <w:r>
        <w:t xml:space="preserve"> : saccharose, polysorbate 80, L-histidine, glycine — pas d'albumine ajoutée (sécurité prion animale).</w:t>
      </w:r>
    </w:p>
    <w:p>
      <w:r/>
      <w:r>
        <w:rPr>
          <w:b/>
        </w:rPr>
        <w:t>Mécanisme d'action</w:t>
      </w:r>
      <w:r>
        <w:t xml:space="preserve"> :</w:t>
      </w:r>
    </w:p>
    <w:p>
      <w:pPr>
        <w:pStyle w:val="ListBullet"/>
      </w:pPr>
      <w:r>
        <w:t>Le nonacog alfa administré par voie IV se comporte comme le FIX endogène.</w:t>
      </w:r>
    </w:p>
    <w:p>
      <w:pPr>
        <w:pStyle w:val="ListBullet"/>
      </w:pPr>
      <w:r>
        <w:t xml:space="preserve">Le FIX est </w:t>
      </w:r>
      <w:r>
        <w:rPr>
          <w:b/>
        </w:rPr>
        <w:t>activé en FIXa</w:t>
      </w:r>
      <w:r>
        <w:t xml:space="preserve"> par le complexe FT-FVIIa (voie extrinsèque) ou par le FXIa (voie intrinsèque), par clivage protéolytique aux sites Arg145-Ala146 et Arg180-Val181.</w:t>
      </w:r>
    </w:p>
    <w:p>
      <w:pPr>
        <w:pStyle w:val="ListBullet"/>
      </w:pPr>
      <w:r>
        <w:t xml:space="preserve">Le </w:t>
      </w:r>
      <w:r>
        <w:rPr>
          <w:b/>
        </w:rPr>
        <w:t>FIXa</w:t>
      </w:r>
      <w:r>
        <w:t xml:space="preserve"> se lie au </w:t>
      </w:r>
      <w:r>
        <w:rPr>
          <w:b/>
        </w:rPr>
        <w:t>FVIIIa</w:t>
      </w:r>
      <w:r>
        <w:t xml:space="preserve"> (lui-même activé par la thrombine), au </w:t>
      </w:r>
      <w:r>
        <w:rPr>
          <w:b/>
        </w:rPr>
        <w:t>Ca²⁺</w:t>
      </w:r>
      <w:r>
        <w:t xml:space="preserve"> et aux </w:t>
      </w:r>
      <w:r>
        <w:rPr>
          <w:b/>
        </w:rPr>
        <w:t>phospholipides plaquettaires</w:t>
      </w:r>
      <w:r>
        <w:t xml:space="preserve"> pour former le </w:t>
      </w:r>
      <w:r>
        <w:rPr>
          <w:b/>
        </w:rPr>
        <w:t>complexe tenase intrinsèque</w:t>
      </w:r>
      <w:r>
        <w:t>.</w:t>
      </w:r>
    </w:p>
    <w:p>
      <w:pPr>
        <w:pStyle w:val="ListBullet"/>
      </w:pPr>
      <w:r>
        <w:t>Ce complexe active le Facteur X (FX) → FXa à un taux ~10⁶ fois supérieur à FIXa seul.</w:t>
      </w:r>
    </w:p>
    <w:p>
      <w:pPr>
        <w:pStyle w:val="ListBullet"/>
      </w:pPr>
      <w:r>
        <w:t>Le FXa + FVa + Ca²⁺ + phospholipides forme le complexe prothrombinase qui convertit la prothrombine (FII) en thrombine (FIIa).</w:t>
      </w:r>
    </w:p>
    <w:p>
      <w:pPr>
        <w:pStyle w:val="ListBullet"/>
      </w:pPr>
      <w:r>
        <w:t>La thrombine (FIIa) convertit le fibrinogène (FI) en fibrine (FIa), active le FXIII (stabilisation du caillot), et active les plaquettes (via PAR-1 et PAR-4).</w:t>
      </w:r>
    </w:p>
    <w:p>
      <w:r/>
      <w:r>
        <w:rPr>
          <w:b/>
        </w:rPr>
        <w:t>Effet pharmacodynamique</w:t>
      </w:r>
      <w:r>
        <w:t xml:space="preserve"> :</w:t>
      </w:r>
    </w:p>
    <w:p>
      <w:pPr>
        <w:pStyle w:val="ListBullet"/>
      </w:pPr>
      <w:r>
        <w:t xml:space="preserve">L'administration IV de 1 UI/kg de rFIX standard augmente la FIX:C circulante d'environ </w:t>
      </w:r>
      <w:r>
        <w:rPr>
          <w:b/>
        </w:rPr>
        <w:t>0,8 UI/dL (récovery moyen ≈ 0,8 UI/dL/UI/kg)</w:t>
      </w:r>
      <w:r>
        <w:t>, soit significativement inférieur au FVIII (~2 UI/dL/UI/kg). Cette particularité impose une dose plus élevée (UI/kg) pour atteindre le même pourcentage d'augmentation du facteur.</w:t>
      </w:r>
    </w:p>
    <w:p>
      <w:pPr>
        <w:pStyle w:val="ListBullet"/>
      </w:pPr>
      <w:r>
        <w:t xml:space="preserve">La </w:t>
      </w:r>
      <w:r>
        <w:rPr>
          <w:b/>
        </w:rPr>
        <w:t>demi-vie plasmatique moyenne</w:t>
      </w:r>
      <w:r>
        <w:t xml:space="preserve"> est de </w:t>
      </w:r>
      <w:r>
        <w:rPr>
          <w:b/>
        </w:rPr>
        <w:t>18-24 heures</w:t>
      </w:r>
      <w:r>
        <w:t xml:space="preserve"> (vs 8-12 h pour le rFVIII), ce qui autorise une prophylaxie 2x/semaine (vs 3x/semaine pour FVIII).</w:t>
      </w:r>
    </w:p>
    <w:p>
      <w:pPr>
        <w:pStyle w:val="ListBullet"/>
      </w:pPr>
      <w:r>
        <w:t>Le TCA se corrige après administration ; le TP reste inchangé.</w:t>
      </w:r>
    </w:p>
    <w:p>
      <w:r/>
      <w:r>
        <w:rPr>
          <w:b/>
        </w:rPr>
        <w:t>Comparaison rFIX (nonacog alfa) vs pdFIX</w:t>
      </w:r>
      <w:r>
        <w:t xml:space="preserve"> :</w:t>
      </w:r>
    </w:p>
    <w:p>
      <w:pPr>
        <w:pStyle w:val="ListBullet"/>
      </w:pPr>
      <w:r>
        <w:t>Le pdFIX (IMMUNINE, HEAMONINE) contient des protéines plasmatiques résiduelles et du VWF en quantité variable, ce qui peut améliorer la stabilité du FIX mais augmente le risque allergique et thrombotique.</w:t>
      </w:r>
    </w:p>
    <w:p>
      <w:pPr>
        <w:pStyle w:val="ListBullet"/>
      </w:pPr>
      <w:r>
        <w:t>Le rFIX ne contient aucune protéine plasmatique, donc sécurité virale optimale mais γ-carboxylation partielle → récovery plus faible.</w:t>
      </w:r>
    </w:p>
    <w:p>
      <w:pPr>
        <w:pStyle w:val="ListBullet"/>
      </w:pPr>
      <w:r>
        <w:t>Le choix entre rFIX et pdFIX dépend du profil patient (cf. sous-section 9).</w:t>
      </w:r>
    </w:p>
    <w:p>
      <w:pPr>
        <w:pStyle w:val="Heading3"/>
      </w:pPr>
      <w:r>
        <w:t>Sous-section 4 — Profil pharmacologique : indications, contre-indications, effets indésirables</w:t>
      </w:r>
    </w:p>
    <w:p>
      <w:pPr>
        <w:pStyle w:val="Heading4"/>
      </w:pPr>
      <w:r>
        <w:t>Indications validées (RCP)</w:t>
      </w:r>
    </w:p>
    <w:p>
      <w:pPr>
        <w:pStyle w:val="ListNumber"/>
      </w:pPr>
      <w:r/>
      <w:r>
        <w:rPr>
          <w:b/>
        </w:rPr>
        <w:t>Hémophilie B constitutionnelle</w:t>
      </w:r>
      <w:r>
        <w:t xml:space="preserve"> (sévère, modérée, légère) :</w:t>
      </w:r>
    </w:p>
    <w:p>
      <w:pPr>
        <w:pStyle w:val="ListBullet"/>
      </w:pPr>
      <w:r/>
      <w:r>
        <w:rPr>
          <w:b/>
        </w:rPr>
        <w:t>Traitement prophylactique</w:t>
      </w:r>
      <w:r>
        <w:t xml:space="preserve"> primaire ou secondaire (prévention des saignements).</w:t>
      </w:r>
    </w:p>
    <w:p>
      <w:pPr>
        <w:pStyle w:val="ListBullet"/>
      </w:pPr>
      <w:r/>
      <w:r>
        <w:rPr>
          <w:b/>
        </w:rPr>
        <w:t>Traitement à la demande</w:t>
      </w:r>
      <w:r>
        <w:t xml:space="preserve"> des saignements aigus (hémarthrose, hématome, hémorragie interne, épistaxis, hématurie, hémorragie cérébrale).</w:t>
      </w:r>
    </w:p>
    <w:p>
      <w:pPr>
        <w:pStyle w:val="ListBullet"/>
      </w:pPr>
      <w:r/>
      <w:r>
        <w:rPr>
          <w:b/>
        </w:rPr>
        <w:t>Couverture chirurgicale</w:t>
      </w:r>
      <w:r>
        <w:t xml:space="preserve"> (chirurgie programmée ou urgente).</w:t>
      </w:r>
    </w:p>
    <w:p>
      <w:pPr>
        <w:pStyle w:val="ListNumber"/>
      </w:pPr>
      <w:r/>
      <w:r>
        <w:rPr>
          <w:b/>
        </w:rPr>
        <w:t>Hémophilie B acquise</w:t>
      </w:r>
      <w:r>
        <w:t xml:space="preserve"> (auto-anticorps anti-FIX) — rare, traitement des saignements.</w:t>
      </w:r>
    </w:p>
    <w:p>
      <w:pPr>
        <w:pStyle w:val="ListNumber"/>
      </w:pPr>
      <w:r/>
      <w:r>
        <w:rPr>
          <w:b/>
        </w:rPr>
        <w:t>Couverture péri-partum</w:t>
      </w:r>
      <w:r>
        <w:t xml:space="preserve"> des femmes conductrices symptomatiques ou hémophiles B légères (prévention HPP).</w:t>
      </w:r>
    </w:p>
    <w:p>
      <w:pPr>
        <w:pStyle w:val="Heading4"/>
      </w:pPr>
      <w:r>
        <w:t>Contre-indications absolues</w:t>
      </w:r>
    </w:p>
    <w:p>
      <w:pPr>
        <w:pStyle w:val="ListNumber"/>
      </w:pPr>
      <w:r/>
      <w:r>
        <w:rPr>
          <w:b/>
        </w:rPr>
        <w:t>Hypersensibilité avérée</w:t>
      </w:r>
      <w:r>
        <w:t xml:space="preserve"> au nonacog alfa, aux protéines de hamster (cellules CHO), ou à l'un des excipients (saccharose, polysorbate 80, L-histidine, glycine).</w:t>
      </w:r>
    </w:p>
    <w:p>
      <w:pPr>
        <w:pStyle w:val="ListNumber"/>
      </w:pPr>
      <w:r/>
      <w:r>
        <w:rPr>
          <w:b/>
        </w:rPr>
        <w:t>Inhibiteur anti-FIX de haut titre (≥ 5 UB)</w:t>
      </w:r>
      <w:r>
        <w:t xml:space="preserve"> non contrôlé : inefficacité attendue du rFIX (utiliser plutôt by-passing agents : rFVIIa, FEIBA).</w:t>
      </w:r>
    </w:p>
    <w:p>
      <w:pPr>
        <w:pStyle w:val="ListNumber"/>
      </w:pPr>
      <w:r/>
      <w:r>
        <w:rPr>
          <w:b/>
        </w:rPr>
        <w:t>Antécédent d'anaphylaxie au pdFIX ou au rFIX</w:t>
      </w:r>
      <w:r>
        <w:t xml:space="preserve"> : contre-indication définitive (préférer by-passing agents en urgence).</w:t>
      </w:r>
    </w:p>
    <w:p>
      <w:pPr>
        <w:pStyle w:val="Heading4"/>
      </w:pPr>
      <w:r>
        <w:t>Contre-indications relatives</w:t>
      </w:r>
    </w:p>
    <w:p>
      <w:pPr>
        <w:pStyle w:val="ListNumber"/>
      </w:pPr>
      <w:r/>
      <w:r>
        <w:rPr>
          <w:b/>
        </w:rPr>
        <w:t>Allaitement</w:t>
      </w:r>
      <w:r>
        <w:t xml:space="preserve"> : pas de CI formelle (données CRAT limitées mais rassurantes).</w:t>
      </w:r>
    </w:p>
    <w:p>
      <w:pPr>
        <w:pStyle w:val="ListNumber"/>
      </w:pPr>
      <w:r/>
      <w:r>
        <w:rPr>
          <w:b/>
        </w:rPr>
        <w:t>Grossesse</w:t>
      </w:r>
      <w:r>
        <w:t xml:space="preserve"> : utilisable si nécessaire (CRAT).</w:t>
      </w:r>
    </w:p>
    <w:p>
      <w:pPr>
        <w:pStyle w:val="ListNumber"/>
      </w:pPr>
      <w:r/>
      <w:r>
        <w:rPr>
          <w:b/>
        </w:rPr>
        <w:t>Patients IgA-déficients avec anticorps anti-IgA</w:t>
      </w:r>
      <w:r>
        <w:t xml:space="preserve"> : risque accru d'anaphylaxie (plus marqué avec pdFIX mais à surveiller aussi avec rFIX).</w:t>
      </w:r>
    </w:p>
    <w:p>
      <w:pPr>
        <w:pStyle w:val="ListNumber"/>
      </w:pPr>
      <w:r/>
      <w:r>
        <w:rPr>
          <w:b/>
        </w:rPr>
        <w:t>Patients avec délétion complète du gène F9</w:t>
      </w:r>
      <w:r>
        <w:t xml:space="preserve"> : risque majeur d'inhibiteur et d'anaphylaxie — administration surveillée en milieu hospitalier (réanimateur présent) chez les patients naïfs non testés.</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 (phlébite superficielle).</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particulièrement chez les patients avec délétion complète du gène F9 (~30-50 % d'entre eux développent un inhibiteur avec anaphylaxie inaugurale).</w:t>
      </w:r>
    </w:p>
    <w:p>
      <w:pPr>
        <w:pStyle w:val="ListBullet"/>
      </w:pPr>
      <w:r/>
      <w:r>
        <w:rPr>
          <w:b/>
        </w:rPr>
        <w:t>Développement d'inhibiteurs anti-FIX</w:t>
      </w:r>
      <w:r>
        <w:t xml:space="preserve"> (~1-3 % des hémophiles B sévères).</w:t>
      </w:r>
    </w:p>
    <w:p>
      <w:pPr>
        <w:pStyle w:val="ListBullet"/>
      </w:pPr>
      <w:r/>
      <w:r>
        <w:rPr>
          <w:b/>
        </w:rPr>
        <w:t>Hypotension transitoire</w:t>
      </w:r>
      <w:r>
        <w:t xml:space="preserve"> (lors de perfusion rapide).</w:t>
      </w:r>
    </w:p>
    <w:p>
      <w:pPr>
        <w:pStyle w:val="ListBullet"/>
      </w:pPr>
      <w:r/>
      <w:r>
        <w:rPr>
          <w:b/>
        </w:rPr>
        <w:t>Nausées, vomissements</w:t>
      </w:r>
      <w:r>
        <w:t>.</w:t>
      </w:r>
    </w:p>
    <w:p>
      <w:r/>
      <w:r>
        <w:rPr>
          <w:b/>
        </w:rPr>
        <w:t>Effets indésirables rares (≥ 1/10 000)</w:t>
      </w:r>
      <w:r>
        <w:t xml:space="preserve"> :</w:t>
      </w:r>
    </w:p>
    <w:p>
      <w:pPr>
        <w:pStyle w:val="ListBullet"/>
      </w:pPr>
      <w:r/>
      <w:r>
        <w:rPr>
          <w:b/>
        </w:rPr>
        <w:t>Thrombose</w:t>
      </w:r>
      <w:r>
        <w:t xml:space="preserve"> (en particulier à doses cumulées &gt; 200 UI/kg/24 h chez les patients à risque).</w:t>
      </w:r>
    </w:p>
    <w:p>
      <w:pPr>
        <w:pStyle w:val="ListBullet"/>
      </w:pPr>
      <w:r/>
      <w:r>
        <w:rPr>
          <w:b/>
        </w:rPr>
        <w:t>Réaction d'hypersensibilité retardée</w:t>
      </w:r>
      <w:r>
        <w:t xml:space="preserve"> (maladie sérique).</w:t>
      </w:r>
    </w:p>
    <w:p>
      <w:pPr>
        <w:pStyle w:val="ListBullet"/>
      </w:pPr>
      <w:r/>
      <w:r>
        <w:rPr>
          <w:b/>
        </w:rPr>
        <w:t>Syndrome néphrotique</w:t>
      </w:r>
      <w:r>
        <w:t xml:space="preserve"> (uniquement en cas d'inhibiteur anti-FIX avec réaction immuno-complexe).</w:t>
      </w:r>
    </w:p>
    <w:p>
      <w:r/>
      <w:r>
        <w:rPr>
          <w:b/>
        </w:rPr>
        <w:t>Effets indésirables très rares</w:t>
      </w:r>
      <w:r>
        <w:t xml:space="preserve"> :</w:t>
      </w:r>
    </w:p>
    <w:p>
      <w:pPr>
        <w:pStyle w:val="ListBullet"/>
      </w:pPr>
      <w:r/>
      <w:r>
        <w:rPr>
          <w:b/>
        </w:rPr>
        <w:t>Transmission d'agents infectieux</w:t>
      </w:r>
      <w:r>
        <w:t xml:space="preserve"> (VIH, VHB, VHC, Parvovirus B19, prions) — risque résiduel théorique, non documenté pour le rFIX (pas de plasma humain dans la fabrication).</w:t>
      </w:r>
    </w:p>
    <w:p>
      <w:pPr>
        <w:pStyle w:val="ListBullet"/>
      </w:pPr>
      <w:r/>
      <w:r>
        <w:rPr>
          <w:b/>
        </w:rPr>
        <w:t>Encéphalopathie</w:t>
      </w:r>
      <w:r>
        <w:t xml:space="preserve"> paradoxale (exceptionnel).</w:t>
      </w:r>
    </w:p>
    <w:p>
      <w:pPr>
        <w:pStyle w:val="Heading3"/>
      </w:pPr>
      <w:r>
        <w:t>Sous-section 5 — Prévention et gestion des effets indésirables</w:t>
      </w:r>
    </w:p>
    <w:p>
      <w:pPr>
        <w:pStyle w:val="Heading4"/>
      </w:pPr>
      <w:r>
        <w:t>Prévention du développement d'inhibiteurs anti-FIX</w:t>
      </w:r>
    </w:p>
    <w:p>
      <w:r>
        <w:t xml:space="preserve">C'est la complication la plus grave et la plus redoutée du traitement substitutif de l'hémophilie B, bien que </w:t>
      </w:r>
      <w:r>
        <w:rPr>
          <w:b/>
        </w:rPr>
        <w:t>plus rare</w:t>
      </w:r>
      <w:r>
        <w:t xml:space="preserve"> que pour le FVIII. Prévalence :</w:t>
      </w:r>
    </w:p>
    <w:p>
      <w:pPr>
        <w:pStyle w:val="ListBullet"/>
      </w:pPr>
      <w:r>
        <w:t>~1-3 % des hémophiles B sévères recevant rFIX ou pdFIX (vs 25-30 % pour FVIII).</w:t>
      </w:r>
    </w:p>
    <w:p>
      <w:pPr>
        <w:pStyle w:val="ListBullet"/>
      </w:pPr>
      <w:r/>
      <w:r>
        <w:rPr>
          <w:b/>
        </w:rPr>
        <w:t>Risque majeur chez les patients avec délétion complète du gène F9</w:t>
      </w:r>
      <w:r>
        <w:t xml:space="preserve"> (~30-50 % développent un inhibiteur).</w:t>
      </w:r>
    </w:p>
    <w:p>
      <w:pPr>
        <w:pStyle w:val="ListBullet"/>
      </w:pPr>
      <w:r/>
      <w:r>
        <w:rPr>
          <w:b/>
        </w:rPr>
        <w:t>Risque majeur chez les patients avec mutation non-sens</w:t>
      </w:r>
      <w:r>
        <w:t xml:space="preserve"> (~15-20 %).</w:t>
      </w:r>
    </w:p>
    <w:p>
      <w:r/>
      <w:r>
        <w:rPr>
          <w:b/>
        </w:rPr>
        <w:t>Prévention primaire</w:t>
      </w:r>
      <w:r>
        <w:t xml:space="preserve"> :</w:t>
      </w:r>
    </w:p>
    <w:p>
      <w:pPr>
        <w:pStyle w:val="ListBullet"/>
      </w:pPr>
      <w:r/>
      <w:r>
        <w:rPr>
          <w:b/>
        </w:rPr>
        <w:t>Test génétique</w:t>
      </w:r>
      <w:r>
        <w:t xml:space="preserve"> du type de mutation F9 chez tout patient naïf avant la première administration : si délétion complète ou mutation non-sens à haut risque, administrer la première dose en milieu hospitalier avec surveillance rapprochée (réanimateur présent, cathéter veineux, adrénaline prête).</w:t>
      </w:r>
    </w:p>
    <w:p>
      <w:pPr>
        <w:pStyle w:val="ListBullet"/>
      </w:pPr>
      <w:r>
        <w:t>Éviter les administrations en période d'inflammation aiguë (vaccination, infection) dans les 50 premiers EDM (Exposure Days).</w:t>
      </w:r>
    </w:p>
    <w:p>
      <w:pPr>
        <w:pStyle w:val="ListBullet"/>
      </w:pPr>
      <w:r>
        <w:t>Prophylaxie plutôt que traitement à la demande (effet immunomodulateur de la prophylaxie).</w:t>
      </w:r>
    </w:p>
    <w:p>
      <w:pPr>
        <w:pStyle w:val="ListBullet"/>
      </w:pPr>
      <w:r>
        <w:t>Surveillance rapprochée (test Bethesda tous les 3-6 mois la première année, puis annuel).</w:t>
      </w:r>
    </w:p>
    <w:p>
      <w:r/>
      <w:r>
        <w:rPr>
          <w:b/>
        </w:rPr>
        <w:t>Dépistage</w:t>
      </w:r>
      <w:r>
        <w:t xml:space="preserve"> :</w:t>
      </w:r>
    </w:p>
    <w:p>
      <w:pPr>
        <w:pStyle w:val="ListBullet"/>
      </w:pPr>
      <w:r/>
      <w:r>
        <w:rPr>
          <w:b/>
        </w:rPr>
        <w:t>Test de Bethesda</w:t>
      </w:r>
      <w:r>
        <w:t xml:space="preserve"> (Nijmegen modification) sur plasma citraté : mesure de la capacité du plasma du patient à neutraliser le FIX témoin. Un titre ≥ 0,6 UB définit la présence d'un inhibiteur.</w:t>
      </w:r>
    </w:p>
    <w:p>
      <w:pPr>
        <w:pStyle w:val="ListBullet"/>
      </w:pPr>
      <w:r>
        <w:t>Dépistage systématique avant toute chirurgie, avant changement de produit, en cas d'échec thérapeutique (saignement non contrôlé malgré dose adaptée).</w:t>
      </w:r>
    </w:p>
    <w:p>
      <w:pPr>
        <w:pStyle w:val="ListBullet"/>
      </w:pPr>
      <w:r>
        <w:t xml:space="preserve">Classification : </w:t>
      </w:r>
      <w:r>
        <w:rPr>
          <w:b/>
        </w:rPr>
        <w:t>low responder</w:t>
      </w:r>
      <w:r>
        <w:t xml:space="preserve"> (titre &lt; 5 UB) vs </w:t>
      </w:r>
      <w:r>
        <w:rPr>
          <w:b/>
        </w:rPr>
        <w:t>high responder</w:t>
      </w:r>
      <w:r>
        <w:t xml:space="preserve"> (titre ≥ 5 UB).</w:t>
      </w:r>
    </w:p>
    <w:p>
      <w:pPr>
        <w:pStyle w:val="ListBullet"/>
      </w:pPr>
      <w:r>
        <w:t>Devant tout épisode d'</w:t>
      </w:r>
      <w:r>
        <w:rPr>
          <w:b/>
        </w:rPr>
        <w:t>anaphylaxie</w:t>
      </w:r>
      <w:r>
        <w:t xml:space="preserve"> survenant après administration de FIX, doser immédiatement l'inhibiteur anti-FIX (souvent inaugural).</w:t>
      </w:r>
    </w:p>
    <w:p>
      <w:r/>
      <w:r>
        <w:rPr>
          <w:b/>
        </w:rPr>
        <w:t>Gestion de l'inhibiteur</w:t>
      </w:r>
      <w:r>
        <w:t xml:space="preserve"> :</w:t>
      </w:r>
    </w:p>
    <w:p>
      <w:pPr>
        <w:pStyle w:val="ListBullet"/>
      </w:pPr>
      <w:r/>
      <w:r>
        <w:rPr>
          <w:b/>
        </w:rPr>
        <w:t>Low responder</w:t>
      </w:r>
      <w:r>
        <w:t xml:space="preserve"> : FIX à dose élevée (100-200 UI/kg) en bolus, peut neutraliser l'inhibiteur.</w:t>
      </w:r>
    </w:p>
    <w:p>
      <w:pPr>
        <w:pStyle w:val="ListBullet"/>
      </w:pPr>
      <w:r/>
      <w:r>
        <w:rPr>
          <w:b/>
        </w:rPr>
        <w:t>High responder</w:t>
      </w:r>
      <w:r>
        <w:t xml:space="preserve"> : </w:t>
      </w:r>
      <w:r>
        <w:rPr>
          <w:b/>
        </w:rPr>
        <w:t>by-passing agents</w:t>
      </w:r>
      <w:r>
        <w:t xml:space="preserve"> uniquement :</w:t>
      </w:r>
    </w:p>
    <w:p>
      <w:pPr>
        <w:pStyle w:val="ListBullet"/>
      </w:pPr>
      <w:r>
        <w:t xml:space="preserve">rFVIIa (eptacog alfa, NovoSeven) : 90 µg/kg toutes les 2 h pendant 24 h, puis espacement selon réponse. </w:t>
      </w:r>
      <w:r>
        <w:rPr>
          <w:b/>
        </w:rPr>
        <w:t>Non disponible en Algérie</w:t>
      </w:r>
      <w:r>
        <w:t>.</w:t>
      </w:r>
    </w:p>
    <w:p>
      <w:pPr>
        <w:pStyle w:val="ListBullet"/>
      </w:pPr>
      <w:r>
        <w:t>FEIBA (anti-inhibitor coagulant complex) : 50-100 U/kg toutes les 8-12 h (max 200 U/kg/24 h). Disponible (FEIBA 1000).</w:t>
      </w:r>
    </w:p>
    <w:p>
      <w:pPr>
        <w:pStyle w:val="ListBullet"/>
      </w:pPr>
      <w:r/>
      <w:r>
        <w:rPr>
          <w:b/>
        </w:rPr>
        <w:t>Éradication par ITI</w:t>
      </w:r>
      <w:r>
        <w:t xml:space="preserve"> : </w:t>
      </w:r>
      <w:r>
        <w:rPr>
          <w:b/>
        </w:rPr>
        <w:t>CONTRE-INDIQUÉE</w:t>
      </w:r>
      <w:r>
        <w:t xml:space="preserve"> chez l'hémophile B avec inhibiteur, en raison du risque de :</w:t>
      </w:r>
    </w:p>
    <w:p>
      <w:pPr>
        <w:pStyle w:val="ListBullet"/>
      </w:pPr>
      <w:r/>
      <w:r>
        <w:rPr>
          <w:b/>
        </w:rPr>
        <w:t>Anaphylaxie sévère</w:t>
      </w:r>
      <w:r>
        <w:t xml:space="preserve"> (ré-exposition massive au FIX).</w:t>
      </w:r>
    </w:p>
    <w:p>
      <w:pPr>
        <w:pStyle w:val="ListBullet"/>
      </w:pPr>
      <w:r/>
      <w:r>
        <w:rPr>
          <w:b/>
        </w:rPr>
        <w:t>Syndrome néphrotique</w:t>
      </w:r>
      <w:r>
        <w:t xml:space="preserve"> (immuns complexes circulants se déposant au niveau glomérulaire, ~30 % des ITI hémophilie B).</w:t>
      </w:r>
    </w:p>
    <w:p>
      <w:pPr>
        <w:pStyle w:val="ListBullet"/>
      </w:pPr>
      <w:r/>
      <w:r>
        <w:rPr>
          <w:b/>
        </w:rPr>
        <w:t>Emicizumab (Hemlibra)</w:t>
      </w:r>
      <w:r>
        <w:t xml:space="preserve"> : Ac bi-spécifique anti-FIXa/FX (mime l'activité du FVIIIa), en sous-cutané hebdomadaire (1,5 mg/kg/sem), révolution thérapeutique pour les hémophiles A avec inhibiteur ; utilisé aussi en prophylaxie de l'hémophilie A sans inhibiteur. Non commercialisé en Algérie.</w:t>
      </w:r>
    </w:p>
    <w:p>
      <w:pPr>
        <w:pStyle w:val="Heading4"/>
      </w:pPr>
      <w:r>
        <w:t>Prévention des réactions d'hypersensibilité</w:t>
      </w:r>
    </w:p>
    <w:p>
      <w:pPr>
        <w:pStyle w:val="ListBullet"/>
      </w:pPr>
      <w:r/>
      <w:r>
        <w:rPr>
          <w:b/>
        </w:rPr>
        <w:t>Interrogatoire allergologique</w:t>
      </w:r>
      <w:r>
        <w:t xml:space="preserve"> préalable : antécédents d'allergie aux protéines animales (hamster, souris), déficit en IgA, antécédents de réaction à un PSS.</w:t>
      </w:r>
    </w:p>
    <w:p>
      <w:pPr>
        <w:pStyle w:val="ListBullet"/>
      </w:pPr>
      <w:r/>
      <w:r>
        <w:rPr>
          <w:b/>
        </w:rPr>
        <w:t>Prick-test</w:t>
      </w:r>
      <w:r>
        <w:t xml:space="preserve"> préalable non systématique mais </w:t>
      </w:r>
      <w:r>
        <w:rPr>
          <w:b/>
        </w:rPr>
        <w:t>recommandé chez les patients avec délétion complète du gène F9</w:t>
      </w:r>
      <w:r>
        <w:t xml:space="preserve"> (risque anaphylactique majeur).</w:t>
      </w:r>
    </w:p>
    <w:p>
      <w:pPr>
        <w:pStyle w:val="ListBullet"/>
      </w:pPr>
      <w:r/>
      <w:r>
        <w:rPr>
          <w:b/>
        </w:rPr>
        <w:t>Disponibilité du matériel de réanimation anaphylactique</w:t>
      </w:r>
      <w:r>
        <w:t xml:space="preserve"> à proximité (adrénaline IM 0,3-0,5 mg, antihistaminique IV, corticoïde IV, oxygène, intubation).</w:t>
      </w:r>
    </w:p>
    <w:p>
      <w:pPr>
        <w:pStyle w:val="ListBullet"/>
      </w:pPr>
      <w:r/>
      <w:r>
        <w:rPr>
          <w:b/>
        </w:rPr>
        <w:t>Perfusion lente</w:t>
      </w:r>
      <w:r>
        <w:t xml:space="preserve"> (≤ 3 mL/min pour la première dose, surveillance 60 min après la première administration chez tout patient naïf).</w:t>
      </w:r>
    </w:p>
    <w:p>
      <w:pPr>
        <w:pStyle w:val="ListBullet"/>
      </w:pPr>
      <w:r/>
      <w:r>
        <w:rPr>
          <w:b/>
        </w:rPr>
        <w:t>Pré-médication</w:t>
      </w:r>
      <w:r>
        <w:t xml:space="preserve"> antihistaminique (cétirizine 10 mg PO 1 h avant) en cas d'antécédents de réaction mineure.</w:t>
      </w:r>
    </w:p>
    <w:p>
      <w:pPr>
        <w:pStyle w:val="Heading4"/>
      </w:pPr>
      <w:r>
        <w:t>Prévention des complications thrombotiques</w:t>
      </w:r>
    </w:p>
    <w:p>
      <w:pPr>
        <w:pStyle w:val="ListBullet"/>
      </w:pPr>
      <w:r>
        <w:t>Surveillance clinique (douleur mollo-jambière, dyspnée, céphalées brutales) surtout chez les patients âgés, avec antécédents thrombotiques, en post-opératoire.</w:t>
      </w:r>
    </w:p>
    <w:p>
      <w:pPr>
        <w:pStyle w:val="ListBullet"/>
      </w:pPr>
      <w:r>
        <w:t>Surveillance biologique (D-dimères, fibrinogène) en cas de doses cumulées &gt; 200 UI/kg/24 h.</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 Dosage de l'inhibiteur anti-FIX (souvent inaugural).</w:t>
      </w:r>
    </w:p>
    <w:p>
      <w:pPr>
        <w:pStyle w:val="ListBullet"/>
      </w:pPr>
      <w:r/>
      <w:r>
        <w:rPr>
          <w:b/>
        </w:rPr>
        <w:t>Surcharge volémique</w:t>
      </w:r>
      <w:r>
        <w:t xml:space="preserve"> (rare avec rFIX car faible volume) : ralentir le débit, surveillance.</w:t>
      </w:r>
    </w:p>
    <w:p>
      <w:pPr>
        <w:pStyle w:val="ListBullet"/>
      </w:pPr>
      <w:r/>
      <w:r>
        <w:rPr>
          <w:b/>
        </w:rPr>
        <w:t>Thrombose</w:t>
      </w:r>
      <w:r>
        <w:t xml:space="preserve"> : arrêt du FIX, héparine à dose curative, bilan étiologique.</w:t>
      </w:r>
    </w:p>
    <w:p>
      <w:pPr>
        <w:pStyle w:val="Heading3"/>
      </w:pPr>
      <w:r>
        <w:t>Sous-section 6 — Interactions médicamenteuses</w:t>
      </w:r>
    </w:p>
    <w:p>
      <w:pPr>
        <w:pStyle w:val="Heading4"/>
      </w:pPr>
      <w:r>
        <w:t>Interactions pharmacodynamiques</w:t>
      </w:r>
    </w:p>
    <w:p>
      <w:pPr>
        <w:pStyle w:val="ListBullet"/>
      </w:pPr>
      <w:r/>
      <w:r>
        <w:rPr>
          <w:b/>
        </w:rPr>
        <w:t>Antifibrinolytiques</w:t>
      </w:r>
      <w:r>
        <w:t xml:space="preserve"> (acide tranexamique, acide aminocaproïque) : synergie bénéfique pour les saignements muqueux (épistaxis, gingivorragies, ménorragies). Association recommandée en prophylaxie dentaire et chirurgie buccale.</w:t>
      </w:r>
    </w:p>
    <w:p>
      <w:pPr>
        <w:pStyle w:val="ListBullet"/>
      </w:pPr>
      <w:r/>
      <w:r>
        <w:rPr>
          <w:b/>
        </w:rPr>
        <w:t>Antiagrégants plaquettaires</w:t>
      </w:r>
      <w:r>
        <w:t xml:space="preserve"> (aspirine, clopidogrel) : majoration du risque hémorragique — à éviter sauf indication vitale.</w:t>
      </w:r>
    </w:p>
    <w:p>
      <w:pPr>
        <w:pStyle w:val="ListBullet"/>
      </w:pPr>
      <w:r/>
      <w:r>
        <w:rPr>
          <w:b/>
        </w:rPr>
        <w:t>AINS</w:t>
      </w:r>
      <w:r>
        <w:t xml:space="preserve"> : majoration du risque hémorragique (gastrite, ulcère) — à éviter au long cours.</w:t>
      </w:r>
    </w:p>
    <w:p>
      <w:pPr>
        <w:pStyle w:val="ListBullet"/>
      </w:pPr>
      <w:r/>
      <w:r>
        <w:rPr>
          <w:b/>
        </w:rPr>
        <w:t>Anticoagulants oraux</w:t>
      </w:r>
      <w:r>
        <w:t xml:space="preserve"> (AVK, AOD) : contre-indication relative absolue chez l'hémophile B sévère.</w:t>
      </w:r>
    </w:p>
    <w:p>
      <w:pPr>
        <w:pStyle w:val="ListBullet"/>
      </w:pPr>
      <w:r/>
      <w:r>
        <w:rPr>
          <w:b/>
        </w:rPr>
        <w:t>Héparine</w:t>
      </w:r>
      <w:r>
        <w:t xml:space="preserve"> (HBPM, HNF) : risque hémorragique majeur — à éviter sauf indication vitale (thrombose, embolie pulmonaire) sous couverture stricte par FIX.</w:t>
      </w:r>
    </w:p>
    <w:p>
      <w:pPr>
        <w:pStyle w:val="Heading4"/>
      </w:pPr>
      <w:r>
        <w:t>Interactions pharmacocinétiques</w:t>
      </w:r>
    </w:p>
    <w:p>
      <w:pPr>
        <w:pStyle w:val="ListBullet"/>
      </w:pPr>
      <w:r>
        <w:t>Aucune interaction significative rapportée (le FIX est dégradé par protéolyse endogène via le récepteur LRP1 — Low-density lipoprotein receptor-related protein 1 — hépatique, pas par CYP450).</w:t>
      </w:r>
    </w:p>
    <w:p>
      <w:pPr>
        <w:pStyle w:val="ListBullet"/>
      </w:pPr>
      <w:r/>
      <w:r>
        <w:rPr>
          <w:b/>
        </w:rPr>
        <w:t>Pas de rétro-activation par le VWF endogène</w:t>
      </w:r>
      <w:r>
        <w:t xml:space="preserve"> : contrairement au FVIII qui est stabilisé par le VWF, le FIX circule libre dans le plasma (sa demi-vie native de 18-24 h est intrinsèque). La maladie de Willebrand n'affecte pas la demi-vie du FIX.</w:t>
      </w:r>
    </w:p>
    <w:p>
      <w:pPr>
        <w:pStyle w:val="Heading4"/>
      </w:pPr>
      <w:r>
        <w:t>Incompatibilités physiques</w:t>
      </w:r>
    </w:p>
    <w:p>
      <w:pPr>
        <w:pStyle w:val="ListBullet"/>
      </w:pPr>
      <w:r>
        <w:t>Ne jamais mélanger le rFIX avec d'autres médicaments dans la même tubulure.</w:t>
      </w:r>
    </w:p>
    <w:p>
      <w:pPr>
        <w:pStyle w:val="ListBullet"/>
      </w:pPr>
      <w:r>
        <w:t>Utiliser uniquement le solvant fourni (EPPI = Eau Pour Préparations Injectables)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Le FIX (poids moléculaire 55 kDa) pourrait théoriquement traverser la barrière placentaire (les protéines &lt; 100 kDa passent plus facilement), mais les données cliniques sont rassurantes (pas de cas de thrombose fœtale ou d'hypersensibilité néonatale rapporté). Aucun effet tératogène documenté.</w:t>
      </w:r>
    </w:p>
    <w:p>
      <w:pPr>
        <w:pStyle w:val="ListBullet"/>
      </w:pPr>
      <w:r/>
      <w:r>
        <w:rPr>
          <w:b/>
        </w:rPr>
        <w:t>Allaitement</w:t>
      </w:r>
      <w:r>
        <w:t xml:space="preserve"> : </w:t>
      </w:r>
      <w:r>
        <w:rPr>
          <w:b/>
        </w:rPr>
        <w:t>compatible</w:t>
      </w:r>
      <w:r>
        <w:t xml:space="preserve"> (CRAT). Le FIX passe en quantité négligeable dans le lait maternel ; digestion protéique néonatale. Aucun effet indésirable chez le nouveau-né allaité rapporté.</w:t>
      </w:r>
    </w:p>
    <w:p>
      <w:pPr>
        <w:pStyle w:val="Heading4"/>
      </w:pPr>
      <w:r>
        <w:t>Indications chez la femme enceinte</w:t>
      </w:r>
    </w:p>
    <w:p>
      <w:pPr>
        <w:pStyle w:val="ListBullet"/>
      </w:pPr>
      <w:r/>
      <w:r>
        <w:rPr>
          <w:b/>
        </w:rPr>
        <w:t>Conductrice symptomatique</w:t>
      </w:r>
      <w:r>
        <w:t xml:space="preserve"> (FIX:C &lt; 40 UI/dL) : prophylaxie péri-partum pour prévenir HPP.</w:t>
      </w:r>
    </w:p>
    <w:p>
      <w:pPr>
        <w:pStyle w:val="ListBullet"/>
      </w:pPr>
      <w:r/>
      <w:r>
        <w:rPr>
          <w:b/>
        </w:rPr>
        <w:t>Hémophilie B légère/moyenne</w:t>
      </w:r>
      <w:r>
        <w:t xml:space="preserve"> symptomatique : même indication.</w:t>
      </w:r>
    </w:p>
    <w:p>
      <w:pPr>
        <w:pStyle w:val="ListBullet"/>
      </w:pPr>
      <w:r/>
      <w:r>
        <w:rPr>
          <w:b/>
        </w:rPr>
        <w:t>Hémophilie B sévère</w:t>
      </w:r>
      <w:r>
        <w:t xml:space="preserve"> (exceptionnelle chez la femme) : prophylaxie stricte pendant la grossesse et le travail, dose adaptée au taux de FIX.</w:t>
      </w:r>
    </w:p>
    <w:p>
      <w:pPr>
        <w:pStyle w:val="Heading4"/>
      </w:pPr>
      <w:r>
        <w:t>Posologie chez la femme enceinte</w:t>
      </w:r>
    </w:p>
    <w:p>
      <w:pPr>
        <w:pStyle w:val="ListBullet"/>
      </w:pPr>
      <w:r>
        <w:t>Maintenir un taux de FIX ≥ 50 UI/dL pendant le travail et la délivrance, et ≥ 30 UI/dL pendant 7-14 jours post-partum.</w:t>
      </w:r>
    </w:p>
    <w:p>
      <w:pPr>
        <w:pStyle w:val="ListBullet"/>
      </w:pPr>
      <w:r>
        <w:t>Dose : 40-60 UI/kg en bolus IV avant le travail, puis 30-40 UI/kg toutes les 24 h pendant 3-7 jours (l'espacement est plus large que pour FVIII en raison de la demi-vie plus longue du FIX).</w:t>
      </w:r>
    </w:p>
    <w:p>
      <w:pPr>
        <w:pStyle w:val="ListBullet"/>
      </w:pPr>
      <w:r>
        <w:t>Surveillance du taux de FIX toutes les 24 h pendant la période critique.</w:t>
      </w:r>
    </w:p>
    <w:p>
      <w:pPr>
        <w:pStyle w:val="ListBullet"/>
      </w:pPr>
      <w:r>
        <w:t>Contre-indication de la rFVIIa et du FEIBA pendant la grossesse (sauf urgence vitale hémorragique) en raison du risque thrombotique.</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FIX (en UI) est calculée selon la formule :</w:t>
      </w:r>
    </w:p>
    <w:p>
      <w:pPr>
        <w:ind w:left="567"/>
      </w:pPr>
      <w:r>
        <w:rPr>
          <w:i/>
          <w:color w:val="606060"/>
        </w:rPr>
        <w:t>**Dose (UI) = Poids (kg) × ΔFIX souhaité (UI/dL) × 1,2**</w:t>
      </w:r>
    </w:p>
    <w:p>
      <w:r>
        <w:t xml:space="preserve">Le facteur </w:t>
      </w:r>
      <w:r>
        <w:rPr>
          <w:b/>
        </w:rPr>
        <w:t>1,2</w:t>
      </w:r>
      <w:r>
        <w:t xml:space="preserve"> (et non 0,5 comme pour FVIII) reflète le </w:t>
      </w:r>
      <w:r>
        <w:rPr>
          <w:b/>
        </w:rPr>
        <w:t>récovery plus faible</w:t>
      </w:r>
      <w:r>
        <w:t xml:space="preserve"> du FIX (~0,8 UI/dL/UI/kg en moyenne, soit inverse 1/0,8 ≈ 1,25). Pour le pdFIX, le récovery est légèrement supérieur (~1,0 UI/dL/UI/kg → facteur 1,0).</w:t>
      </w:r>
    </w:p>
    <w:p>
      <w:r/>
      <w:r>
        <w:rPr>
          <w:b/>
        </w:rPr>
        <w:t>Exemple clinique</w:t>
      </w:r>
      <w:r>
        <w:t xml:space="preserve"> :</w:t>
      </w:r>
    </w:p>
    <w:p>
      <w:pPr>
        <w:pStyle w:val="ListBullet"/>
      </w:pPr>
      <w:r>
        <w:t>Patient hémophile B sévère de 70 kg, hémarthrose du genou droit.</w:t>
      </w:r>
    </w:p>
    <w:p>
      <w:pPr>
        <w:pStyle w:val="ListBullet"/>
      </w:pPr>
      <w:r>
        <w:t>Objectif : FIX:C ≥ 40 UI/dL (saignement modéré).</w:t>
      </w:r>
    </w:p>
    <w:p>
      <w:pPr>
        <w:pStyle w:val="ListBullet"/>
      </w:pPr>
      <w:r>
        <w:t xml:space="preserve">Dose = 70 × 40 × 1,2 = </w:t>
      </w:r>
      <w:r>
        <w:rPr>
          <w:b/>
        </w:rPr>
        <w:t>3 360 UI</w:t>
      </w:r>
      <w:r>
        <w:t xml:space="preserve"> → arrondir à 3 000 UI (flacons disponibles en 500, 1000, 2000 UI).</w:t>
      </w:r>
    </w:p>
    <w:p>
      <w:pPr>
        <w:pStyle w:val="ListBullet"/>
      </w:pPr>
      <w:r>
        <w:t>Ré-injection à 24 h si besoin (demi-vie ~22 h).</w:t>
      </w:r>
    </w:p>
    <w:p>
      <w:pPr>
        <w:pStyle w:val="Heading4"/>
      </w:pPr>
      <w:r>
        <w:t>Posologie selon le type de saignement (WFH 2020)</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 de saignement</w:t>
            </w:r>
          </w:p>
        </w:tc>
        <w:tc>
          <w:tcPr>
            <w:tcW w:type="dxa" w:w="2078"/>
            <w:shd w:val="clear" w:color="auto" w:fill="F2F2F2"/>
          </w:tcPr>
          <w:p>
            <w:r>
              <w:rPr>
                <w:rFonts w:ascii="Times New Roman" w:hAnsi="Times New Roman"/>
                <w:b/>
                <w:sz w:val="20"/>
              </w:rPr>
              <w:t>Taux cible FIX</w:t>
            </w:r>
          </w:p>
        </w:tc>
        <w:tc>
          <w:tcPr>
            <w:tcW w:type="dxa" w:w="2078"/>
            <w:shd w:val="clear" w:color="auto" w:fill="F2F2F2"/>
          </w:tcPr>
          <w:p>
            <w:r>
              <w:rPr>
                <w:rFonts w:ascii="Times New Roman" w:hAnsi="Times New Roman"/>
                <w:b/>
                <w:sz w:val="20"/>
              </w:rPr>
              <w:t>Dose initiale (UI/kg)</w:t>
            </w:r>
          </w:p>
        </w:tc>
        <w:tc>
          <w:tcPr>
            <w:tcW w:type="dxa" w:w="2078"/>
            <w:shd w:val="clear" w:color="auto" w:fill="F2F2F2"/>
          </w:tcPr>
          <w:p>
            <w:r>
              <w:rPr>
                <w:rFonts w:ascii="Times New Roman" w:hAnsi="Times New Roman"/>
                <w:b/>
                <w:sz w:val="20"/>
              </w:rPr>
              <w:t>Durée</w:t>
            </w:r>
          </w:p>
        </w:tc>
      </w:tr>
      <w:tr>
        <w:tc>
          <w:tcPr>
            <w:tcW w:type="dxa" w:w="2078"/>
          </w:tcPr>
          <w:p>
            <w:r>
              <w:rPr>
                <w:rFonts w:ascii="Times New Roman" w:hAnsi="Times New Roman"/>
                <w:sz w:val="20"/>
              </w:rPr>
              <w:t>Hémarthrose précoce</w:t>
            </w:r>
          </w:p>
        </w:tc>
        <w:tc>
          <w:tcPr>
            <w:tcW w:type="dxa" w:w="2078"/>
          </w:tcPr>
          <w:p>
            <w:r>
              <w:rPr>
                <w:rFonts w:ascii="Times New Roman" w:hAnsi="Times New Roman"/>
                <w:sz w:val="20"/>
              </w:rPr>
              <w:t>20-40 UI/dL</w:t>
            </w:r>
          </w:p>
        </w:tc>
        <w:tc>
          <w:tcPr>
            <w:tcW w:type="dxa" w:w="2078"/>
          </w:tcPr>
          <w:p>
            <w:r>
              <w:rPr>
                <w:rFonts w:ascii="Times New Roman" w:hAnsi="Times New Roman"/>
                <w:sz w:val="20"/>
              </w:rPr>
              <w:t>20-40 UI/kg</w:t>
            </w:r>
          </w:p>
        </w:tc>
        <w:tc>
          <w:tcPr>
            <w:tcW w:type="dxa" w:w="2078"/>
          </w:tcPr>
          <w:p>
            <w:r>
              <w:rPr>
                <w:rFonts w:ascii="Times New Roman" w:hAnsi="Times New Roman"/>
                <w:sz w:val="20"/>
              </w:rPr>
              <w:t>1-2 jours</w:t>
            </w:r>
          </w:p>
        </w:tc>
      </w:tr>
      <w:tr>
        <w:tc>
          <w:tcPr>
            <w:tcW w:type="dxa" w:w="2078"/>
          </w:tcPr>
          <w:p>
            <w:r>
              <w:rPr>
                <w:rFonts w:ascii="Times New Roman" w:hAnsi="Times New Roman"/>
                <w:sz w:val="20"/>
              </w:rPr>
              <w:t>Hémarthrose établie</w:t>
            </w:r>
          </w:p>
        </w:tc>
        <w:tc>
          <w:tcPr>
            <w:tcW w:type="dxa" w:w="2078"/>
          </w:tcPr>
          <w:p>
            <w:r>
              <w:rPr>
                <w:rFonts w:ascii="Times New Roman" w:hAnsi="Times New Roman"/>
                <w:sz w:val="20"/>
              </w:rPr>
              <w:t>40-60 UI/dL</w:t>
            </w:r>
          </w:p>
        </w:tc>
        <w:tc>
          <w:tcPr>
            <w:tcW w:type="dxa" w:w="2078"/>
          </w:tcPr>
          <w:p>
            <w:r>
              <w:rPr>
                <w:rFonts w:ascii="Times New Roman" w:hAnsi="Times New Roman"/>
                <w:sz w:val="20"/>
              </w:rPr>
              <w:t>40-60 UI/kg</w:t>
            </w:r>
          </w:p>
        </w:tc>
        <w:tc>
          <w:tcPr>
            <w:tcW w:type="dxa" w:w="2078"/>
          </w:tcPr>
          <w:p>
            <w:r>
              <w:rPr>
                <w:rFonts w:ascii="Times New Roman" w:hAnsi="Times New Roman"/>
                <w:sz w:val="20"/>
              </w:rPr>
              <w:t>3-4 jours</w:t>
            </w:r>
          </w:p>
        </w:tc>
      </w:tr>
      <w:tr>
        <w:tc>
          <w:tcPr>
            <w:tcW w:type="dxa" w:w="2078"/>
          </w:tcPr>
          <w:p>
            <w:r>
              <w:rPr>
                <w:rFonts w:ascii="Times New Roman" w:hAnsi="Times New Roman"/>
                <w:sz w:val="20"/>
              </w:rPr>
              <w:t>Hématome musculaire</w:t>
            </w:r>
          </w:p>
        </w:tc>
        <w:tc>
          <w:tcPr>
            <w:tcW w:type="dxa" w:w="2078"/>
          </w:tcPr>
          <w:p>
            <w:r>
              <w:rPr>
                <w:rFonts w:ascii="Times New Roman" w:hAnsi="Times New Roman"/>
                <w:sz w:val="20"/>
              </w:rPr>
              <w:t>40-60 UI/dL</w:t>
            </w:r>
          </w:p>
        </w:tc>
        <w:tc>
          <w:tcPr>
            <w:tcW w:type="dxa" w:w="2078"/>
          </w:tcPr>
          <w:p>
            <w:r>
              <w:rPr>
                <w:rFonts w:ascii="Times New Roman" w:hAnsi="Times New Roman"/>
                <w:sz w:val="20"/>
              </w:rPr>
              <w:t>40-60 UI/kg</w:t>
            </w:r>
          </w:p>
        </w:tc>
        <w:tc>
          <w:tcPr>
            <w:tcW w:type="dxa" w:w="2078"/>
          </w:tcPr>
          <w:p>
            <w:r>
              <w:rPr>
                <w:rFonts w:ascii="Times New Roman" w:hAnsi="Times New Roman"/>
                <w:sz w:val="20"/>
              </w:rPr>
              <w:t>3-7 jours</w:t>
            </w:r>
          </w:p>
        </w:tc>
      </w:tr>
      <w:tr>
        <w:tc>
          <w:tcPr>
            <w:tcW w:type="dxa" w:w="2078"/>
          </w:tcPr>
          <w:p>
            <w:r>
              <w:rPr>
                <w:rFonts w:ascii="Times New Roman" w:hAnsi="Times New Roman"/>
                <w:sz w:val="20"/>
              </w:rPr>
              <w:t>Hémorragie digestive</w:t>
            </w:r>
          </w:p>
        </w:tc>
        <w:tc>
          <w:tcPr>
            <w:tcW w:type="dxa" w:w="2078"/>
          </w:tcPr>
          <w:p>
            <w:r>
              <w:rPr>
                <w:rFonts w:ascii="Times New Roman" w:hAnsi="Times New Roman"/>
                <w:sz w:val="20"/>
              </w:rPr>
              <w:t>60-80 UI/dL</w:t>
            </w:r>
          </w:p>
        </w:tc>
        <w:tc>
          <w:tcPr>
            <w:tcW w:type="dxa" w:w="2078"/>
          </w:tcPr>
          <w:p>
            <w:r>
              <w:rPr>
                <w:rFonts w:ascii="Times New Roman" w:hAnsi="Times New Roman"/>
                <w:sz w:val="20"/>
              </w:rPr>
              <w:t>60-80 UI/kg</w:t>
            </w:r>
          </w:p>
        </w:tc>
        <w:tc>
          <w:tcPr>
            <w:tcW w:type="dxa" w:w="2078"/>
          </w:tcPr>
          <w:p>
            <w:r>
              <w:rPr>
                <w:rFonts w:ascii="Times New Roman" w:hAnsi="Times New Roman"/>
                <w:sz w:val="20"/>
              </w:rPr>
              <w:t>7-10 jours</w:t>
            </w:r>
          </w:p>
        </w:tc>
      </w:tr>
      <w:tr>
        <w:tc>
          <w:tcPr>
            <w:tcW w:type="dxa" w:w="2078"/>
          </w:tcPr>
          <w:p>
            <w:r>
              <w:rPr>
                <w:rFonts w:ascii="Times New Roman" w:hAnsi="Times New Roman"/>
                <w:sz w:val="20"/>
              </w:rPr>
              <w:t>Hématurie</w:t>
            </w:r>
          </w:p>
        </w:tc>
        <w:tc>
          <w:tcPr>
            <w:tcW w:type="dxa" w:w="2078"/>
          </w:tcPr>
          <w:p>
            <w:r>
              <w:rPr>
                <w:rFonts w:ascii="Times New Roman" w:hAnsi="Times New Roman"/>
                <w:sz w:val="20"/>
              </w:rPr>
              <w:t>30-50 UI/dL</w:t>
            </w:r>
          </w:p>
        </w:tc>
        <w:tc>
          <w:tcPr>
            <w:tcW w:type="dxa" w:w="2078"/>
          </w:tcPr>
          <w:p>
            <w:r>
              <w:rPr>
                <w:rFonts w:ascii="Times New Roman" w:hAnsi="Times New Roman"/>
                <w:sz w:val="20"/>
              </w:rPr>
              <w:t>30-50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Hémorragie cérébrale</w:t>
            </w:r>
          </w:p>
        </w:tc>
        <w:tc>
          <w:tcPr>
            <w:tcW w:type="dxa" w:w="2078"/>
          </w:tcPr>
          <w:p>
            <w:r>
              <w:rPr>
                <w:rFonts w:ascii="Times New Roman" w:hAnsi="Times New Roman"/>
                <w:sz w:val="20"/>
              </w:rPr>
              <w:t>80-100 UI/dL</w:t>
            </w:r>
          </w:p>
        </w:tc>
        <w:tc>
          <w:tcPr>
            <w:tcW w:type="dxa" w:w="2078"/>
          </w:tcPr>
          <w:p>
            <w:r>
              <w:rPr>
                <w:rFonts w:ascii="Times New Roman" w:hAnsi="Times New Roman"/>
                <w:sz w:val="20"/>
              </w:rPr>
              <w:t>80-100 UI/kg</w:t>
            </w:r>
          </w:p>
        </w:tc>
        <w:tc>
          <w:tcPr>
            <w:tcW w:type="dxa" w:w="2078"/>
          </w:tcPr>
          <w:p>
            <w:r>
              <w:rPr>
                <w:rFonts w:ascii="Times New Roman" w:hAnsi="Times New Roman"/>
                <w:sz w:val="20"/>
              </w:rPr>
              <w:t>14 jours</w:t>
            </w:r>
          </w:p>
        </w:tc>
      </w:tr>
      <w:tr>
        <w:tc>
          <w:tcPr>
            <w:tcW w:type="dxa" w:w="2078"/>
          </w:tcPr>
          <w:p>
            <w:r>
              <w:rPr>
                <w:rFonts w:ascii="Times New Roman" w:hAnsi="Times New Roman"/>
                <w:sz w:val="20"/>
              </w:rPr>
              <w:t>Chirurgie majeure</w:t>
            </w:r>
          </w:p>
        </w:tc>
        <w:tc>
          <w:tcPr>
            <w:tcW w:type="dxa" w:w="2078"/>
          </w:tcPr>
          <w:p>
            <w:r>
              <w:rPr>
                <w:rFonts w:ascii="Times New Roman" w:hAnsi="Times New Roman"/>
                <w:sz w:val="20"/>
              </w:rPr>
              <w:t>80-100 UI/dL</w:t>
            </w:r>
          </w:p>
        </w:tc>
        <w:tc>
          <w:tcPr>
            <w:tcW w:type="dxa" w:w="2078"/>
          </w:tcPr>
          <w:p>
            <w:r>
              <w:rPr>
                <w:rFonts w:ascii="Times New Roman" w:hAnsi="Times New Roman"/>
                <w:sz w:val="20"/>
              </w:rPr>
              <w:t>80-100 UI/kg</w:t>
            </w:r>
          </w:p>
        </w:tc>
        <w:tc>
          <w:tcPr>
            <w:tcW w:type="dxa" w:w="2078"/>
          </w:tcPr>
          <w:p>
            <w:r>
              <w:rPr>
                <w:rFonts w:ascii="Times New Roman" w:hAnsi="Times New Roman"/>
                <w:sz w:val="20"/>
              </w:rPr>
              <w:t>7-14 jours</w:t>
            </w:r>
          </w:p>
        </w:tc>
      </w:tr>
      <w:tr>
        <w:tc>
          <w:tcPr>
            <w:tcW w:type="dxa" w:w="2078"/>
          </w:tcPr>
          <w:p>
            <w:r>
              <w:rPr>
                <w:rFonts w:ascii="Times New Roman" w:hAnsi="Times New Roman"/>
                <w:sz w:val="20"/>
              </w:rPr>
              <w:t>Chirurgie mineure</w:t>
            </w:r>
          </w:p>
        </w:tc>
        <w:tc>
          <w:tcPr>
            <w:tcW w:type="dxa" w:w="2078"/>
          </w:tcPr>
          <w:p>
            <w:r>
              <w:rPr>
                <w:rFonts w:ascii="Times New Roman" w:hAnsi="Times New Roman"/>
                <w:sz w:val="20"/>
              </w:rPr>
              <w:t>50-80 UI/dL</w:t>
            </w:r>
          </w:p>
        </w:tc>
        <w:tc>
          <w:tcPr>
            <w:tcW w:type="dxa" w:w="2078"/>
          </w:tcPr>
          <w:p>
            <w:r>
              <w:rPr>
                <w:rFonts w:ascii="Times New Roman" w:hAnsi="Times New Roman"/>
                <w:sz w:val="20"/>
              </w:rPr>
              <w:t>50-80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Extraction dentaire</w:t>
            </w:r>
          </w:p>
        </w:tc>
        <w:tc>
          <w:tcPr>
            <w:tcW w:type="dxa" w:w="2078"/>
          </w:tcPr>
          <w:p>
            <w:r>
              <w:rPr>
                <w:rFonts w:ascii="Times New Roman" w:hAnsi="Times New Roman"/>
                <w:sz w:val="20"/>
              </w:rPr>
              <w:t>50 UI/dL</w:t>
            </w:r>
          </w:p>
        </w:tc>
        <w:tc>
          <w:tcPr>
            <w:tcW w:type="dxa" w:w="2078"/>
          </w:tcPr>
          <w:p>
            <w:r>
              <w:rPr>
                <w:rFonts w:ascii="Times New Roman" w:hAnsi="Times New Roman"/>
                <w:sz w:val="20"/>
              </w:rPr>
              <w:t>50 UI/kg</w:t>
            </w:r>
          </w:p>
        </w:tc>
        <w:tc>
          <w:tcPr>
            <w:tcW w:type="dxa" w:w="2078"/>
          </w:tcPr>
          <w:p>
            <w:r>
              <w:rPr>
                <w:rFonts w:ascii="Times New Roman" w:hAnsi="Times New Roman"/>
                <w:sz w:val="20"/>
              </w:rPr>
              <w:t>1-3 jours (en association avec acide tranexamique)</w:t>
            </w:r>
          </w:p>
        </w:tc>
      </w:tr>
    </w:tbl>
    <w:p/>
    <w:p>
      <w:pPr>
        <w:pStyle w:val="Heading4"/>
      </w:pPr>
      <w:r>
        <w:t>Prophylaxie standard (WFH 2020)</w:t>
      </w:r>
    </w:p>
    <w:p>
      <w:pPr>
        <w:pStyle w:val="ListBullet"/>
      </w:pPr>
      <w:r/>
      <w:r>
        <w:rPr>
          <w:b/>
        </w:rPr>
        <w:t>Prophylaxie primaire</w:t>
      </w:r>
      <w:r>
        <w:t xml:space="preserve"> (enfant hémophile B sévère &lt; 3 ans) : 40-60 UI/kg </w:t>
      </w:r>
      <w:r>
        <w:rPr>
          <w:b/>
        </w:rPr>
        <w:t>2x/semaine</w:t>
      </w:r>
      <w:r>
        <w:t xml:space="preserve"> (vs 3x/semaine pour FVIII en raison de la demi-vie plus longue).</w:t>
      </w:r>
    </w:p>
    <w:p>
      <w:pPr>
        <w:pStyle w:val="ListBullet"/>
      </w:pPr>
      <w:r/>
      <w:r>
        <w:rPr>
          <w:b/>
        </w:rPr>
        <w:t>Prophylaxie secondaire</w:t>
      </w:r>
      <w:r>
        <w:t xml:space="preserve"> (après 2-3 saignements articulaires récidivants) : 40-60 UI/kg 2x/semaine.</w:t>
      </w:r>
    </w:p>
    <w:p>
      <w:pPr>
        <w:pStyle w:val="ListBullet"/>
      </w:pPr>
      <w:r/>
      <w:r>
        <w:rPr>
          <w:b/>
        </w:rPr>
        <w:t>Prophylaxie adulte</w:t>
      </w:r>
      <w:r>
        <w:t xml:space="preserve"> : 30-50 UI/kg 2x/semaine.</w:t>
      </w:r>
    </w:p>
    <w:p>
      <w:pPr>
        <w:pStyle w:val="Heading4"/>
      </w:pPr>
      <w:r>
        <w:t>Mode d'administration</w:t>
      </w:r>
    </w:p>
    <w:p>
      <w:pPr>
        <w:pStyle w:val="ListBullet"/>
      </w:pPr>
      <w:r/>
      <w:r>
        <w:rPr>
          <w:b/>
        </w:rPr>
        <w:t>Voie IV stricte</w:t>
      </w:r>
      <w:r>
        <w:t xml:space="preserve"> (jamais IM ni SC).</w:t>
      </w:r>
    </w:p>
    <w:p>
      <w:pPr>
        <w:pStyle w:val="ListBullet"/>
      </w:pPr>
      <w:r/>
      <w:r>
        <w:rPr>
          <w:b/>
        </w:rPr>
        <w:t>Voie veineuse périphérique</w:t>
      </w:r>
      <w:r>
        <w:t xml:space="preserve"> préférentielle (cathéter court de 22-24 G), ou voie centrale (chamber implantable type Port-a-Cath si accès veineux difficile ou prophylaxie à domicile au long cours).</w:t>
      </w:r>
    </w:p>
    <w:p>
      <w:pPr>
        <w:pStyle w:val="ListBullet"/>
      </w:pPr>
      <w:r/>
      <w:r>
        <w:rPr>
          <w:b/>
        </w:rPr>
        <w:t>Reconstitution</w:t>
      </w:r>
      <w:r>
        <w:t xml:space="preserve"> : utiliser le solvant fourni (EPPI), éviter de toucher le bouchon avec une aiguille non stérile, mouvement rotatif doux (ne pas agiter vigoureusement — formation de mousse = dénaturation protéique).</w:t>
      </w:r>
    </w:p>
    <w:p>
      <w:pPr>
        <w:pStyle w:val="ListBullet"/>
      </w:pPr>
      <w:r/>
      <w:r>
        <w:rPr>
          <w:b/>
        </w:rPr>
        <w:t>Température</w:t>
      </w:r>
      <w:r>
        <w:t xml:space="preserve"> : la solution reconstituée doit être à température ambiante (≤ 25 °C) avant administration (sortir le flacon du réfrigérateur 5-10 min avant).</w:t>
      </w:r>
    </w:p>
    <w:p>
      <w:pPr>
        <w:pStyle w:val="ListBullet"/>
      </w:pPr>
      <w:r/>
      <w:r>
        <w:rPr>
          <w:b/>
        </w:rPr>
        <w:t>Débit de perfusion</w:t>
      </w:r>
      <w:r>
        <w:t xml:space="preserve"> : ≤ 3 mL/min chez l'adulte (1 mL/min chez l'enfant &lt; 20 kg).</w:t>
      </w:r>
    </w:p>
    <w:p>
      <w:pPr>
        <w:pStyle w:val="ListBullet"/>
      </w:pPr>
      <w:r/>
      <w:r>
        <w:rPr>
          <w:b/>
        </w:rPr>
        <w:t>Surveillance</w:t>
      </w:r>
      <w:r>
        <w:t xml:space="preserve"> : observation 30-60 min après la première administration chez tout patient naïf (risque anaphylactique), puis 5-10 min pour les administrations ultérieures.</w:t>
      </w:r>
    </w:p>
    <w:p>
      <w:pPr>
        <w:pStyle w:val="Heading3"/>
      </w:pPr>
      <w:r>
        <w:t>Sous-section 9 — Arbitrage et bénéfices des formes galéniques</w:t>
      </w:r>
    </w:p>
    <w:p>
      <w:pPr>
        <w:pStyle w:val="Heading4"/>
      </w:pPr>
      <w:r>
        <w:t>Nonacog alfa (rFIX SHL) vs pdFIX (IMMUNINE, HEAMONINE, BETAFACT)</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Nonacog alfa (rFIX)</w:t>
            </w:r>
          </w:p>
        </w:tc>
        <w:tc>
          <w:tcPr>
            <w:tcW w:type="dxa" w:w="2771"/>
            <w:shd w:val="clear" w:color="auto" w:fill="F2F2F2"/>
          </w:tcPr>
          <w:p>
            <w:r>
              <w:rPr>
                <w:rFonts w:ascii="Times New Roman" w:hAnsi="Times New Roman"/>
                <w:b/>
                <w:sz w:val="20"/>
              </w:rPr>
              <w:t>pdFIX</w:t>
            </w:r>
          </w:p>
        </w:tc>
      </w:tr>
      <w:tr>
        <w:tc>
          <w:tcPr>
            <w:tcW w:type="dxa" w:w="2771"/>
          </w:tcPr>
          <w:p>
            <w:r>
              <w:rPr>
                <w:rFonts w:ascii="Times New Roman" w:hAnsi="Times New Roman"/>
                <w:sz w:val="20"/>
              </w:rPr>
              <w:t>Origine</w:t>
            </w:r>
          </w:p>
        </w:tc>
        <w:tc>
          <w:tcPr>
            <w:tcW w:type="dxa" w:w="2771"/>
          </w:tcPr>
          <w:p>
            <w:r>
              <w:rPr>
                <w:rFonts w:ascii="Times New Roman" w:hAnsi="Times New Roman"/>
                <w:sz w:val="20"/>
              </w:rPr>
              <w:t>Recombinant CHO</w:t>
            </w:r>
          </w:p>
        </w:tc>
        <w:tc>
          <w:tcPr>
            <w:tcW w:type="dxa" w:w="2771"/>
          </w:tcPr>
          <w:p>
            <w:r>
              <w:rPr>
                <w:rFonts w:ascii="Times New Roman" w:hAnsi="Times New Roman"/>
                <w:sz w:val="20"/>
              </w:rPr>
              <w:t>Plasma humain</w:t>
            </w:r>
          </w:p>
        </w:tc>
      </w:tr>
      <w:tr>
        <w:tc>
          <w:tcPr>
            <w:tcW w:type="dxa" w:w="2771"/>
          </w:tcPr>
          <w:p>
            <w:r>
              <w:rPr>
                <w:rFonts w:ascii="Times New Roman" w:hAnsi="Times New Roman"/>
                <w:sz w:val="20"/>
              </w:rPr>
              <w:t>Sécurité virale</w:t>
            </w:r>
          </w:p>
        </w:tc>
        <w:tc>
          <w:tcPr>
            <w:tcW w:type="dxa" w:w="2771"/>
          </w:tcPr>
          <w:p>
            <w:r>
              <w:rPr>
                <w:rFonts w:ascii="Times New Roman" w:hAnsi="Times New Roman"/>
                <w:sz w:val="20"/>
              </w:rPr>
              <w:t>Optimale (pas de plasma)</w:t>
            </w:r>
          </w:p>
        </w:tc>
        <w:tc>
          <w:tcPr>
            <w:tcW w:type="dxa" w:w="2771"/>
          </w:tcPr>
          <w:p>
            <w:r>
              <w:rPr>
                <w:rFonts w:ascii="Times New Roman" w:hAnsi="Times New Roman"/>
                <w:sz w:val="20"/>
              </w:rPr>
              <w:t>Excellente (double inactivation)</w:t>
            </w:r>
          </w:p>
        </w:tc>
      </w:tr>
      <w:tr>
        <w:tc>
          <w:tcPr>
            <w:tcW w:type="dxa" w:w="2771"/>
          </w:tcPr>
          <w:p>
            <w:r>
              <w:rPr>
                <w:rFonts w:ascii="Times New Roman" w:hAnsi="Times New Roman"/>
                <w:sz w:val="20"/>
              </w:rPr>
              <w:t>Risque prion animal</w:t>
            </w:r>
          </w:p>
        </w:tc>
        <w:tc>
          <w:tcPr>
            <w:tcW w:type="dxa" w:w="2771"/>
          </w:tcPr>
          <w:p>
            <w:r>
              <w:rPr>
                <w:rFonts w:ascii="Times New Roman" w:hAnsi="Times New Roman"/>
                <w:sz w:val="20"/>
              </w:rPr>
              <w:t>Théorique (cellules CHO)</w:t>
            </w:r>
          </w:p>
        </w:tc>
        <w:tc>
          <w:tcPr>
            <w:tcW w:type="dxa" w:w="2771"/>
          </w:tcPr>
          <w:p>
            <w:r>
              <w:rPr>
                <w:rFonts w:ascii="Times New Roman" w:hAnsi="Times New Roman"/>
                <w:sz w:val="20"/>
              </w:rPr>
              <w:t>Négligeable (pas de prion bovin)</w:t>
            </w:r>
          </w:p>
        </w:tc>
      </w:tr>
      <w:tr>
        <w:tc>
          <w:tcPr>
            <w:tcW w:type="dxa" w:w="2771"/>
          </w:tcPr>
          <w:p>
            <w:r>
              <w:rPr>
                <w:rFonts w:ascii="Times New Roman" w:hAnsi="Times New Roman"/>
                <w:sz w:val="20"/>
              </w:rPr>
              <w:t>Récovery moyen</w:t>
            </w:r>
          </w:p>
        </w:tc>
        <w:tc>
          <w:tcPr>
            <w:tcW w:type="dxa" w:w="2771"/>
          </w:tcPr>
          <w:p>
            <w:r>
              <w:rPr>
                <w:rFonts w:ascii="Times New Roman" w:hAnsi="Times New Roman"/>
                <w:sz w:val="20"/>
              </w:rPr>
              <w:t>~0,8 UI/dL/UI/kg</w:t>
            </w:r>
          </w:p>
        </w:tc>
        <w:tc>
          <w:tcPr>
            <w:tcW w:type="dxa" w:w="2771"/>
          </w:tcPr>
          <w:p>
            <w:r>
              <w:rPr>
                <w:rFonts w:ascii="Times New Roman" w:hAnsi="Times New Roman"/>
                <w:sz w:val="20"/>
              </w:rPr>
              <w:t>~1,0 UI/dL/UI/kg</w:t>
            </w:r>
          </w:p>
        </w:tc>
      </w:tr>
      <w:tr>
        <w:tc>
          <w:tcPr>
            <w:tcW w:type="dxa" w:w="2771"/>
          </w:tcPr>
          <w:p>
            <w:r>
              <w:rPr>
                <w:rFonts w:ascii="Times New Roman" w:hAnsi="Times New Roman"/>
                <w:sz w:val="20"/>
              </w:rPr>
              <w:t>Demi-vie</w:t>
            </w:r>
          </w:p>
        </w:tc>
        <w:tc>
          <w:tcPr>
            <w:tcW w:type="dxa" w:w="2771"/>
          </w:tcPr>
          <w:p>
            <w:r>
              <w:rPr>
                <w:rFonts w:ascii="Times New Roman" w:hAnsi="Times New Roman"/>
                <w:sz w:val="20"/>
              </w:rPr>
              <w:t>18-24 h</w:t>
            </w:r>
          </w:p>
        </w:tc>
        <w:tc>
          <w:tcPr>
            <w:tcW w:type="dxa" w:w="2771"/>
          </w:tcPr>
          <w:p>
            <w:r>
              <w:rPr>
                <w:rFonts w:ascii="Times New Roman" w:hAnsi="Times New Roman"/>
                <w:sz w:val="20"/>
              </w:rPr>
              <w:t>18-24 h</w:t>
            </w:r>
          </w:p>
        </w:tc>
      </w:tr>
      <w:tr>
        <w:tc>
          <w:tcPr>
            <w:tcW w:type="dxa" w:w="2771"/>
          </w:tcPr>
          <w:p>
            <w:r>
              <w:rPr>
                <w:rFonts w:ascii="Times New Roman" w:hAnsi="Times New Roman"/>
                <w:sz w:val="20"/>
              </w:rPr>
              <w:t>Risque inhibiteur</w:t>
            </w:r>
          </w:p>
        </w:tc>
        <w:tc>
          <w:tcPr>
            <w:tcW w:type="dxa" w:w="2771"/>
          </w:tcPr>
          <w:p>
            <w:r>
              <w:rPr>
                <w:rFonts w:ascii="Times New Roman" w:hAnsi="Times New Roman"/>
                <w:sz w:val="20"/>
              </w:rPr>
              <w:t>1-3 %</w:t>
            </w:r>
          </w:p>
        </w:tc>
        <w:tc>
          <w:tcPr>
            <w:tcW w:type="dxa" w:w="2771"/>
          </w:tcPr>
          <w:p>
            <w:r>
              <w:rPr>
                <w:rFonts w:ascii="Times New Roman" w:hAnsi="Times New Roman"/>
                <w:sz w:val="20"/>
              </w:rPr>
              <w:t>1-3 %</w:t>
            </w:r>
          </w:p>
        </w:tc>
      </w:tr>
      <w:tr>
        <w:tc>
          <w:tcPr>
            <w:tcW w:type="dxa" w:w="2771"/>
          </w:tcPr>
          <w:p>
            <w:r>
              <w:rPr>
                <w:rFonts w:ascii="Times New Roman" w:hAnsi="Times New Roman"/>
                <w:sz w:val="20"/>
              </w:rPr>
              <w:t>Risque allergique</w:t>
            </w:r>
          </w:p>
        </w:tc>
        <w:tc>
          <w:tcPr>
            <w:tcW w:type="dxa" w:w="2771"/>
          </w:tcPr>
          <w:p>
            <w:r>
              <w:rPr>
                <w:rFonts w:ascii="Times New Roman" w:hAnsi="Times New Roman"/>
                <w:sz w:val="20"/>
              </w:rPr>
              <w:t>Faible (hamster CHO)</w:t>
            </w:r>
          </w:p>
        </w:tc>
        <w:tc>
          <w:tcPr>
            <w:tcW w:type="dxa" w:w="2771"/>
          </w:tcPr>
          <w:p>
            <w:r>
              <w:rPr>
                <w:rFonts w:ascii="Times New Roman" w:hAnsi="Times New Roman"/>
                <w:sz w:val="20"/>
              </w:rPr>
              <w:t>Modéré (protéines plasmatiques)</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 (BENEFIX importé) ; modéré (INNONAFACTOR SAIDAL)</w:t>
            </w:r>
          </w:p>
        </w:tc>
        <w:tc>
          <w:tcPr>
            <w:tcW w:type="dxa" w:w="2771"/>
          </w:tcPr>
          <w:p>
            <w:r>
              <w:rPr>
                <w:rFonts w:ascii="Times New Roman" w:hAnsi="Times New Roman"/>
                <w:sz w:val="20"/>
              </w:rPr>
              <w:t>Modéré</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4 dosages (500/1000/2000)</w:t>
            </w:r>
          </w:p>
        </w:tc>
        <w:tc>
          <w:tcPr>
            <w:tcW w:type="dxa" w:w="2771"/>
          </w:tcPr>
          <w:p>
            <w:r>
              <w:rPr>
                <w:rFonts w:ascii="Times New Roman" w:hAnsi="Times New Roman"/>
                <w:sz w:val="20"/>
              </w:rPr>
              <w:t>3 spécialités (1 RETRAIT)</w:t>
            </w:r>
          </w:p>
        </w:tc>
      </w:tr>
    </w:tbl>
    <w:p/>
    <w:p>
      <w:r/>
      <w:r>
        <w:rPr>
          <w:b/>
        </w:rPr>
        <w:t>Arbitrage clinique</w:t>
      </w:r>
      <w:r>
        <w:t xml:space="preserve"> :</w:t>
      </w:r>
    </w:p>
    <w:p>
      <w:pPr>
        <w:pStyle w:val="ListBullet"/>
      </w:pPr>
      <w:r/>
      <w:r>
        <w:rPr>
          <w:b/>
        </w:rPr>
        <w:t>Préférer le rFIX</w:t>
      </w:r>
      <w:r>
        <w:t xml:space="preserve"> chez les patients naïfs (sécurité virale accrue, pas de protéines plasmatiques), en particulier chez l'enfant (prophylaxie primaire précoce).</w:t>
      </w:r>
    </w:p>
    <w:p>
      <w:pPr>
        <w:pStyle w:val="ListBullet"/>
      </w:pPr>
      <w:r/>
      <w:r>
        <w:rPr>
          <w:b/>
        </w:rPr>
        <w:t>Préférer le rFIX</w:t>
      </w:r>
      <w:r>
        <w:t xml:space="preserve"> chez les patients avec antécédents d'allergie aux protéines plasmatiques ou déficit en IgA avec anti-IgA.</w:t>
      </w:r>
    </w:p>
    <w:p>
      <w:pPr>
        <w:pStyle w:val="ListBullet"/>
      </w:pPr>
      <w:r/>
      <w:r>
        <w:rPr>
          <w:b/>
        </w:rPr>
        <w:t>Préférer le pdFIX</w:t>
      </w:r>
      <w:r>
        <w:t xml:space="preserve"> en cas d'échec du rFIX (récovery insuffisant, inhibiteur sous rFIX, anaphylaxie au rFIX).</w:t>
      </w:r>
    </w:p>
    <w:p>
      <w:pPr>
        <w:pStyle w:val="ListBullet"/>
      </w:pPr>
      <w:r/>
      <w:r>
        <w:rPr>
          <w:b/>
        </w:rPr>
        <w:t>Préférer INNONAFACTOR (SAIDAL)</w:t>
      </w:r>
      <w:r>
        <w:t xml:space="preserve"> plutôt que BENEFIX (Pfizer) pour des raisons de coût et de souveraineté pharmaceutique nationale (politique du Ministère de la Santé algérien).</w:t>
      </w:r>
    </w:p>
    <w:p>
      <w:pPr>
        <w:pStyle w:val="Heading4"/>
      </w:pPr>
      <w:r>
        <w:t>Nonacog alfa (rFIX SHL) vs EHL rFIX (eftrenonacog alpha, ALPROLIX)</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Nonacog alfa (SHL)</w:t>
            </w:r>
          </w:p>
        </w:tc>
        <w:tc>
          <w:tcPr>
            <w:tcW w:type="dxa" w:w="2771"/>
            <w:shd w:val="clear" w:color="auto" w:fill="F2F2F2"/>
          </w:tcPr>
          <w:p>
            <w:r>
              <w:rPr>
                <w:rFonts w:ascii="Times New Roman" w:hAnsi="Times New Roman"/>
                <w:b/>
                <w:sz w:val="20"/>
              </w:rPr>
              <w:t>Eftrenonacog alpha (EHL)</w:t>
            </w:r>
          </w:p>
        </w:tc>
      </w:tr>
      <w:tr>
        <w:tc>
          <w:tcPr>
            <w:tcW w:type="dxa" w:w="2771"/>
          </w:tcPr>
          <w:p>
            <w:r>
              <w:rPr>
                <w:rFonts w:ascii="Times New Roman" w:hAnsi="Times New Roman"/>
                <w:sz w:val="20"/>
              </w:rPr>
              <w:t>Demi-vie</w:t>
            </w:r>
          </w:p>
        </w:tc>
        <w:tc>
          <w:tcPr>
            <w:tcW w:type="dxa" w:w="2771"/>
          </w:tcPr>
          <w:p>
            <w:r>
              <w:rPr>
                <w:rFonts w:ascii="Times New Roman" w:hAnsi="Times New Roman"/>
                <w:sz w:val="20"/>
              </w:rPr>
              <w:t>18-24 h</w:t>
            </w:r>
          </w:p>
        </w:tc>
        <w:tc>
          <w:tcPr>
            <w:tcW w:type="dxa" w:w="2771"/>
          </w:tcPr>
          <w:p>
            <w:r>
              <w:rPr>
                <w:rFonts w:ascii="Times New Roman" w:hAnsi="Times New Roman"/>
                <w:sz w:val="20"/>
              </w:rPr>
              <w:t>80-90 h</w:t>
            </w:r>
          </w:p>
        </w:tc>
      </w:tr>
      <w:tr>
        <w:tc>
          <w:tcPr>
            <w:tcW w:type="dxa" w:w="2771"/>
          </w:tcPr>
          <w:p>
            <w:r>
              <w:rPr>
                <w:rFonts w:ascii="Times New Roman" w:hAnsi="Times New Roman"/>
                <w:sz w:val="20"/>
              </w:rPr>
              <w:t>Fréquence prophylaxie</w:t>
            </w:r>
          </w:p>
        </w:tc>
        <w:tc>
          <w:tcPr>
            <w:tcW w:type="dxa" w:w="2771"/>
          </w:tcPr>
          <w:p>
            <w:r>
              <w:rPr>
                <w:rFonts w:ascii="Times New Roman" w:hAnsi="Times New Roman"/>
                <w:sz w:val="20"/>
              </w:rPr>
              <w:t>2x/semaine</w:t>
            </w:r>
          </w:p>
        </w:tc>
        <w:tc>
          <w:tcPr>
            <w:tcW w:type="dxa" w:w="2771"/>
          </w:tcPr>
          <w:p>
            <w:r>
              <w:rPr>
                <w:rFonts w:ascii="Times New Roman" w:hAnsi="Times New Roman"/>
                <w:sz w:val="20"/>
              </w:rPr>
              <w:t>1x/semaine ou 1x/10 jours</w:t>
            </w:r>
          </w:p>
        </w:tc>
      </w:tr>
      <w:tr>
        <w:tc>
          <w:tcPr>
            <w:tcW w:type="dxa" w:w="2771"/>
          </w:tcPr>
          <w:p>
            <w:r>
              <w:rPr>
                <w:rFonts w:ascii="Times New Roman" w:hAnsi="Times New Roman"/>
                <w:sz w:val="20"/>
              </w:rPr>
              <w:t>Récovery</w:t>
            </w:r>
          </w:p>
        </w:tc>
        <w:tc>
          <w:tcPr>
            <w:tcW w:type="dxa" w:w="2771"/>
          </w:tcPr>
          <w:p>
            <w:r>
              <w:rPr>
                <w:rFonts w:ascii="Times New Roman" w:hAnsi="Times New Roman"/>
                <w:sz w:val="20"/>
              </w:rPr>
              <w:t>0,8 UI/dL/UI/kg</w:t>
            </w:r>
          </w:p>
        </w:tc>
        <w:tc>
          <w:tcPr>
            <w:tcW w:type="dxa" w:w="2771"/>
          </w:tcPr>
          <w:p>
            <w:r>
              <w:rPr>
                <w:rFonts w:ascii="Times New Roman" w:hAnsi="Times New Roman"/>
                <w:sz w:val="20"/>
              </w:rPr>
              <w:t>1,3 UI/dL/UI/kg</w:t>
            </w:r>
          </w:p>
        </w:tc>
      </w:tr>
      <w:tr>
        <w:tc>
          <w:tcPr>
            <w:tcW w:type="dxa" w:w="2771"/>
          </w:tcPr>
          <w:p>
            <w:r>
              <w:rPr>
                <w:rFonts w:ascii="Times New Roman" w:hAnsi="Times New Roman"/>
                <w:sz w:val="20"/>
              </w:rPr>
              <w:t>Coût annuel prophylaxie adulte</w:t>
            </w:r>
          </w:p>
        </w:tc>
        <w:tc>
          <w:tcPr>
            <w:tcW w:type="dxa" w:w="2771"/>
          </w:tcPr>
          <w:p>
            <w:r>
              <w:rPr>
                <w:rFonts w:ascii="Times New Roman" w:hAnsi="Times New Roman"/>
                <w:sz w:val="20"/>
              </w:rPr>
              <w:t>200 000-400 000 €</w:t>
            </w:r>
          </w:p>
        </w:tc>
        <w:tc>
          <w:tcPr>
            <w:tcW w:type="dxa" w:w="2771"/>
          </w:tcPr>
          <w:p>
            <w:r>
              <w:rPr>
                <w:rFonts w:ascii="Times New Roman" w:hAnsi="Times New Roman"/>
                <w:sz w:val="20"/>
              </w:rPr>
              <w:t>300 000-500 000 €</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Oui (BENEFIX, INNONAFACTOR)</w:t>
            </w:r>
          </w:p>
        </w:tc>
        <w:tc>
          <w:tcPr>
            <w:tcW w:type="dxa" w:w="2771"/>
          </w:tcPr>
          <w:p>
            <w:r>
              <w:rPr>
                <w:rFonts w:ascii="Times New Roman" w:hAnsi="Times New Roman"/>
                <w:sz w:val="20"/>
              </w:rPr>
              <w:t>Oui (ALPROLIX — mais étiqueté à tort FVIII dans la nomenclature)</w:t>
            </w:r>
          </w:p>
        </w:tc>
      </w:tr>
    </w:tbl>
    <w:p/>
    <w:p>
      <w:r/>
      <w:r>
        <w:rPr>
          <w:b/>
        </w:rPr>
        <w:t>Arbitrage clinique</w:t>
      </w:r>
      <w:r>
        <w:t xml:space="preserve"> :</w:t>
      </w:r>
    </w:p>
    <w:p>
      <w:pPr>
        <w:pStyle w:val="ListBullet"/>
      </w:pPr>
      <w:r>
        <w:t xml:space="preserve">L'EHL est </w:t>
      </w:r>
      <w:r>
        <w:rPr>
          <w:b/>
        </w:rPr>
        <w:t>préférable</w:t>
      </w:r>
      <w:r>
        <w:t xml:space="preserve"> en prophylaxie chez l'adulte et l'enfant &gt; 12 ans (qualité de vie supérieure, moins d'injections, taux de FIX résiduel plus élevé).</w:t>
      </w:r>
    </w:p>
    <w:p>
      <w:pPr>
        <w:pStyle w:val="ListBullet"/>
      </w:pPr>
      <w:r>
        <w:t xml:space="preserve">L'EHL est </w:t>
      </w:r>
      <w:r>
        <w:rPr>
          <w:b/>
        </w:rPr>
        <w:t>préférable</w:t>
      </w:r>
      <w:r>
        <w:t xml:space="preserve"> en chirurgie programmée (moins d'injections post-opératoires, taux maintenu plus longtemps).</w:t>
      </w:r>
    </w:p>
    <w:p>
      <w:pPr>
        <w:pStyle w:val="ListBullet"/>
      </w:pPr>
      <w:r>
        <w:t xml:space="preserve">Le rFIX SHL reste </w:t>
      </w:r>
      <w:r>
        <w:rPr>
          <w:b/>
        </w:rPr>
        <w:t>souhaitable</w:t>
      </w:r>
      <w:r>
        <w:t xml:space="preserve"> chez l'enfant très jeune (&lt; 6 ans) en raison de l'expérience cumulée d'utilisation et de l'incertitude sur l'immunogénicité à long terme des EHL.</w:t>
      </w:r>
    </w:p>
    <w:p>
      <w:pPr>
        <w:pStyle w:val="Heading4"/>
      </w:pPr>
      <w:r>
        <w:t>Forme galénique : poudre lyophilisée vs solution prête à l'emploi</w:t>
      </w:r>
    </w:p>
    <w:p>
      <w:pPr>
        <w:pStyle w:val="ListBullet"/>
      </w:pPr>
      <w:r>
        <w:t xml:space="preserve">Le BENEFIX et INNONAFACTOR se présentent en </w:t>
      </w:r>
      <w:r>
        <w:rPr>
          <w:b/>
        </w:rPr>
        <w:t>poudre lyophilisée</w:t>
      </w:r>
      <w:r>
        <w:t xml:space="preserve"> à reconstituer avec le solvant fourni (EPPI). Cette forme permet une conservation prolongée à 2-8 °C (24-36 mois) mais nécessite une étape de reconstitution.</w:t>
      </w:r>
    </w:p>
    <w:p>
      <w:pPr>
        <w:pStyle w:val="ListBullet"/>
      </w:pPr>
      <w:r>
        <w:t>Aucune spécialité rFIX en solution prête à l'emploi (seringue pré-remplie) n'est disponible en Algérie (certaines existent à l'étranger — Idelvion solution, Rebinyn solution).</w:t>
      </w:r>
    </w:p>
    <w:p>
      <w:pPr>
        <w:pStyle w:val="ListBullet"/>
      </w:pPr>
      <w:r>
        <w:t>L'industrie pharmaceutique algérienne (SAIDAL) travaille sur une formulation en seringue pré-remplie pour INNONAFACTOR (prévue 2027-2028).</w:t>
      </w:r>
    </w:p>
    <w:p>
      <w:pPr>
        <w:pStyle w:val="Heading3"/>
      </w:pPr>
      <w:r>
        <w:t>Sous-section 10 — Instructions et conseils au patient</w:t>
      </w:r>
    </w:p>
    <w:p>
      <w:pPr>
        <w:pStyle w:val="Heading4"/>
      </w:pPr>
      <w:r>
        <w:t>Formation à l'auto-administration à domicile</w:t>
      </w:r>
    </w:p>
    <w:p>
      <w:pPr>
        <w:pStyle w:val="ListBullet"/>
      </w:pPr>
      <w:r>
        <w:t xml:space="preserve">La formation est assurée par une </w:t>
      </w:r>
      <w:r>
        <w:rPr>
          <w:b/>
        </w:rPr>
        <w:t>infirmière d'éducation thérapeutique</w:t>
      </w:r>
      <w:r>
        <w:t xml:space="preserve"> spécialisée en hématologie, en milieu hospitalier (centre de référence hémophilie), sur 3-5 séances de 1-2 heures chacune.</w:t>
      </w:r>
    </w:p>
    <w:p>
      <w:pPr>
        <w:pStyle w:val="ListBullet"/>
      </w:pPr>
      <w:r>
        <w:t>La formation doit inclure : technique d'asepsie (lavage des mains, désinfection du site, gants stériles), reconstitution du facteur, technique d'injection IV (cathéter), gestion des incidents (extravasation, hématome au point de ponction), reconnaissance des signes d'anaphylaxie, conduite à tenir en cas de saignement aigu.</w:t>
      </w:r>
    </w:p>
    <w:p>
      <w:pPr>
        <w:pStyle w:val="ListBullet"/>
      </w:pPr>
      <w:r/>
      <w:r>
        <w:rPr>
          <w:b/>
        </w:rPr>
        <w:t>Validation</w:t>
      </w:r>
      <w:r>
        <w:t xml:space="preserve"> : un carnet de formation est signé par l'infirmière, le médecin hématologue et le patient ; un numéro d'urgence 24/7 est fourni (centre de référence hémophilie).</w:t>
      </w:r>
    </w:p>
    <w:p>
      <w:pPr>
        <w:pStyle w:val="ListBullet"/>
      </w:pPr>
      <w:r/>
      <w:r>
        <w:rPr>
          <w:b/>
        </w:rPr>
        <w:t>Renouvellement annuel</w:t>
      </w:r>
      <w:r>
        <w:t xml:space="preserve"> obligatoire de la formation.</w:t>
      </w:r>
    </w:p>
    <w:p>
      <w:pPr>
        <w:pStyle w:val="ListBullet"/>
      </w:pPr>
      <w:r/>
      <w:r>
        <w:rPr>
          <w:b/>
        </w:rPr>
        <w:t>Âge minimal</w:t>
      </w:r>
      <w:r>
        <w:t xml:space="preserve"> : l'enfant peut être formé dès 8-10 ans (auto-administration sous surveillance parentale), avec autonomie complète vers 12-14 ans.</w:t>
      </w:r>
    </w:p>
    <w:p>
      <w:pPr>
        <w:pStyle w:val="Heading4"/>
      </w:pPr>
      <w:r>
        <w:t>Gestion de la chaîne du froid</w:t>
      </w:r>
    </w:p>
    <w:p>
      <w:pPr>
        <w:pStyle w:val="ListBullet"/>
      </w:pPr>
      <w:r/>
      <w:r>
        <w:rPr>
          <w:b/>
        </w:rPr>
        <w:t>Conservation</w:t>
      </w:r>
      <w:r>
        <w:t xml:space="preserve"> : +2 °C à +8 °C (réfrigérateur domestique dédié, ne pas stocker dans la porte du réfrigérateur car variations de température).</w:t>
      </w:r>
    </w:p>
    <w:p>
      <w:pPr>
        <w:pStyle w:val="ListBullet"/>
      </w:pPr>
      <w:r/>
      <w:r>
        <w:rPr>
          <w:b/>
        </w:rPr>
        <w:t>Ne jamais congeler</w:t>
      </w:r>
      <w:r>
        <w:t xml:space="preserve"> (la congélation dénature les protéines de coagulation).</w:t>
      </w:r>
    </w:p>
    <w:p>
      <w:pPr>
        <w:pStyle w:val="ListBullet"/>
      </w:pPr>
      <w:r/>
      <w:r>
        <w:rPr>
          <w:b/>
        </w:rPr>
        <w:t>Transport</w:t>
      </w:r>
      <w:r>
        <w:t xml:space="preserve"> : sac isotherme avec accumulateurs de froid (ne pas mettre en contact direct avec les accumulateurs — risque de congélation locale).</w:t>
      </w:r>
    </w:p>
    <w:p>
      <w:pPr>
        <w:pStyle w:val="ListBullet"/>
      </w:pPr>
      <w:r/>
      <w:r>
        <w:rPr>
          <w:b/>
        </w:rPr>
        <w:t>Rupture de chaîne du froid</w:t>
      </w:r>
      <w:r>
        <w:t xml:space="preserve"> : si le flacon reste &gt; 4 h à température ambiante (20-25 °C) ou &gt; 1 h à &gt; 25 °C, l'éliminer (même non reconstitué). Noter l'incident dans le registre patient.</w:t>
      </w:r>
    </w:p>
    <w:p>
      <w:pPr>
        <w:pStyle w:val="ListBullet"/>
      </w:pPr>
      <w:r/>
      <w:r>
        <w:rPr>
          <w:b/>
        </w:rPr>
        <w:t>Vérification visuelle</w:t>
      </w:r>
      <w:r>
        <w:t xml:space="preserve"> : le flacon de poudre lyophilisée doit être blanc, sans coloration anormale ni particules ; le solvant doit être limpide.</w:t>
      </w:r>
    </w:p>
    <w:p>
      <w:pPr>
        <w:pStyle w:val="Heading4"/>
      </w:pPr>
      <w:r>
        <w:t>Reconstitution de la solution</w:t>
      </w:r>
    </w:p>
    <w:p>
      <w:pPr>
        <w:pStyle w:val="ListNumber"/>
      </w:pPr>
      <w:r>
        <w:t>Sortir le flacon du réfrigérateur 5-10 min avant (température ambiante ≤ 25 °C).</w:t>
      </w:r>
    </w:p>
    <w:p>
      <w:pPr>
        <w:pStyle w:val="ListNumber"/>
      </w:pPr>
      <w:r/>
      <w:r>
        <w:rPr>
          <w:b/>
        </w:rPr>
        <w:t>Désinfecter</w:t>
      </w:r>
      <w:r>
        <w:t xml:space="preserve"> le bouchon avec un tampon d'alcool.</w:t>
      </w:r>
    </w:p>
    <w:p>
      <w:pPr>
        <w:pStyle w:val="ListNumber"/>
      </w:pPr>
      <w:r/>
      <w:r>
        <w:rPr>
          <w:b/>
        </w:rPr>
        <w:t>Transférer le solvant</w:t>
      </w:r>
      <w:r>
        <w:t xml:space="preserve"> dans le flacon de poudre avec une aiguille de transfert stérile (en général fournie dans le kit).</w:t>
      </w:r>
    </w:p>
    <w:p>
      <w:pPr>
        <w:pStyle w:val="ListNumber"/>
      </w:pPr>
      <w:r/>
      <w:r>
        <w:rPr>
          <w:b/>
        </w:rPr>
        <w:t>Agiter doucement par rotation</w:t>
      </w:r>
      <w:r>
        <w:t xml:space="preserve"> entre les paumes pendant 1-3 minutes (ne jamais agiter vigoureusement — formation de mousse = dénaturation protéique).</w:t>
      </w:r>
    </w:p>
    <w:p>
      <w:pPr>
        <w:pStyle w:val="ListNumber"/>
      </w:pPr>
      <w:r/>
      <w:r>
        <w:rPr>
          <w:b/>
        </w:rPr>
        <w:t>Vérifier</w:t>
      </w:r>
      <w:r>
        <w:t xml:space="preserve"> que la solution est limpide, incolore à légèrement opalescente, sans particules ni filaments.</w:t>
      </w:r>
    </w:p>
    <w:p>
      <w:pPr>
        <w:pStyle w:val="ListNumber"/>
      </w:pPr>
      <w:r/>
      <w:r>
        <w:rPr>
          <w:b/>
        </w:rPr>
        <w:t>Aspirer</w:t>
      </w:r>
      <w:r>
        <w:t xml:space="preserve"> la solution dans la seringue avec une aiguille filtre (fournie).</w:t>
      </w:r>
    </w:p>
    <w:p>
      <w:pPr>
        <w:pStyle w:val="ListNumber"/>
      </w:pPr>
      <w:r/>
      <w:r>
        <w:rPr>
          <w:b/>
        </w:rPr>
        <w:t>Administrer immédiatement</w:t>
      </w:r>
      <w:r>
        <w:t xml:space="preserve"> (≤ 3 h à température ambiante).</w:t>
      </w:r>
    </w:p>
    <w:p>
      <w:pPr>
        <w:pStyle w:val="ListNumber"/>
      </w:pPr>
      <w:r/>
      <w:r>
        <w:rPr>
          <w:b/>
        </w:rPr>
        <w:t>Éliminer</w:t>
      </w:r>
      <w:r>
        <w:t xml:space="preserve"> tout flacon entamé, ne jamais recongeler la solution reconstituée.</w:t>
      </w:r>
    </w:p>
    <w:p>
      <w:pPr>
        <w:pStyle w:val="Heading4"/>
      </w:pPr>
      <w:r>
        <w:t>Conduite à tenir en cas de saignement aigu</w:t>
      </w:r>
    </w:p>
    <w:p>
      <w:pPr>
        <w:pStyle w:val="ListBullet"/>
      </w:pPr>
      <w:r/>
      <w:r>
        <w:rPr>
          <w:b/>
        </w:rPr>
        <w:t>Premier réflexe</w:t>
      </w:r>
      <w:r>
        <w:t xml:space="preserve"> : injection de FIX (dose adaptée au type de saignement : 30 UI/kg pour hémarthrose simple, 50 UI/kg pour hématome, 80 UI/kg pour saignement grave).</w:t>
      </w:r>
    </w:p>
    <w:p>
      <w:pPr>
        <w:pStyle w:val="ListBullet"/>
      </w:pPr>
      <w:r/>
      <w:r>
        <w:rPr>
          <w:b/>
        </w:rPr>
        <w:t>Application de glace</w:t>
      </w:r>
      <w:r>
        <w:t xml:space="preserve"> sur la zone douloureuse (sans contact direct avec la peau, 15 min × 3-4 fois/jour).</w:t>
      </w:r>
    </w:p>
    <w:p>
      <w:pPr>
        <w:pStyle w:val="ListBullet"/>
      </w:pPr>
      <w:r/>
      <w:r>
        <w:rPr>
          <w:b/>
        </w:rPr>
        <w:t>Mise au repos</w:t>
      </w:r>
      <w:r>
        <w:t xml:space="preserve"> de l'articulation atteinte (attelle, béquilles).</w:t>
      </w:r>
    </w:p>
    <w:p>
      <w:pPr>
        <w:pStyle w:val="ListBullet"/>
      </w:pPr>
      <w:r/>
      <w:r>
        <w:rPr>
          <w:b/>
        </w:rPr>
        <w:t>Surveillance</w:t>
      </w:r>
      <w:r>
        <w:t xml:space="preserve"> : si le saignement ne se contrôle pas dans les 12-24 h, consulter en urgence le centre de référence hémophilie.</w:t>
      </w:r>
    </w:p>
    <w:p>
      <w:pPr>
        <w:pStyle w:val="ListBullet"/>
      </w:pPr>
      <w:r/>
      <w:r>
        <w:rPr>
          <w:b/>
        </w:rPr>
        <w:t>Numéro d'urgence</w:t>
      </w:r>
      <w:r>
        <w:t xml:space="preserve"> : toujours avoir sur soi le numéro du centre de référence (Alger : CHU Mustapha ; Oran : CHU Oran ; Constantine : CHU Constantine).</w:t>
      </w:r>
    </w:p>
    <w:p>
      <w:pPr>
        <w:pStyle w:val="Heading4"/>
      </w:pPr>
      <w:r>
        <w:t>Vaccinations obligatoires</w:t>
      </w:r>
    </w:p>
    <w:p>
      <w:pPr>
        <w:pStyle w:val="ListBullet"/>
      </w:pPr>
      <w:r/>
      <w:r>
        <w:rPr>
          <w:b/>
        </w:rPr>
        <w:t>Vaccination hépatite B</w:t>
      </w:r>
      <w:r>
        <w:t xml:space="preserve"> systématique avant la première exposition au FIX (à défaut, dès le diagnostic d'hémophilie B posé).</w:t>
      </w:r>
    </w:p>
    <w:p>
      <w:pPr>
        <w:pStyle w:val="ListBullet"/>
      </w:pPr>
      <w:r/>
      <w:r>
        <w:rPr>
          <w:b/>
        </w:rPr>
        <w:t>Vaccination hépatite A</w:t>
      </w:r>
      <w:r>
        <w:t xml:space="preserve"> recommandée (en particulier si pdFIX utilisé).</w:t>
      </w:r>
    </w:p>
    <w:p>
      <w:pPr>
        <w:pStyle w:val="ListBullet"/>
      </w:pPr>
      <w:r>
        <w:t xml:space="preserve">Les vaccinations se font en </w:t>
      </w:r>
      <w:r>
        <w:rPr>
          <w:b/>
        </w:rPr>
        <w:t>sous-cutanée stricte</w:t>
      </w:r>
      <w:r>
        <w:t xml:space="preserve"> (jamais IM, en raison du risque d'hématome musculaire), avec aiguille fine (25-27 G), compression prolongée du point d'injection (5-10 min).</w:t>
      </w:r>
    </w:p>
    <w:p>
      <w:pPr>
        <w:pStyle w:val="Heading4"/>
      </w:pPr>
      <w:r>
        <w:t>Carte de patient hémophile</w:t>
      </w:r>
    </w:p>
    <w:p>
      <w:pPr>
        <w:pStyle w:val="ListBullet"/>
      </w:pPr>
      <w:r>
        <w:t xml:space="preserve">Tout patient hémophile doit avoir sur soi une </w:t>
      </w:r>
      <w:r>
        <w:rPr>
          <w:b/>
        </w:rPr>
        <w:t>carte de patient hémophile</w:t>
      </w:r>
      <w:r>
        <w:t xml:space="preserve"> (portefeuille ou bracelet) précisant :</w:t>
      </w:r>
    </w:p>
    <w:p>
      <w:pPr>
        <w:pStyle w:val="ListBullet"/>
      </w:pPr>
      <w:r>
        <w:t>Type et sévérité de l'hémophilie (B sévère, modérée, légère).</w:t>
      </w:r>
    </w:p>
    <w:p>
      <w:pPr>
        <w:pStyle w:val="ListBullet"/>
      </w:pPr>
      <w:r>
        <w:t>Taux de FIX basal.</w:t>
      </w:r>
    </w:p>
    <w:p>
      <w:pPr>
        <w:pStyle w:val="ListBullet"/>
      </w:pPr>
      <w:r>
        <w:t>Traitement prophylactique en cours (dose, fréquence, dernière injection).</w:t>
      </w:r>
    </w:p>
    <w:p>
      <w:pPr>
        <w:pStyle w:val="ListBullet"/>
      </w:pPr>
      <w:r>
        <w:t>Centre de référence hémophilie (nom, téléphone, adresse).</w:t>
      </w:r>
    </w:p>
    <w:p>
      <w:pPr>
        <w:pStyle w:val="ListBullet"/>
      </w:pPr>
      <w:r>
        <w:t>Contact du patient (nom, téléphone).</w:t>
      </w:r>
    </w:p>
    <w:p>
      <w:pPr>
        <w:pStyle w:val="ListBullet"/>
      </w:pPr>
      <w:r>
        <w:t>Statut inhibiteur (positif/négatif, dernier dosage, UB).</w:t>
      </w:r>
    </w:p>
    <w:p>
      <w:pPr>
        <w:pStyle w:val="Heading4"/>
      </w:pPr>
      <w:r>
        <w:t>Voyage et déplacement</w:t>
      </w:r>
    </w:p>
    <w:p>
      <w:pPr>
        <w:pStyle w:val="ListBullet"/>
      </w:pPr>
      <w:r>
        <w:t xml:space="preserve">Prévoir une </w:t>
      </w:r>
      <w:r>
        <w:rPr>
          <w:b/>
        </w:rPr>
        <w:t>réserve de FIX</w:t>
      </w:r>
      <w:r>
        <w:t xml:space="preserve"> suffisante pour la durée du voyage + 1 semaine (en cas de retard de retour).</w:t>
      </w:r>
    </w:p>
    <w:p>
      <w:pPr>
        <w:pStyle w:val="ListBullet"/>
      </w:pPr>
      <w:r>
        <w:t>Transport en cabine (jamais en soute — risque de congélation ou de température excessive), sac isotherme avec accumulateurs de froid.</w:t>
      </w:r>
    </w:p>
    <w:p>
      <w:pPr>
        <w:pStyle w:val="ListBullet"/>
      </w:pPr>
      <w:r/>
      <w:r>
        <w:rPr>
          <w:b/>
        </w:rPr>
        <w:t>Recommandations vaccinales</w:t>
      </w:r>
      <w:r>
        <w:t xml:space="preserve"> du pays de destination (en particulier fièvre jaune — vaccination SC, possible sous couverture par FIX).</w:t>
      </w:r>
    </w:p>
    <w:p>
      <w:pPr>
        <w:pStyle w:val="ListBullet"/>
      </w:pPr>
      <w:r>
        <w:t>Assurance rapatriement sanitaire couvrant l'hémophilie.</w:t>
      </w:r>
    </w:p>
    <w:p>
      <w:pPr>
        <w:pStyle w:val="Heading3"/>
      </w:pPr>
      <w:r>
        <w:t>Sous-section 11 — Notes, règles d'or et pièges au comptoir</w:t>
      </w:r>
    </w:p>
    <w:p>
      <w:pPr>
        <w:pStyle w:val="ListNumber"/>
      </w:pPr>
      <w:r/>
      <w:r>
        <w:rPr>
          <w:b/>
        </w:rPr>
        <w:t>Hémophilie B = déficit en FIX</w:t>
      </w:r>
      <w:r>
        <w:t xml:space="preserve"> ; Hémophilie A = déficit en FVIII. Ne jamais confondre — la dose est calculée sur le facteur déficient. Administrer du FVIII à un hémophile B est inefficace et dangereux (exposition inutile + risque d'inhibiteur anti-FVIII).</w:t>
      </w:r>
    </w:p>
    <w:p>
      <w:pPr>
        <w:pStyle w:val="ListNumber"/>
      </w:pPr>
      <w:r/>
      <w:r>
        <w:rPr>
          <w:b/>
        </w:rPr>
        <w:t>La dose de FIX se calcule en UI/kg</w:t>
      </w:r>
      <w:r>
        <w:t xml:space="preserve"> selon la formule : </w:t>
      </w:r>
      <w:r>
        <w:rPr>
          <w:b/>
        </w:rPr>
        <w:t>Dose (UI) = Poids (kg) × ΔFIX souhaité (UI/dL) × 1,2</w:t>
      </w:r>
      <w:r>
        <w:t>. Le facteur 1,2 (et non 0,5 comme pour FVIII) reflète le récovery plus faible du FIX. Ne pas inverser les formules.</w:t>
      </w:r>
    </w:p>
    <w:p>
      <w:pPr>
        <w:pStyle w:val="ListNumber"/>
      </w:pPr>
      <w:r/>
      <w:r>
        <w:rPr>
          <w:b/>
        </w:rPr>
        <w:t>La demi-vie du FIX est ~18-24 h</w:t>
      </w:r>
      <w:r>
        <w:t xml:space="preserve"> (vs ~8-14 h pour FVIII) ; prophylaxie 2×/semaine suffit (vs 3×/semaine pour FVIII).</w:t>
      </w:r>
    </w:p>
    <w:p>
      <w:pPr>
        <w:pStyle w:val="ListNumber"/>
      </w:pPr>
      <w:r/>
      <w:r>
        <w:rPr>
          <w:b/>
        </w:rPr>
        <w:t>L'inhibiteur anti-FIX est rare (1-3 %) mais grave</w:t>
      </w:r>
      <w:r>
        <w:t xml:space="preserve"> :</w:t>
      </w:r>
    </w:p>
    <w:p>
      <w:pPr>
        <w:pStyle w:val="ListBullet"/>
      </w:pPr>
      <w:r>
        <w:t>Risque majeur d'</w:t>
      </w:r>
      <w:r>
        <w:rPr>
          <w:b/>
        </w:rPr>
        <w:t>anaphylaxie</w:t>
      </w:r>
      <w:r>
        <w:t xml:space="preserve"> inaugurale (30-50 % des cas si délétion complète du gène F9).</w:t>
      </w:r>
    </w:p>
    <w:p>
      <w:pPr>
        <w:pStyle w:val="ListBullet"/>
      </w:pPr>
      <w:r/>
      <w:r>
        <w:rPr>
          <w:b/>
        </w:rPr>
        <w:t>ITI contre-indiquée</w:t>
      </w:r>
      <w:r>
        <w:t xml:space="preserve"> (risque de syndrome néphrotique).</w:t>
      </w:r>
    </w:p>
    <w:p>
      <w:pPr>
        <w:pStyle w:val="ListBullet"/>
      </w:pPr>
      <w:r>
        <w:t>Traitement par by-passing agents uniquement (FEIBA, rFVIIa).</w:t>
      </w:r>
    </w:p>
    <w:p>
      <w:pPr>
        <w:pStyle w:val="ListNumber"/>
      </w:pPr>
      <w:r/>
      <w:r>
        <w:rPr>
          <w:b/>
        </w:rPr>
        <w:t>Test de Bethesda obligatoire</w:t>
      </w:r>
      <w:r>
        <w:t xml:space="preserve"> : tous les 3-6 mois la première année, puis annuel. Devant tout échec thérapeutique (saignement non contrôlé malgré dose adaptée) ou devant toute réaction anaphylactique post-administration.</w:t>
      </w:r>
    </w:p>
    <w:p>
      <w:pPr>
        <w:pStyle w:val="ListNumber"/>
      </w:pPr>
      <w:r/>
      <w:r>
        <w:rPr>
          <w:b/>
        </w:rPr>
        <w:t>ALPROLIX (eftrenonacog alpha) est un rFIX EHL</w:t>
      </w:r>
      <w:r>
        <w:t xml:space="preserve"> pour l'hémophilie B (demi-vie 80-90 h, prophylaxie 1×/semaine), malgré son étiquetage à tort comme FVIII dans la nomenclature algérienne. Ne pas l'administrer à un hémophile A.</w:t>
      </w:r>
    </w:p>
    <w:p>
      <w:pPr>
        <w:pStyle w:val="ListNumber"/>
      </w:pPr>
      <w:r/>
      <w:r>
        <w:rPr>
          <w:b/>
        </w:rPr>
        <w:t>INNONAFACTOR (SAIDAL)</w:t>
      </w:r>
      <w:r>
        <w:t xml:space="preserve"> est le rFIX produit localement en Algérie, équivalent du BENEFIX (Pfizer) en termes d'efficacité et de tolérance. Privilégier INNONAFACTOR pour des raisons de souveraineté pharmaceutique et de coût (≈ 40 % moins cher que BENEFIX).</w:t>
      </w:r>
    </w:p>
    <w:p>
      <w:pPr>
        <w:pStyle w:val="ListNumber"/>
      </w:pPr>
      <w:r/>
      <w:r>
        <w:rPr>
          <w:b/>
        </w:rPr>
        <w:t>Chaîne du froid +2 °C à +8 °C</w:t>
      </w:r>
      <w:r>
        <w:t xml:space="preserve"> stricte ; reconstitution douce (pas d'agitation vigoureuse) ; utilisation dans les 3 h après reconstitution.</w:t>
      </w:r>
    </w:p>
    <w:p>
      <w:pPr>
        <w:pStyle w:val="ListNumber"/>
      </w:pPr>
      <w:r/>
      <w:r>
        <w:rPr>
          <w:b/>
        </w:rPr>
        <w:t>Auto-administration à domicile</w:t>
      </w:r>
      <w:r>
        <w:t xml:space="preserve"> après formation hospitalière : pilier de la prise en charge moderne de l'hémophilie B sévère. Améliore la qualité de vie et réduit la sévérité des saignements.</w:t>
      </w:r>
    </w:p>
    <w:p>
      <w:pPr>
        <w:pStyle w:val="ListNumber"/>
      </w:pPr>
      <w:r/>
      <w:r>
        <w:rPr>
          <w:b/>
        </w:rPr>
        <w:t>Grossesse et allaitement</w:t>
      </w:r>
      <w:r>
        <w:t xml:space="preserve"> : rFIX utilisable (CRAT). Maintenir FIX ≥ 50 UI/dL pendant le travail et ≥ 30 UI/dL pendant 7-14 jours post-partum.</w:t>
      </w:r>
    </w:p>
    <w:p>
      <w:pPr>
        <w:pStyle w:val="ListNumber"/>
      </w:pPr>
      <w:r/>
      <w:r>
        <w:rPr>
          <w:b/>
        </w:rPr>
        <w:t>Éviter l'aspirine et les AINS</w:t>
      </w:r>
      <w:r>
        <w:t xml:space="preserve"> chez l'hémophile (préférer paracétamol, codéine, tramadol). Éviter les IM (préférer SC pour les vaccins et autres traitements).</w:t>
      </w:r>
    </w:p>
    <w:p>
      <w:pPr>
        <w:pStyle w:val="ListNumber"/>
      </w:pPr>
      <w:r/>
      <w:r>
        <w:rPr>
          <w:b/>
        </w:rPr>
        <w:t>Surveillance ostéo-articulaire</w:t>
      </w:r>
      <w:r>
        <w:t xml:space="preserve"> : les hémarthroses récidivantes → arthropathie hémophilique destructrice. Prévention par prophylaxie primaire précoce (avant 3 ans).</w:t>
      </w:r>
    </w:p>
    <w:p>
      <w:pPr>
        <w:pStyle w:val="ListNumber"/>
      </w:pPr>
      <w:r/>
      <w:r>
        <w:rPr>
          <w:b/>
        </w:rPr>
        <w:t>Vaccination hépatite A et B</w:t>
      </w:r>
      <w:r>
        <w:t xml:space="preserve"> systématique chez tout patient hémophile (avant toute exposition aux PSS plasmatiques).</w:t>
      </w:r>
    </w:p>
    <w:p>
      <w:pPr>
        <w:pStyle w:val="ListNumber"/>
      </w:pPr>
      <w:r/>
      <w:r>
        <w:rPr>
          <w:b/>
        </w:rPr>
        <w:t>Patients IgA-déficients avec anti-IgA</w:t>
      </w:r>
      <w:r>
        <w:t xml:space="preserve"> : risque d'anaphylaxie accru aux pdFIX (préférer rFIX). Faire une première administration en milieu hospitalier.</w:t>
      </w:r>
    </w:p>
    <w:p>
      <w:pPr>
        <w:pStyle w:val="ListNumber"/>
      </w:pPr>
      <w:r/>
      <w:r>
        <w:rPr>
          <w:b/>
        </w:rPr>
        <w:t>Information patient</w:t>
      </w:r>
      <w:r>
        <w:t xml:space="preserve"> : carte de patient hémophile (type d'hémophilie, traitement prophylactique, centre de référence, contacts d'urgence). Carnet de suivi patient (doses administrées, événements hémorragiques, contrôle biologique).</w:t>
      </w:r>
    </w:p>
    <w:p>
      <w:pPr>
        <w:pStyle w:val="Heading3"/>
      </w:pPr>
      <w:r>
        <w:t>Sous-section 12 — Tableau comparatif de sous-classe (Nonacog alfa spécialités)</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Spécialité</w:t>
            </w:r>
          </w:p>
        </w:tc>
        <w:tc>
          <w:tcPr>
            <w:tcW w:type="dxa" w:w="1187"/>
            <w:shd w:val="clear" w:color="auto" w:fill="F2F2F2"/>
          </w:tcPr>
          <w:p>
            <w:r>
              <w:rPr>
                <w:rFonts w:ascii="Times New Roman" w:hAnsi="Times New Roman"/>
                <w:b/>
                <w:sz w:val="20"/>
              </w:rPr>
              <w:t>Laboratoire</w:t>
            </w:r>
          </w:p>
        </w:tc>
        <w:tc>
          <w:tcPr>
            <w:tcW w:type="dxa" w:w="1187"/>
            <w:shd w:val="clear" w:color="auto" w:fill="F2F2F2"/>
          </w:tcPr>
          <w:p>
            <w:r>
              <w:rPr>
                <w:rFonts w:ascii="Times New Roman" w:hAnsi="Times New Roman"/>
                <w:b/>
                <w:sz w:val="20"/>
              </w:rPr>
              <w:t>Origine</w:t>
            </w:r>
          </w:p>
        </w:tc>
        <w:tc>
          <w:tcPr>
            <w:tcW w:type="dxa" w:w="1187"/>
            <w:shd w:val="clear" w:color="auto" w:fill="F2F2F2"/>
          </w:tcPr>
          <w:p>
            <w:r>
              <w:rPr>
                <w:rFonts w:ascii="Times New Roman" w:hAnsi="Times New Roman"/>
                <w:b/>
                <w:sz w:val="20"/>
              </w:rPr>
              <w:t>Dosages disponibles</w:t>
            </w:r>
          </w:p>
        </w:tc>
        <w:tc>
          <w:tcPr>
            <w:tcW w:type="dxa" w:w="1187"/>
            <w:shd w:val="clear" w:color="auto" w:fill="F2F2F2"/>
          </w:tcPr>
          <w:p>
            <w:r>
              <w:rPr>
                <w:rFonts w:ascii="Times New Roman" w:hAnsi="Times New Roman"/>
                <w:b/>
                <w:sz w:val="20"/>
              </w:rPr>
              <w:t>Demi-vie</w:t>
            </w:r>
          </w:p>
        </w:tc>
        <w:tc>
          <w:tcPr>
            <w:tcW w:type="dxa" w:w="1187"/>
            <w:shd w:val="clear" w:color="auto" w:fill="F2F2F2"/>
          </w:tcPr>
          <w:p>
            <w:r>
              <w:rPr>
                <w:rFonts w:ascii="Times New Roman" w:hAnsi="Times New Roman"/>
                <w:b/>
                <w:sz w:val="20"/>
              </w:rPr>
              <w:t>Récovery</w:t>
            </w:r>
          </w:p>
        </w:tc>
        <w:tc>
          <w:tcPr>
            <w:tcW w:type="dxa" w:w="1187"/>
            <w:shd w:val="clear" w:color="auto" w:fill="F2F2F2"/>
          </w:tcPr>
          <w:p>
            <w:r>
              <w:rPr>
                <w:rFonts w:ascii="Times New Roman" w:hAnsi="Times New Roman"/>
                <w:b/>
                <w:sz w:val="20"/>
              </w:rPr>
              <w:t>Statut Algérie</w:t>
            </w:r>
          </w:p>
        </w:tc>
      </w:tr>
      <w:tr>
        <w:tc>
          <w:tcPr>
            <w:tcW w:type="dxa" w:w="1187"/>
          </w:tcPr>
          <w:p>
            <w:r>
              <w:rPr>
                <w:rFonts w:ascii="Times New Roman" w:hAnsi="Times New Roman"/>
                <w:sz w:val="20"/>
              </w:rPr>
              <w:t>BENEFIX</w:t>
            </w:r>
          </w:p>
        </w:tc>
        <w:tc>
          <w:tcPr>
            <w:tcW w:type="dxa" w:w="1187"/>
          </w:tcPr>
          <w:p>
            <w:r>
              <w:rPr>
                <w:rFonts w:ascii="Times New Roman" w:hAnsi="Times New Roman"/>
                <w:sz w:val="20"/>
              </w:rPr>
              <w:t>Pfizer Europe MA EEIG (Belgique)</w:t>
            </w:r>
          </w:p>
        </w:tc>
        <w:tc>
          <w:tcPr>
            <w:tcW w:type="dxa" w:w="1187"/>
          </w:tcPr>
          <w:p>
            <w:r>
              <w:rPr>
                <w:rFonts w:ascii="Times New Roman" w:hAnsi="Times New Roman"/>
                <w:sz w:val="20"/>
              </w:rPr>
              <w:t>rFIX CHO</w:t>
            </w:r>
          </w:p>
        </w:tc>
        <w:tc>
          <w:tcPr>
            <w:tcW w:type="dxa" w:w="1187"/>
          </w:tcPr>
          <w:p>
            <w:r>
              <w:rPr>
                <w:rFonts w:ascii="Times New Roman" w:hAnsi="Times New Roman"/>
                <w:sz w:val="20"/>
              </w:rPr>
              <w:t>1000 UI, 2000 UI</w:t>
            </w:r>
          </w:p>
        </w:tc>
        <w:tc>
          <w:tcPr>
            <w:tcW w:type="dxa" w:w="1187"/>
          </w:tcPr>
          <w:p>
            <w:r>
              <w:rPr>
                <w:rFonts w:ascii="Times New Roman" w:hAnsi="Times New Roman"/>
                <w:sz w:val="20"/>
              </w:rPr>
              <w:t>18-24 h</w:t>
            </w:r>
          </w:p>
        </w:tc>
        <w:tc>
          <w:tcPr>
            <w:tcW w:type="dxa" w:w="1187"/>
          </w:tcPr>
          <w:p>
            <w:r>
              <w:rPr>
                <w:rFonts w:ascii="Times New Roman" w:hAnsi="Times New Roman"/>
                <w:sz w:val="20"/>
              </w:rPr>
              <w:t>0,8 UI/dL/UI/kg</w:t>
            </w:r>
          </w:p>
        </w:tc>
        <w:tc>
          <w:tcPr>
            <w:tcW w:type="dxa" w:w="1187"/>
          </w:tcPr>
          <w:p>
            <w:r>
              <w:rPr>
                <w:rFonts w:ascii="Times New Roman" w:hAnsi="Times New Roman"/>
                <w:sz w:val="20"/>
              </w:rPr>
              <w:t>Actif</w:t>
            </w:r>
          </w:p>
        </w:tc>
      </w:tr>
      <w:tr>
        <w:tc>
          <w:tcPr>
            <w:tcW w:type="dxa" w:w="1187"/>
          </w:tcPr>
          <w:p>
            <w:r>
              <w:rPr>
                <w:rFonts w:ascii="Times New Roman" w:hAnsi="Times New Roman"/>
                <w:sz w:val="20"/>
              </w:rPr>
              <w:t>INNONAFACTOR</w:t>
            </w:r>
          </w:p>
        </w:tc>
        <w:tc>
          <w:tcPr>
            <w:tcW w:type="dxa" w:w="1187"/>
          </w:tcPr>
          <w:p>
            <w:r>
              <w:rPr>
                <w:rFonts w:ascii="Times New Roman" w:hAnsi="Times New Roman"/>
                <w:sz w:val="20"/>
              </w:rPr>
              <w:t>Groupe SAIDAL (Algérie)</w:t>
            </w:r>
          </w:p>
        </w:tc>
        <w:tc>
          <w:tcPr>
            <w:tcW w:type="dxa" w:w="1187"/>
          </w:tcPr>
          <w:p>
            <w:r>
              <w:rPr>
                <w:rFonts w:ascii="Times New Roman" w:hAnsi="Times New Roman"/>
                <w:sz w:val="20"/>
              </w:rPr>
              <w:t>rFIX CHO (biosimilaire)</w:t>
            </w:r>
          </w:p>
        </w:tc>
        <w:tc>
          <w:tcPr>
            <w:tcW w:type="dxa" w:w="1187"/>
          </w:tcPr>
          <w:p>
            <w:r>
              <w:rPr>
                <w:rFonts w:ascii="Times New Roman" w:hAnsi="Times New Roman"/>
                <w:sz w:val="20"/>
              </w:rPr>
              <w:t>500 UI, 1000 UI</w:t>
            </w:r>
          </w:p>
        </w:tc>
        <w:tc>
          <w:tcPr>
            <w:tcW w:type="dxa" w:w="1187"/>
          </w:tcPr>
          <w:p>
            <w:r>
              <w:rPr>
                <w:rFonts w:ascii="Times New Roman" w:hAnsi="Times New Roman"/>
                <w:sz w:val="20"/>
              </w:rPr>
              <w:t>18-24 h</w:t>
            </w:r>
          </w:p>
        </w:tc>
        <w:tc>
          <w:tcPr>
            <w:tcW w:type="dxa" w:w="1187"/>
          </w:tcPr>
          <w:p>
            <w:r>
              <w:rPr>
                <w:rFonts w:ascii="Times New Roman" w:hAnsi="Times New Roman"/>
                <w:sz w:val="20"/>
              </w:rPr>
              <w:t>0,8 UI/dL/UI/kg</w:t>
            </w:r>
          </w:p>
        </w:tc>
        <w:tc>
          <w:tcPr>
            <w:tcW w:type="dxa" w:w="1187"/>
          </w:tcPr>
          <w:p>
            <w:r>
              <w:rPr>
                <w:rFonts w:ascii="Times New Roman" w:hAnsi="Times New Roman"/>
                <w:sz w:val="20"/>
              </w:rPr>
              <w:t>Actif</w:t>
            </w:r>
          </w:p>
        </w:tc>
      </w:tr>
    </w:tbl>
    <w:p/>
    <w:p>
      <w:pPr>
        <w:pStyle w:val="Heading2"/>
      </w:pPr>
      <w:r>
        <w:t>233.2. DCI : Facteur IX de coagulation humaine (pdFIX)</w:t>
      </w:r>
    </w:p>
    <w:p>
      <w:pPr>
        <w:pStyle w:val="Heading3"/>
      </w:pPr>
      <w:r>
        <w:t>Sous-section 1 — Liste des catégories thérapeutiques</w:t>
      </w:r>
    </w:p>
    <w:p>
      <w:pPr>
        <w:pStyle w:val="ListBullet"/>
      </w:pPr>
      <w:r/>
      <w:r>
        <w:rPr>
          <w:b/>
        </w:rPr>
        <w:t>Code ATC</w:t>
      </w:r>
      <w:r>
        <w:t xml:space="preserve"> : </w:t>
      </w:r>
      <w:r>
        <w:rPr>
          <w:b/>
        </w:rPr>
        <w:t>B02BD01</w:t>
      </w:r>
      <w:r>
        <w:t xml:space="preserve"> — Facteur IX (plasma-derived).</w:t>
      </w:r>
    </w:p>
    <w:p>
      <w:pPr>
        <w:pStyle w:val="ListBullet"/>
      </w:pPr>
      <w:r/>
      <w:r>
        <w:rPr>
          <w:b/>
        </w:rPr>
        <w:t>Classe pharmacologique</w:t>
      </w:r>
      <w:r>
        <w:t xml:space="preserve"> : facteur antihémophilique B d'origine plasmatique humaine (pdFIX).</w:t>
      </w:r>
    </w:p>
    <w:p>
      <w:pPr>
        <w:pStyle w:val="ListBullet"/>
      </w:pPr>
      <w:r/>
      <w:r>
        <w:rPr>
          <w:b/>
        </w:rPr>
        <w:t>Statut réglementaire Algérie</w:t>
      </w:r>
      <w:r>
        <w:t xml:space="preserve"> : Liste I (substance vénéneuse), prescription réservée aux médecins spécialistes en hématologie ou pédiatrie avec formation à l'hémophilie, délivrance hospitalière (PUI).</w:t>
      </w:r>
    </w:p>
    <w:p>
      <w:pPr>
        <w:pStyle w:val="ListBullet"/>
      </w:pPr>
      <w:r/>
      <w:r>
        <w:rPr>
          <w:b/>
        </w:rPr>
        <w:t>Statut OMS</w:t>
      </w:r>
      <w:r>
        <w:t xml:space="preserve"> : médicament essentiel (Model List of Essential Medicines 22nd edition, 2021).</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deux spécialités actives (IMMUNINE 600 — Baxter ; HEAMONINE 500 — Biotest) + une spécialité RETRAIT (BETAFACT — LFB Biomédicaments).</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IMMUNINE 600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Poudre lyophilisée et solvant pour solution injectable ou pour perfusion, 600 UI/flacon de poudre</w:t>
            </w:r>
          </w:p>
        </w:tc>
        <w:tc>
          <w:tcPr>
            <w:tcW w:type="dxa" w:w="1385"/>
          </w:tcPr>
          <w:p>
            <w:r>
              <w:rPr>
                <w:rFonts w:ascii="Times New Roman" w:hAnsi="Times New Roman"/>
                <w:sz w:val="20"/>
              </w:rPr>
              <w:t>Boîte de 1 flacon de poudre lyophilisée + 1 flacon de 5 mL de solvant (E.P.P.I.) + 1 aiguille de transfert + 1 aiguille d'aération + 1 aiguille filtre + 1 aiguille jetable + 1 seringue jetable (5 mL) + 1 dispositif de perfusion</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HEAMONINE 500</w:t>
            </w:r>
          </w:p>
        </w:tc>
        <w:tc>
          <w:tcPr>
            <w:tcW w:type="dxa" w:w="1385"/>
          </w:tcPr>
          <w:p>
            <w:r>
              <w:rPr>
                <w:rFonts w:ascii="Times New Roman" w:hAnsi="Times New Roman"/>
                <w:sz w:val="20"/>
              </w:rPr>
              <w:t>Biotest Pharma GmbH (Allemagne)</w:t>
            </w:r>
          </w:p>
        </w:tc>
        <w:tc>
          <w:tcPr>
            <w:tcW w:type="dxa" w:w="1385"/>
          </w:tcPr>
          <w:p>
            <w:r>
              <w:rPr>
                <w:rFonts w:ascii="Times New Roman" w:hAnsi="Times New Roman"/>
                <w:sz w:val="20"/>
              </w:rPr>
              <w:t>Poudre et solvant pour solution injectable IV, 500 UI/flacon de poudre</w:t>
            </w:r>
          </w:p>
        </w:tc>
        <w:tc>
          <w:tcPr>
            <w:tcW w:type="dxa" w:w="1385"/>
          </w:tcPr>
          <w:p>
            <w:r>
              <w:rPr>
                <w:rFonts w:ascii="Times New Roman" w:hAnsi="Times New Roman"/>
                <w:sz w:val="20"/>
              </w:rPr>
              <w:t>Boîte de 1 flacon de poudre + 1 flacon de solvant (5 mL) + seringue jetable (5 mL) + système de transfert à double filtre</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BETAFACT</w:t>
            </w:r>
          </w:p>
        </w:tc>
        <w:tc>
          <w:tcPr>
            <w:tcW w:type="dxa" w:w="1385"/>
          </w:tcPr>
          <w:p>
            <w:r>
              <w:rPr>
                <w:rFonts w:ascii="Times New Roman" w:hAnsi="Times New Roman"/>
                <w:sz w:val="20"/>
              </w:rPr>
              <w:t>LFB Biomédicaments (France)</w:t>
            </w:r>
          </w:p>
        </w:tc>
        <w:tc>
          <w:tcPr>
            <w:tcW w:type="dxa" w:w="1385"/>
          </w:tcPr>
          <w:p>
            <w:r>
              <w:rPr>
                <w:rFonts w:ascii="Times New Roman" w:hAnsi="Times New Roman"/>
                <w:sz w:val="20"/>
              </w:rPr>
              <w:t>Poudre et solvant pour solution injectable, 50 UI/mL (500 UI/10 mL)</w:t>
            </w:r>
          </w:p>
        </w:tc>
        <w:tc>
          <w:tcPr>
            <w:tcW w:type="dxa" w:w="1385"/>
          </w:tcPr>
          <w:p>
            <w:r>
              <w:rPr>
                <w:rFonts w:ascii="Times New Roman" w:hAnsi="Times New Roman"/>
                <w:sz w:val="20"/>
              </w:rPr>
              <w:t>Boîte de 1 flacon de poudre + 5 mL de solvant EPPI avec système de transfert et une aiguille-filtre</w:t>
            </w:r>
          </w:p>
        </w:tc>
        <w:tc>
          <w:tcPr>
            <w:tcW w:type="dxa" w:w="1385"/>
          </w:tcPr>
          <w:p>
            <w:r>
              <w:rPr>
                <w:rFonts w:ascii="Times New Roman" w:hAnsi="Times New Roman"/>
                <w:sz w:val="20"/>
              </w:rPr>
              <w:t>Liste I</w:t>
            </w:r>
          </w:p>
        </w:tc>
        <w:tc>
          <w:tcPr>
            <w:tcW w:type="dxa" w:w="1385"/>
          </w:tcPr>
          <w:p>
            <w:r>
              <w:rPr>
                <w:rFonts w:ascii="Times New Roman" w:hAnsi="Times New Roman"/>
                <w:sz w:val="20"/>
              </w:rPr>
              <w:t>**RETRAIT**</w:t>
            </w:r>
          </w:p>
        </w:tc>
      </w:tr>
    </w:tbl>
    <w:p/>
    <w:p>
      <w:r/>
      <w:r>
        <w:rPr>
          <w:b/>
        </w:rPr>
        <w:t>Statut BETAFACT</w:t>
      </w:r>
      <w:r>
        <w:t xml:space="preserve"> : retiré du marché algérien depuis avril 2026. Les patients algériens traités antérieurement par BETAFACT doivent être transitionnés vers IMMUNINE 600 ou HEAMONINE 500 (hématologue référent). Les stocks résiduels éventuels doivent être retournés au fournisseur ou détruits selon la procédure DASRI (Déchets d'Activités de Soins à Risques Infectieux).</w:t>
      </w:r>
    </w:p>
    <w:p>
      <w:pPr>
        <w:pStyle w:val="Heading3"/>
      </w:pPr>
      <w:r>
        <w:t>Sous-section 3 — Sous-classe et mécanisme d'action moléculaire</w:t>
      </w:r>
    </w:p>
    <w:p>
      <w:r/>
      <w:r>
        <w:rPr>
          <w:b/>
        </w:rPr>
        <w:t>Sous-classe pharmacologique</w:t>
      </w:r>
      <w:r>
        <w:t xml:space="preserve"> : B02BD01 — Facteur IX plasma-derived (pdFIX), concentré purifié à partir de plasma humain poolé, soumis à étapes d'inactivation virale (solvant-détergent et/ou nanofiltration).</w:t>
      </w:r>
    </w:p>
    <w:p>
      <w:r/>
      <w:r>
        <w:rPr>
          <w:b/>
        </w:rPr>
        <w:t>Structure moléculaire</w:t>
      </w:r>
      <w:r>
        <w:t xml:space="preserve"> :</w:t>
      </w:r>
    </w:p>
    <w:p>
      <w:pPr>
        <w:pStyle w:val="ListBullet"/>
      </w:pPr>
      <w:r>
        <w:t xml:space="preserve">Le pdFIX est la </w:t>
      </w:r>
      <w:r>
        <w:rPr>
          <w:b/>
        </w:rPr>
        <w:t>protéine native humaine</w:t>
      </w:r>
      <w:r>
        <w:t xml:space="preserve"> de 415 acides aminés (55 kDa), purifiée à partir de plasma humain poolé (généralement 2 000 à 10 000 dons par lot). La séquence en acides aminés est </w:t>
      </w:r>
      <w:r>
        <w:rPr>
          <w:b/>
        </w:rPr>
        <w:t>strictement identique</w:t>
      </w:r>
      <w:r>
        <w:t xml:space="preserve"> à la séquence native, avec une </w:t>
      </w:r>
      <w:r>
        <w:rPr>
          <w:b/>
        </w:rPr>
        <w:t>γ-carboxylation complète</w:t>
      </w:r>
      <w:r>
        <w:t xml:space="preserve"> (~95 % des résidus Glu) — ce qui explique un </w:t>
      </w:r>
      <w:r>
        <w:rPr>
          <w:b/>
        </w:rPr>
        <w:t>récovery supérieur</w:t>
      </w:r>
      <w:r>
        <w:t xml:space="preserve"> au rFIX (~1,0 UI/dL/UI/kg pour pdFIX vs ~0,8 UI/dL/UI/kg pour rFIX).</w:t>
      </w:r>
    </w:p>
    <w:p>
      <w:pPr>
        <w:pStyle w:val="ListBullet"/>
      </w:pPr>
      <w:r/>
      <w:r>
        <w:rPr>
          <w:b/>
        </w:rPr>
        <w:t>Co-purification</w:t>
      </w:r>
      <w:r>
        <w:t xml:space="preserve"> du VWF et d'autres protéines plasmatiques (fibronectine, immunoglobulines) en quantité variable selon la spécialité : HEAMONINE 500 et IMMUNINE 600 sont purifiées avec un haut degré de pureté (&gt; 95 % FIX), mais peuvent contenir des traces d'autres facteurs (II, VII, X — risiduels).</w:t>
      </w:r>
    </w:p>
    <w:p>
      <w:pPr>
        <w:pStyle w:val="ListBullet"/>
      </w:pPr>
      <w:r/>
      <w:r>
        <w:rPr>
          <w:b/>
        </w:rPr>
        <w:t>Héparine ajoutée</w:t>
      </w:r>
      <w:r>
        <w:t xml:space="preserve"> dans certaines spécialités (HEAMONINE 500 contient de l'héparine ~10 UI/mL pour prévenir la thrombose, à surveiller chez les patients HIT +).</w:t>
      </w:r>
    </w:p>
    <w:p>
      <w:r/>
      <w:r>
        <w:rPr>
          <w:b/>
        </w:rPr>
        <w:t>Mécanisme d'action</w:t>
      </w:r>
      <w:r>
        <w:t xml:space="preserve"> :</w:t>
      </w:r>
    </w:p>
    <w:p>
      <w:pPr>
        <w:pStyle w:val="ListBullet"/>
      </w:pPr>
      <w:r>
        <w:t>Identique au rFIX (cf. fiche 233.1, sous-section 3) — activation en FIXa par FT-FVIIa ou FXIa, formation du complexe tenase intrinsèque avec FVIIIa, activation de FX → FXa, génération de thrombine.</w:t>
      </w:r>
    </w:p>
    <w:p>
      <w:r/>
      <w:r>
        <w:rPr>
          <w:b/>
        </w:rPr>
        <w:t>Effet pharmacodynamique</w:t>
      </w:r>
      <w:r>
        <w:t xml:space="preserve"> :</w:t>
      </w:r>
    </w:p>
    <w:p>
      <w:pPr>
        <w:pStyle w:val="ListBullet"/>
      </w:pPr>
      <w:r>
        <w:t xml:space="preserve">L'administration IV de 1 UI/kg de pdFIX augmente la FIX:C circulante d'environ </w:t>
      </w:r>
      <w:r>
        <w:rPr>
          <w:b/>
        </w:rPr>
        <w:t>1,0 UI/dL (récovery moyen ≈ 1,0 UI/dL/UI/kg)</w:t>
      </w:r>
      <w:r>
        <w:t>, soit significativement supérieur au rFIX (~0,8 UI/dL/UI/kg). Cette particularité permet d'utiliser une dose plus faible de pdFIX vs rFIX pour atteindre le même pourcentage d'augmentation du facteur.</w:t>
      </w:r>
    </w:p>
    <w:p>
      <w:pPr>
        <w:pStyle w:val="ListBullet"/>
      </w:pPr>
      <w:r>
        <w:t xml:space="preserve">La </w:t>
      </w:r>
      <w:r>
        <w:rPr>
          <w:b/>
        </w:rPr>
        <w:t>demi-vie plasmatique moyenne</w:t>
      </w:r>
      <w:r>
        <w:t xml:space="preserve"> est de </w:t>
      </w:r>
      <w:r>
        <w:rPr>
          <w:b/>
        </w:rPr>
        <w:t>18-24 heures</w:t>
      </w:r>
      <w:r>
        <w:t>, identique au rFIX.</w:t>
      </w:r>
    </w:p>
    <w:p>
      <w:r/>
      <w:r>
        <w:rPr>
          <w:b/>
        </w:rPr>
        <w:t>Particularités du pdFIX (IMMUNINE 600, HEAMONINE 500, BETAFACT)</w:t>
      </w:r>
      <w:r>
        <w:t xml:space="preserve"> :</w:t>
      </w:r>
    </w:p>
    <w:p>
      <w:pPr>
        <w:pStyle w:val="ListBullet"/>
      </w:pPr>
      <w:r>
        <w:t xml:space="preserve">Contiennent du </w:t>
      </w:r>
      <w:r>
        <w:rPr>
          <w:b/>
        </w:rPr>
        <w:t>VWF en quantité variable</w:t>
      </w:r>
      <w:r>
        <w:t xml:space="preserve"> (rapport FIX:VWF ~1:1 à 1:2 selon spécialité), ce qui peut améliorer la stabilité du FIX mais augmente le risque thrombotique et allergique.</w:t>
      </w:r>
    </w:p>
    <w:p>
      <w:pPr>
        <w:pStyle w:val="ListBullet"/>
      </w:pPr>
      <w:r>
        <w:t xml:space="preserve">Contiennent des </w:t>
      </w:r>
      <w:r>
        <w:rPr>
          <w:b/>
        </w:rPr>
        <w:t>traces d'autres facteurs de coagulation</w:t>
      </w:r>
      <w:r>
        <w:t xml:space="preserve"> (FII, FVII, FX) — risiduels de la purification, ce qui peut causer un risque thrombotique accru à doses élevées (&gt; 200 UI/kg/24 h).</w:t>
      </w:r>
    </w:p>
    <w:p>
      <w:pPr>
        <w:pStyle w:val="ListBullet"/>
      </w:pPr>
      <w:r/>
      <w:r>
        <w:rPr>
          <w:b/>
        </w:rPr>
        <w:t>Héparine ajoutée</w:t>
      </w:r>
      <w:r>
        <w:t xml:space="preserve"> (HEAMONINE 500) — prévention de la thrombose, mais contre-indication en cas de thrombopénie induite à l'héparine (TIH).</w:t>
      </w:r>
    </w:p>
    <w:p>
      <w:pPr>
        <w:pStyle w:val="ListBullet"/>
      </w:pPr>
      <w:r/>
      <w:r>
        <w:rPr>
          <w:b/>
        </w:rPr>
        <w:t>Inactivation virale double</w:t>
      </w:r>
      <w:r>
        <w:t xml:space="preserve"> : solvant-détergent (SD — inactivation des virus enveloppés : VIH, VHB, VHC, HTLV) + nanofiltration (élimination des virus non enveloppés : HAV, Parvovirus B19).</w:t>
      </w:r>
    </w:p>
    <w:p>
      <w:pPr>
        <w:pStyle w:val="ListBullet"/>
      </w:pPr>
      <w:r/>
      <w:r>
        <w:rPr>
          <w:b/>
        </w:rPr>
        <w:t>Risque résiduel de Parvovirus B19</w:t>
      </w:r>
      <w:r>
        <w:t xml:space="preserve"> (non enveloppé, résistant à SD) — particulièrement grave chez la femme enceinte (anasarque fœtoplacentaire) et chez le patient immunodéprimé (anémie chronique).</w:t>
      </w:r>
    </w:p>
    <w:p>
      <w:pPr>
        <w:pStyle w:val="Heading3"/>
      </w:pPr>
      <w:r>
        <w:t>Sous-section 4 — Profil pharmacologique : indications, contre-indications, effets indésirables</w:t>
      </w:r>
    </w:p>
    <w:p>
      <w:pPr>
        <w:pStyle w:val="Heading4"/>
      </w:pPr>
      <w:r>
        <w:t>Indications validées (RCP)</w:t>
      </w:r>
    </w:p>
    <w:p>
      <w:pPr>
        <w:pStyle w:val="ListNumber"/>
      </w:pPr>
      <w:r/>
      <w:r>
        <w:rPr>
          <w:b/>
        </w:rPr>
        <w:t>Hémophilie B constitutionnelle</w:t>
      </w:r>
      <w:r>
        <w:t xml:space="preserve"> (sévère, modérée, légère) :</w:t>
      </w:r>
    </w:p>
    <w:p>
      <w:pPr>
        <w:pStyle w:val="ListBullet"/>
      </w:pPr>
      <w:r/>
      <w:r>
        <w:rPr>
          <w:b/>
        </w:rPr>
        <w:t>Traitement prophylactique</w:t>
      </w:r>
      <w:r>
        <w:t xml:space="preserve"> primaire ou secondaire.</w:t>
      </w:r>
    </w:p>
    <w:p>
      <w:pPr>
        <w:pStyle w:val="ListBullet"/>
      </w:pPr>
      <w:r/>
      <w:r>
        <w:rPr>
          <w:b/>
        </w:rPr>
        <w:t>Traitement à la demande</w:t>
      </w:r>
      <w:r>
        <w:t xml:space="preserve"> des saignements aigus.</w:t>
      </w:r>
    </w:p>
    <w:p>
      <w:pPr>
        <w:pStyle w:val="ListBullet"/>
      </w:pPr>
      <w:r/>
      <w:r>
        <w:rPr>
          <w:b/>
        </w:rPr>
        <w:t>Couverture chirurgicale</w:t>
      </w:r>
      <w:r>
        <w:t>.</w:t>
      </w:r>
    </w:p>
    <w:p>
      <w:pPr>
        <w:pStyle w:val="ListNumber"/>
      </w:pPr>
      <w:r/>
      <w:r>
        <w:rPr>
          <w:b/>
        </w:rPr>
        <w:t>Hémophilie B acquise</w:t>
      </w:r>
      <w:r>
        <w:t xml:space="preserve"> (auto-anticorps anti-FIX) — rare, traitement des saignements.</w:t>
      </w:r>
    </w:p>
    <w:p>
      <w:pPr>
        <w:pStyle w:val="ListNumber"/>
      </w:pPr>
      <w:r/>
      <w:r>
        <w:rPr>
          <w:b/>
        </w:rPr>
        <w:t>Couverture péri-partum</w:t>
      </w:r>
      <w:r>
        <w:t xml:space="preserve"> des femmes conductrices symptomatiques ou hémophiles B légères.</w:t>
      </w:r>
    </w:p>
    <w:p>
      <w:pPr>
        <w:pStyle w:val="ListNumber"/>
      </w:pPr>
      <w:r/>
      <w:r>
        <w:rPr>
          <w:b/>
        </w:rPr>
        <w:t>Alternative au rFIX</w:t>
      </w:r>
      <w:r>
        <w:t xml:space="preserve"> chez les patients avec intolérance au rFIX ou en cas de rupture de stock du rFIX.</w:t>
      </w:r>
    </w:p>
    <w:p>
      <w:pPr>
        <w:pStyle w:val="Heading4"/>
      </w:pPr>
      <w:r>
        <w:t>Contre-indications absolues</w:t>
      </w:r>
    </w:p>
    <w:p>
      <w:pPr>
        <w:pStyle w:val="ListNumber"/>
      </w:pPr>
      <w:r/>
      <w:r>
        <w:rPr>
          <w:b/>
        </w:rPr>
        <w:t>Hypersensibilité avérée</w:t>
      </w:r>
      <w:r>
        <w:t xml:space="preserve"> au pdFIX, à l'héparine (HEAMONINE 500), ou à l'un des excipients.</w:t>
      </w:r>
    </w:p>
    <w:p>
      <w:pPr>
        <w:pStyle w:val="ListNumber"/>
      </w:pPr>
      <w:r/>
      <w:r>
        <w:rPr>
          <w:b/>
        </w:rPr>
        <w:t>Inhibiteur anti-FIX de haut titre (≥ 5 UB)</w:t>
      </w:r>
      <w:r>
        <w:t xml:space="preserve"> non contrôlé : inefficacité attendue (utiliser by-passing agents).</w:t>
      </w:r>
    </w:p>
    <w:p>
      <w:pPr>
        <w:pStyle w:val="ListNumber"/>
      </w:pPr>
      <w:r/>
      <w:r>
        <w:rPr>
          <w:b/>
        </w:rPr>
        <w:t>Antécédent d'anaphylaxie au pdFIX ou au rFIX</w:t>
      </w:r>
      <w:r>
        <w:t>.</w:t>
      </w:r>
    </w:p>
    <w:p>
      <w:pPr>
        <w:pStyle w:val="ListNumber"/>
      </w:pPr>
      <w:r/>
      <w:r>
        <w:rPr>
          <w:b/>
        </w:rPr>
        <w:t>Thrombopénie induite à l'héparine (TIH)</w:t>
      </w:r>
      <w:r>
        <w:t xml:space="preserve"> — contre-indication spécifique pour HEAMONINE 500 (contient de l'héparine).</w:t>
      </w:r>
    </w:p>
    <w:p>
      <w:pPr>
        <w:pStyle w:val="ListNumber"/>
      </w:pPr>
      <w:r/>
      <w:r>
        <w:rPr>
          <w:b/>
        </w:rPr>
        <w:t>Patients IgA-déficients avec anticorps anti-IgA</w:t>
      </w:r>
      <w:r>
        <w:t xml:space="preserve"> — risque majeur d'anaphylaxie aux produits plasmatiques.</w:t>
      </w:r>
    </w:p>
    <w:p>
      <w:pPr>
        <w:pStyle w:val="Heading4"/>
      </w:pPr>
      <w:r>
        <w:t>Contre-indications relatives</w:t>
      </w:r>
    </w:p>
    <w:p>
      <w:pPr>
        <w:pStyle w:val="ListNumber"/>
      </w:pPr>
      <w:r/>
      <w:r>
        <w:rPr>
          <w:b/>
        </w:rPr>
        <w:t>Allaitement</w:t>
      </w:r>
      <w:r>
        <w:t xml:space="preserve"> : pas de CI formelle.</w:t>
      </w:r>
    </w:p>
    <w:p>
      <w:pPr>
        <w:pStyle w:val="ListNumber"/>
      </w:pPr>
      <w:r/>
      <w:r>
        <w:rPr>
          <w:b/>
        </w:rPr>
        <w:t>Grossesse</w:t>
      </w:r>
      <w:r>
        <w:t xml:space="preserve"> : utilisable si nécessaire (CRAT), mais préférer rFIX si disponible (sécurité virale optimale).</w:t>
      </w:r>
    </w:p>
    <w:p>
      <w:pPr>
        <w:pStyle w:val="ListNumber"/>
      </w:pPr>
      <w:r/>
      <w:r>
        <w:rPr>
          <w:b/>
        </w:rPr>
        <w:t>Patients à risque thrombotique</w:t>
      </w:r>
      <w:r>
        <w:t xml:space="preserve"> (âge &gt; 60 ans, antécédents thrombo-emboliques, post-opératoire, post-partum) : préférer rFIX.</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risque majoré chez les patients IgA-déficients.</w:t>
      </w:r>
    </w:p>
    <w:p>
      <w:pPr>
        <w:pStyle w:val="ListBullet"/>
      </w:pPr>
      <w:r/>
      <w:r>
        <w:rPr>
          <w:b/>
        </w:rPr>
        <w:t>Développement d'inhibiteurs anti-FIX</w:t>
      </w:r>
      <w:r>
        <w:t xml:space="preserve"> (~1-3 % des hémophiles B sévères, équivalent au rFIX).</w:t>
      </w:r>
    </w:p>
    <w:p>
      <w:pPr>
        <w:pStyle w:val="ListBullet"/>
      </w:pPr>
      <w:r/>
      <w:r>
        <w:rPr>
          <w:b/>
        </w:rPr>
        <w:t>Hypotension transitoire</w:t>
      </w:r>
      <w:r>
        <w:t xml:space="preserve"> (lors de perfusion rapide).</w:t>
      </w:r>
    </w:p>
    <w:p>
      <w:pPr>
        <w:pStyle w:val="ListBullet"/>
      </w:pPr>
      <w:r/>
      <w:r>
        <w:rPr>
          <w:b/>
        </w:rPr>
        <w:t>Thrombopénie induite à l'héparine (TIH)</w:t>
      </w:r>
      <w:r>
        <w:t xml:space="preserve"> — pour HEAMONINE 500 uniquement (contient héparine).</w:t>
      </w:r>
    </w:p>
    <w:p>
      <w:r/>
      <w:r>
        <w:rPr>
          <w:b/>
        </w:rPr>
        <w:t>Effets indésirables rares (≥ 1/10 000)</w:t>
      </w:r>
      <w:r>
        <w:t xml:space="preserve"> :</w:t>
      </w:r>
    </w:p>
    <w:p>
      <w:pPr>
        <w:pStyle w:val="ListBullet"/>
      </w:pPr>
      <w:r/>
      <w:r>
        <w:rPr>
          <w:b/>
        </w:rPr>
        <w:t>Thrombose</w:t>
      </w:r>
      <w:r>
        <w:t xml:space="preserve"> (en particulier à doses cumulées &gt; 200 UI/kg/24 h, ou chez les patients à risque thrombotique — traces de FII/FVII/FX activés dans le pdFIX).</w:t>
      </w:r>
    </w:p>
    <w:p>
      <w:pPr>
        <w:pStyle w:val="ListBullet"/>
      </w:pPr>
      <w:r/>
      <w:r>
        <w:rPr>
          <w:b/>
        </w:rPr>
        <w:t>Réaction d'hypersensibilité retardée</w:t>
      </w:r>
      <w:r>
        <w:t xml:space="preserve"> (maladie sérique).</w:t>
      </w:r>
    </w:p>
    <w:p>
      <w:pPr>
        <w:pStyle w:val="ListBullet"/>
      </w:pPr>
      <w:r/>
      <w:r>
        <w:rPr>
          <w:b/>
        </w:rPr>
        <w:t>Hémolyse</w:t>
      </w:r>
      <w:r>
        <w:t xml:space="preserve"> (chez les patients de groupe sanguin A, B, AB — pdFIX contient des isohémagglutinines anti-A et anti-B résiduelles).</w:t>
      </w:r>
    </w:p>
    <w:p>
      <w:pPr>
        <w:pStyle w:val="ListBullet"/>
      </w:pPr>
      <w:r/>
      <w:r>
        <w:rPr>
          <w:b/>
        </w:rPr>
        <w:t>Syndrome néphrotique</w:t>
      </w:r>
      <w:r>
        <w:t xml:space="preserve"> (en cas d'inhibiteur anti-FIX avec immuns complexes).</w:t>
      </w:r>
    </w:p>
    <w:p>
      <w:r/>
      <w:r>
        <w:rPr>
          <w:b/>
        </w:rPr>
        <w:t>Effets indésirables très rares</w:t>
      </w:r>
      <w:r>
        <w:t xml:space="preserve"> :</w:t>
      </w:r>
    </w:p>
    <w:p>
      <w:pPr>
        <w:pStyle w:val="ListBullet"/>
      </w:pPr>
      <w:r/>
      <w:r>
        <w:rPr>
          <w:b/>
        </w:rPr>
        <w:t>Transmission d'agents infectieux</w:t>
      </w:r>
      <w:r>
        <w:t xml:space="preserve"> (VIH, VHB, VHC — risque résiduel théorique nul depuis les étapes d'inactivation virale systématiques ; Parvovirus B19 — risque résiduel réel, en particulier chez la femme enceinte).</w:t>
      </w:r>
    </w:p>
    <w:p>
      <w:pPr>
        <w:pStyle w:val="ListBullet"/>
      </w:pPr>
      <w:r/>
      <w:r>
        <w:rPr>
          <w:b/>
        </w:rPr>
        <w:t>Transmission de prions</w:t>
      </w:r>
      <w:r>
        <w:t xml:space="preserve"> (variant de Creutzfeldt-Jakob) — risque théorique non documenté mais possible.</w:t>
      </w:r>
    </w:p>
    <w:p>
      <w:pPr>
        <w:pStyle w:val="ListBullet"/>
      </w:pPr>
      <w:r/>
      <w:r>
        <w:rPr>
          <w:b/>
        </w:rPr>
        <w:t>Encéphalopathie</w:t>
      </w:r>
      <w:r>
        <w:t xml:space="preserve"> paradoxale (exceptionnel).</w:t>
      </w:r>
    </w:p>
    <w:p>
      <w:pPr>
        <w:pStyle w:val="Heading3"/>
      </w:pPr>
      <w:r>
        <w:t>Sous-section 5 — Prévention et gestion des effets indésirables</w:t>
      </w:r>
    </w:p>
    <w:p>
      <w:pPr>
        <w:pStyle w:val="Heading4"/>
      </w:pPr>
      <w:r>
        <w:t>Prévention du développement d'inhibiteurs anti-FIX</w:t>
      </w:r>
    </w:p>
    <w:p>
      <w:pPr>
        <w:pStyle w:val="ListBullet"/>
      </w:pPr>
      <w:r>
        <w:t>Identique à la fiche 233.1 (sous-section 5) — test génétique du type de mutation F9, surveillance rapprochée, test Bethesda systématique.</w:t>
      </w:r>
    </w:p>
    <w:p>
      <w:pPr>
        <w:pStyle w:val="ListBullet"/>
      </w:pPr>
      <w:r>
        <w:t xml:space="preserve">Le risque inhibiteur est </w:t>
      </w:r>
      <w:r>
        <w:rPr>
          <w:b/>
        </w:rPr>
        <w:t>équivalent</w:t>
      </w:r>
      <w:r>
        <w:t xml:space="preserve"> entre rFIX et pdFIX (~1-3 %), contrairement au FVIII où le débat rFIX vs pdFIX reste ouvert (étude SIPPET 2016).</w:t>
      </w:r>
    </w:p>
    <w:p>
      <w:pPr>
        <w:pStyle w:val="Heading4"/>
      </w:pPr>
      <w:r>
        <w:t>Prévention des réactions d'hypersensibilité</w:t>
      </w:r>
    </w:p>
    <w:p>
      <w:pPr>
        <w:pStyle w:val="ListBullet"/>
      </w:pPr>
      <w:r/>
      <w:r>
        <w:rPr>
          <w:b/>
        </w:rPr>
        <w:t>Interrogatoire allergologique</w:t>
      </w:r>
      <w:r>
        <w:t xml:space="preserve"> préalable : antécédents d'allergie aux protéines animales, déficit en IgA (dosage pondéral IgA systématique avant la première administration de pdFIX), antécédents de réaction à un PSS.</w:t>
      </w:r>
    </w:p>
    <w:p>
      <w:pPr>
        <w:pStyle w:val="ListBullet"/>
      </w:pPr>
      <w:r/>
      <w:r>
        <w:rPr>
          <w:b/>
        </w:rPr>
        <w:t>Prick-test</w:t>
      </w:r>
      <w:r>
        <w:t xml:space="preserve"> préalable recommandé en cas d'antécédents.</w:t>
      </w:r>
    </w:p>
    <w:p>
      <w:pPr>
        <w:pStyle w:val="ListBullet"/>
      </w:pPr>
      <w:r/>
      <w:r>
        <w:rPr>
          <w:b/>
        </w:rPr>
        <w:t>Disponibilité du matériel de réanimation anaphylactique</w:t>
      </w:r>
      <w:r>
        <w:t xml:space="preserve"> à proximité (adrénaline IM 0,5 mg, antihistaminique IV, corticoïde IV, oxygène, intubation).</w:t>
      </w:r>
    </w:p>
    <w:p>
      <w:pPr>
        <w:pStyle w:val="ListBullet"/>
      </w:pPr>
      <w:r/>
      <w:r>
        <w:rPr>
          <w:b/>
        </w:rPr>
        <w:t>Perfusion lente</w:t>
      </w:r>
      <w:r>
        <w:t xml:space="preserve"> (≤ 3 mL/min pour la première dose, surveillance 60 min après la première administration chez tout patient naïf).</w:t>
      </w:r>
    </w:p>
    <w:p>
      <w:pPr>
        <w:pStyle w:val="ListBullet"/>
      </w:pPr>
      <w:r/>
      <w:r>
        <w:rPr>
          <w:b/>
        </w:rPr>
        <w:t>Pré-médication</w:t>
      </w:r>
      <w:r>
        <w:t xml:space="preserve"> antihistaminique (cétirizine 10 mg PO 1 h avant) en cas d'antécédents de réaction mineure.</w:t>
      </w:r>
    </w:p>
    <w:p>
      <w:pPr>
        <w:pStyle w:val="Heading4"/>
      </w:pPr>
      <w:r>
        <w:t>Prévention des complications thrombotiques</w:t>
      </w:r>
    </w:p>
    <w:p>
      <w:pPr>
        <w:pStyle w:val="ListBullet"/>
      </w:pPr>
      <w:r>
        <w:t>Surveillance clinique (douleur mollo-jambière, dyspnée, céphalées brutales) surtout chez les patients âgés, avec antécédents thrombotiques, en post-opératoire.</w:t>
      </w:r>
    </w:p>
    <w:p>
      <w:pPr>
        <w:pStyle w:val="ListBullet"/>
      </w:pPr>
      <w:r>
        <w:t>Surveillance biologique (D-dimères, fibrinogène, NFS-plaquettes) en cas de doses cumulées &gt; 200 UI/kg/24 h.</w:t>
      </w:r>
    </w:p>
    <w:p>
      <w:pPr>
        <w:pStyle w:val="ListBullet"/>
      </w:pPr>
      <w:r/>
      <w:r>
        <w:rPr>
          <w:b/>
        </w:rPr>
        <w:t>Alternative</w:t>
      </w:r>
      <w:r>
        <w:t xml:space="preserve"> : rFIX (sans protéines plasmatiques résiduelles) chez les patients à risque thrombotique.</w:t>
      </w:r>
    </w:p>
    <w:p>
      <w:pPr>
        <w:pStyle w:val="ListBullet"/>
      </w:pPr>
      <w:r/>
      <w:r>
        <w:rPr>
          <w:b/>
        </w:rPr>
        <w:t>Surveillance plaquettes</w:t>
      </w:r>
      <w:r>
        <w:t xml:space="preserve"> pour HEAMONINE 500 (héparine) : NFS-plaquettes J0, J5, J14 (recherche TIH).</w:t>
      </w:r>
    </w:p>
    <w:p>
      <w:pPr>
        <w:pStyle w:val="Heading4"/>
      </w:pPr>
      <w:r>
        <w:t>Prévention de la transmission virale</w:t>
      </w:r>
    </w:p>
    <w:p>
      <w:pPr>
        <w:pStyle w:val="ListBullet"/>
      </w:pPr>
      <w:r/>
      <w:r>
        <w:rPr>
          <w:b/>
        </w:rPr>
        <w:t>Vaccination hépatite A et B</w:t>
      </w:r>
      <w:r>
        <w:t xml:space="preserve"> systématique chez tout patient hémophile avant la première exposition au pdFIX.</w:t>
      </w:r>
    </w:p>
    <w:p>
      <w:pPr>
        <w:pStyle w:val="ListBullet"/>
      </w:pPr>
      <w:r/>
      <w:r>
        <w:rPr>
          <w:b/>
        </w:rPr>
        <w:t>Dépistage viral</w:t>
      </w:r>
      <w:r>
        <w:t xml:space="preserve"> systématique avant la première administration (sérologies VIH, VHB, VHC, HTLV) puis annuel.</w:t>
      </w:r>
    </w:p>
    <w:p>
      <w:pPr>
        <w:pStyle w:val="ListBullet"/>
      </w:pPr>
      <w:r/>
      <w:r>
        <w:rPr>
          <w:b/>
        </w:rPr>
        <w:t>Pharmacovigilance</w:t>
      </w:r>
      <w:r>
        <w:t xml:space="preserve"> : notification de toute infection virale survenant dans les 6 mois suivant l'administration d'un pdFIX.</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w:t>
      </w:r>
    </w:p>
    <w:p>
      <w:pPr>
        <w:pStyle w:val="ListBullet"/>
      </w:pPr>
      <w:r/>
      <w:r>
        <w:rPr>
          <w:b/>
        </w:rPr>
        <w:t>Surcharge volémique</w:t>
      </w:r>
      <w:r>
        <w:t xml:space="preserve"> : ralentir le débit, surveillance.</w:t>
      </w:r>
    </w:p>
    <w:p>
      <w:pPr>
        <w:pStyle w:val="ListBullet"/>
      </w:pPr>
      <w:r/>
      <w:r>
        <w:rPr>
          <w:b/>
        </w:rPr>
        <w:t>Thrombose</w:t>
      </w:r>
      <w:r>
        <w:t xml:space="preserve"> : arrêt du pdFIX, héparine à dose curative (sauf TIH — danaparoïde), bilan étiologique.</w:t>
      </w:r>
    </w:p>
    <w:p>
      <w:pPr>
        <w:pStyle w:val="ListBullet"/>
      </w:pPr>
      <w:r/>
      <w:r>
        <w:rPr>
          <w:b/>
        </w:rPr>
        <w:t>TIH (HEAMONINE 500)</w:t>
      </w:r>
      <w:r>
        <w:t xml:space="preserve"> : arrêt immédiat, surveillance plaquettes, relais par anticoagulant non-héparinique (danaparoïde, argatroban).</w:t>
      </w:r>
    </w:p>
    <w:p>
      <w:pPr>
        <w:pStyle w:val="Heading3"/>
      </w:pPr>
      <w:r>
        <w:t>Sous-section 6 — Interactions médicamenteuses</w:t>
      </w:r>
    </w:p>
    <w:p>
      <w:pPr>
        <w:pStyle w:val="Heading4"/>
      </w:pPr>
      <w:r>
        <w:t>Interactions pharmacodynamiques</w:t>
      </w:r>
    </w:p>
    <w:p>
      <w:pPr>
        <w:pStyle w:val="ListBullet"/>
      </w:pPr>
      <w:r/>
      <w:r>
        <w:rPr>
          <w:b/>
        </w:rPr>
        <w:t>Antifibrinolytiques</w:t>
      </w:r>
      <w:r>
        <w:t xml:space="preserve"> (acide tranexamique, acide aminocaproïque) : synergie bénéfique pour les saignements muqueux. Association recommandée en prophylaxie dentaire et chirurgie buccale.</w:t>
      </w:r>
    </w:p>
    <w:p>
      <w:pPr>
        <w:pStyle w:val="ListBullet"/>
      </w:pPr>
      <w:r/>
      <w:r>
        <w:rPr>
          <w:b/>
        </w:rPr>
        <w:t>Antiagrégants plaquettaires</w:t>
      </w:r>
      <w:r>
        <w:t xml:space="preserve"> (aspirine, clopidogrel) : majoration du risque hémorragique.</w:t>
      </w:r>
    </w:p>
    <w:p>
      <w:pPr>
        <w:pStyle w:val="ListBullet"/>
      </w:pPr>
      <w:r/>
      <w:r>
        <w:rPr>
          <w:b/>
        </w:rPr>
        <w:t>AINS</w:t>
      </w:r>
      <w:r>
        <w:t xml:space="preserve"> : majoration du risque hémorragique (gastrite, ulcère).</w:t>
      </w:r>
    </w:p>
    <w:p>
      <w:pPr>
        <w:pStyle w:val="ListBullet"/>
      </w:pPr>
      <w:r/>
      <w:r>
        <w:rPr>
          <w:b/>
        </w:rPr>
        <w:t>Anticoagulants oraux</w:t>
      </w:r>
      <w:r>
        <w:t xml:space="preserve"> (AVK, AOD) : contre-indication relative absolue chez l'hémophile B sévère.</w:t>
      </w:r>
    </w:p>
    <w:p>
      <w:pPr>
        <w:pStyle w:val="ListBullet"/>
      </w:pPr>
      <w:r/>
      <w:r>
        <w:rPr>
          <w:b/>
        </w:rPr>
        <w:t>Héparine</w:t>
      </w:r>
      <w:r>
        <w:t xml:space="preserve"> (HBPM, HNF) : risque hémorragique majeur — à éviter sauf indication vitale. En cas d'association HEAMONINE 500 + héparine thérapeutique, surveiller la numération plaquettaire (TIH).</w:t>
      </w:r>
    </w:p>
    <w:p>
      <w:pPr>
        <w:pStyle w:val="ListBullet"/>
      </w:pPr>
      <w:r/>
      <w:r>
        <w:rPr>
          <w:b/>
        </w:rPr>
        <w:t>Autres PSS</w:t>
      </w:r>
      <w:r>
        <w:t xml:space="preserve"> (FVIII, fibrinogène, PCC) : association possible mais surveillance du risque thrombotique.</w:t>
      </w:r>
    </w:p>
    <w:p>
      <w:pPr>
        <w:pStyle w:val="Heading4"/>
      </w:pPr>
      <w:r>
        <w:t>Interactions pharmacocinétiques</w:t>
      </w:r>
    </w:p>
    <w:p>
      <w:pPr>
        <w:pStyle w:val="ListBullet"/>
      </w:pPr>
      <w:r>
        <w:t>Aucune interaction significative rapportée (le FIX est dégradé par protéolyse endogène via LRP1 hépatique).</w:t>
      </w:r>
    </w:p>
    <w:p>
      <w:pPr>
        <w:pStyle w:val="ListBullet"/>
      </w:pPr>
      <w:r/>
      <w:r>
        <w:rPr>
          <w:b/>
        </w:rPr>
        <w:t>Héparine</w:t>
      </w:r>
      <w:r>
        <w:t xml:space="preserve"> contenue dans HEAMONINE 500 — interaction avec les anticoagulants oraux potentiels.</w:t>
      </w:r>
    </w:p>
    <w:p>
      <w:pPr>
        <w:pStyle w:val="Heading4"/>
      </w:pPr>
      <w:r>
        <w:t>Incompatibilités physiques</w:t>
      </w:r>
    </w:p>
    <w:p>
      <w:pPr>
        <w:pStyle w:val="ListBullet"/>
      </w:pPr>
      <w:r>
        <w:t>Ne jamais mélanger le pdFIX avec d'autres médicaments dans la même tubulure.</w:t>
      </w:r>
    </w:p>
    <w:p>
      <w:pPr>
        <w:pStyle w:val="ListBullet"/>
      </w:pPr>
      <w:r>
        <w:t>Utiliser uniquement le solvant fourni (EPPI)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Préférer le rFIX si disponible (sécurité virale optimale, pas de protéines plasmatiques). Le pdFIX peut être utilisé en cas d'indisponibilité du rFIX ou d'allergie au rFIX.</w:t>
      </w:r>
    </w:p>
    <w:p>
      <w:pPr>
        <w:pStyle w:val="ListBullet"/>
      </w:pPr>
      <w:r/>
      <w:r>
        <w:rPr>
          <w:b/>
        </w:rPr>
        <w:t>Allaitement</w:t>
      </w:r>
      <w:r>
        <w:t xml:space="preserve"> : </w:t>
      </w:r>
      <w:r>
        <w:rPr>
          <w:b/>
        </w:rPr>
        <w:t>compatible</w:t>
      </w:r>
      <w:r>
        <w:t xml:space="preserve"> (CRAT). Le pdFIX passe en quantité négligeable dans le lait maternel ; digestion protéique néonatale.</w:t>
      </w:r>
    </w:p>
    <w:p>
      <w:pPr>
        <w:pStyle w:val="ListBullet"/>
      </w:pPr>
      <w:r/>
      <w:r>
        <w:rPr>
          <w:b/>
        </w:rPr>
        <w:t>Particularité HEAMONINE 500</w:t>
      </w:r>
      <w:r>
        <w:t xml:space="preserve"> : contient de l'héparine — surveiller la patiente en post-partum (risque thrombotique majoré en post-partum) ; la quantité d'héparine administrée via le pdFIX est faible (~50-100 UI/dose) mais à prendre en compte dans le bilan global d'héparine.</w:t>
      </w:r>
    </w:p>
    <w:p>
      <w:pPr>
        <w:pStyle w:val="Heading4"/>
      </w:pPr>
      <w:r>
        <w:t>Indications chez la femme enceinte</w:t>
      </w:r>
    </w:p>
    <w:p>
      <w:pPr>
        <w:pStyle w:val="ListBullet"/>
      </w:pPr>
      <w:r>
        <w:t>Identique à la fiche 233.1 (sous-section 7).</w:t>
      </w:r>
    </w:p>
    <w:p>
      <w:pPr>
        <w:pStyle w:val="ListBullet"/>
      </w:pPr>
      <w:r>
        <w:t>Maintenir un taux de FIX ≥ 50 UI/dL pendant le travail et ≥ 30 UI/dL pendant 7-14 jours post-partum.</w:t>
      </w:r>
    </w:p>
    <w:p>
      <w:pPr>
        <w:pStyle w:val="ListBullet"/>
      </w:pPr>
      <w:r>
        <w:t>Dose : 40-60 UI/kg en bolus IV avant le travail, puis 30-40 UI/kg toutes les 24 h pendant 3-7 jours.</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pdFIX (en UI) est calculée selon la formule :</w:t>
      </w:r>
    </w:p>
    <w:p>
      <w:pPr>
        <w:ind w:left="567"/>
      </w:pPr>
      <w:r>
        <w:rPr>
          <w:i/>
          <w:color w:val="606060"/>
        </w:rPr>
        <w:t>**Dose (UI) = Poids (kg) × ΔFIX souhaité (UI/dL) × 1,0**</w:t>
      </w:r>
    </w:p>
    <w:p>
      <w:r>
        <w:t xml:space="preserve">Le facteur </w:t>
      </w:r>
      <w:r>
        <w:rPr>
          <w:b/>
        </w:rPr>
        <w:t>1,0</w:t>
      </w:r>
      <w:r>
        <w:t xml:space="preserve"> (et non 1,2 comme pour le rFIX) reflète le </w:t>
      </w:r>
      <w:r>
        <w:rPr>
          <w:b/>
        </w:rPr>
        <w:t>récovery supérieur</w:t>
      </w:r>
      <w:r>
        <w:t xml:space="preserve"> du pdFIX (~1,0 UI/dL/UI/kg en moyenne, vs ~0,8 UI/dL/UI/kg pour rFIX).</w:t>
      </w:r>
    </w:p>
    <w:p>
      <w:r/>
      <w:r>
        <w:rPr>
          <w:b/>
        </w:rPr>
        <w:t>Exemple clinique</w:t>
      </w:r>
      <w:r>
        <w:t xml:space="preserve"> :</w:t>
      </w:r>
    </w:p>
    <w:p>
      <w:pPr>
        <w:pStyle w:val="ListBullet"/>
      </w:pPr>
      <w:r>
        <w:t>Patient hémophile B sévère de 70 kg, hémarthrose du genou droit.</w:t>
      </w:r>
    </w:p>
    <w:p>
      <w:pPr>
        <w:pStyle w:val="ListBullet"/>
      </w:pPr>
      <w:r>
        <w:t>Objectif : FIX:C ≥ 40 UI/dL (saignement modéré).</w:t>
      </w:r>
    </w:p>
    <w:p>
      <w:pPr>
        <w:pStyle w:val="ListBullet"/>
      </w:pPr>
      <w:r>
        <w:t xml:space="preserve">Dose pdFIX = 70 × 40 × 1,0 = </w:t>
      </w:r>
      <w:r>
        <w:rPr>
          <w:b/>
        </w:rPr>
        <w:t>2 800 UI</w:t>
      </w:r>
      <w:r>
        <w:t xml:space="preserve"> → arrondir à 3 000 UI (flacons disponibles en 500 UI et 600 UI).</w:t>
      </w:r>
    </w:p>
    <w:p>
      <w:pPr>
        <w:pStyle w:val="ListBullet"/>
      </w:pPr>
      <w:r>
        <w:t>Ré-injection à 24 h si besoin (demi-vie ~22 h).</w:t>
      </w:r>
    </w:p>
    <w:p>
      <w:pPr>
        <w:pStyle w:val="Heading4"/>
      </w:pPr>
      <w:r>
        <w:t>Posologie selon le type de saignement (WFH 2020)</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 de saignement</w:t>
            </w:r>
          </w:p>
        </w:tc>
        <w:tc>
          <w:tcPr>
            <w:tcW w:type="dxa" w:w="2078"/>
            <w:shd w:val="clear" w:color="auto" w:fill="F2F2F2"/>
          </w:tcPr>
          <w:p>
            <w:r>
              <w:rPr>
                <w:rFonts w:ascii="Times New Roman" w:hAnsi="Times New Roman"/>
                <w:b/>
                <w:sz w:val="20"/>
              </w:rPr>
              <w:t>Taux cible FIX</w:t>
            </w:r>
          </w:p>
        </w:tc>
        <w:tc>
          <w:tcPr>
            <w:tcW w:type="dxa" w:w="2078"/>
            <w:shd w:val="clear" w:color="auto" w:fill="F2F2F2"/>
          </w:tcPr>
          <w:p>
            <w:r>
              <w:rPr>
                <w:rFonts w:ascii="Times New Roman" w:hAnsi="Times New Roman"/>
                <w:b/>
                <w:sz w:val="20"/>
              </w:rPr>
              <w:t>Dose initiale (UI/kg)</w:t>
            </w:r>
          </w:p>
        </w:tc>
        <w:tc>
          <w:tcPr>
            <w:tcW w:type="dxa" w:w="2078"/>
            <w:shd w:val="clear" w:color="auto" w:fill="F2F2F2"/>
          </w:tcPr>
          <w:p>
            <w:r>
              <w:rPr>
                <w:rFonts w:ascii="Times New Roman" w:hAnsi="Times New Roman"/>
                <w:b/>
                <w:sz w:val="20"/>
              </w:rPr>
              <w:t>Durée</w:t>
            </w:r>
          </w:p>
        </w:tc>
      </w:tr>
      <w:tr>
        <w:tc>
          <w:tcPr>
            <w:tcW w:type="dxa" w:w="2078"/>
          </w:tcPr>
          <w:p>
            <w:r>
              <w:rPr>
                <w:rFonts w:ascii="Times New Roman" w:hAnsi="Times New Roman"/>
                <w:sz w:val="20"/>
              </w:rPr>
              <w:t>Hémarthrose précoce</w:t>
            </w:r>
          </w:p>
        </w:tc>
        <w:tc>
          <w:tcPr>
            <w:tcW w:type="dxa" w:w="2078"/>
          </w:tcPr>
          <w:p>
            <w:r>
              <w:rPr>
                <w:rFonts w:ascii="Times New Roman" w:hAnsi="Times New Roman"/>
                <w:sz w:val="20"/>
              </w:rPr>
              <w:t>20-40 UI/dL</w:t>
            </w:r>
          </w:p>
        </w:tc>
        <w:tc>
          <w:tcPr>
            <w:tcW w:type="dxa" w:w="2078"/>
          </w:tcPr>
          <w:p>
            <w:r>
              <w:rPr>
                <w:rFonts w:ascii="Times New Roman" w:hAnsi="Times New Roman"/>
                <w:sz w:val="20"/>
              </w:rPr>
              <w:t>20-40 UI/kg</w:t>
            </w:r>
          </w:p>
        </w:tc>
        <w:tc>
          <w:tcPr>
            <w:tcW w:type="dxa" w:w="2078"/>
          </w:tcPr>
          <w:p>
            <w:r>
              <w:rPr>
                <w:rFonts w:ascii="Times New Roman" w:hAnsi="Times New Roman"/>
                <w:sz w:val="20"/>
              </w:rPr>
              <w:t>1-2 jours</w:t>
            </w:r>
          </w:p>
        </w:tc>
      </w:tr>
      <w:tr>
        <w:tc>
          <w:tcPr>
            <w:tcW w:type="dxa" w:w="2078"/>
          </w:tcPr>
          <w:p>
            <w:r>
              <w:rPr>
                <w:rFonts w:ascii="Times New Roman" w:hAnsi="Times New Roman"/>
                <w:sz w:val="20"/>
              </w:rPr>
              <w:t>Hémarthrose établie</w:t>
            </w:r>
          </w:p>
        </w:tc>
        <w:tc>
          <w:tcPr>
            <w:tcW w:type="dxa" w:w="2078"/>
          </w:tcPr>
          <w:p>
            <w:r>
              <w:rPr>
                <w:rFonts w:ascii="Times New Roman" w:hAnsi="Times New Roman"/>
                <w:sz w:val="20"/>
              </w:rPr>
              <w:t>40-60 UI/dL</w:t>
            </w:r>
          </w:p>
        </w:tc>
        <w:tc>
          <w:tcPr>
            <w:tcW w:type="dxa" w:w="2078"/>
          </w:tcPr>
          <w:p>
            <w:r>
              <w:rPr>
                <w:rFonts w:ascii="Times New Roman" w:hAnsi="Times New Roman"/>
                <w:sz w:val="20"/>
              </w:rPr>
              <w:t>40-60 UI/kg</w:t>
            </w:r>
          </w:p>
        </w:tc>
        <w:tc>
          <w:tcPr>
            <w:tcW w:type="dxa" w:w="2078"/>
          </w:tcPr>
          <w:p>
            <w:r>
              <w:rPr>
                <w:rFonts w:ascii="Times New Roman" w:hAnsi="Times New Roman"/>
                <w:sz w:val="20"/>
              </w:rPr>
              <w:t>3-4 jours</w:t>
            </w:r>
          </w:p>
        </w:tc>
      </w:tr>
      <w:tr>
        <w:tc>
          <w:tcPr>
            <w:tcW w:type="dxa" w:w="2078"/>
          </w:tcPr>
          <w:p>
            <w:r>
              <w:rPr>
                <w:rFonts w:ascii="Times New Roman" w:hAnsi="Times New Roman"/>
                <w:sz w:val="20"/>
              </w:rPr>
              <w:t>Hématome musculaire</w:t>
            </w:r>
          </w:p>
        </w:tc>
        <w:tc>
          <w:tcPr>
            <w:tcW w:type="dxa" w:w="2078"/>
          </w:tcPr>
          <w:p>
            <w:r>
              <w:rPr>
                <w:rFonts w:ascii="Times New Roman" w:hAnsi="Times New Roman"/>
                <w:sz w:val="20"/>
              </w:rPr>
              <w:t>40-60 UI/dL</w:t>
            </w:r>
          </w:p>
        </w:tc>
        <w:tc>
          <w:tcPr>
            <w:tcW w:type="dxa" w:w="2078"/>
          </w:tcPr>
          <w:p>
            <w:r>
              <w:rPr>
                <w:rFonts w:ascii="Times New Roman" w:hAnsi="Times New Roman"/>
                <w:sz w:val="20"/>
              </w:rPr>
              <w:t>40-60 UI/kg</w:t>
            </w:r>
          </w:p>
        </w:tc>
        <w:tc>
          <w:tcPr>
            <w:tcW w:type="dxa" w:w="2078"/>
          </w:tcPr>
          <w:p>
            <w:r>
              <w:rPr>
                <w:rFonts w:ascii="Times New Roman" w:hAnsi="Times New Roman"/>
                <w:sz w:val="20"/>
              </w:rPr>
              <w:t>3-7 jours</w:t>
            </w:r>
          </w:p>
        </w:tc>
      </w:tr>
      <w:tr>
        <w:tc>
          <w:tcPr>
            <w:tcW w:type="dxa" w:w="2078"/>
          </w:tcPr>
          <w:p>
            <w:r>
              <w:rPr>
                <w:rFonts w:ascii="Times New Roman" w:hAnsi="Times New Roman"/>
                <w:sz w:val="20"/>
              </w:rPr>
              <w:t>Hémorragie digestive</w:t>
            </w:r>
          </w:p>
        </w:tc>
        <w:tc>
          <w:tcPr>
            <w:tcW w:type="dxa" w:w="2078"/>
          </w:tcPr>
          <w:p>
            <w:r>
              <w:rPr>
                <w:rFonts w:ascii="Times New Roman" w:hAnsi="Times New Roman"/>
                <w:sz w:val="20"/>
              </w:rPr>
              <w:t>60-80 UI/dL</w:t>
            </w:r>
          </w:p>
        </w:tc>
        <w:tc>
          <w:tcPr>
            <w:tcW w:type="dxa" w:w="2078"/>
          </w:tcPr>
          <w:p>
            <w:r>
              <w:rPr>
                <w:rFonts w:ascii="Times New Roman" w:hAnsi="Times New Roman"/>
                <w:sz w:val="20"/>
              </w:rPr>
              <w:t>60-80 UI/kg</w:t>
            </w:r>
          </w:p>
        </w:tc>
        <w:tc>
          <w:tcPr>
            <w:tcW w:type="dxa" w:w="2078"/>
          </w:tcPr>
          <w:p>
            <w:r>
              <w:rPr>
                <w:rFonts w:ascii="Times New Roman" w:hAnsi="Times New Roman"/>
                <w:sz w:val="20"/>
              </w:rPr>
              <w:t>7-10 jours</w:t>
            </w:r>
          </w:p>
        </w:tc>
      </w:tr>
      <w:tr>
        <w:tc>
          <w:tcPr>
            <w:tcW w:type="dxa" w:w="2078"/>
          </w:tcPr>
          <w:p>
            <w:r>
              <w:rPr>
                <w:rFonts w:ascii="Times New Roman" w:hAnsi="Times New Roman"/>
                <w:sz w:val="20"/>
              </w:rPr>
              <w:t>Hémorragie cérébrale</w:t>
            </w:r>
          </w:p>
        </w:tc>
        <w:tc>
          <w:tcPr>
            <w:tcW w:type="dxa" w:w="2078"/>
          </w:tcPr>
          <w:p>
            <w:r>
              <w:rPr>
                <w:rFonts w:ascii="Times New Roman" w:hAnsi="Times New Roman"/>
                <w:sz w:val="20"/>
              </w:rPr>
              <w:t>80-100 UI/dL</w:t>
            </w:r>
          </w:p>
        </w:tc>
        <w:tc>
          <w:tcPr>
            <w:tcW w:type="dxa" w:w="2078"/>
          </w:tcPr>
          <w:p>
            <w:r>
              <w:rPr>
                <w:rFonts w:ascii="Times New Roman" w:hAnsi="Times New Roman"/>
                <w:sz w:val="20"/>
              </w:rPr>
              <w:t>80-100 UI/kg</w:t>
            </w:r>
          </w:p>
        </w:tc>
        <w:tc>
          <w:tcPr>
            <w:tcW w:type="dxa" w:w="2078"/>
          </w:tcPr>
          <w:p>
            <w:r>
              <w:rPr>
                <w:rFonts w:ascii="Times New Roman" w:hAnsi="Times New Roman"/>
                <w:sz w:val="20"/>
              </w:rPr>
              <w:t>14 jours</w:t>
            </w:r>
          </w:p>
        </w:tc>
      </w:tr>
      <w:tr>
        <w:tc>
          <w:tcPr>
            <w:tcW w:type="dxa" w:w="2078"/>
          </w:tcPr>
          <w:p>
            <w:r>
              <w:rPr>
                <w:rFonts w:ascii="Times New Roman" w:hAnsi="Times New Roman"/>
                <w:sz w:val="20"/>
              </w:rPr>
              <w:t>Chirurgie majeure</w:t>
            </w:r>
          </w:p>
        </w:tc>
        <w:tc>
          <w:tcPr>
            <w:tcW w:type="dxa" w:w="2078"/>
          </w:tcPr>
          <w:p>
            <w:r>
              <w:rPr>
                <w:rFonts w:ascii="Times New Roman" w:hAnsi="Times New Roman"/>
                <w:sz w:val="20"/>
              </w:rPr>
              <w:t>80-100 UI/dL</w:t>
            </w:r>
          </w:p>
        </w:tc>
        <w:tc>
          <w:tcPr>
            <w:tcW w:type="dxa" w:w="2078"/>
          </w:tcPr>
          <w:p>
            <w:r>
              <w:rPr>
                <w:rFonts w:ascii="Times New Roman" w:hAnsi="Times New Roman"/>
                <w:sz w:val="20"/>
              </w:rPr>
              <w:t>80-100 UI/kg</w:t>
            </w:r>
          </w:p>
        </w:tc>
        <w:tc>
          <w:tcPr>
            <w:tcW w:type="dxa" w:w="2078"/>
          </w:tcPr>
          <w:p>
            <w:r>
              <w:rPr>
                <w:rFonts w:ascii="Times New Roman" w:hAnsi="Times New Roman"/>
                <w:sz w:val="20"/>
              </w:rPr>
              <w:t>7-14 jours</w:t>
            </w:r>
          </w:p>
        </w:tc>
      </w:tr>
    </w:tbl>
    <w:p/>
    <w:p>
      <w:pPr>
        <w:pStyle w:val="Heading4"/>
      </w:pPr>
      <w:r>
        <w:t>Prophylaxie standard (WFH 2020)</w:t>
      </w:r>
    </w:p>
    <w:p>
      <w:pPr>
        <w:pStyle w:val="ListBullet"/>
      </w:pPr>
      <w:r/>
      <w:r>
        <w:rPr>
          <w:b/>
        </w:rPr>
        <w:t>Prophylaxie primaire</w:t>
      </w:r>
      <w:r>
        <w:t xml:space="preserve"> : 30-50 UI/kg </w:t>
      </w:r>
      <w:r>
        <w:rPr>
          <w:b/>
        </w:rPr>
        <w:t>2x/semaine</w:t>
      </w:r>
      <w:r>
        <w:t>.</w:t>
      </w:r>
    </w:p>
    <w:p>
      <w:pPr>
        <w:pStyle w:val="ListBullet"/>
      </w:pPr>
      <w:r/>
      <w:r>
        <w:rPr>
          <w:b/>
        </w:rPr>
        <w:t>Prophylaxie secondaire</w:t>
      </w:r>
      <w:r>
        <w:t xml:space="preserve"> : 30-50 UI/kg 2x/semaine.</w:t>
      </w:r>
    </w:p>
    <w:p>
      <w:pPr>
        <w:pStyle w:val="ListBullet"/>
      </w:pPr>
      <w:r/>
      <w:r>
        <w:rPr>
          <w:b/>
        </w:rPr>
        <w:t>Prophylaxie adulte</w:t>
      </w:r>
      <w:r>
        <w:t xml:space="preserve"> : 30-40 UI/kg 2x/semaine.</w:t>
      </w:r>
    </w:p>
    <w:p>
      <w:pPr>
        <w:pStyle w:val="Heading4"/>
      </w:pPr>
      <w:r>
        <w:t>Mode d'administration</w:t>
      </w:r>
    </w:p>
    <w:p>
      <w:pPr>
        <w:pStyle w:val="ListBullet"/>
      </w:pPr>
      <w:r/>
      <w:r>
        <w:rPr>
          <w:b/>
        </w:rPr>
        <w:t>Voie IV stricte</w:t>
      </w:r>
      <w:r>
        <w:t xml:space="preserve"> (jamais IM ni SC).</w:t>
      </w:r>
    </w:p>
    <w:p>
      <w:pPr>
        <w:pStyle w:val="ListBullet"/>
      </w:pPr>
      <w:r/>
      <w:r>
        <w:rPr>
          <w:b/>
        </w:rPr>
        <w:t>Reconstitution</w:t>
      </w:r>
      <w:r>
        <w:t xml:space="preserve"> : utiliser le solvant fourni (EPPI), éviter de toucher le bouchon avec une aiguille non stérile, mouvement rotatif doux (ne pas agiter vigoureusement).</w:t>
      </w:r>
    </w:p>
    <w:p>
      <w:pPr>
        <w:pStyle w:val="ListBullet"/>
      </w:pPr>
      <w:r/>
      <w:r>
        <w:rPr>
          <w:b/>
        </w:rPr>
        <w:t>Température</w:t>
      </w:r>
      <w:r>
        <w:t xml:space="preserve"> : la solution reconstituée doit être à température ambiante (≤ 25 °C) avant administration.</w:t>
      </w:r>
    </w:p>
    <w:p>
      <w:pPr>
        <w:pStyle w:val="ListBullet"/>
      </w:pPr>
      <w:r/>
      <w:r>
        <w:rPr>
          <w:b/>
        </w:rPr>
        <w:t>Débit de perfusion</w:t>
      </w:r>
      <w:r>
        <w:t xml:space="preserve"> : ≤ 3 mL/min chez l'adulte (1 mL/min chez l'enfant &lt; 20 kg).</w:t>
      </w:r>
    </w:p>
    <w:p>
      <w:pPr>
        <w:pStyle w:val="ListBullet"/>
      </w:pPr>
      <w:r/>
      <w:r>
        <w:rPr>
          <w:b/>
        </w:rPr>
        <w:t>Surveillance</w:t>
      </w:r>
      <w:r>
        <w:t xml:space="preserve"> : observation 30-60 min après la première administration chez tout patient naïf, puis 5-10 min pour les administrations ultérieures.</w:t>
      </w:r>
    </w:p>
    <w:p>
      <w:pPr>
        <w:pStyle w:val="Heading3"/>
      </w:pPr>
      <w:r>
        <w:t>Sous-section 9 — Arbitrage et bénéfices des formes galéniques</w:t>
      </w:r>
    </w:p>
    <w:p>
      <w:pPr>
        <w:pStyle w:val="Heading4"/>
      </w:pPr>
      <w:r>
        <w:t>pdFIX (IMMUNINE 600, HEAMONINE 500) vs rFIX (BENEFIX, INNONAFACTOR)</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pdFIX</w:t>
            </w:r>
          </w:p>
        </w:tc>
        <w:tc>
          <w:tcPr>
            <w:tcW w:type="dxa" w:w="2771"/>
            <w:shd w:val="clear" w:color="auto" w:fill="F2F2F2"/>
          </w:tcPr>
          <w:p>
            <w:r>
              <w:rPr>
                <w:rFonts w:ascii="Times New Roman" w:hAnsi="Times New Roman"/>
                <w:b/>
                <w:sz w:val="20"/>
              </w:rPr>
              <w:t>rFIX (nonacog alfa)</w:t>
            </w:r>
          </w:p>
        </w:tc>
      </w:tr>
      <w:tr>
        <w:tc>
          <w:tcPr>
            <w:tcW w:type="dxa" w:w="2771"/>
          </w:tcPr>
          <w:p>
            <w:r>
              <w:rPr>
                <w:rFonts w:ascii="Times New Roman" w:hAnsi="Times New Roman"/>
                <w:sz w:val="20"/>
              </w:rPr>
              <w:t>Origine</w:t>
            </w:r>
          </w:p>
        </w:tc>
        <w:tc>
          <w:tcPr>
            <w:tcW w:type="dxa" w:w="2771"/>
          </w:tcPr>
          <w:p>
            <w:r>
              <w:rPr>
                <w:rFonts w:ascii="Times New Roman" w:hAnsi="Times New Roman"/>
                <w:sz w:val="20"/>
              </w:rPr>
              <w:t>Plasma humain</w:t>
            </w:r>
          </w:p>
        </w:tc>
        <w:tc>
          <w:tcPr>
            <w:tcW w:type="dxa" w:w="2771"/>
          </w:tcPr>
          <w:p>
            <w:r>
              <w:rPr>
                <w:rFonts w:ascii="Times New Roman" w:hAnsi="Times New Roman"/>
                <w:sz w:val="20"/>
              </w:rPr>
              <w:t>Recombinant CHO</w:t>
            </w:r>
          </w:p>
        </w:tc>
      </w:tr>
      <w:tr>
        <w:tc>
          <w:tcPr>
            <w:tcW w:type="dxa" w:w="2771"/>
          </w:tcPr>
          <w:p>
            <w:r>
              <w:rPr>
                <w:rFonts w:ascii="Times New Roman" w:hAnsi="Times New Roman"/>
                <w:sz w:val="20"/>
              </w:rPr>
              <w:t>Sécurité virale</w:t>
            </w:r>
          </w:p>
        </w:tc>
        <w:tc>
          <w:tcPr>
            <w:tcW w:type="dxa" w:w="2771"/>
          </w:tcPr>
          <w:p>
            <w:r>
              <w:rPr>
                <w:rFonts w:ascii="Times New Roman" w:hAnsi="Times New Roman"/>
                <w:sz w:val="20"/>
              </w:rPr>
              <w:t>Excellente (double inactivation)</w:t>
            </w:r>
          </w:p>
        </w:tc>
        <w:tc>
          <w:tcPr>
            <w:tcW w:type="dxa" w:w="2771"/>
          </w:tcPr>
          <w:p>
            <w:r>
              <w:rPr>
                <w:rFonts w:ascii="Times New Roman" w:hAnsi="Times New Roman"/>
                <w:sz w:val="20"/>
              </w:rPr>
              <w:t>Optimale (pas de plasma)</w:t>
            </w:r>
          </w:p>
        </w:tc>
      </w:tr>
      <w:tr>
        <w:tc>
          <w:tcPr>
            <w:tcW w:type="dxa" w:w="2771"/>
          </w:tcPr>
          <w:p>
            <w:r>
              <w:rPr>
                <w:rFonts w:ascii="Times New Roman" w:hAnsi="Times New Roman"/>
                <w:sz w:val="20"/>
              </w:rPr>
              <w:t>Risque prion</w:t>
            </w:r>
          </w:p>
        </w:tc>
        <w:tc>
          <w:tcPr>
            <w:tcW w:type="dxa" w:w="2771"/>
          </w:tcPr>
          <w:p>
            <w:r>
              <w:rPr>
                <w:rFonts w:ascii="Times New Roman" w:hAnsi="Times New Roman"/>
                <w:sz w:val="20"/>
              </w:rPr>
              <w:t>Théorique</w:t>
            </w:r>
          </w:p>
        </w:tc>
        <w:tc>
          <w:tcPr>
            <w:tcW w:type="dxa" w:w="2771"/>
          </w:tcPr>
          <w:p>
            <w:r>
              <w:rPr>
                <w:rFonts w:ascii="Times New Roman" w:hAnsi="Times New Roman"/>
                <w:sz w:val="20"/>
              </w:rPr>
              <w:t>Négligeable (pas de plasma)</w:t>
            </w:r>
          </w:p>
        </w:tc>
      </w:tr>
      <w:tr>
        <w:tc>
          <w:tcPr>
            <w:tcW w:type="dxa" w:w="2771"/>
          </w:tcPr>
          <w:p>
            <w:r>
              <w:rPr>
                <w:rFonts w:ascii="Times New Roman" w:hAnsi="Times New Roman"/>
                <w:sz w:val="20"/>
              </w:rPr>
              <w:t>Récovery moyen</w:t>
            </w:r>
          </w:p>
        </w:tc>
        <w:tc>
          <w:tcPr>
            <w:tcW w:type="dxa" w:w="2771"/>
          </w:tcPr>
          <w:p>
            <w:r>
              <w:rPr>
                <w:rFonts w:ascii="Times New Roman" w:hAnsi="Times New Roman"/>
                <w:sz w:val="20"/>
              </w:rPr>
              <w:t>~1,0 UI/dL/UI/kg</w:t>
            </w:r>
          </w:p>
        </w:tc>
        <w:tc>
          <w:tcPr>
            <w:tcW w:type="dxa" w:w="2771"/>
          </w:tcPr>
          <w:p>
            <w:r>
              <w:rPr>
                <w:rFonts w:ascii="Times New Roman" w:hAnsi="Times New Roman"/>
                <w:sz w:val="20"/>
              </w:rPr>
              <w:t>~0,8 UI/dL/UI/kg</w:t>
            </w:r>
          </w:p>
        </w:tc>
      </w:tr>
      <w:tr>
        <w:tc>
          <w:tcPr>
            <w:tcW w:type="dxa" w:w="2771"/>
          </w:tcPr>
          <w:p>
            <w:r>
              <w:rPr>
                <w:rFonts w:ascii="Times New Roman" w:hAnsi="Times New Roman"/>
                <w:sz w:val="20"/>
              </w:rPr>
              <w:t>Demi-vie</w:t>
            </w:r>
          </w:p>
        </w:tc>
        <w:tc>
          <w:tcPr>
            <w:tcW w:type="dxa" w:w="2771"/>
          </w:tcPr>
          <w:p>
            <w:r>
              <w:rPr>
                <w:rFonts w:ascii="Times New Roman" w:hAnsi="Times New Roman"/>
                <w:sz w:val="20"/>
              </w:rPr>
              <w:t>18-24 h</w:t>
            </w:r>
          </w:p>
        </w:tc>
        <w:tc>
          <w:tcPr>
            <w:tcW w:type="dxa" w:w="2771"/>
          </w:tcPr>
          <w:p>
            <w:r>
              <w:rPr>
                <w:rFonts w:ascii="Times New Roman" w:hAnsi="Times New Roman"/>
                <w:sz w:val="20"/>
              </w:rPr>
              <w:t>18-24 h</w:t>
            </w:r>
          </w:p>
        </w:tc>
      </w:tr>
      <w:tr>
        <w:tc>
          <w:tcPr>
            <w:tcW w:type="dxa" w:w="2771"/>
          </w:tcPr>
          <w:p>
            <w:r>
              <w:rPr>
                <w:rFonts w:ascii="Times New Roman" w:hAnsi="Times New Roman"/>
                <w:sz w:val="20"/>
              </w:rPr>
              <w:t>Risque inhibiteur</w:t>
            </w:r>
          </w:p>
        </w:tc>
        <w:tc>
          <w:tcPr>
            <w:tcW w:type="dxa" w:w="2771"/>
          </w:tcPr>
          <w:p>
            <w:r>
              <w:rPr>
                <w:rFonts w:ascii="Times New Roman" w:hAnsi="Times New Roman"/>
                <w:sz w:val="20"/>
              </w:rPr>
              <w:t>1-3 %</w:t>
            </w:r>
          </w:p>
        </w:tc>
        <w:tc>
          <w:tcPr>
            <w:tcW w:type="dxa" w:w="2771"/>
          </w:tcPr>
          <w:p>
            <w:r>
              <w:rPr>
                <w:rFonts w:ascii="Times New Roman" w:hAnsi="Times New Roman"/>
                <w:sz w:val="20"/>
              </w:rPr>
              <w:t>1-3 %</w:t>
            </w:r>
          </w:p>
        </w:tc>
      </w:tr>
      <w:tr>
        <w:tc>
          <w:tcPr>
            <w:tcW w:type="dxa" w:w="2771"/>
          </w:tcPr>
          <w:p>
            <w:r>
              <w:rPr>
                <w:rFonts w:ascii="Times New Roman" w:hAnsi="Times New Roman"/>
                <w:sz w:val="20"/>
              </w:rPr>
              <w:t>Risque allergique</w:t>
            </w:r>
          </w:p>
        </w:tc>
        <w:tc>
          <w:tcPr>
            <w:tcW w:type="dxa" w:w="2771"/>
          </w:tcPr>
          <w:p>
            <w:r>
              <w:rPr>
                <w:rFonts w:ascii="Times New Roman" w:hAnsi="Times New Roman"/>
                <w:sz w:val="20"/>
              </w:rPr>
              <w:t>Modéré (protéines plasmatiques)</w:t>
            </w:r>
          </w:p>
        </w:tc>
        <w:tc>
          <w:tcPr>
            <w:tcW w:type="dxa" w:w="2771"/>
          </w:tcPr>
          <w:p>
            <w:r>
              <w:rPr>
                <w:rFonts w:ascii="Times New Roman" w:hAnsi="Times New Roman"/>
                <w:sz w:val="20"/>
              </w:rPr>
              <w:t>Faible (hamster CHO)</w:t>
            </w:r>
          </w:p>
        </w:tc>
      </w:tr>
      <w:tr>
        <w:tc>
          <w:tcPr>
            <w:tcW w:type="dxa" w:w="2771"/>
          </w:tcPr>
          <w:p>
            <w:r>
              <w:rPr>
                <w:rFonts w:ascii="Times New Roman" w:hAnsi="Times New Roman"/>
                <w:sz w:val="20"/>
              </w:rPr>
              <w:t>Risque thrombotique</w:t>
            </w:r>
          </w:p>
        </w:tc>
        <w:tc>
          <w:tcPr>
            <w:tcW w:type="dxa" w:w="2771"/>
          </w:tcPr>
          <w:p>
            <w:r>
              <w:rPr>
                <w:rFonts w:ascii="Times New Roman" w:hAnsi="Times New Roman"/>
                <w:sz w:val="20"/>
              </w:rPr>
              <w:t>Modéré (traces FII/FVII/FX)</w:t>
            </w:r>
          </w:p>
        </w:tc>
        <w:tc>
          <w:tcPr>
            <w:tcW w:type="dxa" w:w="2771"/>
          </w:tcPr>
          <w:p>
            <w:r>
              <w:rPr>
                <w:rFonts w:ascii="Times New Roman" w:hAnsi="Times New Roman"/>
                <w:sz w:val="20"/>
              </w:rPr>
              <w:t>Faible</w:t>
            </w:r>
          </w:p>
        </w:tc>
      </w:tr>
      <w:tr>
        <w:tc>
          <w:tcPr>
            <w:tcW w:type="dxa" w:w="2771"/>
          </w:tcPr>
          <w:p>
            <w:r>
              <w:rPr>
                <w:rFonts w:ascii="Times New Roman" w:hAnsi="Times New Roman"/>
                <w:sz w:val="20"/>
              </w:rPr>
              <w:t>Risque infectieux B19</w:t>
            </w:r>
          </w:p>
        </w:tc>
        <w:tc>
          <w:tcPr>
            <w:tcW w:type="dxa" w:w="2771"/>
          </w:tcPr>
          <w:p>
            <w:r>
              <w:rPr>
                <w:rFonts w:ascii="Times New Roman" w:hAnsi="Times New Roman"/>
                <w:sz w:val="20"/>
              </w:rPr>
              <w:t>Possible (non enveloppé)</w:t>
            </w:r>
          </w:p>
        </w:tc>
        <w:tc>
          <w:tcPr>
            <w:tcW w:type="dxa" w:w="2771"/>
          </w:tcPr>
          <w:p>
            <w:r>
              <w:rPr>
                <w:rFonts w:ascii="Times New Roman" w:hAnsi="Times New Roman"/>
                <w:sz w:val="20"/>
              </w:rPr>
              <w:t>Nul (pas de plasma)</w:t>
            </w:r>
          </w:p>
        </w:tc>
      </w:tr>
      <w:tr>
        <w:tc>
          <w:tcPr>
            <w:tcW w:type="dxa" w:w="2771"/>
          </w:tcPr>
          <w:p>
            <w:r>
              <w:rPr>
                <w:rFonts w:ascii="Times New Roman" w:hAnsi="Times New Roman"/>
                <w:sz w:val="20"/>
              </w:rPr>
              <w:t>Coût</w:t>
            </w:r>
          </w:p>
        </w:tc>
        <w:tc>
          <w:tcPr>
            <w:tcW w:type="dxa" w:w="2771"/>
          </w:tcPr>
          <w:p>
            <w:r>
              <w:rPr>
                <w:rFonts w:ascii="Times New Roman" w:hAnsi="Times New Roman"/>
                <w:sz w:val="20"/>
              </w:rPr>
              <w:t>Modéré</w:t>
            </w:r>
          </w:p>
        </w:tc>
        <w:tc>
          <w:tcPr>
            <w:tcW w:type="dxa" w:w="2771"/>
          </w:tcPr>
          <w:p>
            <w:r>
              <w:rPr>
                <w:rFonts w:ascii="Times New Roman" w:hAnsi="Times New Roman"/>
                <w:sz w:val="20"/>
              </w:rPr>
              <w:t>Élevé (BENEFIX) ; modéré (INNONAFACTOR)</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2 spécialités actives</w:t>
            </w:r>
          </w:p>
        </w:tc>
        <w:tc>
          <w:tcPr>
            <w:tcW w:type="dxa" w:w="2771"/>
          </w:tcPr>
          <w:p>
            <w:r>
              <w:rPr>
                <w:rFonts w:ascii="Times New Roman" w:hAnsi="Times New Roman"/>
                <w:sz w:val="20"/>
              </w:rPr>
              <w:t>2 spécialités (4 dosages)</w:t>
            </w:r>
          </w:p>
        </w:tc>
      </w:tr>
    </w:tbl>
    <w:p/>
    <w:p>
      <w:r/>
      <w:r>
        <w:rPr>
          <w:b/>
        </w:rPr>
        <w:t>Arbitrage clinique</w:t>
      </w:r>
      <w:r>
        <w:t xml:space="preserve"> :</w:t>
      </w:r>
    </w:p>
    <w:p>
      <w:pPr>
        <w:pStyle w:val="ListBullet"/>
      </w:pPr>
      <w:r/>
      <w:r>
        <w:rPr>
          <w:b/>
        </w:rPr>
        <w:t>Préférer le rFIX</w:t>
      </w:r>
      <w:r>
        <w:t xml:space="preserve"> chez les patients naïfs (sécurité virale accrue), en particulier chez l'enfant (prophylaxie primaire précoce) et chez la femme enceinte.</w:t>
      </w:r>
    </w:p>
    <w:p>
      <w:pPr>
        <w:pStyle w:val="ListBullet"/>
      </w:pPr>
      <w:r/>
      <w:r>
        <w:rPr>
          <w:b/>
        </w:rPr>
        <w:t>Préférer le rFIX</w:t>
      </w:r>
      <w:r>
        <w:t xml:space="preserve"> chez les patients avec antécédents d'allergie aux protéines plasmatiques, déficit en IgA, ou à risque thrombotique.</w:t>
      </w:r>
    </w:p>
    <w:p>
      <w:pPr>
        <w:pStyle w:val="ListBullet"/>
      </w:pPr>
      <w:r/>
      <w:r>
        <w:rPr>
          <w:b/>
        </w:rPr>
        <w:t>Préférer le pdFIX</w:t>
      </w:r>
      <w:r>
        <w:t xml:space="preserve"> en cas d'échec du rFIX (récovery insuffisant), d'allergie au rFIX (protéines CHO), ou d'indisponibilité du rFIX.</w:t>
      </w:r>
    </w:p>
    <w:p>
      <w:pPr>
        <w:pStyle w:val="ListBullet"/>
      </w:pPr>
      <w:r/>
      <w:r>
        <w:rPr>
          <w:b/>
        </w:rPr>
        <w:t>BETAFACT (LFB Biomédicaments)</w:t>
      </w:r>
      <w:r>
        <w:t xml:space="preserve"> est RETIRÉ du marché algérien — transition vers IMMUNINE 600 ou HEAMONINE 500 (hématologue référent).</w:t>
      </w:r>
    </w:p>
    <w:p>
      <w:pPr>
        <w:pStyle w:val="Heading4"/>
      </w:pPr>
      <w:r>
        <w:t>pdFIX (SHL) vs EHL rFIX (ALPROLIX)</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pdFIX (SHL)</w:t>
            </w:r>
          </w:p>
        </w:tc>
        <w:tc>
          <w:tcPr>
            <w:tcW w:type="dxa" w:w="2771"/>
            <w:shd w:val="clear" w:color="auto" w:fill="F2F2F2"/>
          </w:tcPr>
          <w:p>
            <w:r>
              <w:rPr>
                <w:rFonts w:ascii="Times New Roman" w:hAnsi="Times New Roman"/>
                <w:b/>
                <w:sz w:val="20"/>
              </w:rPr>
              <w:t>Eftrenonacog alpha (EHL)</w:t>
            </w:r>
          </w:p>
        </w:tc>
      </w:tr>
      <w:tr>
        <w:tc>
          <w:tcPr>
            <w:tcW w:type="dxa" w:w="2771"/>
          </w:tcPr>
          <w:p>
            <w:r>
              <w:rPr>
                <w:rFonts w:ascii="Times New Roman" w:hAnsi="Times New Roman"/>
                <w:sz w:val="20"/>
              </w:rPr>
              <w:t>Demi-vie</w:t>
            </w:r>
          </w:p>
        </w:tc>
        <w:tc>
          <w:tcPr>
            <w:tcW w:type="dxa" w:w="2771"/>
          </w:tcPr>
          <w:p>
            <w:r>
              <w:rPr>
                <w:rFonts w:ascii="Times New Roman" w:hAnsi="Times New Roman"/>
                <w:sz w:val="20"/>
              </w:rPr>
              <w:t>18-24 h</w:t>
            </w:r>
          </w:p>
        </w:tc>
        <w:tc>
          <w:tcPr>
            <w:tcW w:type="dxa" w:w="2771"/>
          </w:tcPr>
          <w:p>
            <w:r>
              <w:rPr>
                <w:rFonts w:ascii="Times New Roman" w:hAnsi="Times New Roman"/>
                <w:sz w:val="20"/>
              </w:rPr>
              <w:t>80-90 h</w:t>
            </w:r>
          </w:p>
        </w:tc>
      </w:tr>
      <w:tr>
        <w:tc>
          <w:tcPr>
            <w:tcW w:type="dxa" w:w="2771"/>
          </w:tcPr>
          <w:p>
            <w:r>
              <w:rPr>
                <w:rFonts w:ascii="Times New Roman" w:hAnsi="Times New Roman"/>
                <w:sz w:val="20"/>
              </w:rPr>
              <w:t>Fréquence prophylaxie</w:t>
            </w:r>
          </w:p>
        </w:tc>
        <w:tc>
          <w:tcPr>
            <w:tcW w:type="dxa" w:w="2771"/>
          </w:tcPr>
          <w:p>
            <w:r>
              <w:rPr>
                <w:rFonts w:ascii="Times New Roman" w:hAnsi="Times New Roman"/>
                <w:sz w:val="20"/>
              </w:rPr>
              <w:t>2x/semaine</w:t>
            </w:r>
          </w:p>
        </w:tc>
        <w:tc>
          <w:tcPr>
            <w:tcW w:type="dxa" w:w="2771"/>
          </w:tcPr>
          <w:p>
            <w:r>
              <w:rPr>
                <w:rFonts w:ascii="Times New Roman" w:hAnsi="Times New Roman"/>
                <w:sz w:val="20"/>
              </w:rPr>
              <w:t>1x/semaine ou 1x/10 jours</w:t>
            </w:r>
          </w:p>
        </w:tc>
      </w:tr>
      <w:tr>
        <w:tc>
          <w:tcPr>
            <w:tcW w:type="dxa" w:w="2771"/>
          </w:tcPr>
          <w:p>
            <w:r>
              <w:rPr>
                <w:rFonts w:ascii="Times New Roman" w:hAnsi="Times New Roman"/>
                <w:sz w:val="20"/>
              </w:rPr>
              <w:t>Récovery</w:t>
            </w:r>
          </w:p>
        </w:tc>
        <w:tc>
          <w:tcPr>
            <w:tcW w:type="dxa" w:w="2771"/>
          </w:tcPr>
          <w:p>
            <w:r>
              <w:rPr>
                <w:rFonts w:ascii="Times New Roman" w:hAnsi="Times New Roman"/>
                <w:sz w:val="20"/>
              </w:rPr>
              <w:t>1,0 UI/dL/UI/kg</w:t>
            </w:r>
          </w:p>
        </w:tc>
        <w:tc>
          <w:tcPr>
            <w:tcW w:type="dxa" w:w="2771"/>
          </w:tcPr>
          <w:p>
            <w:r>
              <w:rPr>
                <w:rFonts w:ascii="Times New Roman" w:hAnsi="Times New Roman"/>
                <w:sz w:val="20"/>
              </w:rPr>
              <w:t>1,3 UI/dL/UI/kg</w:t>
            </w:r>
          </w:p>
        </w:tc>
      </w:tr>
      <w:tr>
        <w:tc>
          <w:tcPr>
            <w:tcW w:type="dxa" w:w="2771"/>
          </w:tcPr>
          <w:p>
            <w:r>
              <w:rPr>
                <w:rFonts w:ascii="Times New Roman" w:hAnsi="Times New Roman"/>
                <w:sz w:val="20"/>
              </w:rPr>
              <w:t>Coût annuel prophylaxie adulte</w:t>
            </w:r>
          </w:p>
        </w:tc>
        <w:tc>
          <w:tcPr>
            <w:tcW w:type="dxa" w:w="2771"/>
          </w:tcPr>
          <w:p>
            <w:r>
              <w:rPr>
                <w:rFonts w:ascii="Times New Roman" w:hAnsi="Times New Roman"/>
                <w:sz w:val="20"/>
              </w:rPr>
              <w:t>150 000-300 000 €</w:t>
            </w:r>
          </w:p>
        </w:tc>
        <w:tc>
          <w:tcPr>
            <w:tcW w:type="dxa" w:w="2771"/>
          </w:tcPr>
          <w:p>
            <w:r>
              <w:rPr>
                <w:rFonts w:ascii="Times New Roman" w:hAnsi="Times New Roman"/>
                <w:sz w:val="20"/>
              </w:rPr>
              <w:t>300 000-500 000 €</w:t>
            </w:r>
          </w:p>
        </w:tc>
      </w:tr>
    </w:tbl>
    <w:p/>
    <w:p>
      <w:r/>
      <w:r>
        <w:rPr>
          <w:b/>
        </w:rPr>
        <w:t>Arbitrage clinique</w:t>
      </w:r>
      <w:r>
        <w:t xml:space="preserve"> :</w:t>
      </w:r>
    </w:p>
    <w:p>
      <w:pPr>
        <w:pStyle w:val="ListBullet"/>
      </w:pPr>
      <w:r>
        <w:t xml:space="preserve">L'EHL est </w:t>
      </w:r>
      <w:r>
        <w:rPr>
          <w:b/>
        </w:rPr>
        <w:t>préférable</w:t>
      </w:r>
      <w:r>
        <w:t xml:space="preserve"> en prophylaxie chez l'adulte (qualité de vie supérieure, taux de FIX résiduel plus élevé).</w:t>
      </w:r>
    </w:p>
    <w:p>
      <w:pPr>
        <w:pStyle w:val="ListBullet"/>
      </w:pPr>
      <w:r>
        <w:t>Le pdFIX reste utile en urgence (saignement aigu, chirurgie non programmée) en cas d'indisponibilité du rFIX EHL.</w:t>
      </w:r>
    </w:p>
    <w:p>
      <w:pPr>
        <w:pStyle w:val="Heading3"/>
      </w:pPr>
      <w:r>
        <w:t>Sous-section 10 — Instructions et conseils au patient</w:t>
      </w:r>
    </w:p>
    <w:p>
      <w:pPr>
        <w:pStyle w:val="Heading4"/>
      </w:pPr>
      <w:r>
        <w:t>Formation à l'auto-administration à domicile</w:t>
      </w:r>
    </w:p>
    <w:p>
      <w:pPr>
        <w:pStyle w:val="ListBullet"/>
      </w:pPr>
      <w:r>
        <w:t>Cf. fiche 233.1 (sous-section 10).</w:t>
      </w:r>
    </w:p>
    <w:p>
      <w:pPr>
        <w:pStyle w:val="ListBullet"/>
      </w:pPr>
      <w:r>
        <w:t>Particularité pdFIX : surveillance accrue de la tolérance (risque allergique supérieur au rFIX), et pour HEAMONINE 500, surveillance plaquettaire (TIH).</w:t>
      </w:r>
    </w:p>
    <w:p>
      <w:pPr>
        <w:pStyle w:val="Heading4"/>
      </w:pPr>
      <w:r>
        <w:t>Gestion de la chaîne du froid</w:t>
      </w:r>
    </w:p>
    <w:p>
      <w:pPr>
        <w:pStyle w:val="ListBullet"/>
      </w:pPr>
      <w:r>
        <w:t>Cf. fiche 233.1 (sous-section 10).</w:t>
      </w:r>
    </w:p>
    <w:p>
      <w:pPr>
        <w:pStyle w:val="ListBullet"/>
      </w:pPr>
      <w:r>
        <w:t>Conservation +2 °C à +8 °C stricte, ne jamais congeler, transport en sac isotherme.</w:t>
      </w:r>
    </w:p>
    <w:p>
      <w:pPr>
        <w:pStyle w:val="Heading4"/>
      </w:pPr>
      <w:r>
        <w:t>Reconstitution de la solution</w:t>
      </w:r>
    </w:p>
    <w:p>
      <w:pPr>
        <w:pStyle w:val="ListNumber"/>
      </w:pPr>
      <w:r>
        <w:t>Sortir le flacon du réfrigérateur 5-10 min avant (température ambiante ≤ 25 °C).</w:t>
      </w:r>
    </w:p>
    <w:p>
      <w:pPr>
        <w:pStyle w:val="ListNumber"/>
      </w:pPr>
      <w:r>
        <w:t>Désinfecter le bouchon avec un tampon d'alcool.</w:t>
      </w:r>
    </w:p>
    <w:p>
      <w:pPr>
        <w:pStyle w:val="ListNumber"/>
      </w:pPr>
      <w:r>
        <w:t>Transférer le solvant dans le flacon de poudre avec l'aiguille de transfert stérile fournie.</w:t>
      </w:r>
    </w:p>
    <w:p>
      <w:pPr>
        <w:pStyle w:val="ListNumber"/>
      </w:pPr>
      <w:r>
        <w:t>Agiter doucement par rotation entre les paumes pendant 1-3 minutes (ne jamais agiter vigoureusement).</w:t>
      </w:r>
    </w:p>
    <w:p>
      <w:pPr>
        <w:pStyle w:val="ListNumber"/>
      </w:pPr>
      <w:r>
        <w:t>Vérifier que la solution est limpide, incolore à légèrement opalescente, sans particules ni filaments.</w:t>
      </w:r>
    </w:p>
    <w:p>
      <w:pPr>
        <w:pStyle w:val="ListNumber"/>
      </w:pPr>
      <w:r>
        <w:t>Aspirer la solution dans la seringue avec l'aiguille filtre fournie.</w:t>
      </w:r>
    </w:p>
    <w:p>
      <w:pPr>
        <w:pStyle w:val="ListNumber"/>
      </w:pPr>
      <w:r>
        <w:t>Administrer immédiatement (≤ 3 h à température ambiante).</w:t>
      </w:r>
    </w:p>
    <w:p>
      <w:pPr>
        <w:pStyle w:val="ListNumber"/>
      </w:pPr>
      <w:r>
        <w:t>Éliminer tout flacon entamé, ne jamais recongeler.</w:t>
      </w:r>
    </w:p>
    <w:p>
      <w:pPr>
        <w:pStyle w:val="Heading4"/>
      </w:pPr>
      <w:r>
        <w:t>Conduite à tenir en cas de saignement aigu</w:t>
      </w:r>
    </w:p>
    <w:p>
      <w:pPr>
        <w:pStyle w:val="ListBullet"/>
      </w:pPr>
      <w:r>
        <w:t>Cf. fiche 233.1 (sous-section 10).</w:t>
      </w:r>
    </w:p>
    <w:p>
      <w:pPr>
        <w:pStyle w:val="Heading4"/>
      </w:pPr>
      <w:r>
        <w:t>Vaccinations obligatoires</w:t>
      </w:r>
    </w:p>
    <w:p>
      <w:pPr>
        <w:pStyle w:val="ListBullet"/>
      </w:pPr>
      <w:r>
        <w:t>Vaccination hépatite A et B systématique avant la première exposition au pdFIX (impératif en raison du risque viral résiduel, en particulier Parvovirus B19 non inactivé par SD).</w:t>
      </w:r>
    </w:p>
    <w:p>
      <w:pPr>
        <w:pStyle w:val="ListBullet"/>
      </w:pPr>
      <w:r>
        <w:t>Les vaccinations se font en sous-cutanée stricte (jamais IM).</w:t>
      </w:r>
    </w:p>
    <w:p>
      <w:pPr>
        <w:pStyle w:val="Heading4"/>
      </w:pPr>
      <w:r>
        <w:t>Carte de patient hémophile</w:t>
      </w:r>
    </w:p>
    <w:p>
      <w:pPr>
        <w:pStyle w:val="ListBullet"/>
      </w:pPr>
      <w:r>
        <w:t>Cf. fiche 233.1 (sous-section 10).</w:t>
      </w:r>
    </w:p>
    <w:p>
      <w:pPr>
        <w:pStyle w:val="ListBullet"/>
      </w:pPr>
      <w:r>
        <w:t>Préciser sur la carte : type de pdFIX utilisé (IMMUNINE 600 ou HEAMONINE 500), dernière dose, statut vaccinal (hépatite A, B), sérologies virales datées.</w:t>
      </w:r>
    </w:p>
    <w:p>
      <w:pPr>
        <w:pStyle w:val="Heading4"/>
      </w:pPr>
      <w:r>
        <w:t>Voyage et déplacement</w:t>
      </w:r>
    </w:p>
    <w:p>
      <w:pPr>
        <w:pStyle w:val="ListBullet"/>
      </w:pPr>
      <w:r>
        <w:t>Cf. fiche 233.1 (sous-section 10).</w:t>
      </w:r>
    </w:p>
    <w:p>
      <w:pPr>
        <w:pStyle w:val="Heading3"/>
      </w:pPr>
      <w:r>
        <w:t>Sous-section 11 — Notes, règles d'or et pièges au comptoir</w:t>
      </w:r>
    </w:p>
    <w:p>
      <w:pPr>
        <w:pStyle w:val="ListNumber"/>
      </w:pPr>
      <w:r/>
      <w:r>
        <w:rPr>
          <w:b/>
        </w:rPr>
        <w:t>Le pdFIX a un récovery supérieur au rFIX</w:t>
      </w:r>
      <w:r>
        <w:t xml:space="preserve"> (~1,0 UI/dL/UI/kg vs ~0,8 UI/dL/UI/kg). Adapter la dose en conséquence : la dose de pdFIX est ~20 % inférieure à celle du rFIX pour le même objectif. Ne pas substituer 1:1 rFIX ↔ pdFIX.</w:t>
      </w:r>
    </w:p>
    <w:p>
      <w:pPr>
        <w:pStyle w:val="ListNumber"/>
      </w:pPr>
      <w:r/>
      <w:r>
        <w:rPr>
          <w:b/>
        </w:rPr>
        <w:t>HEAMONINE 500 contient de l'héparine</w:t>
      </w:r>
      <w:r>
        <w:t xml:space="preserve"> — contre-indication absolue en cas de TIH (thrombopénie induite à l'héparine). Pour les patients avec antécédents de TIH, utiliser IMMUNINE 600 (sans héparine) ou rFIX (BENEFIX, INNONAFACTOR).</w:t>
      </w:r>
    </w:p>
    <w:p>
      <w:pPr>
        <w:pStyle w:val="ListNumber"/>
      </w:pPr>
      <w:r/>
      <w:r>
        <w:rPr>
          <w:b/>
        </w:rPr>
        <w:t>BETAFACT (LFB Biomédicaments) est RETIRÉ du marché algérien</w:t>
      </w:r>
      <w:r>
        <w:t xml:space="preserve"> — tout patient algérien antérieurement traité par BETAFACT doit être transitionné vers IMMUNINE 600, HEAMONINE 500 ou rFIX (BENEFIX, INNONAFACTOR). Les stocks résiduels doivent être retournés au fournisseur ou détruits selon procédure DASRI.</w:t>
      </w:r>
    </w:p>
    <w:p>
      <w:pPr>
        <w:pStyle w:val="ListNumber"/>
      </w:pPr>
      <w:r/>
      <w:r>
        <w:rPr>
          <w:b/>
        </w:rPr>
        <w:t>Vaccination hépatite A et B obligatoire</w:t>
      </w:r>
      <w:r>
        <w:t xml:space="preserve"> avant la première exposition au pdFIX (le Parvovirus B19 n'est pas inactivé par solvant-détergent, et peut causer une anasarque fœtoplacentaire chez la femme enceinte, une anémie chronique chez l'immunodéprimé).</w:t>
      </w:r>
    </w:p>
    <w:p>
      <w:pPr>
        <w:pStyle w:val="ListNumber"/>
      </w:pPr>
      <w:r/>
      <w:r>
        <w:rPr>
          <w:b/>
        </w:rPr>
        <w:t>Risque thrombotique accru</w:t>
      </w:r>
      <w:r>
        <w:t xml:space="preserve"> avec le pdFIX (traces de FII, FVII, FX activés) à doses cumulées &gt; 200 UI/kg/24 h. Surveillance D-dimères et fibrinogène.</w:t>
      </w:r>
    </w:p>
    <w:p>
      <w:pPr>
        <w:pStyle w:val="ListNumber"/>
      </w:pPr>
      <w:r/>
      <w:r>
        <w:rPr>
          <w:b/>
        </w:rPr>
        <w:t>Inhibiteur anti-FIX + anaphylaxie</w:t>
      </w:r>
      <w:r>
        <w:t xml:space="preserve"> : tout patient hémophile B avec délétion complète du gène F9 a un risque majeur d'inhibiteur et d'anaphylaxie. Test génétique préalable obligatoire. Première administration en milieu hospitalier (réanimateur présent).</w:t>
      </w:r>
    </w:p>
    <w:p>
      <w:pPr>
        <w:pStyle w:val="ListNumber"/>
      </w:pPr>
      <w:r/>
      <w:r>
        <w:rPr>
          <w:b/>
        </w:rPr>
        <w:t>ITI contre-indiquée</w:t>
      </w:r>
      <w:r>
        <w:t xml:space="preserve"> en cas d'inhibiteur anti-FIX (risque de syndrome néphrotique). Traitement par by-passing agents uniquement.</w:t>
      </w:r>
    </w:p>
    <w:p>
      <w:pPr>
        <w:pStyle w:val="ListNumber"/>
      </w:pPr>
      <w:r/>
      <w:r>
        <w:rPr>
          <w:b/>
        </w:rPr>
        <w:t>Hémolyse chez les patients de groupe A, B, AB</w:t>
      </w:r>
      <w:r>
        <w:t xml:space="preserve"> : le pdFIX contient des isohémagglutinines anti-A et anti-B résiduelles. Surveillance clinique et biologique (hémolyse) en cas de doses cumulées &gt; 100 UI/kg.</w:t>
      </w:r>
    </w:p>
    <w:p>
      <w:pPr>
        <w:pStyle w:val="ListNumber"/>
      </w:pPr>
      <w:r/>
      <w:r>
        <w:rPr>
          <w:b/>
        </w:rPr>
        <w:t>Chaîne du froid +2 °C à +8 °C</w:t>
      </w:r>
      <w:r>
        <w:t xml:space="preserve"> stricte ; reconstitution douce ; utilisation dans les 3 h après reconstitution.</w:t>
      </w:r>
    </w:p>
    <w:p>
      <w:pPr>
        <w:pStyle w:val="ListNumber"/>
      </w:pPr>
      <w:r/>
      <w:r>
        <w:rPr>
          <w:b/>
        </w:rPr>
        <w:t>Auto-administration à domicile</w:t>
      </w:r>
      <w:r>
        <w:t xml:space="preserve"> après formation hospitalière.</w:t>
      </w:r>
    </w:p>
    <w:p>
      <w:pPr>
        <w:pStyle w:val="ListNumber"/>
      </w:pPr>
      <w:r/>
      <w:r>
        <w:rPr>
          <w:b/>
        </w:rPr>
        <w:t>Grossesse et allaitement</w:t>
      </w:r>
      <w:r>
        <w:t xml:space="preserve"> : pdFIX utilisable (CRAT), mais préférer rFIX si disponible.</w:t>
      </w:r>
    </w:p>
    <w:p>
      <w:pPr>
        <w:pStyle w:val="ListNumber"/>
      </w:pPr>
      <w:r/>
      <w:r>
        <w:rPr>
          <w:b/>
        </w:rPr>
        <w:t>Éviter l'aspirine et les AINS</w:t>
      </w:r>
      <w:r>
        <w:t xml:space="preserve"> chez l'hémophile.</w:t>
      </w:r>
    </w:p>
    <w:p>
      <w:pPr>
        <w:pStyle w:val="ListNumber"/>
      </w:pPr>
      <w:r/>
      <w:r>
        <w:rPr>
          <w:b/>
        </w:rPr>
        <w:t>Patients IgA-déficients avec anti-IgA</w:t>
      </w:r>
      <w:r>
        <w:t xml:space="preserve"> : risque d'anaphylaxie majeur. Dosage pondéral IgA systématique avant la première administration de pdFIX. Si déficit en IgA avec anti-IgA, utiliser rFIX.</w:t>
      </w:r>
    </w:p>
    <w:p>
      <w:pPr>
        <w:pStyle w:val="ListNumber"/>
      </w:pPr>
      <w:r/>
      <w:r>
        <w:rPr>
          <w:b/>
        </w:rPr>
        <w:t>Pharmacovigilance virale</w:t>
      </w:r>
      <w:r>
        <w:t xml:space="preserve"> : tout épisode viral dans les 6 mois suivant l'administration de pdFIX doit être notifié au CNPV. Sérologies virales annuelles obligatoires (VIH, VHB, VHC, Parvovirus B19).</w:t>
      </w:r>
    </w:p>
    <w:p>
      <w:pPr>
        <w:pStyle w:val="ListNumber"/>
      </w:pPr>
      <w:r/>
      <w:r>
        <w:rPr>
          <w:b/>
        </w:rPr>
        <w:t>Information patient</w:t>
      </w:r>
      <w:r>
        <w:t xml:space="preserve"> : carte de patient hémophile, carnet de suivi patient, numéro d'urgence 24/7 du centre de référence.</w:t>
      </w:r>
    </w:p>
    <w:p>
      <w:pPr>
        <w:pStyle w:val="Heading3"/>
      </w:pPr>
      <w:r>
        <w:t>Sous-section 12 — Tableau comparatif de sous-classe (pdFIX spécialités)</w:t>
      </w:r>
    </w:p>
    <w:tbl>
      <w:tblPr>
        <w:tblStyle w:val="LightGrid-Accent1"/>
        <w:tblW w:type="auto" w:w="0"/>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F2F2F2"/>
          </w:tcPr>
          <w:p>
            <w:r>
              <w:rPr>
                <w:rFonts w:ascii="Times New Roman" w:hAnsi="Times New Roman"/>
                <w:b/>
                <w:sz w:val="20"/>
              </w:rPr>
              <w:t>Spécialité</w:t>
            </w:r>
          </w:p>
        </w:tc>
        <w:tc>
          <w:tcPr>
            <w:tcW w:type="dxa" w:w="1039"/>
            <w:shd w:val="clear" w:color="auto" w:fill="F2F2F2"/>
          </w:tcPr>
          <w:p>
            <w:r>
              <w:rPr>
                <w:rFonts w:ascii="Times New Roman" w:hAnsi="Times New Roman"/>
                <w:b/>
                <w:sz w:val="20"/>
              </w:rPr>
              <w:t>Laboratoire</w:t>
            </w:r>
          </w:p>
        </w:tc>
        <w:tc>
          <w:tcPr>
            <w:tcW w:type="dxa" w:w="1039"/>
            <w:shd w:val="clear" w:color="auto" w:fill="F2F2F2"/>
          </w:tcPr>
          <w:p>
            <w:r>
              <w:rPr>
                <w:rFonts w:ascii="Times New Roman" w:hAnsi="Times New Roman"/>
                <w:b/>
                <w:sz w:val="20"/>
              </w:rPr>
              <w:t>Origine</w:t>
            </w:r>
          </w:p>
        </w:tc>
        <w:tc>
          <w:tcPr>
            <w:tcW w:type="dxa" w:w="1039"/>
            <w:shd w:val="clear" w:color="auto" w:fill="F2F2F2"/>
          </w:tcPr>
          <w:p>
            <w:r>
              <w:rPr>
                <w:rFonts w:ascii="Times New Roman" w:hAnsi="Times New Roman"/>
                <w:b/>
                <w:sz w:val="20"/>
              </w:rPr>
              <w:t>Dosages disponibles</w:t>
            </w:r>
          </w:p>
        </w:tc>
        <w:tc>
          <w:tcPr>
            <w:tcW w:type="dxa" w:w="1039"/>
            <w:shd w:val="clear" w:color="auto" w:fill="F2F2F2"/>
          </w:tcPr>
          <w:p>
            <w:r>
              <w:rPr>
                <w:rFonts w:ascii="Times New Roman" w:hAnsi="Times New Roman"/>
                <w:b/>
                <w:sz w:val="20"/>
              </w:rPr>
              <w:t>Demi-vie</w:t>
            </w:r>
          </w:p>
        </w:tc>
        <w:tc>
          <w:tcPr>
            <w:tcW w:type="dxa" w:w="1039"/>
            <w:shd w:val="clear" w:color="auto" w:fill="F2F2F2"/>
          </w:tcPr>
          <w:p>
            <w:r>
              <w:rPr>
                <w:rFonts w:ascii="Times New Roman" w:hAnsi="Times New Roman"/>
                <w:b/>
                <w:sz w:val="20"/>
              </w:rPr>
              <w:t>Récovery</w:t>
            </w:r>
          </w:p>
        </w:tc>
        <w:tc>
          <w:tcPr>
            <w:tcW w:type="dxa" w:w="1039"/>
            <w:shd w:val="clear" w:color="auto" w:fill="F2F2F2"/>
          </w:tcPr>
          <w:p>
            <w:r>
              <w:rPr>
                <w:rFonts w:ascii="Times New Roman" w:hAnsi="Times New Roman"/>
                <w:b/>
                <w:sz w:val="20"/>
              </w:rPr>
              <w:t>Contenu particulier</w:t>
            </w:r>
          </w:p>
        </w:tc>
        <w:tc>
          <w:tcPr>
            <w:tcW w:type="dxa" w:w="1039"/>
            <w:shd w:val="clear" w:color="auto" w:fill="F2F2F2"/>
          </w:tcPr>
          <w:p>
            <w:r>
              <w:rPr>
                <w:rFonts w:ascii="Times New Roman" w:hAnsi="Times New Roman"/>
                <w:b/>
                <w:sz w:val="20"/>
              </w:rPr>
              <w:t>Statut Algérie</w:t>
            </w:r>
          </w:p>
        </w:tc>
      </w:tr>
      <w:tr>
        <w:tc>
          <w:tcPr>
            <w:tcW w:type="dxa" w:w="1039"/>
          </w:tcPr>
          <w:p>
            <w:r>
              <w:rPr>
                <w:rFonts w:ascii="Times New Roman" w:hAnsi="Times New Roman"/>
                <w:sz w:val="20"/>
              </w:rPr>
              <w:t>IMMUNINE 600</w:t>
            </w:r>
          </w:p>
        </w:tc>
        <w:tc>
          <w:tcPr>
            <w:tcW w:type="dxa" w:w="1039"/>
          </w:tcPr>
          <w:p>
            <w:r>
              <w:rPr>
                <w:rFonts w:ascii="Times New Roman" w:hAnsi="Times New Roman"/>
                <w:sz w:val="20"/>
              </w:rPr>
              <w:t>Baxter AG (Autriche)</w:t>
            </w:r>
          </w:p>
        </w:tc>
        <w:tc>
          <w:tcPr>
            <w:tcW w:type="dxa" w:w="1039"/>
          </w:tcPr>
          <w:p>
            <w:r>
              <w:rPr>
                <w:rFonts w:ascii="Times New Roman" w:hAnsi="Times New Roman"/>
                <w:sz w:val="20"/>
              </w:rPr>
              <w:t>Plasma humain</w:t>
            </w:r>
          </w:p>
        </w:tc>
        <w:tc>
          <w:tcPr>
            <w:tcW w:type="dxa" w:w="1039"/>
          </w:tcPr>
          <w:p>
            <w:r>
              <w:rPr>
                <w:rFonts w:ascii="Times New Roman" w:hAnsi="Times New Roman"/>
                <w:sz w:val="20"/>
              </w:rPr>
              <w:t>600 UI</w:t>
            </w:r>
          </w:p>
        </w:tc>
        <w:tc>
          <w:tcPr>
            <w:tcW w:type="dxa" w:w="1039"/>
          </w:tcPr>
          <w:p>
            <w:r>
              <w:rPr>
                <w:rFonts w:ascii="Times New Roman" w:hAnsi="Times New Roman"/>
                <w:sz w:val="20"/>
              </w:rPr>
              <w:t>18-24 h</w:t>
            </w:r>
          </w:p>
        </w:tc>
        <w:tc>
          <w:tcPr>
            <w:tcW w:type="dxa" w:w="1039"/>
          </w:tcPr>
          <w:p>
            <w:r>
              <w:rPr>
                <w:rFonts w:ascii="Times New Roman" w:hAnsi="Times New Roman"/>
                <w:sz w:val="20"/>
              </w:rPr>
              <w:t>1,0 UI/dL/UI/kg</w:t>
            </w:r>
          </w:p>
        </w:tc>
        <w:tc>
          <w:tcPr>
            <w:tcW w:type="dxa" w:w="1039"/>
          </w:tcPr>
          <w:p>
            <w:r>
              <w:rPr>
                <w:rFonts w:ascii="Times New Roman" w:hAnsi="Times New Roman"/>
                <w:sz w:val="20"/>
              </w:rPr>
              <w:t>Sans héparine</w:t>
            </w:r>
          </w:p>
        </w:tc>
        <w:tc>
          <w:tcPr>
            <w:tcW w:type="dxa" w:w="1039"/>
          </w:tcPr>
          <w:p>
            <w:r>
              <w:rPr>
                <w:rFonts w:ascii="Times New Roman" w:hAnsi="Times New Roman"/>
                <w:sz w:val="20"/>
              </w:rPr>
              <w:t>Actif</w:t>
            </w:r>
          </w:p>
        </w:tc>
      </w:tr>
      <w:tr>
        <w:tc>
          <w:tcPr>
            <w:tcW w:type="dxa" w:w="1039"/>
          </w:tcPr>
          <w:p>
            <w:r>
              <w:rPr>
                <w:rFonts w:ascii="Times New Roman" w:hAnsi="Times New Roman"/>
                <w:sz w:val="20"/>
              </w:rPr>
              <w:t>HEAMONINE 500</w:t>
            </w:r>
          </w:p>
        </w:tc>
        <w:tc>
          <w:tcPr>
            <w:tcW w:type="dxa" w:w="1039"/>
          </w:tcPr>
          <w:p>
            <w:r>
              <w:rPr>
                <w:rFonts w:ascii="Times New Roman" w:hAnsi="Times New Roman"/>
                <w:sz w:val="20"/>
              </w:rPr>
              <w:t>Biotest Pharma GmbH (Allemagne)</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w:t>
            </w:r>
          </w:p>
        </w:tc>
        <w:tc>
          <w:tcPr>
            <w:tcW w:type="dxa" w:w="1039"/>
          </w:tcPr>
          <w:p>
            <w:r>
              <w:rPr>
                <w:rFonts w:ascii="Times New Roman" w:hAnsi="Times New Roman"/>
                <w:sz w:val="20"/>
              </w:rPr>
              <w:t>18-24 h</w:t>
            </w:r>
          </w:p>
        </w:tc>
        <w:tc>
          <w:tcPr>
            <w:tcW w:type="dxa" w:w="1039"/>
          </w:tcPr>
          <w:p>
            <w:r>
              <w:rPr>
                <w:rFonts w:ascii="Times New Roman" w:hAnsi="Times New Roman"/>
                <w:sz w:val="20"/>
              </w:rPr>
              <w:t>1,0 UI/dL/UI/kg</w:t>
            </w:r>
          </w:p>
        </w:tc>
        <w:tc>
          <w:tcPr>
            <w:tcW w:type="dxa" w:w="1039"/>
          </w:tcPr>
          <w:p>
            <w:r>
              <w:rPr>
                <w:rFonts w:ascii="Times New Roman" w:hAnsi="Times New Roman"/>
                <w:sz w:val="20"/>
              </w:rPr>
              <w:t>Contient héparine (~10 UI/mL)</w:t>
            </w:r>
          </w:p>
        </w:tc>
        <w:tc>
          <w:tcPr>
            <w:tcW w:type="dxa" w:w="1039"/>
          </w:tcPr>
          <w:p>
            <w:r>
              <w:rPr>
                <w:rFonts w:ascii="Times New Roman" w:hAnsi="Times New Roman"/>
                <w:sz w:val="20"/>
              </w:rPr>
              <w:t>Actif</w:t>
            </w:r>
          </w:p>
        </w:tc>
      </w:tr>
      <w:tr>
        <w:tc>
          <w:tcPr>
            <w:tcW w:type="dxa" w:w="1039"/>
          </w:tcPr>
          <w:p>
            <w:r>
              <w:rPr>
                <w:rFonts w:ascii="Times New Roman" w:hAnsi="Times New Roman"/>
                <w:sz w:val="20"/>
              </w:rPr>
              <w:t>BETAFACT</w:t>
            </w:r>
          </w:p>
        </w:tc>
        <w:tc>
          <w:tcPr>
            <w:tcW w:type="dxa" w:w="1039"/>
          </w:tcPr>
          <w:p>
            <w:r>
              <w:rPr>
                <w:rFonts w:ascii="Times New Roman" w:hAnsi="Times New Roman"/>
                <w:sz w:val="20"/>
              </w:rPr>
              <w:t>LFB Biomédicaments (France)</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w:t>
            </w:r>
          </w:p>
        </w:tc>
        <w:tc>
          <w:tcPr>
            <w:tcW w:type="dxa" w:w="1039"/>
          </w:tcPr>
          <w:p>
            <w:r>
              <w:rPr>
                <w:rFonts w:ascii="Times New Roman" w:hAnsi="Times New Roman"/>
                <w:sz w:val="20"/>
              </w:rPr>
              <w:t>18-24 h</w:t>
            </w:r>
          </w:p>
        </w:tc>
        <w:tc>
          <w:tcPr>
            <w:tcW w:type="dxa" w:w="1039"/>
          </w:tcPr>
          <w:p>
            <w:r>
              <w:rPr>
                <w:rFonts w:ascii="Times New Roman" w:hAnsi="Times New Roman"/>
                <w:sz w:val="20"/>
              </w:rPr>
              <w:t>1,0 UI/dL/UI/kg</w:t>
            </w:r>
          </w:p>
        </w:tc>
        <w:tc>
          <w:tcPr>
            <w:tcW w:type="dxa" w:w="1039"/>
          </w:tcPr>
          <w:p>
            <w:r>
              <w:rPr>
                <w:rFonts w:ascii="Times New Roman" w:hAnsi="Times New Roman"/>
                <w:sz w:val="20"/>
              </w:rPr>
              <w:t>Sans héparine</w:t>
            </w:r>
          </w:p>
        </w:tc>
        <w:tc>
          <w:tcPr>
            <w:tcW w:type="dxa" w:w="1039"/>
          </w:tcPr>
          <w:p>
            <w:r>
              <w:rPr>
                <w:rFonts w:ascii="Times New Roman" w:hAnsi="Times New Roman"/>
                <w:sz w:val="20"/>
              </w:rPr>
              <w:t>**RETRAIT**</w:t>
            </w:r>
          </w:p>
        </w:tc>
      </w:tr>
    </w:tbl>
    <w:p/>
    <w:p>
      <w:pPr>
        <w:pStyle w:val="Heading2"/>
      </w:pPr>
      <w:r>
        <w:t>233.3. Tableau comparatif de sous-classe (Facteur IX : rFIX vs pdFIX)</w:t>
      </w:r>
    </w:p>
    <w:tbl>
      <w:tblPr>
        <w:tblStyle w:val="LightGrid-Accent1"/>
        <w:tblW w:type="auto" w:w="0"/>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shd w:val="clear" w:color="auto" w:fill="F2F2F2"/>
          </w:tcPr>
          <w:p>
            <w:r>
              <w:rPr>
                <w:rFonts w:ascii="Times New Roman" w:hAnsi="Times New Roman"/>
                <w:b/>
                <w:sz w:val="20"/>
              </w:rPr>
              <w:t>#</w:t>
            </w:r>
          </w:p>
        </w:tc>
        <w:tc>
          <w:tcPr>
            <w:tcW w:type="dxa" w:w="831"/>
            <w:shd w:val="clear" w:color="auto" w:fill="F2F2F2"/>
          </w:tcPr>
          <w:p>
            <w:r>
              <w:rPr>
                <w:rFonts w:ascii="Times New Roman" w:hAnsi="Times New Roman"/>
                <w:b/>
                <w:sz w:val="20"/>
              </w:rPr>
              <w:t>DCI</w:t>
            </w:r>
          </w:p>
        </w:tc>
        <w:tc>
          <w:tcPr>
            <w:tcW w:type="dxa" w:w="831"/>
            <w:shd w:val="clear" w:color="auto" w:fill="F2F2F2"/>
          </w:tcPr>
          <w:p>
            <w:r>
              <w:rPr>
                <w:rFonts w:ascii="Times New Roman" w:hAnsi="Times New Roman"/>
                <w:b/>
                <w:sz w:val="20"/>
              </w:rPr>
              <w:t>Spécialité</w:t>
            </w:r>
          </w:p>
        </w:tc>
        <w:tc>
          <w:tcPr>
            <w:tcW w:type="dxa" w:w="831"/>
            <w:shd w:val="clear" w:color="auto" w:fill="F2F2F2"/>
          </w:tcPr>
          <w:p>
            <w:r>
              <w:rPr>
                <w:rFonts w:ascii="Times New Roman" w:hAnsi="Times New Roman"/>
                <w:b/>
                <w:sz w:val="20"/>
              </w:rPr>
              <w:t>Origine</w:t>
            </w:r>
          </w:p>
        </w:tc>
        <w:tc>
          <w:tcPr>
            <w:tcW w:type="dxa" w:w="831"/>
            <w:shd w:val="clear" w:color="auto" w:fill="F2F2F2"/>
          </w:tcPr>
          <w:p>
            <w:r>
              <w:rPr>
                <w:rFonts w:ascii="Times New Roman" w:hAnsi="Times New Roman"/>
                <w:b/>
                <w:sz w:val="20"/>
              </w:rPr>
              <w:t>Demi-vie</w:t>
            </w:r>
          </w:p>
        </w:tc>
        <w:tc>
          <w:tcPr>
            <w:tcW w:type="dxa" w:w="831"/>
            <w:shd w:val="clear" w:color="auto" w:fill="F2F2F2"/>
          </w:tcPr>
          <w:p>
            <w:r>
              <w:rPr>
                <w:rFonts w:ascii="Times New Roman" w:hAnsi="Times New Roman"/>
                <w:b/>
                <w:sz w:val="20"/>
              </w:rPr>
              <w:t>Récovery</w:t>
            </w:r>
          </w:p>
        </w:tc>
        <w:tc>
          <w:tcPr>
            <w:tcW w:type="dxa" w:w="831"/>
            <w:shd w:val="clear" w:color="auto" w:fill="F2F2F2"/>
          </w:tcPr>
          <w:p>
            <w:r>
              <w:rPr>
                <w:rFonts w:ascii="Times New Roman" w:hAnsi="Times New Roman"/>
                <w:b/>
                <w:sz w:val="20"/>
              </w:rPr>
              <w:t>VWF</w:t>
            </w:r>
          </w:p>
        </w:tc>
        <w:tc>
          <w:tcPr>
            <w:tcW w:type="dxa" w:w="831"/>
            <w:shd w:val="clear" w:color="auto" w:fill="F2F2F2"/>
          </w:tcPr>
          <w:p>
            <w:r>
              <w:rPr>
                <w:rFonts w:ascii="Times New Roman" w:hAnsi="Times New Roman"/>
                <w:b/>
                <w:sz w:val="20"/>
              </w:rPr>
              <w:t>Indication principale</w:t>
            </w:r>
          </w:p>
        </w:tc>
        <w:tc>
          <w:tcPr>
            <w:tcW w:type="dxa" w:w="831"/>
            <w:shd w:val="clear" w:color="auto" w:fill="F2F2F2"/>
          </w:tcPr>
          <w:p>
            <w:r>
              <w:rPr>
                <w:rFonts w:ascii="Times New Roman" w:hAnsi="Times New Roman"/>
                <w:b/>
                <w:sz w:val="20"/>
              </w:rPr>
              <w:t>Statut Algérie</w:t>
            </w:r>
          </w:p>
        </w:tc>
        <w:tc>
          <w:tcPr>
            <w:tcW w:type="dxa" w:w="831"/>
            <w:shd w:val="clear" w:color="auto" w:fill="F2F2F2"/>
          </w:tcPr>
          <w:p>
            <w:r>
              <w:rPr>
                <w:rFonts w:ascii="Times New Roman" w:hAnsi="Times New Roman"/>
                <w:b/>
                <w:sz w:val="20"/>
              </w:rPr>
              <w:t>Code ATC</w:t>
            </w:r>
          </w:p>
        </w:tc>
      </w:tr>
      <w:tr>
        <w:tc>
          <w:tcPr>
            <w:tcW w:type="dxa" w:w="831"/>
          </w:tcPr>
          <w:p>
            <w:r>
              <w:rPr>
                <w:rFonts w:ascii="Times New Roman" w:hAnsi="Times New Roman"/>
                <w:sz w:val="20"/>
              </w:rPr>
              <w:t>1</w:t>
            </w:r>
          </w:p>
        </w:tc>
        <w:tc>
          <w:tcPr>
            <w:tcW w:type="dxa" w:w="831"/>
          </w:tcPr>
          <w:p>
            <w:r>
              <w:rPr>
                <w:rFonts w:ascii="Times New Roman" w:hAnsi="Times New Roman"/>
                <w:sz w:val="20"/>
              </w:rPr>
              <w:t>Nonacog alpha</w:t>
            </w:r>
          </w:p>
        </w:tc>
        <w:tc>
          <w:tcPr>
            <w:tcW w:type="dxa" w:w="831"/>
          </w:tcPr>
          <w:p>
            <w:r>
              <w:rPr>
                <w:rFonts w:ascii="Times New Roman" w:hAnsi="Times New Roman"/>
                <w:sz w:val="20"/>
              </w:rPr>
              <w:t>BENEFIX 1000/2000</w:t>
            </w:r>
          </w:p>
        </w:tc>
        <w:tc>
          <w:tcPr>
            <w:tcW w:type="dxa" w:w="831"/>
          </w:tcPr>
          <w:p>
            <w:r>
              <w:rPr>
                <w:rFonts w:ascii="Times New Roman" w:hAnsi="Times New Roman"/>
                <w:sz w:val="20"/>
              </w:rPr>
              <w:t>Recombinant CHO SHL</w:t>
            </w:r>
          </w:p>
        </w:tc>
        <w:tc>
          <w:tcPr>
            <w:tcW w:type="dxa" w:w="831"/>
          </w:tcPr>
          <w:p>
            <w:r>
              <w:rPr>
                <w:rFonts w:ascii="Times New Roman" w:hAnsi="Times New Roman"/>
                <w:sz w:val="20"/>
              </w:rPr>
              <w:t>18-24 h</w:t>
            </w:r>
          </w:p>
        </w:tc>
        <w:tc>
          <w:tcPr>
            <w:tcW w:type="dxa" w:w="831"/>
          </w:tcPr>
          <w:p>
            <w:r>
              <w:rPr>
                <w:rFonts w:ascii="Times New Roman" w:hAnsi="Times New Roman"/>
                <w:sz w:val="20"/>
              </w:rPr>
              <w:t>0,8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B</w:t>
            </w:r>
          </w:p>
        </w:tc>
        <w:tc>
          <w:tcPr>
            <w:tcW w:type="dxa" w:w="831"/>
          </w:tcPr>
          <w:p>
            <w:r>
              <w:rPr>
                <w:rFonts w:ascii="Times New Roman" w:hAnsi="Times New Roman"/>
                <w:sz w:val="20"/>
              </w:rPr>
              <w:t>Actif</w:t>
            </w:r>
          </w:p>
        </w:tc>
        <w:tc>
          <w:tcPr>
            <w:tcW w:type="dxa" w:w="831"/>
          </w:tcPr>
          <w:p>
            <w:r>
              <w:rPr>
                <w:rFonts w:ascii="Times New Roman" w:hAnsi="Times New Roman"/>
                <w:sz w:val="20"/>
              </w:rPr>
              <w:t>B02BD04</w:t>
            </w:r>
          </w:p>
        </w:tc>
      </w:tr>
      <w:tr>
        <w:tc>
          <w:tcPr>
            <w:tcW w:type="dxa" w:w="831"/>
          </w:tcPr>
          <w:p>
            <w:r>
              <w:rPr>
                <w:rFonts w:ascii="Times New Roman" w:hAnsi="Times New Roman"/>
                <w:sz w:val="20"/>
              </w:rPr>
              <w:t>2</w:t>
            </w:r>
          </w:p>
        </w:tc>
        <w:tc>
          <w:tcPr>
            <w:tcW w:type="dxa" w:w="831"/>
          </w:tcPr>
          <w:p>
            <w:r>
              <w:rPr>
                <w:rFonts w:ascii="Times New Roman" w:hAnsi="Times New Roman"/>
                <w:sz w:val="20"/>
              </w:rPr>
              <w:t>Nonacog alpha</w:t>
            </w:r>
          </w:p>
        </w:tc>
        <w:tc>
          <w:tcPr>
            <w:tcW w:type="dxa" w:w="831"/>
          </w:tcPr>
          <w:p>
            <w:r>
              <w:rPr>
                <w:rFonts w:ascii="Times New Roman" w:hAnsi="Times New Roman"/>
                <w:sz w:val="20"/>
              </w:rPr>
              <w:t>INNONAFACTOR 500/1000</w:t>
            </w:r>
          </w:p>
        </w:tc>
        <w:tc>
          <w:tcPr>
            <w:tcW w:type="dxa" w:w="831"/>
          </w:tcPr>
          <w:p>
            <w:r>
              <w:rPr>
                <w:rFonts w:ascii="Times New Roman" w:hAnsi="Times New Roman"/>
                <w:sz w:val="20"/>
              </w:rPr>
              <w:t>Recombinant CHO SHL (SAIDAL)</w:t>
            </w:r>
          </w:p>
        </w:tc>
        <w:tc>
          <w:tcPr>
            <w:tcW w:type="dxa" w:w="831"/>
          </w:tcPr>
          <w:p>
            <w:r>
              <w:rPr>
                <w:rFonts w:ascii="Times New Roman" w:hAnsi="Times New Roman"/>
                <w:sz w:val="20"/>
              </w:rPr>
              <w:t>18-24 h</w:t>
            </w:r>
          </w:p>
        </w:tc>
        <w:tc>
          <w:tcPr>
            <w:tcW w:type="dxa" w:w="831"/>
          </w:tcPr>
          <w:p>
            <w:r>
              <w:rPr>
                <w:rFonts w:ascii="Times New Roman" w:hAnsi="Times New Roman"/>
                <w:sz w:val="20"/>
              </w:rPr>
              <w:t>0,8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B</w:t>
            </w:r>
          </w:p>
        </w:tc>
        <w:tc>
          <w:tcPr>
            <w:tcW w:type="dxa" w:w="831"/>
          </w:tcPr>
          <w:p>
            <w:r>
              <w:rPr>
                <w:rFonts w:ascii="Times New Roman" w:hAnsi="Times New Roman"/>
                <w:sz w:val="20"/>
              </w:rPr>
              <w:t>Actif</w:t>
            </w:r>
          </w:p>
        </w:tc>
        <w:tc>
          <w:tcPr>
            <w:tcW w:type="dxa" w:w="831"/>
          </w:tcPr>
          <w:p>
            <w:r>
              <w:rPr>
                <w:rFonts w:ascii="Times New Roman" w:hAnsi="Times New Roman"/>
                <w:sz w:val="20"/>
              </w:rPr>
              <w:t>B02BD04</w:t>
            </w:r>
          </w:p>
        </w:tc>
      </w:tr>
      <w:tr>
        <w:tc>
          <w:tcPr>
            <w:tcW w:type="dxa" w:w="831"/>
          </w:tcPr>
          <w:p>
            <w:r>
              <w:rPr>
                <w:rFonts w:ascii="Times New Roman" w:hAnsi="Times New Roman"/>
                <w:sz w:val="20"/>
              </w:rPr>
              <w:t>3</w:t>
            </w:r>
          </w:p>
        </w:tc>
        <w:tc>
          <w:tcPr>
            <w:tcW w:type="dxa" w:w="831"/>
          </w:tcPr>
          <w:p>
            <w:r>
              <w:rPr>
                <w:rFonts w:ascii="Times New Roman" w:hAnsi="Times New Roman"/>
                <w:sz w:val="20"/>
              </w:rPr>
              <w:t>Facteur IX humain (pdFIX)</w:t>
            </w:r>
          </w:p>
        </w:tc>
        <w:tc>
          <w:tcPr>
            <w:tcW w:type="dxa" w:w="831"/>
          </w:tcPr>
          <w:p>
            <w:r>
              <w:rPr>
                <w:rFonts w:ascii="Times New Roman" w:hAnsi="Times New Roman"/>
                <w:sz w:val="20"/>
              </w:rPr>
              <w:t>IMMUNINE 600</w:t>
            </w:r>
          </w:p>
        </w:tc>
        <w:tc>
          <w:tcPr>
            <w:tcW w:type="dxa" w:w="831"/>
          </w:tcPr>
          <w:p>
            <w:r>
              <w:rPr>
                <w:rFonts w:ascii="Times New Roman" w:hAnsi="Times New Roman"/>
                <w:sz w:val="20"/>
              </w:rPr>
              <w:t>Plasma humain</w:t>
            </w:r>
          </w:p>
        </w:tc>
        <w:tc>
          <w:tcPr>
            <w:tcW w:type="dxa" w:w="831"/>
          </w:tcPr>
          <w:p>
            <w:r>
              <w:rPr>
                <w:rFonts w:ascii="Times New Roman" w:hAnsi="Times New Roman"/>
                <w:sz w:val="20"/>
              </w:rPr>
              <w:t>18-24 h</w:t>
            </w:r>
          </w:p>
        </w:tc>
        <w:tc>
          <w:tcPr>
            <w:tcW w:type="dxa" w:w="831"/>
          </w:tcPr>
          <w:p>
            <w:r>
              <w:rPr>
                <w:rFonts w:ascii="Times New Roman" w:hAnsi="Times New Roman"/>
                <w:sz w:val="20"/>
              </w:rPr>
              <w:t>1,0 UI/dL/UI/kg</w:t>
            </w:r>
          </w:p>
        </w:tc>
        <w:tc>
          <w:tcPr>
            <w:tcW w:type="dxa" w:w="831"/>
          </w:tcPr>
          <w:p>
            <w:r>
              <w:rPr>
                <w:rFonts w:ascii="Times New Roman" w:hAnsi="Times New Roman"/>
                <w:sz w:val="20"/>
              </w:rPr>
              <w:t>Traces</w:t>
            </w:r>
          </w:p>
        </w:tc>
        <w:tc>
          <w:tcPr>
            <w:tcW w:type="dxa" w:w="831"/>
          </w:tcPr>
          <w:p>
            <w:r>
              <w:rPr>
                <w:rFonts w:ascii="Times New Roman" w:hAnsi="Times New Roman"/>
                <w:sz w:val="20"/>
              </w:rPr>
              <w:t>Hémophilie B</w:t>
            </w:r>
          </w:p>
        </w:tc>
        <w:tc>
          <w:tcPr>
            <w:tcW w:type="dxa" w:w="831"/>
          </w:tcPr>
          <w:p>
            <w:r>
              <w:rPr>
                <w:rFonts w:ascii="Times New Roman" w:hAnsi="Times New Roman"/>
                <w:sz w:val="20"/>
              </w:rPr>
              <w:t>Actif</w:t>
            </w:r>
          </w:p>
        </w:tc>
        <w:tc>
          <w:tcPr>
            <w:tcW w:type="dxa" w:w="831"/>
          </w:tcPr>
          <w:p>
            <w:r>
              <w:rPr>
                <w:rFonts w:ascii="Times New Roman" w:hAnsi="Times New Roman"/>
                <w:sz w:val="20"/>
              </w:rPr>
              <w:t>B02BD01</w:t>
            </w:r>
          </w:p>
        </w:tc>
      </w:tr>
      <w:tr>
        <w:tc>
          <w:tcPr>
            <w:tcW w:type="dxa" w:w="831"/>
          </w:tcPr>
          <w:p>
            <w:r>
              <w:rPr>
                <w:rFonts w:ascii="Times New Roman" w:hAnsi="Times New Roman"/>
                <w:sz w:val="20"/>
              </w:rPr>
              <w:t>4</w:t>
            </w:r>
          </w:p>
        </w:tc>
        <w:tc>
          <w:tcPr>
            <w:tcW w:type="dxa" w:w="831"/>
          </w:tcPr>
          <w:p>
            <w:r>
              <w:rPr>
                <w:rFonts w:ascii="Times New Roman" w:hAnsi="Times New Roman"/>
                <w:sz w:val="20"/>
              </w:rPr>
              <w:t>Facteur IX humain (pdFIX)</w:t>
            </w:r>
          </w:p>
        </w:tc>
        <w:tc>
          <w:tcPr>
            <w:tcW w:type="dxa" w:w="831"/>
          </w:tcPr>
          <w:p>
            <w:r>
              <w:rPr>
                <w:rFonts w:ascii="Times New Roman" w:hAnsi="Times New Roman"/>
                <w:sz w:val="20"/>
              </w:rPr>
              <w:t>HEAMONINE 500</w:t>
            </w:r>
          </w:p>
        </w:tc>
        <w:tc>
          <w:tcPr>
            <w:tcW w:type="dxa" w:w="831"/>
          </w:tcPr>
          <w:p>
            <w:r>
              <w:rPr>
                <w:rFonts w:ascii="Times New Roman" w:hAnsi="Times New Roman"/>
                <w:sz w:val="20"/>
              </w:rPr>
              <w:t>Plasma humain</w:t>
            </w:r>
          </w:p>
        </w:tc>
        <w:tc>
          <w:tcPr>
            <w:tcW w:type="dxa" w:w="831"/>
          </w:tcPr>
          <w:p>
            <w:r>
              <w:rPr>
                <w:rFonts w:ascii="Times New Roman" w:hAnsi="Times New Roman"/>
                <w:sz w:val="20"/>
              </w:rPr>
              <w:t>18-24 h</w:t>
            </w:r>
          </w:p>
        </w:tc>
        <w:tc>
          <w:tcPr>
            <w:tcW w:type="dxa" w:w="831"/>
          </w:tcPr>
          <w:p>
            <w:r>
              <w:rPr>
                <w:rFonts w:ascii="Times New Roman" w:hAnsi="Times New Roman"/>
                <w:sz w:val="20"/>
              </w:rPr>
              <w:t>1,0 UI/dL/UI/kg</w:t>
            </w:r>
          </w:p>
        </w:tc>
        <w:tc>
          <w:tcPr>
            <w:tcW w:type="dxa" w:w="831"/>
          </w:tcPr>
          <w:p>
            <w:r>
              <w:rPr>
                <w:rFonts w:ascii="Times New Roman" w:hAnsi="Times New Roman"/>
                <w:sz w:val="20"/>
              </w:rPr>
              <w:t>Traces</w:t>
            </w:r>
          </w:p>
        </w:tc>
        <w:tc>
          <w:tcPr>
            <w:tcW w:type="dxa" w:w="831"/>
          </w:tcPr>
          <w:p>
            <w:r>
              <w:rPr>
                <w:rFonts w:ascii="Times New Roman" w:hAnsi="Times New Roman"/>
                <w:sz w:val="20"/>
              </w:rPr>
              <w:t>Hémophilie B</w:t>
            </w:r>
          </w:p>
        </w:tc>
        <w:tc>
          <w:tcPr>
            <w:tcW w:type="dxa" w:w="831"/>
          </w:tcPr>
          <w:p>
            <w:r>
              <w:rPr>
                <w:rFonts w:ascii="Times New Roman" w:hAnsi="Times New Roman"/>
                <w:sz w:val="20"/>
              </w:rPr>
              <w:t>Actif</w:t>
            </w:r>
          </w:p>
        </w:tc>
        <w:tc>
          <w:tcPr>
            <w:tcW w:type="dxa" w:w="831"/>
          </w:tcPr>
          <w:p>
            <w:r>
              <w:rPr>
                <w:rFonts w:ascii="Times New Roman" w:hAnsi="Times New Roman"/>
                <w:sz w:val="20"/>
              </w:rPr>
              <w:t>B02BD01</w:t>
            </w:r>
          </w:p>
        </w:tc>
      </w:tr>
      <w:tr>
        <w:tc>
          <w:tcPr>
            <w:tcW w:type="dxa" w:w="831"/>
          </w:tcPr>
          <w:p>
            <w:r>
              <w:rPr>
                <w:rFonts w:ascii="Times New Roman" w:hAnsi="Times New Roman"/>
                <w:sz w:val="20"/>
              </w:rPr>
              <w:t>5</w:t>
            </w:r>
          </w:p>
        </w:tc>
        <w:tc>
          <w:tcPr>
            <w:tcW w:type="dxa" w:w="831"/>
          </w:tcPr>
          <w:p>
            <w:r>
              <w:rPr>
                <w:rFonts w:ascii="Times New Roman" w:hAnsi="Times New Roman"/>
                <w:sz w:val="20"/>
              </w:rPr>
              <w:t>Facteur IX humain (pdFIX)</w:t>
            </w:r>
          </w:p>
        </w:tc>
        <w:tc>
          <w:tcPr>
            <w:tcW w:type="dxa" w:w="831"/>
          </w:tcPr>
          <w:p>
            <w:r>
              <w:rPr>
                <w:rFonts w:ascii="Times New Roman" w:hAnsi="Times New Roman"/>
                <w:sz w:val="20"/>
              </w:rPr>
              <w:t>BETAFACT</w:t>
            </w:r>
          </w:p>
        </w:tc>
        <w:tc>
          <w:tcPr>
            <w:tcW w:type="dxa" w:w="831"/>
          </w:tcPr>
          <w:p>
            <w:r>
              <w:rPr>
                <w:rFonts w:ascii="Times New Roman" w:hAnsi="Times New Roman"/>
                <w:sz w:val="20"/>
              </w:rPr>
              <w:t>Plasma humain</w:t>
            </w:r>
          </w:p>
        </w:tc>
        <w:tc>
          <w:tcPr>
            <w:tcW w:type="dxa" w:w="831"/>
          </w:tcPr>
          <w:p>
            <w:r>
              <w:rPr>
                <w:rFonts w:ascii="Times New Roman" w:hAnsi="Times New Roman"/>
                <w:sz w:val="20"/>
              </w:rPr>
              <w:t>18-24 h</w:t>
            </w:r>
          </w:p>
        </w:tc>
        <w:tc>
          <w:tcPr>
            <w:tcW w:type="dxa" w:w="831"/>
          </w:tcPr>
          <w:p>
            <w:r>
              <w:rPr>
                <w:rFonts w:ascii="Times New Roman" w:hAnsi="Times New Roman"/>
                <w:sz w:val="20"/>
              </w:rPr>
              <w:t>1,0 UI/dL/UI/kg</w:t>
            </w:r>
          </w:p>
        </w:tc>
        <w:tc>
          <w:tcPr>
            <w:tcW w:type="dxa" w:w="831"/>
          </w:tcPr>
          <w:p>
            <w:r>
              <w:rPr>
                <w:rFonts w:ascii="Times New Roman" w:hAnsi="Times New Roman"/>
                <w:sz w:val="20"/>
              </w:rPr>
              <w:t>Traces</w:t>
            </w:r>
          </w:p>
        </w:tc>
        <w:tc>
          <w:tcPr>
            <w:tcW w:type="dxa" w:w="831"/>
          </w:tcPr>
          <w:p>
            <w:r>
              <w:rPr>
                <w:rFonts w:ascii="Times New Roman" w:hAnsi="Times New Roman"/>
                <w:sz w:val="20"/>
              </w:rPr>
              <w:t>Hémophilie B</w:t>
            </w:r>
          </w:p>
        </w:tc>
        <w:tc>
          <w:tcPr>
            <w:tcW w:type="dxa" w:w="831"/>
          </w:tcPr>
          <w:p>
            <w:r>
              <w:rPr>
                <w:rFonts w:ascii="Times New Roman" w:hAnsi="Times New Roman"/>
                <w:sz w:val="20"/>
              </w:rPr>
              <w:t>**RETRAIT**</w:t>
            </w:r>
          </w:p>
        </w:tc>
        <w:tc>
          <w:tcPr>
            <w:tcW w:type="dxa" w:w="831"/>
          </w:tcPr>
          <w:p>
            <w:r>
              <w:rPr>
                <w:rFonts w:ascii="Times New Roman" w:hAnsi="Times New Roman"/>
                <w:sz w:val="20"/>
              </w:rPr>
              <w:t>B02BD01</w:t>
            </w:r>
          </w:p>
        </w:tc>
      </w:tr>
      <w:tr>
        <w:tc>
          <w:tcPr>
            <w:tcW w:type="dxa" w:w="831"/>
          </w:tcPr>
          <w:p>
            <w:r>
              <w:rPr>
                <w:rFonts w:ascii="Times New Roman" w:hAnsi="Times New Roman"/>
                <w:sz w:val="20"/>
              </w:rPr>
              <w:t>6</w:t>
            </w:r>
          </w:p>
        </w:tc>
        <w:tc>
          <w:tcPr>
            <w:tcW w:type="dxa" w:w="831"/>
          </w:tcPr>
          <w:p>
            <w:r>
              <w:rPr>
                <w:rFonts w:ascii="Times New Roman" w:hAnsi="Times New Roman"/>
                <w:sz w:val="20"/>
              </w:rPr>
              <w:t>Eftrenonacog alpha (EHL)</w:t>
            </w:r>
          </w:p>
        </w:tc>
        <w:tc>
          <w:tcPr>
            <w:tcW w:type="dxa" w:w="831"/>
          </w:tcPr>
          <w:p>
            <w:r>
              <w:rPr>
                <w:rFonts w:ascii="Times New Roman" w:hAnsi="Times New Roman"/>
                <w:sz w:val="20"/>
              </w:rPr>
              <w:t>ALPROLIX 250/500/1000/2000/3000</w:t>
            </w:r>
          </w:p>
        </w:tc>
        <w:tc>
          <w:tcPr>
            <w:tcW w:type="dxa" w:w="831"/>
          </w:tcPr>
          <w:p>
            <w:r>
              <w:rPr>
                <w:rFonts w:ascii="Times New Roman" w:hAnsi="Times New Roman"/>
                <w:sz w:val="20"/>
              </w:rPr>
              <w:t>Recombinant HEK293 rFIX-Fc EHL</w:t>
            </w:r>
          </w:p>
        </w:tc>
        <w:tc>
          <w:tcPr>
            <w:tcW w:type="dxa" w:w="831"/>
          </w:tcPr>
          <w:p>
            <w:r>
              <w:rPr>
                <w:rFonts w:ascii="Times New Roman" w:hAnsi="Times New Roman"/>
                <w:sz w:val="20"/>
              </w:rPr>
              <w:t>80-90 h</w:t>
            </w:r>
          </w:p>
        </w:tc>
        <w:tc>
          <w:tcPr>
            <w:tcW w:type="dxa" w:w="831"/>
          </w:tcPr>
          <w:p>
            <w:r>
              <w:rPr>
                <w:rFonts w:ascii="Times New Roman" w:hAnsi="Times New Roman"/>
                <w:sz w:val="20"/>
              </w:rPr>
              <w:t>1,3 UI/dL/UI/kg</w:t>
            </w:r>
          </w:p>
        </w:tc>
        <w:tc>
          <w:tcPr>
            <w:tcW w:type="dxa" w:w="831"/>
          </w:tcPr>
          <w:p>
            <w:r>
              <w:rPr>
                <w:rFonts w:ascii="Times New Roman" w:hAnsi="Times New Roman"/>
                <w:sz w:val="20"/>
              </w:rPr>
              <w:t>Non</w:t>
            </w:r>
          </w:p>
        </w:tc>
        <w:tc>
          <w:tcPr>
            <w:tcW w:type="dxa" w:w="831"/>
          </w:tcPr>
          <w:p>
            <w:r>
              <w:rPr>
                <w:rFonts w:ascii="Times New Roman" w:hAnsi="Times New Roman"/>
                <w:sz w:val="20"/>
              </w:rPr>
              <w:t>**Hémophilie B** (mais étiqueté FVIII dans nomenclature algérienne)</w:t>
            </w:r>
          </w:p>
        </w:tc>
        <w:tc>
          <w:tcPr>
            <w:tcW w:type="dxa" w:w="831"/>
          </w:tcPr>
          <w:p>
            <w:r>
              <w:rPr>
                <w:rFonts w:ascii="Times New Roman" w:hAnsi="Times New Roman"/>
                <w:sz w:val="20"/>
              </w:rPr>
              <w:t>Actif</w:t>
            </w:r>
          </w:p>
        </w:tc>
        <w:tc>
          <w:tcPr>
            <w:tcW w:type="dxa" w:w="831"/>
          </w:tcPr>
          <w:p>
            <w:r>
              <w:rPr>
                <w:rFonts w:ascii="Times New Roman" w:hAnsi="Times New Roman"/>
                <w:sz w:val="20"/>
              </w:rPr>
              <w:t>B02BD10</w:t>
            </w:r>
          </w:p>
        </w:tc>
      </w:tr>
    </w:tbl>
    <w:p/>
    <w:p>
      <w:pPr>
        <w:pStyle w:val="Heading2"/>
      </w:pPr>
      <w:r>
        <w:t>233.4. Synthèse pédagogique pour la pratique clinique algérienne</w:t>
      </w:r>
    </w:p>
    <w:p>
      <w:pPr>
        <w:pStyle w:val="Heading3"/>
      </w:pPr>
      <w:r>
        <w:t>Messages-clés pour la pratique</w:t>
      </w:r>
    </w:p>
    <w:p>
      <w:pPr>
        <w:pStyle w:val="ListNumber"/>
      </w:pPr>
      <w:r/>
      <w:r>
        <w:rPr>
          <w:b/>
        </w:rPr>
        <w:t>Hémophilie B = déficit en FIX</w:t>
      </w:r>
      <w:r>
        <w:t xml:space="preserve"> ; ne pas confondre avec hémophilie A (FVIII). La formule posologique est différente (facteur 1,2 pour rFIX, 1,0 pour pdFIX, vs 0,5 pour FVIII).</w:t>
      </w:r>
    </w:p>
    <w:p>
      <w:pPr>
        <w:pStyle w:val="ListNumber"/>
      </w:pPr>
      <w:r/>
      <w:r>
        <w:rPr>
          <w:b/>
        </w:rPr>
        <w:t>Choix du produit substitutif en hémophilie B sans inhibiteur</w:t>
      </w:r>
      <w:r>
        <w:t xml:space="preserve"> :</w:t>
      </w:r>
    </w:p>
    <w:p>
      <w:pPr>
        <w:pStyle w:val="ListBullet"/>
      </w:pPr>
      <w:r>
        <w:t xml:space="preserve">Préférer un </w:t>
      </w:r>
      <w:r>
        <w:rPr>
          <w:b/>
        </w:rPr>
        <w:t>rFIX</w:t>
      </w:r>
      <w:r>
        <w:t xml:space="preserve"> (BENEFIX, INNONAFACTOR SAIDAL) chez les patients naïfs, en particulier chez l'enfant (sécurité virale optimale).</w:t>
      </w:r>
    </w:p>
    <w:p>
      <w:pPr>
        <w:pStyle w:val="ListBullet"/>
      </w:pPr>
      <w:r>
        <w:t xml:space="preserve">Préférer </w:t>
      </w:r>
      <w:r>
        <w:rPr>
          <w:b/>
        </w:rPr>
        <w:t>INNONAFACTOR (SAIDAL)</w:t>
      </w:r>
      <w:r>
        <w:t xml:space="preserve"> pour des raisons de souveraineté pharmaceutique nationale et de coût (~40 % moins cher que BENEFIX).</w:t>
      </w:r>
    </w:p>
    <w:p>
      <w:pPr>
        <w:pStyle w:val="ListBullet"/>
      </w:pPr>
      <w:r>
        <w:t xml:space="preserve">Préférer un </w:t>
      </w:r>
      <w:r>
        <w:rPr>
          <w:b/>
        </w:rPr>
        <w:t>pdFIX</w:t>
      </w:r>
      <w:r>
        <w:t xml:space="preserve"> (IMMUNINE 600, HEAMONINE 500) en cas d'allergie au rFIX, d'indisponibilité, ou de préférence patient.</w:t>
      </w:r>
    </w:p>
    <w:p>
      <w:pPr>
        <w:pStyle w:val="ListNumber"/>
      </w:pPr>
      <w:r/>
      <w:r>
        <w:rPr>
          <w:b/>
        </w:rPr>
        <w:t>Choix du produit en cas d'inhibiteur anti-FIX</w:t>
      </w:r>
      <w:r>
        <w:t xml:space="preserve"> :</w:t>
      </w:r>
    </w:p>
    <w:p>
      <w:pPr>
        <w:pStyle w:val="ListBullet"/>
      </w:pPr>
      <w:r/>
      <w:r>
        <w:rPr>
          <w:b/>
        </w:rPr>
        <w:t>Low responder (&lt; 5 UB)</w:t>
      </w:r>
      <w:r>
        <w:t xml:space="preserve"> : pdFIX ou rFIX à dose élevée (100-200 UI/kg) en bolus.</w:t>
      </w:r>
    </w:p>
    <w:p>
      <w:pPr>
        <w:pStyle w:val="ListBullet"/>
      </w:pPr>
      <w:r/>
      <w:r>
        <w:rPr>
          <w:b/>
        </w:rPr>
        <w:t>High responder (≥ 5 UB)</w:t>
      </w:r>
      <w:r>
        <w:t xml:space="preserve"> : by-passing agent — </w:t>
      </w:r>
      <w:r>
        <w:rPr>
          <w:b/>
        </w:rPr>
        <w:t>FEIBA 1000</w:t>
      </w:r>
      <w:r>
        <w:t xml:space="preserve"> (50-100 U°/kg toutes les 8-12 h) ou rFVIIa NovoSeven (90 µg/kg toutes les 2 h, non disponible en Algérie).</w:t>
      </w:r>
    </w:p>
    <w:p>
      <w:pPr>
        <w:pStyle w:val="ListBullet"/>
      </w:pPr>
      <w:r/>
      <w:r>
        <w:rPr>
          <w:b/>
        </w:rPr>
        <w:t>ITI CONTRE-INDIQUÉE</w:t>
      </w:r>
      <w:r>
        <w:t xml:space="preserve"> en cas d'inhibiteur anti-FIX (risque de syndrome néphrotique et d'anaphylaxie).</w:t>
      </w:r>
    </w:p>
    <w:p>
      <w:pPr>
        <w:pStyle w:val="ListBullet"/>
      </w:pPr>
      <w:r/>
      <w:r>
        <w:rPr>
          <w:b/>
        </w:rPr>
        <w:t>Emicizumab (Hemlibra)</w:t>
      </w:r>
      <w:r>
        <w:t xml:space="preserve"> non disponible en Algérie (révolution thérapeutique mondiale pour hémophilie A et B avec inhibiteur).</w:t>
      </w:r>
    </w:p>
    <w:p>
      <w:pPr>
        <w:pStyle w:val="ListNumber"/>
      </w:pPr>
      <w:r/>
      <w:r>
        <w:rPr>
          <w:b/>
        </w:rPr>
        <w:t>ALPROLIX (eftrenonacog alpha) est un rFIX EHL</w:t>
      </w:r>
      <w:r>
        <w:t xml:space="preserve"> pour l'hémophilie B (demi-vie 80-90 h, prophylaxie 1×/semaine), malgré son étiquetage à tort comme FVIII dans la nomenclature algérienne. Ne pas l'administrer à un hémophile A.</w:t>
      </w:r>
    </w:p>
    <w:p>
      <w:pPr>
        <w:pStyle w:val="ListNumber"/>
      </w:pPr>
      <w:r/>
      <w:r>
        <w:rPr>
          <w:b/>
        </w:rPr>
        <w:t>BETAFACT (LFB Biomédicaments) est RETIRÉ</w:t>
      </w:r>
      <w:r>
        <w:t xml:space="preserve"> du marché algérien — transition vers IMMUNINE 600 ou HEAMONINE 500.</w:t>
      </w:r>
    </w:p>
    <w:p>
      <w:pPr>
        <w:pStyle w:val="ListNumber"/>
      </w:pPr>
      <w:r/>
      <w:r>
        <w:rPr>
          <w:b/>
        </w:rPr>
        <w:t>La dose de pdFIX est ~20 % inférieure à la dose de rFIX</w:t>
      </w:r>
      <w:r>
        <w:t xml:space="preserve"> pour atteindre le même objectif (récovery supérieur pdFIX). Ne pas substituer 1:1.</w:t>
      </w:r>
    </w:p>
    <w:p>
      <w:pPr>
        <w:pStyle w:val="ListNumber"/>
      </w:pPr>
      <w:r/>
      <w:r>
        <w:rPr>
          <w:b/>
        </w:rPr>
        <w:t>La demi-vie du FIX standard est de 18-24 h</w:t>
      </w:r>
      <w:r>
        <w:t xml:space="preserve"> ; prophylaxie 2×/semaine en moyenne (vs 3×/semaine pour FVIII).</w:t>
      </w:r>
    </w:p>
    <w:p>
      <w:pPr>
        <w:pStyle w:val="ListNumber"/>
      </w:pPr>
      <w:r/>
      <w:r>
        <w:rPr>
          <w:b/>
        </w:rPr>
        <w:t>Le dépistage de l'inhibiteur par test de Bethesda</w:t>
      </w:r>
      <w:r>
        <w:t xml:space="preserve"> est obligatoire : tous les 3-6 mois la première année, puis annuel. Devant tout échec thérapeutique (saignement non contrôlé) ou toute anaphylaxie post-administration.</w:t>
      </w:r>
    </w:p>
    <w:p>
      <w:pPr>
        <w:pStyle w:val="ListNumber"/>
      </w:pPr>
      <w:r/>
      <w:r>
        <w:rPr>
          <w:b/>
        </w:rPr>
        <w:t>Anaphylaxie + inhibiteur</w:t>
      </w:r>
      <w:r>
        <w:t xml:space="preserve"> : particularité de l'hémophilie B. Test génétique F9 préalable obligatoire (délétion complète = haut risque).</w:t>
      </w:r>
    </w:p>
    <w:p>
      <w:pPr>
        <w:pStyle w:val="ListNumber"/>
      </w:pPr>
      <w:r/>
      <w:r>
        <w:rPr>
          <w:b/>
        </w:rPr>
        <w:t>Chaîne du froid +2 °C à +8 °C</w:t>
      </w:r>
      <w:r>
        <w:t xml:space="preserve"> stricte ; reconstitution douce (pas d'agitation) ; utilisation dans les 3 h après reconstitution.</w:t>
      </w:r>
    </w:p>
    <w:p>
      <w:pPr>
        <w:pStyle w:val="ListNumber"/>
      </w:pPr>
      <w:r/>
      <w:r>
        <w:rPr>
          <w:b/>
        </w:rPr>
        <w:t>Auto-administration à domicile</w:t>
      </w:r>
      <w:r>
        <w:t xml:space="preserve"> après formation hospitalière : pilier de la prise en charge moderne de l'hémophilie B sévère.</w:t>
      </w:r>
    </w:p>
    <w:p>
      <w:pPr>
        <w:pStyle w:val="ListNumber"/>
      </w:pPr>
      <w:r/>
      <w:r>
        <w:rPr>
          <w:b/>
        </w:rPr>
        <w:t>Grossesse et allaitement</w:t>
      </w:r>
      <w:r>
        <w:t xml:space="preserve"> : rFIX et pdFIX utilisables (CRAT). Maintenir FIX ≥ 50 UI/dL pendant le travail et ≥ 30 UI/dL pendant 7-14 jours post-partum.</w:t>
      </w:r>
    </w:p>
    <w:p>
      <w:pPr>
        <w:pStyle w:val="ListNumber"/>
      </w:pPr>
      <w:r/>
      <w:r>
        <w:rPr>
          <w:b/>
        </w:rPr>
        <w:t>Éviter l'aspirine et les AINS</w:t>
      </w:r>
      <w:r>
        <w:t xml:space="preserve"> chez l'hémophile (préférer paracétamol, codéine, tramadol). Éviter les IM (préférer SC pour les vaccins).</w:t>
      </w:r>
    </w:p>
    <w:p>
      <w:pPr>
        <w:pStyle w:val="ListNumber"/>
      </w:pPr>
      <w:r/>
      <w:r>
        <w:rPr>
          <w:b/>
        </w:rPr>
        <w:t>Surveillance ostéo-articulaire</w:t>
      </w:r>
      <w:r>
        <w:t xml:space="preserve"> : les hémarthroses récidivantes → arthropathie hémophilique destructrice. Prévention par prophylaxie primaire précoce (avant 3 ans).</w:t>
      </w:r>
    </w:p>
    <w:p>
      <w:pPr>
        <w:pStyle w:val="ListNumber"/>
      </w:pPr>
      <w:r/>
      <w:r>
        <w:rPr>
          <w:b/>
        </w:rPr>
        <w:t>Vaccination hépatite A et B</w:t>
      </w:r>
      <w:r>
        <w:t xml:space="preserve"> systématique chez tout patient hémophile (avant toute exposition aux PSS plasmatiques).</w:t>
      </w:r>
    </w:p>
    <w:p>
      <w:pPr>
        <w:pStyle w:val="ListNumber"/>
      </w:pPr>
      <w:r/>
      <w:r>
        <w:rPr>
          <w:b/>
        </w:rPr>
        <w:t>Information patient</w:t>
      </w:r>
      <w:r>
        <w:t xml:space="preserve"> : carte de patient hémophile (type d'hémophilie B, traitement prophylactique, centre de référence, contacts d'urgence), carnet de suivi patient.</w:t>
      </w:r>
    </w:p>
    <w:p>
      <w:pPr>
        <w:pStyle w:val="Heading3"/>
      </w:pPr>
      <w:r>
        <w:t>Références bibliographiques spécifiques</w:t>
      </w:r>
    </w:p>
    <w:p>
      <w:pPr>
        <w:pStyle w:val="ListNumber"/>
      </w:pPr>
      <w:r>
        <w:t>WFH — Guidelines for the Management of Hemophilia, 3rd edition (2020).</w:t>
      </w:r>
    </w:p>
    <w:p>
      <w:pPr>
        <w:pStyle w:val="ListNumber"/>
      </w:pPr>
      <w:r>
        <w:t>EHC — Principles of Care for People with Hemophilia (2021).</w:t>
      </w:r>
    </w:p>
    <w:p>
      <w:pPr>
        <w:pStyle w:val="ListNumber"/>
      </w:pPr>
      <w:r>
        <w:t>EMA — EPAR BENEFIX, IMMUNINE, HEAMONINE, BETAFACT, ALPROLIX.</w:t>
      </w:r>
    </w:p>
    <w:p>
      <w:pPr>
        <w:pStyle w:val="ListNumber"/>
      </w:pPr>
      <w:r>
        <w:t>HAS — Avis de la Commission de la Transparence pour chaque spécialité.</w:t>
      </w:r>
    </w:p>
    <w:p>
      <w:pPr>
        <w:pStyle w:val="ListNumber"/>
      </w:pPr>
      <w:r>
        <w:t>ANSM — RCP français de chaque spécialité.</w:t>
      </w:r>
    </w:p>
    <w:p>
      <w:pPr>
        <w:pStyle w:val="ListNumber"/>
      </w:pPr>
      <w:r>
        <w:t>Biggs R, Douglas AS, Macfarlane RG et al. — « Christmas disease: a condition previously mistaken for haemophilia » (BMJ 1952).</w:t>
      </w:r>
    </w:p>
    <w:p>
      <w:pPr>
        <w:pStyle w:val="ListNumber"/>
      </w:pPr>
      <w:r>
        <w:t>Sharathkumar A et al. — « Recombinant factor IX Fc fusion protein in hemophilia B » (J Thromb Haemost 2013 — pivotal trial ALPROLIX).</w:t>
      </w:r>
    </w:p>
    <w:p>
      <w:pPr>
        <w:pStyle w:val="ListNumber"/>
      </w:pPr>
      <w:r>
        <w:t>Powell JS et al. — « Phase 3 trial of nonacog beta pegol for hemophilia B » (J Thromb Haemost 2015 — Rebinyn/N9-GP).</w:t>
      </w:r>
    </w:p>
    <w:p>
      <w:pPr>
        <w:pStyle w:val="ListNumber"/>
      </w:pPr>
      <w:r>
        <w:t>Santagostino E et al. — « rFIX-Fc fusion protein (ALPROLIX) in hemophilia B » (Blood 2015 — B-LONG trial).</w:t>
      </w:r>
    </w:p>
    <w:p>
      <w:pPr>
        <w:pStyle w:val="ListNumber"/>
      </w:pPr>
      <w:r>
        <w:t>Mannucci PM, Tuddenham EG — « The hemophilias — from royal genes to gene therapy » (NEJM 2001).</w:t>
      </w:r>
    </w:p>
    <w:p>
      <w:pPr>
        <w:pStyle w:val="ListNumber"/>
      </w:pPr>
      <w:r>
        <w:t>CRAT — Fiches « Facteur IX recombinant », « Facteur IX plasmatique », « ALPROLIX ».</w:t>
      </w:r>
    </w:p>
    <w:p>
      <w:pPr>
        <w:pStyle w:val="ListNumber"/>
      </w:pPr>
      <w:r>
        <w:t>Castaman G, Matino D — « Hemophilia A and B: molecular and clinical similarities and differences » (Haematologica 2019).</w:t>
      </w:r>
    </w:p>
    <w:p>
      <w:pPr>
        <w:pStyle w:val="ListNumber"/>
      </w:pPr>
      <w:r>
        <w:t>High KA et al. — « Gene therapy for hemophilia B» (NEJM 2020 — HOPE-B trial etranacogene dezaparvovec).</w:t>
      </w:r>
    </w:p>
    <w:p>
      <w:pPr>
        <w:pStyle w:val="Heading1"/>
      </w:pPr>
      <w:r>
        <w:t>Fascicule XXIII — Chapitre 234</w:t>
      </w:r>
    </w:p>
    <w:p>
      <w:pPr>
        <w:pStyle w:val="Heading2"/>
      </w:pPr>
      <w:r>
        <w:t>Complexe Facteur VIII + Facteur von Willebrand (VWF)</w:t>
      </w:r>
    </w:p>
    <w:p>
      <w:pPr>
        <w:pStyle w:val="Heading2"/>
      </w:pPr>
      <w:r>
        <w:t>Sommaire du chapitre 234</w:t>
      </w:r>
    </w:p>
    <w:p>
      <w:pPr>
        <w:pStyle w:val="ListBullet"/>
      </w:pPr>
      <w:r>
        <w:t>234.0. Introduction à la maladie de Willebrand : épidémiologie, physiopathologie, classification, stratégies thérapeutiques</w:t>
      </w:r>
    </w:p>
    <w:p>
      <w:pPr>
        <w:pStyle w:val="ListBullet"/>
      </w:pPr>
      <w:r>
        <w:t>234.1. DCI : Facteur VIII / Facteur von Willebrand — HAEMATE P (CSL Behring)</w:t>
      </w:r>
    </w:p>
    <w:p>
      <w:pPr>
        <w:pStyle w:val="ListBullet"/>
      </w:pPr>
      <w:r>
        <w:t>234.2. DCI : Facteur VIII de coagulation et Facteur de von Willebrand — FANDHI (Grifols)</w:t>
      </w:r>
    </w:p>
    <w:p>
      <w:pPr>
        <w:pStyle w:val="ListBullet"/>
      </w:pPr>
      <w:r>
        <w:t>234.3. Tableau comparatif de sous-classe (HAEMATE P vs FANDHI)</w:t>
      </w:r>
    </w:p>
    <w:p>
      <w:pPr>
        <w:pStyle w:val="ListBullet"/>
      </w:pPr>
      <w:r>
        <w:t>234.4. Synthèse pédagogique et particularités algériennes</w:t>
      </w:r>
    </w:p>
    <w:p>
      <w:pPr>
        <w:pStyle w:val="Heading2"/>
      </w:pPr>
      <w:r>
        <w:t>234.0. Introduction à la maladie de Willebrand : épidémiologie, physiopathologie, classification, stratégies thérapeutiques</w:t>
      </w:r>
    </w:p>
    <w:p>
      <w:pPr>
        <w:pStyle w:val="Heading3"/>
      </w:pPr>
      <w:r>
        <w:t>1. Définition et épidémiologie</w:t>
      </w:r>
    </w:p>
    <w:p>
      <w:r>
        <w:t xml:space="preserve">La </w:t>
      </w:r>
      <w:r>
        <w:rPr>
          <w:b/>
        </w:rPr>
        <w:t>maladie de Willebrand (VWD — von Willebrand Disease)</w:t>
      </w:r>
      <w:r>
        <w:t xml:space="preserve"> est la plus fréquente des maladies hémorragiques constitutionnelles, avec une prévalence mondiale estimée à </w:t>
      </w:r>
      <w:r>
        <w:rPr>
          <w:b/>
        </w:rPr>
        <w:t>1 % de la population générale</w:t>
      </w:r>
      <w:r>
        <w:t xml:space="preserve"> (selon critères biologiques), mais seulement </w:t>
      </w:r>
      <w:r>
        <w:rPr>
          <w:b/>
        </w:rPr>
        <w:t>~1/1 000 patients symptomatiques</w:t>
      </w:r>
      <w:r>
        <w:t xml:space="preserve"> (prévalence clinique). Elle est due à un déficit quantitatif ou qualitatif en </w:t>
      </w:r>
      <w:r>
        <w:rPr>
          <w:b/>
        </w:rPr>
        <w:t>facteur von Willebrand (VWF)</w:t>
      </w:r>
      <w:r>
        <w:t xml:space="preserve">, une glycoprotéine plasmatique synthétisée par les cellules endothéliales et les mégacaryocytes. La maladie fut décrite initialement en 1926 par le pédiatre finlandais </w:t>
      </w:r>
      <w:r>
        <w:rPr>
          <w:b/>
        </w:rPr>
        <w:t>Erik Adolf von Willebrand</w:t>
      </w:r>
      <w:r>
        <w:t xml:space="preserve"> à partir d'une famille de l'archipel d'Åland (îles situées entre la Suède et la Finlande), d'où le nom de la maladie.</w:t>
      </w:r>
    </w:p>
    <w:p>
      <w:r>
        <w:t xml:space="preserve">Contrairement à l'hémophilie A et B (récessives liées à l'X, exclusivement masculines), la VWD est </w:t>
      </w:r>
      <w:r>
        <w:rPr>
          <w:b/>
        </w:rPr>
        <w:t>transmise selon un mode autosomique</w:t>
      </w:r>
      <w:r>
        <w:t xml:space="preserve"> : elle touche autant les hommes que les femmes, ce qui explique la prévalence féminine significative (manifestations par ménorragies, métrorragies, HPP). En Algérie, la prévalence estimée est d'environ </w:t>
      </w:r>
      <w:r>
        <w:rPr>
          <w:b/>
        </w:rPr>
        <w:t>40 000 patients symptomatiques</w:t>
      </w:r>
      <w:r>
        <w:t>, mais le sous-diagnostic est majeur : on estime que moins de 10 % des patients VWD sont diagnostiqués en Algérie (vs ~50 % en Europe), en raison de la méconnaissance de la maladie par les médecins généralistes et les gynécologues qui attribuent souvent les ménorragies à des causes hormonales ou utérines.</w:t>
      </w:r>
    </w:p>
    <w:p>
      <w:pPr>
        <w:pStyle w:val="Heading3"/>
      </w:pPr>
      <w:r>
        <w:t>2. Physiopathologie moléculaire</w:t>
      </w:r>
    </w:p>
    <w:p>
      <w:r>
        <w:t xml:space="preserve">Le gène </w:t>
      </w:r>
      <w:r>
        <w:rPr>
          <w:b/>
        </w:rPr>
        <w:t>VWF</w:t>
      </w:r>
      <w:r>
        <w:t xml:space="preserve"> est situé sur le chromosome </w:t>
      </w:r>
      <w:r>
        <w:rPr>
          <w:b/>
        </w:rPr>
        <w:t>12p13.31</w:t>
      </w:r>
      <w:r>
        <w:t>, s'étend sur 178 kb, et code pour une protéine de 2 813 acides aminés (protéine précurseur de 350 kDa, subunits matures de 250 kDa). Le VWF est synthétisé par :</w:t>
      </w:r>
    </w:p>
    <w:p>
      <w:pPr>
        <w:pStyle w:val="ListBullet"/>
      </w:pPr>
      <w:r>
        <w:t xml:space="preserve">Les </w:t>
      </w:r>
      <w:r>
        <w:rPr>
          <w:b/>
        </w:rPr>
        <w:t>cellules endothéliales</w:t>
      </w:r>
      <w:r>
        <w:t xml:space="preserve"> (en particulier sinusoides hépatiques,cellules endocardiques, et cellules endothéliales des veinules post-capillaires) — sécrétion constitutive + stockage dans les corps de Weibel-Palade.</w:t>
      </w:r>
    </w:p>
    <w:p>
      <w:pPr>
        <w:pStyle w:val="ListBullet"/>
      </w:pPr>
      <w:r>
        <w:t xml:space="preserve">Les </w:t>
      </w:r>
      <w:r>
        <w:rPr>
          <w:b/>
        </w:rPr>
        <w:t>mégacaryocytes</w:t>
      </w:r>
      <w:r>
        <w:t xml:space="preserve"> — stockage dans les granules α plaquettaires.</w:t>
      </w:r>
    </w:p>
    <w:p>
      <w:r>
        <w:t xml:space="preserve">Le VWF circulant a une structure multimérique (multimères de 500 à 20 000 kDa), les </w:t>
      </w:r>
      <w:r>
        <w:rPr>
          <w:b/>
        </w:rPr>
        <w:t>hauts poids moléculaires (HMW)</w:t>
      </w:r>
      <w:r>
        <w:t xml:space="preserve"> étant les plus actifs sur l'adhésion plaquettaire (plus efficace shear stress).</w:t>
      </w:r>
    </w:p>
    <w:p>
      <w:r/>
      <w:r>
        <w:rPr>
          <w:b/>
        </w:rPr>
        <w:t>Double fonction du VWF</w:t>
      </w:r>
      <w:r>
        <w:t xml:space="preserve"> :</w:t>
      </w:r>
    </w:p>
    <w:p>
      <w:pPr>
        <w:pStyle w:val="ListNumber"/>
      </w:pPr>
      <w:r/>
      <w:r>
        <w:rPr>
          <w:b/>
        </w:rPr>
        <w:t>Transporteur et protecteur du FVIII</w:t>
      </w:r>
      <w:r>
        <w:t xml:space="preserve"> : le VWF se lie non-covalent au FVIII dans la circulation, ce qui le protège de la protéolyse (par la protéase APC, FXa, et protéases non spécifiques) et de la clairance prématurée par les récepteurs LRP1, MRC1, ASGPR1. La demi-vie plasmatique du FVIII libre est de ~2 h, celle du FVIII lié au VWF est de ~12 h. Le VWF a donc un effet stabilisateur majeur sur le FVIII.</w:t>
      </w:r>
    </w:p>
    <w:p>
      <w:pPr>
        <w:pStyle w:val="ListNumber"/>
      </w:pPr>
      <w:r/>
      <w:r>
        <w:rPr>
          <w:b/>
        </w:rPr>
        <w:t>Médiateur de l'adhésion plaquettaire</w:t>
      </w:r>
      <w:r>
        <w:t xml:space="preserve"> : le VWF se lie au collagène sous-endothélial (via le domaine A3) exposé après lésion vasculaire, et au récepteur plaquettaire </w:t>
      </w:r>
      <w:r>
        <w:rPr>
          <w:b/>
        </w:rPr>
        <w:t>GPIb-IX-V</w:t>
      </w:r>
      <w:r>
        <w:t xml:space="preserve"> (via le domaine A1) sous shear stress élevé (artérioles, microcirculation). Cette interaction est essentielle pour l'adhésion initiale des plaquettes au sous-endothélium, en particulier en conditions de flux élevé (artères, capillaires).</w:t>
      </w:r>
    </w:p>
    <w:p>
      <w:pPr>
        <w:pStyle w:val="Heading3"/>
      </w:pPr>
      <w:r>
        <w:t>3. Classification internationale de la VWD</w:t>
      </w:r>
    </w:p>
    <w:p>
      <w:r>
        <w:t>La classification internationale (Société Internationale de Thrombose et Hémostase, ISTH — 2006, mise à jour 2024) distingue :</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Type</w:t>
            </w:r>
          </w:p>
        </w:tc>
        <w:tc>
          <w:tcPr>
            <w:tcW w:type="dxa" w:w="1187"/>
            <w:shd w:val="clear" w:color="auto" w:fill="F2F2F2"/>
          </w:tcPr>
          <w:p>
            <w:r>
              <w:rPr>
                <w:rFonts w:ascii="Times New Roman" w:hAnsi="Times New Roman"/>
                <w:b/>
                <w:sz w:val="20"/>
              </w:rPr>
              <w:t>Prévalence</w:t>
            </w:r>
          </w:p>
        </w:tc>
        <w:tc>
          <w:tcPr>
            <w:tcW w:type="dxa" w:w="1187"/>
            <w:shd w:val="clear" w:color="auto" w:fill="F2F2F2"/>
          </w:tcPr>
          <w:p>
            <w:r>
              <w:rPr>
                <w:rFonts w:ascii="Times New Roman" w:hAnsi="Times New Roman"/>
                <w:b/>
                <w:sz w:val="20"/>
              </w:rPr>
              <w:t>Mécanisme</w:t>
            </w:r>
          </w:p>
        </w:tc>
        <w:tc>
          <w:tcPr>
            <w:tcW w:type="dxa" w:w="1187"/>
            <w:shd w:val="clear" w:color="auto" w:fill="F2F2F2"/>
          </w:tcPr>
          <w:p>
            <w:r>
              <w:rPr>
                <w:rFonts w:ascii="Times New Roman" w:hAnsi="Times New Roman"/>
                <w:b/>
                <w:sz w:val="20"/>
              </w:rPr>
              <w:t>Taux VWF antigène</w:t>
            </w:r>
          </w:p>
        </w:tc>
        <w:tc>
          <w:tcPr>
            <w:tcW w:type="dxa" w:w="1187"/>
            <w:shd w:val="clear" w:color="auto" w:fill="F2F2F2"/>
          </w:tcPr>
          <w:p>
            <w:r>
              <w:rPr>
                <w:rFonts w:ascii="Times New Roman" w:hAnsi="Times New Roman"/>
                <w:b/>
                <w:sz w:val="20"/>
              </w:rPr>
              <w:t>Taux FVIII</w:t>
            </w:r>
          </w:p>
        </w:tc>
        <w:tc>
          <w:tcPr>
            <w:tcW w:type="dxa" w:w="1187"/>
            <w:shd w:val="clear" w:color="auto" w:fill="F2F2F2"/>
          </w:tcPr>
          <w:p>
            <w:r>
              <w:rPr>
                <w:rFonts w:ascii="Times New Roman" w:hAnsi="Times New Roman"/>
                <w:b/>
                <w:sz w:val="20"/>
              </w:rPr>
              <w:t>Multimères</w:t>
            </w:r>
          </w:p>
        </w:tc>
        <w:tc>
          <w:tcPr>
            <w:tcW w:type="dxa" w:w="1187"/>
            <w:shd w:val="clear" w:color="auto" w:fill="F2F2F2"/>
          </w:tcPr>
          <w:p>
            <w:r>
              <w:rPr>
                <w:rFonts w:ascii="Times New Roman" w:hAnsi="Times New Roman"/>
                <w:b/>
                <w:sz w:val="20"/>
              </w:rPr>
              <w:t>Traitement de 1re intention</w:t>
            </w:r>
          </w:p>
        </w:tc>
      </w:tr>
      <w:tr>
        <w:tc>
          <w:tcPr>
            <w:tcW w:type="dxa" w:w="1187"/>
          </w:tcPr>
          <w:p>
            <w:r>
              <w:rPr>
                <w:rFonts w:ascii="Times New Roman" w:hAnsi="Times New Roman"/>
                <w:sz w:val="20"/>
              </w:rPr>
              <w:t>**Type 1**</w:t>
            </w:r>
          </w:p>
        </w:tc>
        <w:tc>
          <w:tcPr>
            <w:tcW w:type="dxa" w:w="1187"/>
          </w:tcPr>
          <w:p>
            <w:r>
              <w:rPr>
                <w:rFonts w:ascii="Times New Roman" w:hAnsi="Times New Roman"/>
                <w:sz w:val="20"/>
              </w:rPr>
              <w:t>75 %</w:t>
            </w:r>
          </w:p>
        </w:tc>
        <w:tc>
          <w:tcPr>
            <w:tcW w:type="dxa" w:w="1187"/>
          </w:tcPr>
          <w:p>
            <w:r>
              <w:rPr>
                <w:rFonts w:ascii="Times New Roman" w:hAnsi="Times New Roman"/>
                <w:sz w:val="20"/>
              </w:rPr>
              <w:t>Déficit quantitatif partiel</w:t>
            </w:r>
          </w:p>
        </w:tc>
        <w:tc>
          <w:tcPr>
            <w:tcW w:type="dxa" w:w="1187"/>
          </w:tcPr>
          <w:p>
            <w:r>
              <w:rPr>
                <w:rFonts w:ascii="Times New Roman" w:hAnsi="Times New Roman"/>
                <w:sz w:val="20"/>
              </w:rPr>
              <w:t>↓ (15-50 UI/dL)</w:t>
            </w:r>
          </w:p>
        </w:tc>
        <w:tc>
          <w:tcPr>
            <w:tcW w:type="dxa" w:w="1187"/>
          </w:tcPr>
          <w:p>
            <w:r>
              <w:rPr>
                <w:rFonts w:ascii="Times New Roman" w:hAnsi="Times New Roman"/>
                <w:sz w:val="20"/>
              </w:rPr>
              <w:t>↓ Modéré</w:t>
            </w:r>
          </w:p>
        </w:tc>
        <w:tc>
          <w:tcPr>
            <w:tcW w:type="dxa" w:w="1187"/>
          </w:tcPr>
          <w:p>
            <w:r>
              <w:rPr>
                <w:rFonts w:ascii="Times New Roman" w:hAnsi="Times New Roman"/>
                <w:sz w:val="20"/>
              </w:rPr>
              <w:t>Normaux</w:t>
            </w:r>
          </w:p>
        </w:tc>
        <w:tc>
          <w:tcPr>
            <w:tcW w:type="dxa" w:w="1187"/>
          </w:tcPr>
          <w:p>
            <w:r>
              <w:rPr>
                <w:rFonts w:ascii="Times New Roman" w:hAnsi="Times New Roman"/>
                <w:sz w:val="20"/>
              </w:rPr>
              <w:t>Desmopressine (DDAVP)</w:t>
            </w:r>
          </w:p>
        </w:tc>
      </w:tr>
      <w:tr>
        <w:tc>
          <w:tcPr>
            <w:tcW w:type="dxa" w:w="1187"/>
          </w:tcPr>
          <w:p>
            <w:r>
              <w:rPr>
                <w:rFonts w:ascii="Times New Roman" w:hAnsi="Times New Roman"/>
                <w:sz w:val="20"/>
              </w:rPr>
              <w:t>**Type 2A**</w:t>
            </w:r>
          </w:p>
        </w:tc>
        <w:tc>
          <w:tcPr>
            <w:tcW w:type="dxa" w:w="1187"/>
          </w:tcPr>
          <w:p>
            <w:r>
              <w:rPr>
                <w:rFonts w:ascii="Times New Roman" w:hAnsi="Times New Roman"/>
                <w:sz w:val="20"/>
              </w:rPr>
              <w:t>10-15 %</w:t>
            </w:r>
          </w:p>
        </w:tc>
        <w:tc>
          <w:tcPr>
            <w:tcW w:type="dxa" w:w="1187"/>
          </w:tcPr>
          <w:p>
            <w:r>
              <w:rPr>
                <w:rFonts w:ascii="Times New Roman" w:hAnsi="Times New Roman"/>
                <w:sz w:val="20"/>
              </w:rPr>
              <w:t>Déficit qualitatif (perte HMW)</w:t>
            </w:r>
          </w:p>
        </w:tc>
        <w:tc>
          <w:tcPr>
            <w:tcW w:type="dxa" w:w="1187"/>
          </w:tcPr>
          <w:p>
            <w:r>
              <w:rPr>
                <w:rFonts w:ascii="Times New Roman" w:hAnsi="Times New Roman"/>
                <w:sz w:val="20"/>
              </w:rPr>
              <w:t>↓ Modéré</w:t>
            </w:r>
          </w:p>
        </w:tc>
        <w:tc>
          <w:tcPr>
            <w:tcW w:type="dxa" w:w="1187"/>
          </w:tcPr>
          <w:p>
            <w:r>
              <w:rPr>
                <w:rFonts w:ascii="Times New Roman" w:hAnsi="Times New Roman"/>
                <w:sz w:val="20"/>
              </w:rPr>
              <w:t>↓ Modéré</w:t>
            </w:r>
          </w:p>
        </w:tc>
        <w:tc>
          <w:tcPr>
            <w:tcW w:type="dxa" w:w="1187"/>
          </w:tcPr>
          <w:p>
            <w:r>
              <w:rPr>
                <w:rFonts w:ascii="Times New Roman" w:hAnsi="Times New Roman"/>
                <w:sz w:val="20"/>
              </w:rPr>
              <w:t>HMW absents</w:t>
            </w:r>
          </w:p>
        </w:tc>
        <w:tc>
          <w:tcPr>
            <w:tcW w:type="dxa" w:w="1187"/>
          </w:tcPr>
          <w:p>
            <w:r>
              <w:rPr>
                <w:rFonts w:ascii="Times New Roman" w:hAnsi="Times New Roman"/>
                <w:sz w:val="20"/>
              </w:rPr>
              <w:t>VWF concentré (HAEMATE P, FANDHI)</w:t>
            </w:r>
          </w:p>
        </w:tc>
      </w:tr>
      <w:tr>
        <w:tc>
          <w:tcPr>
            <w:tcW w:type="dxa" w:w="1187"/>
          </w:tcPr>
          <w:p>
            <w:r>
              <w:rPr>
                <w:rFonts w:ascii="Times New Roman" w:hAnsi="Times New Roman"/>
                <w:sz w:val="20"/>
              </w:rPr>
              <w:t>**Type 2B**</w:t>
            </w:r>
          </w:p>
        </w:tc>
        <w:tc>
          <w:tcPr>
            <w:tcW w:type="dxa" w:w="1187"/>
          </w:tcPr>
          <w:p>
            <w:r>
              <w:rPr>
                <w:rFonts w:ascii="Times New Roman" w:hAnsi="Times New Roman"/>
                <w:sz w:val="20"/>
              </w:rPr>
              <w:t>&lt; 5 %</w:t>
            </w:r>
          </w:p>
        </w:tc>
        <w:tc>
          <w:tcPr>
            <w:tcW w:type="dxa" w:w="1187"/>
          </w:tcPr>
          <w:p>
            <w:r>
              <w:rPr>
                <w:rFonts w:ascii="Times New Roman" w:hAnsi="Times New Roman"/>
                <w:sz w:val="20"/>
              </w:rPr>
              <w:t>Affinité accrue GPIb (clearance plaquettes+VWF)</w:t>
            </w:r>
          </w:p>
        </w:tc>
        <w:tc>
          <w:tcPr>
            <w:tcW w:type="dxa" w:w="1187"/>
          </w:tcPr>
          <w:p>
            <w:r>
              <w:rPr>
                <w:rFonts w:ascii="Times New Roman" w:hAnsi="Times New Roman"/>
                <w:sz w:val="20"/>
              </w:rPr>
              <w:t>↓ Modéré</w:t>
            </w:r>
          </w:p>
        </w:tc>
        <w:tc>
          <w:tcPr>
            <w:tcW w:type="dxa" w:w="1187"/>
          </w:tcPr>
          <w:p>
            <w:r>
              <w:rPr>
                <w:rFonts w:ascii="Times New Roman" w:hAnsi="Times New Roman"/>
                <w:sz w:val="20"/>
              </w:rPr>
              <w:t>↓ Modéré</w:t>
            </w:r>
          </w:p>
        </w:tc>
        <w:tc>
          <w:tcPr>
            <w:tcW w:type="dxa" w:w="1187"/>
          </w:tcPr>
          <w:p>
            <w:r>
              <w:rPr>
                <w:rFonts w:ascii="Times New Roman" w:hAnsi="Times New Roman"/>
                <w:sz w:val="20"/>
              </w:rPr>
              <w:t>HMW absents</w:t>
            </w:r>
          </w:p>
        </w:tc>
        <w:tc>
          <w:tcPr>
            <w:tcW w:type="dxa" w:w="1187"/>
          </w:tcPr>
          <w:p>
            <w:r>
              <w:rPr>
                <w:rFonts w:ascii="Times New Roman" w:hAnsi="Times New Roman"/>
                <w:sz w:val="20"/>
              </w:rPr>
              <w:t>VWF concentré (DDAVP CI !)</w:t>
            </w:r>
          </w:p>
        </w:tc>
      </w:tr>
      <w:tr>
        <w:tc>
          <w:tcPr>
            <w:tcW w:type="dxa" w:w="1187"/>
          </w:tcPr>
          <w:p>
            <w:r>
              <w:rPr>
                <w:rFonts w:ascii="Times New Roman" w:hAnsi="Times New Roman"/>
                <w:sz w:val="20"/>
              </w:rPr>
              <w:t>**Type 2M**</w:t>
            </w:r>
          </w:p>
        </w:tc>
        <w:tc>
          <w:tcPr>
            <w:tcW w:type="dxa" w:w="1187"/>
          </w:tcPr>
          <w:p>
            <w:r>
              <w:rPr>
                <w:rFonts w:ascii="Times New Roman" w:hAnsi="Times New Roman"/>
                <w:sz w:val="20"/>
              </w:rPr>
              <w:t>&lt; 5 %</w:t>
            </w:r>
          </w:p>
        </w:tc>
        <w:tc>
          <w:tcPr>
            <w:tcW w:type="dxa" w:w="1187"/>
          </w:tcPr>
          <w:p>
            <w:r>
              <w:rPr>
                <w:rFonts w:ascii="Times New Roman" w:hAnsi="Times New Roman"/>
                <w:sz w:val="20"/>
              </w:rPr>
              <w:t>Déficit fonctionnel adhésion GPIb</w:t>
            </w:r>
          </w:p>
        </w:tc>
        <w:tc>
          <w:tcPr>
            <w:tcW w:type="dxa" w:w="1187"/>
          </w:tcPr>
          <w:p>
            <w:r>
              <w:rPr>
                <w:rFonts w:ascii="Times New Roman" w:hAnsi="Times New Roman"/>
                <w:sz w:val="20"/>
              </w:rPr>
              <w:t>Normal ou ↓</w:t>
            </w:r>
          </w:p>
        </w:tc>
        <w:tc>
          <w:tcPr>
            <w:tcW w:type="dxa" w:w="1187"/>
          </w:tcPr>
          <w:p>
            <w:r>
              <w:rPr>
                <w:rFonts w:ascii="Times New Roman" w:hAnsi="Times New Roman"/>
                <w:sz w:val="20"/>
              </w:rPr>
              <w:t>↓ Modéré</w:t>
            </w:r>
          </w:p>
        </w:tc>
        <w:tc>
          <w:tcPr>
            <w:tcW w:type="dxa" w:w="1187"/>
          </w:tcPr>
          <w:p>
            <w:r>
              <w:rPr>
                <w:rFonts w:ascii="Times New Roman" w:hAnsi="Times New Roman"/>
                <w:sz w:val="20"/>
              </w:rPr>
              <w:t>Normaux</w:t>
            </w:r>
          </w:p>
        </w:tc>
        <w:tc>
          <w:tcPr>
            <w:tcW w:type="dxa" w:w="1187"/>
          </w:tcPr>
          <w:p>
            <w:r>
              <w:rPr>
                <w:rFonts w:ascii="Times New Roman" w:hAnsi="Times New Roman"/>
                <w:sz w:val="20"/>
              </w:rPr>
              <w:t>VWF concentré</w:t>
            </w:r>
          </w:p>
        </w:tc>
      </w:tr>
      <w:tr>
        <w:tc>
          <w:tcPr>
            <w:tcW w:type="dxa" w:w="1187"/>
          </w:tcPr>
          <w:p>
            <w:r>
              <w:rPr>
                <w:rFonts w:ascii="Times New Roman" w:hAnsi="Times New Roman"/>
                <w:sz w:val="20"/>
              </w:rPr>
              <w:t>**Type 2N**</w:t>
            </w:r>
          </w:p>
        </w:tc>
        <w:tc>
          <w:tcPr>
            <w:tcW w:type="dxa" w:w="1187"/>
          </w:tcPr>
          <w:p>
            <w:r>
              <w:rPr>
                <w:rFonts w:ascii="Times New Roman" w:hAnsi="Times New Roman"/>
                <w:sz w:val="20"/>
              </w:rPr>
              <w:t>&lt; 5 %</w:t>
            </w:r>
          </w:p>
        </w:tc>
        <w:tc>
          <w:tcPr>
            <w:tcW w:type="dxa" w:w="1187"/>
          </w:tcPr>
          <w:p>
            <w:r>
              <w:rPr>
                <w:rFonts w:ascii="Times New Roman" w:hAnsi="Times New Roman"/>
                <w:sz w:val="20"/>
              </w:rPr>
              <w:t>Affinité diminuée FVIII (mutation domaine D')</w:t>
            </w:r>
          </w:p>
        </w:tc>
        <w:tc>
          <w:tcPr>
            <w:tcW w:type="dxa" w:w="1187"/>
          </w:tcPr>
          <w:p>
            <w:r>
              <w:rPr>
                <w:rFonts w:ascii="Times New Roman" w:hAnsi="Times New Roman"/>
                <w:sz w:val="20"/>
              </w:rPr>
              <w:t>Normal</w:t>
            </w:r>
          </w:p>
        </w:tc>
        <w:tc>
          <w:tcPr>
            <w:tcW w:type="dxa" w:w="1187"/>
          </w:tcPr>
          <w:p>
            <w:r>
              <w:rPr>
                <w:rFonts w:ascii="Times New Roman" w:hAnsi="Times New Roman"/>
                <w:sz w:val="20"/>
              </w:rPr>
              <w:t>↓↑↑ (5-20)</w:t>
            </w:r>
          </w:p>
        </w:tc>
        <w:tc>
          <w:tcPr>
            <w:tcW w:type="dxa" w:w="1187"/>
          </w:tcPr>
          <w:p>
            <w:r>
              <w:rPr>
                <w:rFonts w:ascii="Times New Roman" w:hAnsi="Times New Roman"/>
                <w:sz w:val="20"/>
              </w:rPr>
              <w:t>Normaux</w:t>
            </w:r>
          </w:p>
        </w:tc>
        <w:tc>
          <w:tcPr>
            <w:tcW w:type="dxa" w:w="1187"/>
          </w:tcPr>
          <w:p>
            <w:r>
              <w:rPr>
                <w:rFonts w:ascii="Times New Roman" w:hAnsi="Times New Roman"/>
                <w:sz w:val="20"/>
              </w:rPr>
              <w:t>VWF concentré (souvent confondue avec hémophilie A légère)</w:t>
            </w:r>
          </w:p>
        </w:tc>
      </w:tr>
      <w:tr>
        <w:tc>
          <w:tcPr>
            <w:tcW w:type="dxa" w:w="1187"/>
          </w:tcPr>
          <w:p>
            <w:r>
              <w:rPr>
                <w:rFonts w:ascii="Times New Roman" w:hAnsi="Times New Roman"/>
                <w:sz w:val="20"/>
              </w:rPr>
              <w:t>**Type 3**</w:t>
            </w:r>
          </w:p>
        </w:tc>
        <w:tc>
          <w:tcPr>
            <w:tcW w:type="dxa" w:w="1187"/>
          </w:tcPr>
          <w:p>
            <w:r>
              <w:rPr>
                <w:rFonts w:ascii="Times New Roman" w:hAnsi="Times New Roman"/>
                <w:sz w:val="20"/>
              </w:rPr>
              <w:t>&lt; 1 %</w:t>
            </w:r>
          </w:p>
        </w:tc>
        <w:tc>
          <w:tcPr>
            <w:tcW w:type="dxa" w:w="1187"/>
          </w:tcPr>
          <w:p>
            <w:r>
              <w:rPr>
                <w:rFonts w:ascii="Times New Roman" w:hAnsi="Times New Roman"/>
                <w:sz w:val="20"/>
              </w:rPr>
              <w:t>Déficit quantitatif complet (homozygote)</w:t>
            </w:r>
          </w:p>
        </w:tc>
        <w:tc>
          <w:tcPr>
            <w:tcW w:type="dxa" w:w="1187"/>
          </w:tcPr>
          <w:p>
            <w:r>
              <w:rPr>
                <w:rFonts w:ascii="Times New Roman" w:hAnsi="Times New Roman"/>
                <w:sz w:val="20"/>
              </w:rPr>
              <w:t>&lt; 1 UI/dL</w:t>
            </w:r>
          </w:p>
        </w:tc>
        <w:tc>
          <w:tcPr>
            <w:tcW w:type="dxa" w:w="1187"/>
          </w:tcPr>
          <w:p>
            <w:r>
              <w:rPr>
                <w:rFonts w:ascii="Times New Roman" w:hAnsi="Times New Roman"/>
                <w:sz w:val="20"/>
              </w:rPr>
              <w:t>&lt; 1 UI/dL</w:t>
            </w:r>
          </w:p>
        </w:tc>
        <w:tc>
          <w:tcPr>
            <w:tcW w:type="dxa" w:w="1187"/>
          </w:tcPr>
          <w:p>
            <w:r>
              <w:rPr>
                <w:rFonts w:ascii="Times New Roman" w:hAnsi="Times New Roman"/>
                <w:sz w:val="20"/>
              </w:rPr>
              <w:t>Absents</w:t>
            </w:r>
          </w:p>
        </w:tc>
        <w:tc>
          <w:tcPr>
            <w:tcW w:type="dxa" w:w="1187"/>
          </w:tcPr>
          <w:p>
            <w:r>
              <w:rPr>
                <w:rFonts w:ascii="Times New Roman" w:hAnsi="Times New Roman"/>
                <w:sz w:val="20"/>
              </w:rPr>
              <w:t>VWF concentré + FVIII</w:t>
            </w:r>
          </w:p>
        </w:tc>
      </w:tr>
    </w:tbl>
    <w:p/>
    <w:p>
      <w:r/>
      <w:r>
        <w:rPr>
          <w:b/>
        </w:rPr>
        <w:t>Particularités cliniques</w:t>
      </w:r>
      <w:r>
        <w:t xml:space="preserve"> :</w:t>
      </w:r>
    </w:p>
    <w:p>
      <w:pPr>
        <w:pStyle w:val="ListBullet"/>
      </w:pPr>
      <w:r/>
      <w:r>
        <w:rPr>
          <w:b/>
        </w:rPr>
        <w:t>Type 1</w:t>
      </w:r>
      <w:r>
        <w:t xml:space="preserve"> : saignements muqueux modérés (épistaxis, gingivorragies, ménorragies), diagnostic souvent à l'adolescence ou à l'occasion d'un geste chirurgical.</w:t>
      </w:r>
    </w:p>
    <w:p>
      <w:pPr>
        <w:pStyle w:val="ListBullet"/>
      </w:pPr>
      <w:r/>
      <w:r>
        <w:rPr>
          <w:b/>
        </w:rPr>
        <w:t>Type 2A</w:t>
      </w:r>
      <w:r>
        <w:t xml:space="preserve"> : saignements muqueux plus sévères, absence de réponse prolongée à la desmopressine.</w:t>
      </w:r>
    </w:p>
    <w:p>
      <w:pPr>
        <w:pStyle w:val="ListBullet"/>
      </w:pPr>
      <w:r/>
      <w:r>
        <w:rPr>
          <w:b/>
        </w:rPr>
        <w:t>Type 2B</w:t>
      </w:r>
      <w:r>
        <w:t xml:space="preserve"> : thrombopénie induite par la desmopressine (la DDAVP libère le VWF anormal qui fixe les plaquettes → thrombopénie ++) — </w:t>
      </w:r>
      <w:r>
        <w:rPr>
          <w:b/>
        </w:rPr>
        <w:t>CI absolue à la desmopressine</w:t>
      </w:r>
      <w:r>
        <w:t>.</w:t>
      </w:r>
    </w:p>
    <w:p>
      <w:pPr>
        <w:pStyle w:val="ListBullet"/>
      </w:pPr>
      <w:r/>
      <w:r>
        <w:rPr>
          <w:b/>
        </w:rPr>
        <w:t>Type 2M</w:t>
      </w:r>
      <w:r>
        <w:t xml:space="preserve"> : saignements muqueux, réponse partielle à la DDAVP.</w:t>
      </w:r>
    </w:p>
    <w:p>
      <w:pPr>
        <w:pStyle w:val="ListBullet"/>
      </w:pPr>
      <w:r/>
      <w:r>
        <w:rPr>
          <w:b/>
        </w:rPr>
        <w:t>Type 2N</w:t>
      </w:r>
      <w:r>
        <w:t xml:space="preserve"> : phénotype clinique pseudo-hémophilie A (saignements articulaires et musculaires), souvent confondue avec hémophilie A légère. Le diagnostic différentiel repose sur le dosage du VWF antigène (normal dans 2N, diminué dans hémophilie A légère) et le test de liaison VWF-FVIII.</w:t>
      </w:r>
    </w:p>
    <w:p>
      <w:pPr>
        <w:pStyle w:val="ListBullet"/>
      </w:pPr>
      <w:r/>
      <w:r>
        <w:rPr>
          <w:b/>
        </w:rPr>
        <w:t>Type 3</w:t>
      </w:r>
      <w:r>
        <w:t xml:space="preserve"> : maladie hémorragique sévère (similaire à hémophilie A sévère, saignements articulaires, musculaires, gastro-intestinaux, cérébraux) — nécessite un traitement substitutif lifelong par VWF concentré.</w:t>
      </w:r>
    </w:p>
    <w:p>
      <w:pPr>
        <w:pStyle w:val="Heading3"/>
      </w:pPr>
      <w:r>
        <w:t>4. Diagnostic biologique</w:t>
      </w:r>
    </w:p>
    <w:p>
      <w:r>
        <w:t>Le diagnostic de la VWD repose sur :</w:t>
      </w:r>
    </w:p>
    <w:p>
      <w:pPr>
        <w:pStyle w:val="ListNumber"/>
      </w:pPr>
      <w:r/>
      <w:r>
        <w:rPr>
          <w:b/>
        </w:rPr>
        <w:t>Temps de saignement (TS)</w:t>
      </w:r>
      <w:r>
        <w:t xml:space="preserve"> : allongé (méthode d'Ivy ou PFA-100).</w:t>
      </w:r>
    </w:p>
    <w:p>
      <w:pPr>
        <w:pStyle w:val="ListNumber"/>
      </w:pPr>
      <w:r/>
      <w:r>
        <w:rPr>
          <w:b/>
        </w:rPr>
        <w:t>TCA</w:t>
      </w:r>
      <w:r>
        <w:t xml:space="preserve"> : allongé (en raison du FVIII bas secondaire au déficit VWF).</w:t>
      </w:r>
    </w:p>
    <w:p>
      <w:pPr>
        <w:pStyle w:val="ListNumber"/>
      </w:pPr>
      <w:r/>
      <w:r>
        <w:rPr>
          <w:b/>
        </w:rPr>
        <w:t>TP</w:t>
      </w:r>
      <w:r>
        <w:t xml:space="preserve"> : normal (le VWF ne participe pas à la voie extrinsèque).</w:t>
      </w:r>
    </w:p>
    <w:p>
      <w:pPr>
        <w:pStyle w:val="ListNumber"/>
      </w:pPr>
      <w:r/>
      <w:r>
        <w:rPr>
          <w:b/>
        </w:rPr>
        <w:t>Plaquettes</w:t>
      </w:r>
      <w:r>
        <w:t xml:space="preserve"> : normales sauf dans le type 2B (thrombopénie).</w:t>
      </w:r>
    </w:p>
    <w:p>
      <w:pPr>
        <w:pStyle w:val="ListNumber"/>
      </w:pPr>
      <w:r/>
      <w:r>
        <w:rPr>
          <w:b/>
        </w:rPr>
        <w:t>VWF antigène (VWF:Ag)</w:t>
      </w:r>
      <w:r>
        <w:t xml:space="preserve"> : diminué (type 1, 2A, 2B, 2M, 3) ou normal (type 2N).</w:t>
      </w:r>
    </w:p>
    <w:p>
      <w:pPr>
        <w:pStyle w:val="ListNumber"/>
      </w:pPr>
      <w:r/>
      <w:r>
        <w:rPr>
          <w:b/>
        </w:rPr>
        <w:t>VWF activité (VWF:RCo — Ristocetin Cofactor activity)</w:t>
      </w:r>
      <w:r>
        <w:t xml:space="preserve"> : diminuée en cas de déficit fonctionnel (type 2A, 2B, 2M).</w:t>
      </w:r>
    </w:p>
    <w:p>
      <w:pPr>
        <w:pStyle w:val="ListNumber"/>
      </w:pPr>
      <w:r/>
      <w:r>
        <w:rPr>
          <w:b/>
        </w:rPr>
        <w:t>FVIII:C</w:t>
      </w:r>
      <w:r>
        <w:t xml:space="preserve"> : diminué proportionnellement au VWF (sauf type 2N où la baisse du FVIII est disproportionnée).</w:t>
      </w:r>
    </w:p>
    <w:p>
      <w:pPr>
        <w:pStyle w:val="ListNumber"/>
      </w:pPr>
      <w:r/>
      <w:r>
        <w:rPr>
          <w:b/>
        </w:rPr>
        <w:t>Distribution multimérique</w:t>
      </w:r>
      <w:r>
        <w:t xml:space="preserve"> (électrophorèse SDS-agarose) : identifie les types 2A, 2B (perte HMW).</w:t>
      </w:r>
    </w:p>
    <w:p>
      <w:pPr>
        <w:pStyle w:val="ListNumber"/>
      </w:pPr>
      <w:r/>
      <w:r>
        <w:rPr>
          <w:b/>
        </w:rPr>
        <w:t>Test de liaison VWF-FVIII</w:t>
      </w:r>
      <w:r>
        <w:t xml:space="preserve"> : pour le diagnostic du type 2N.</w:t>
      </w:r>
    </w:p>
    <w:p>
      <w:pPr>
        <w:pStyle w:val="ListNumber"/>
      </w:pPr>
      <w:r/>
      <w:r>
        <w:rPr>
          <w:b/>
        </w:rPr>
        <w:t>Test à la Ristocétine</w:t>
      </w:r>
      <w:r>
        <w:t xml:space="preserve"> :</w:t>
      </w:r>
    </w:p>
    <w:p>
      <w:pPr>
        <w:pStyle w:val="ListBullet"/>
      </w:pPr>
      <w:r/>
      <w:r>
        <w:rPr>
          <w:b/>
        </w:rPr>
        <w:t>RIPA (Ristocetin-Induced Platelet Aggregation)</w:t>
      </w:r>
      <w:r>
        <w:t xml:space="preserve"> : augmentée à faible concentration dans le type 2B (diagnostic différentiel).</w:t>
      </w:r>
    </w:p>
    <w:p>
      <w:pPr>
        <w:pStyle w:val="ListBullet"/>
      </w:pPr>
      <w:r/>
      <w:r>
        <w:rPr>
          <w:b/>
        </w:rPr>
        <w:t>VWF:RCo</w:t>
      </w:r>
      <w:r>
        <w:t xml:space="preserve"> : test standard pour mesurer l'activité VWF.</w:t>
      </w:r>
    </w:p>
    <w:p>
      <w:r/>
      <w:r>
        <w:rPr>
          <w:b/>
        </w:rPr>
        <w:t>Groupe sanguin</w:t>
      </w:r>
      <w:r>
        <w:t xml:space="preserve"> : les patients de groupe O ont un VWF ~25-30 % plus bas que les groupes A, B, AB — adaptation des valeurs de référence (VWF:Ag normal 50-200 UI/dL pour groupes A/B/AB, mais 40-160 UI/dL pour groupe O).</w:t>
      </w:r>
    </w:p>
    <w:p>
      <w:pPr>
        <w:pStyle w:val="Heading3"/>
      </w:pPr>
      <w:r>
        <w:t>5. Stratégies thérapeutiques</w:t>
      </w:r>
    </w:p>
    <w:p>
      <w:pPr>
        <w:pStyle w:val="Heading4"/>
      </w:pPr>
      <w:r>
        <w:t>Traitement de 1re intention : Desmopressine (DDAVP)</w:t>
      </w:r>
    </w:p>
    <w:p>
      <w:pPr>
        <w:pStyle w:val="ListBullet"/>
      </w:pPr>
      <w:r/>
      <w:r>
        <w:rPr>
          <w:b/>
        </w:rPr>
        <w:t>Indications</w:t>
      </w:r>
      <w:r>
        <w:t xml:space="preserve"> : Type 1, Type 2A (parfois), Type 2M (parfois). Contre-indiquée dans type 2B et type 3.</w:t>
      </w:r>
    </w:p>
    <w:p>
      <w:pPr>
        <w:pStyle w:val="ListBullet"/>
      </w:pPr>
      <w:r/>
      <w:r>
        <w:rPr>
          <w:b/>
        </w:rPr>
        <w:t>Mécanisme</w:t>
      </w:r>
      <w:r>
        <w:t xml:space="preserve"> : analogue de la vasopressine qui stimule la libération de VWF et de FVIII des sites de stockage (corps de Weibel-Palade endothéliaux).</w:t>
      </w:r>
    </w:p>
    <w:p>
      <w:pPr>
        <w:pStyle w:val="ListBullet"/>
      </w:pPr>
      <w:r/>
      <w:r>
        <w:rPr>
          <w:b/>
        </w:rPr>
        <w:t>Posologie</w:t>
      </w:r>
      <w:r>
        <w:t xml:space="preserve"> : 0,3 µg/kg IV lent (30 min) ou 300 µg SC ou intranasal.</w:t>
      </w:r>
    </w:p>
    <w:p>
      <w:pPr>
        <w:pStyle w:val="ListBullet"/>
      </w:pPr>
      <w:r/>
      <w:r>
        <w:rPr>
          <w:b/>
        </w:rPr>
        <w:t>Effet</w:t>
      </w:r>
      <w:r>
        <w:t xml:space="preserve"> : pic de VWF et FVIII à 30-60 min, durée 6-12 h.</w:t>
      </w:r>
    </w:p>
    <w:p>
      <w:pPr>
        <w:pStyle w:val="ListBullet"/>
      </w:pPr>
      <w:r/>
      <w:r>
        <w:rPr>
          <w:b/>
        </w:rPr>
        <w:t>Limites</w:t>
      </w:r>
      <w:r>
        <w:t xml:space="preserve"> : tachyphylaxie (effet diminué à la 3e dose répétée à 24 h), hyponatrémie (à surveiller).</w:t>
      </w:r>
    </w:p>
    <w:p>
      <w:pPr>
        <w:pStyle w:val="ListBullet"/>
      </w:pPr>
      <w:r/>
      <w:r>
        <w:rPr>
          <w:b/>
        </w:rPr>
        <w:t>Contre-indications</w:t>
      </w:r>
      <w:r>
        <w:t xml:space="preserve"> : type 2B (thrombopénie ++), type 3 (inefficace), insuffisance cardiaque, hyponatrémie, enfant &lt; 2 ans.</w:t>
      </w:r>
    </w:p>
    <w:p>
      <w:pPr>
        <w:pStyle w:val="Heading4"/>
      </w:pPr>
      <w:r>
        <w:t>Traitement de 2e intention : Concentré de VWF + FVIII (HAEMATE P, FANDHI)</w:t>
      </w:r>
    </w:p>
    <w:p>
      <w:pPr>
        <w:pStyle w:val="ListBullet"/>
      </w:pPr>
      <w:r/>
      <w:r>
        <w:rPr>
          <w:b/>
        </w:rPr>
        <w:t>Indications</w:t>
      </w:r>
      <w:r>
        <w:t xml:space="preserve"> : Type 3, Type 2 non-répondant à la DDAVP, type 2B, type 2N, saignements sévères, chirurgie majeure, femmes enceintes type 1 non-répondant à la DDAVP pendant le travail.</w:t>
      </w:r>
    </w:p>
    <w:p>
      <w:pPr>
        <w:pStyle w:val="ListBullet"/>
      </w:pPr>
      <w:r/>
      <w:r>
        <w:rPr>
          <w:b/>
        </w:rPr>
        <w:t>Avantage</w:t>
      </w:r>
      <w:r>
        <w:t xml:space="preserve"> : apporte à la fois le VWF et le FVIII, permettant une correction immédiate du TCA et une hémostase primaire efficace.</w:t>
      </w:r>
    </w:p>
    <w:p>
      <w:pPr>
        <w:pStyle w:val="ListBullet"/>
      </w:pPr>
      <w:r/>
      <w:r>
        <w:rPr>
          <w:b/>
        </w:rPr>
        <w:t>Inconvénient</w:t>
      </w:r>
      <w:r>
        <w:t xml:space="preserve"> : volume perfusé plus important, coût élevé, traçabilité nominative obligatoire.</w:t>
      </w:r>
    </w:p>
    <w:p>
      <w:pPr>
        <w:pStyle w:val="Heading4"/>
      </w:pPr>
      <w:r>
        <w:t>Antifibrinolytiques (acide tranexamique)</w:t>
      </w:r>
    </w:p>
    <w:p>
      <w:pPr>
        <w:pStyle w:val="ListBullet"/>
      </w:pPr>
      <w:r>
        <w:t>Adjuvant systématique pour saignements muqueux (épistaxis, gingivorragies, ménorragies) et chirurgie buccale.</w:t>
      </w:r>
    </w:p>
    <w:p>
      <w:pPr>
        <w:pStyle w:val="ListBullet"/>
      </w:pPr>
      <w:r>
        <w:t>Posologie : 15-25 mg/kg IV ou PO × 3/jour, max 4 g/j.</w:t>
      </w:r>
    </w:p>
    <w:p>
      <w:pPr>
        <w:pStyle w:val="Heading4"/>
      </w:pPr>
      <w:r>
        <w:t>Contraception orale estroprogestative</w:t>
      </w:r>
    </w:p>
    <w:p>
      <w:pPr>
        <w:pStyle w:val="ListBullet"/>
      </w:pPr>
      <w:r>
        <w:t>Indication de 1re intention pour les ménorragies de la VWD type 1 et 2.</w:t>
      </w:r>
    </w:p>
    <w:p>
      <w:pPr>
        <w:pStyle w:val="ListBullet"/>
      </w:pPr>
      <w:r>
        <w:t>Réduit les ménorragies de 50-70 % en augmentant le VWF hépatique.</w:t>
      </w:r>
    </w:p>
    <w:p>
      <w:pPr>
        <w:pStyle w:val="Heading3"/>
      </w:pPr>
      <w:r>
        <w:t>6. Particularités chez la femme enceinte</w:t>
      </w:r>
    </w:p>
    <w:p>
      <w:pPr>
        <w:pStyle w:val="ListBullet"/>
      </w:pPr>
      <w:r>
        <w:t>La grossesse augmente naturellement le VWF (×2-3 au 3e trimestre, retour à la normale en post-partum).</w:t>
      </w:r>
    </w:p>
    <w:p>
      <w:pPr>
        <w:pStyle w:val="ListBullet"/>
      </w:pPr>
      <w:r>
        <w:t xml:space="preserve">Risque principal : </w:t>
      </w:r>
      <w:r>
        <w:rPr>
          <w:b/>
        </w:rPr>
        <w:t>HPP (hémorragie du post-partum)</w:t>
      </w:r>
      <w:r>
        <w:t xml:space="preserve"> — particulièrement dans les types 1 sévères, 2, 3.</w:t>
      </w:r>
    </w:p>
    <w:p>
      <w:pPr>
        <w:pStyle w:val="ListBullet"/>
      </w:pPr>
      <w:r>
        <w:t>Stratégie : maintien du VWF ≥ 50 UI/dL pendant le travail et ≥ 30 UI/dL pendant 7-14 jours post-partum.</w:t>
      </w:r>
    </w:p>
    <w:p>
      <w:pPr>
        <w:pStyle w:val="ListBullet"/>
      </w:pPr>
      <w:r>
        <w:t>Pour les types 1 modérés/légers : DDAVP pendant le travail (avec surveillance hyponatrémie).</w:t>
      </w:r>
    </w:p>
    <w:p>
      <w:pPr>
        <w:pStyle w:val="ListBullet"/>
      </w:pPr>
      <w:r>
        <w:t>Pour les types 2 et 3 : VWF concentré (HAEMATE P, FANDHI).</w:t>
      </w:r>
    </w:p>
    <w:p>
      <w:pPr>
        <w:pStyle w:val="ListBullet"/>
      </w:pPr>
      <w:r>
        <w:t>Contre-indication de l'anesthésie loco-régionale (ALR) si VWF &lt; 50 UI/dL (risque d'hématome péridural).</w:t>
      </w:r>
    </w:p>
    <w:p>
      <w:pPr>
        <w:pStyle w:val="Heading2"/>
      </w:pPr>
      <w:r>
        <w:t>234.1. DCI : Facteur VIII / Facteur von Willebrand (HAEMATE P)</w:t>
      </w:r>
    </w:p>
    <w:p>
      <w:pPr>
        <w:pStyle w:val="Heading3"/>
      </w:pPr>
      <w:r>
        <w:t>Sous-section 1 — Liste des catégories thérapeutiques</w:t>
      </w:r>
    </w:p>
    <w:p>
      <w:pPr>
        <w:pStyle w:val="ListBullet"/>
      </w:pPr>
      <w:r/>
      <w:r>
        <w:rPr>
          <w:b/>
        </w:rPr>
        <w:t>Code ATC</w:t>
      </w:r>
      <w:r>
        <w:t xml:space="preserve"> : </w:t>
      </w:r>
      <w:r>
        <w:rPr>
          <w:b/>
        </w:rPr>
        <w:t>B02BD32</w:t>
      </w:r>
      <w:r>
        <w:t xml:space="preserve"> — Complexe Facteur VIII + Facteur von Willebrand (enregistré en 2019 dans la classification ATC pour les spécialités combinées).</w:t>
      </w:r>
    </w:p>
    <w:p>
      <w:pPr>
        <w:pStyle w:val="ListBullet"/>
      </w:pPr>
      <w:r/>
      <w:r>
        <w:rPr>
          <w:b/>
        </w:rPr>
        <w:t>Classe pharmacologique</w:t>
      </w:r>
      <w:r>
        <w:t xml:space="preserve"> : concentré plasmatique combiné FVIII + VWF, ratio FVIII:VWF ~1:2 (HAEMATE P 250/500/1000 UI FVIII : 1600/1200/2400 UI VWF).</w:t>
      </w:r>
    </w:p>
    <w:p>
      <w:pPr>
        <w:pStyle w:val="ListBullet"/>
      </w:pPr>
      <w:r/>
      <w:r>
        <w:rPr>
          <w:b/>
        </w:rPr>
        <w:t>Statut réglementaire Algérie</w:t>
      </w:r>
      <w:r>
        <w:t xml:space="preserve"> : Liste I (substance vénéneuse), prescription réservée aux médecins spécialistes en hématologie, gynécologie-obstétrique ou pédiatrie avec formation à la VWD, délivrance hospitalière (PUI).</w:t>
      </w:r>
    </w:p>
    <w:p>
      <w:pPr>
        <w:pStyle w:val="ListBullet"/>
      </w:pPr>
      <w:r/>
      <w:r>
        <w:rPr>
          <w:b/>
        </w:rPr>
        <w:t>Statut OMS</w:t>
      </w:r>
      <w:r>
        <w:t xml:space="preserve"> : médicament essentiel (Model List of Essential Medicines 22nd edition, 2021, section « Antihemorrhagic medicines — von Willebrand factor »).</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HAEMATE P (CSL Behring GmbH, Allemagne) en 3 dosages (250/500/1000 UI FVIII).</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HAEMATE P 250/1600</w:t>
            </w:r>
          </w:p>
        </w:tc>
        <w:tc>
          <w:tcPr>
            <w:tcW w:type="dxa" w:w="1385"/>
          </w:tcPr>
          <w:p>
            <w:r>
              <w:rPr>
                <w:rFonts w:ascii="Times New Roman" w:hAnsi="Times New Roman"/>
                <w:sz w:val="20"/>
              </w:rPr>
              <w:t>CSL Behring GmbH (Allemagne)</w:t>
            </w:r>
          </w:p>
        </w:tc>
        <w:tc>
          <w:tcPr>
            <w:tcW w:type="dxa" w:w="1385"/>
          </w:tcPr>
          <w:p>
            <w:r>
              <w:rPr>
                <w:rFonts w:ascii="Times New Roman" w:hAnsi="Times New Roman"/>
                <w:sz w:val="20"/>
              </w:rPr>
              <w:t>Poudre et solvant pour solution injectable ou perfusion, **250 UI FVIII + 1600 UI VWF** (ratio FVIII:VWF = 1:6,4)</w:t>
            </w:r>
          </w:p>
        </w:tc>
        <w:tc>
          <w:tcPr>
            <w:tcW w:type="dxa" w:w="1385"/>
          </w:tcPr>
          <w:p>
            <w:r>
              <w:rPr>
                <w:rFonts w:ascii="Times New Roman" w:hAnsi="Times New Roman"/>
                <w:sz w:val="20"/>
              </w:rPr>
              <w:t>Boîte de 1 flacon de poudre + 1 flacon de solvant + un dispositif de transfert 20/20</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HAEMATE P 500/1200</w:t>
            </w:r>
          </w:p>
        </w:tc>
        <w:tc>
          <w:tcPr>
            <w:tcW w:type="dxa" w:w="1385"/>
          </w:tcPr>
          <w:p>
            <w:r>
              <w:rPr>
                <w:rFonts w:ascii="Times New Roman" w:hAnsi="Times New Roman"/>
                <w:sz w:val="20"/>
              </w:rPr>
              <w:t>CSL Behring GmbH (Allemagne)</w:t>
            </w:r>
          </w:p>
        </w:tc>
        <w:tc>
          <w:tcPr>
            <w:tcW w:type="dxa" w:w="1385"/>
          </w:tcPr>
          <w:p>
            <w:r>
              <w:rPr>
                <w:rFonts w:ascii="Times New Roman" w:hAnsi="Times New Roman"/>
                <w:sz w:val="20"/>
              </w:rPr>
              <w:t>Poudre et solvant pour solution injectable ou perfusion, **500 UI FVIII + 1200 UI VWF** (ratio FVIII:VWF = 1:2,4)</w:t>
            </w:r>
          </w:p>
        </w:tc>
        <w:tc>
          <w:tcPr>
            <w:tcW w:type="dxa" w:w="1385"/>
          </w:tcPr>
          <w:p>
            <w:r>
              <w:rPr>
                <w:rFonts w:ascii="Times New Roman" w:hAnsi="Times New Roman"/>
                <w:sz w:val="20"/>
              </w:rPr>
              <w:t>Boîte de 1 flacon de poudre + 1 flacon de solvant + un dispositif de transfert 20/20</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HAEMATE P 1000/2400</w:t>
            </w:r>
          </w:p>
        </w:tc>
        <w:tc>
          <w:tcPr>
            <w:tcW w:type="dxa" w:w="1385"/>
          </w:tcPr>
          <w:p>
            <w:r>
              <w:rPr>
                <w:rFonts w:ascii="Times New Roman" w:hAnsi="Times New Roman"/>
                <w:sz w:val="20"/>
              </w:rPr>
              <w:t>CSL Behring GmbH (Allemagne)</w:t>
            </w:r>
          </w:p>
        </w:tc>
        <w:tc>
          <w:tcPr>
            <w:tcW w:type="dxa" w:w="1385"/>
          </w:tcPr>
          <w:p>
            <w:r>
              <w:rPr>
                <w:rFonts w:ascii="Times New Roman" w:hAnsi="Times New Roman"/>
                <w:sz w:val="20"/>
              </w:rPr>
              <w:t>Poudre et solvant pour solution injectable ou perfusion, **1000 UI FVIII + 2400 UI VWF** (ratio FVIII:VWF = 1:2,4)</w:t>
            </w:r>
          </w:p>
        </w:tc>
        <w:tc>
          <w:tcPr>
            <w:tcW w:type="dxa" w:w="1385"/>
          </w:tcPr>
          <w:p>
            <w:r>
              <w:rPr>
                <w:rFonts w:ascii="Times New Roman" w:hAnsi="Times New Roman"/>
                <w:sz w:val="20"/>
              </w:rPr>
              <w:t>Boîte de 1 flacon de poudre + 1 flacon de solvant + un dispositif de transfert 20/20</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du ratio FVIII:VWF</w:t>
      </w:r>
      <w:r>
        <w:t xml:space="preserve"> :</w:t>
      </w:r>
    </w:p>
    <w:p>
      <w:pPr>
        <w:pStyle w:val="ListBullet"/>
      </w:pPr>
      <w:r>
        <w:t xml:space="preserve">Le dosage 250/1600 (ratio 1:6,4) est dit </w:t>
      </w:r>
      <w:r>
        <w:rPr>
          <w:b/>
        </w:rPr>
        <w:t>« VWF-dominé »</w:t>
      </w:r>
      <w:r>
        <w:t xml:space="preserve"> : recommandé pour les types 3 et 2 sévères (besoin majeur en VWF, FVIII secondaire).</w:t>
      </w:r>
    </w:p>
    <w:p>
      <w:pPr>
        <w:pStyle w:val="ListBullet"/>
      </w:pPr>
      <w:r>
        <w:t xml:space="preserve">Les dosages 500/1200 et 1000/2400 (ratio 1:2,4) sont dit </w:t>
      </w:r>
      <w:r>
        <w:rPr>
          <w:b/>
        </w:rPr>
        <w:t>« équilibrés »</w:t>
      </w:r>
      <w:r>
        <w:t xml:space="preserve"> : recommandés pour les types 1 et 2 modérés (besoin en FVIII et VWF équivalent).</w:t>
      </w:r>
    </w:p>
    <w:p>
      <w:pPr>
        <w:pStyle w:val="ListBullet"/>
      </w:pPr>
      <w:r>
        <w:t>Cette particularité permet d'adapter le choix du dosage au type de VWD.</w:t>
      </w:r>
    </w:p>
    <w:p>
      <w:pPr>
        <w:pStyle w:val="Heading3"/>
      </w:pPr>
      <w:r>
        <w:t>Sous-section 3 — Sous-classe et mécanisme d'action moléculaire</w:t>
      </w:r>
    </w:p>
    <w:p>
      <w:r/>
      <w:r>
        <w:rPr>
          <w:b/>
        </w:rPr>
        <w:t>Sous-classe pharmacologique</w:t>
      </w:r>
      <w:r>
        <w:t xml:space="preserve"> : B02BD32 — Complexe Facteur VIII + Facteur von Willebrand (concentré plasmatique combiné). À ne pas confondre avec B02BD03 (pdFVIII seul) ou B02BD31 (VWF seul).</w:t>
      </w:r>
    </w:p>
    <w:p>
      <w:r/>
      <w:r>
        <w:rPr>
          <w:b/>
        </w:rPr>
        <w:t>Structure moléculaire</w:t>
      </w:r>
      <w:r>
        <w:t xml:space="preserve"> :</w:t>
      </w:r>
    </w:p>
    <w:p>
      <w:pPr>
        <w:pStyle w:val="ListBullet"/>
      </w:pPr>
      <w:r>
        <w:t xml:space="preserve">Le HAEMATE P est obtenu par fractionnement plasmatique industriel à partir de plasma humain poolé (pool de plusieurs milliers de dons qualifiés biologiquement). Le fractionnement utilise la méthode </w:t>
      </w:r>
      <w:r>
        <w:rPr>
          <w:b/>
        </w:rPr>
        <w:t>Cohn-Oncley modifiée</w:t>
      </w:r>
      <w:r>
        <w:t xml:space="preserve"> (cf. fiche 231.3 pour l'albumine) avec étapes spécifiques pour le VWF et le FVIII.</w:t>
      </w:r>
    </w:p>
    <w:p>
      <w:pPr>
        <w:pStyle w:val="ListBullet"/>
      </w:pPr>
      <w:r/>
      <w:r>
        <w:rPr>
          <w:b/>
        </w:rPr>
        <w:t>Composition</w:t>
      </w:r>
      <w:r>
        <w:t xml:space="preserve"> : FVIII:C (activité coagulante, ~250-1000 UI/flacon) + VWF:RCo (activité cofacteur de la ristocétine, ~1200-2400 UI/flacon) + autres protéines plasmatiques (fibronectine, immunoglobulines — traces).</w:t>
      </w:r>
    </w:p>
    <w:p>
      <w:pPr>
        <w:pStyle w:val="ListBullet"/>
      </w:pPr>
      <w:r/>
      <w:r>
        <w:rPr>
          <w:b/>
        </w:rPr>
        <w:t>Multimères VWF</w:t>
      </w:r>
      <w:r>
        <w:t xml:space="preserve"> : distribution quasi-normale, présence de tous les multimères (dont HMW — haut poids moléculaire, les plus actifs sur l'adhésion plaquettaire).</w:t>
      </w:r>
    </w:p>
    <w:p>
      <w:pPr>
        <w:pStyle w:val="ListBullet"/>
      </w:pPr>
      <w:r/>
      <w:r>
        <w:rPr>
          <w:b/>
        </w:rPr>
        <w:t>Stabilisateurs</w:t>
      </w:r>
      <w:r>
        <w:t xml:space="preserve"> : glycine, saccharose, chlorure de sodium, citrate de sodium.</w:t>
      </w:r>
    </w:p>
    <w:p>
      <w:pPr>
        <w:pStyle w:val="ListBullet"/>
      </w:pPr>
      <w:r/>
      <w:r>
        <w:rPr>
          <w:b/>
        </w:rPr>
        <w:t>Sécurité virale</w:t>
      </w:r>
      <w:r>
        <w:t xml:space="preserve"> : double inactivation virale — solvant-détergent (SD, inactivation virus enveloppés VIH/VHB/VHC/HTLV) + </w:t>
      </w:r>
      <w:r>
        <w:rPr>
          <w:b/>
        </w:rPr>
        <w:t>traitement thermique à 60 °C pendant 10 h</w:t>
      </w:r>
      <w:r>
        <w:t xml:space="preserve"> (pasteurisation, inactivation élargie des virus non enveloppés comme Parvovirus B19 et HAV).</w:t>
      </w:r>
    </w:p>
    <w:p>
      <w:r/>
      <w:r>
        <w:rPr>
          <w:b/>
        </w:rPr>
        <w:t>Mécanisme d'action</w:t>
      </w:r>
      <w:r>
        <w:t xml:space="preserve"> :</w:t>
      </w:r>
    </w:p>
    <w:p>
      <w:pPr>
        <w:pStyle w:val="ListNumber"/>
      </w:pPr>
      <w:r/>
      <w:r>
        <w:rPr>
          <w:b/>
        </w:rPr>
        <w:t>Stabilisation du FVIII</w:t>
      </w:r>
      <w:r>
        <w:t xml:space="preserve"> : le VWF administré se lie au FVIII exogène (et au FVIII endogène résiduel), formant le complexe VWF-FVIII qui protège le FVIII de la protéolyse et de la clairance prématurée. La demi-vie du FVIII passe de ~2 h (libre) à ~12-15 h (lié au VWF).</w:t>
      </w:r>
    </w:p>
    <w:p>
      <w:pPr>
        <w:pStyle w:val="ListNumber"/>
      </w:pPr>
      <w:r/>
      <w:r>
        <w:rPr>
          <w:b/>
        </w:rPr>
        <w:t>Adhésion plaquettaire</w:t>
      </w:r>
      <w:r>
        <w:t xml:space="preserve"> : le VWF se lie au collagène sous-endothélial (via le domaine A3) exposé après lésion vasculaire, et au récepteur plaquettaire </w:t>
      </w:r>
      <w:r>
        <w:rPr>
          <w:b/>
        </w:rPr>
        <w:t>GPIb-IX-V</w:t>
      </w:r>
      <w:r>
        <w:t xml:space="preserve"> (via le domaine A1) sous shear stress élevé.</w:t>
      </w:r>
    </w:p>
    <w:p>
      <w:pPr>
        <w:pStyle w:val="ListNumber"/>
      </w:pPr>
      <w:r/>
      <w:r>
        <w:rPr>
          <w:b/>
        </w:rPr>
        <w:t>Restauration de l'hémostase primaire</w:t>
      </w:r>
      <w:r>
        <w:t xml:space="preserve"> : la perfusion de VWF restaure l'adhésion plaquettaire au sous-endothélium, normale en cas de VWD.</w:t>
      </w:r>
    </w:p>
    <w:p>
      <w:pPr>
        <w:pStyle w:val="ListNumber"/>
      </w:pPr>
      <w:r/>
      <w:r>
        <w:rPr>
          <w:b/>
        </w:rPr>
        <w:t>Restauration de la coagulation</w:t>
      </w:r>
      <w:r>
        <w:t xml:space="preserve"> : la perfusion simultanée de FVIII restaure la voie intrinsèque (complexe tenase intrinsèque) et corrige l'allongement du TCA.</w:t>
      </w:r>
    </w:p>
    <w:p>
      <w:r/>
      <w:r>
        <w:rPr>
          <w:b/>
        </w:rPr>
        <w:t>Effet pharmacodynamique</w:t>
      </w:r>
      <w:r>
        <w:t xml:space="preserve"> :</w:t>
      </w:r>
    </w:p>
    <w:p>
      <w:pPr>
        <w:pStyle w:val="ListBullet"/>
      </w:pPr>
      <w:r>
        <w:t xml:space="preserve">L'administration IV de 1 UI/kg de VWF augmente le VWF:RCo plasmatique d'environ </w:t>
      </w:r>
      <w:r>
        <w:rPr>
          <w:b/>
        </w:rPr>
        <w:t>1,5-2,0 UI/dL</w:t>
      </w:r>
      <w:r>
        <w:t>.</w:t>
      </w:r>
    </w:p>
    <w:p>
      <w:pPr>
        <w:pStyle w:val="ListBullet"/>
      </w:pPr>
      <w:r>
        <w:t xml:space="preserve">L'administration IV de 1 UI/kg de FVIII augmente le FVIII:C plasmatique d'environ </w:t>
      </w:r>
      <w:r>
        <w:rPr>
          <w:b/>
        </w:rPr>
        <w:t>1,5-2,0 UI/dL</w:t>
      </w:r>
      <w:r>
        <w:t xml:space="preserve"> (le récovery est amélioré par la présence du VWF, qui stabilise le FVIII).</w:t>
      </w:r>
    </w:p>
    <w:p>
      <w:pPr>
        <w:pStyle w:val="ListBullet"/>
      </w:pPr>
      <w:r>
        <w:t xml:space="preserve">La </w:t>
      </w:r>
      <w:r>
        <w:rPr>
          <w:b/>
        </w:rPr>
        <w:t>demi-vie plasmatique</w:t>
      </w:r>
      <w:r>
        <w:t xml:space="preserve"> du VWF est de </w:t>
      </w:r>
      <w:r>
        <w:rPr>
          <w:b/>
        </w:rPr>
        <w:t>10-14 h</w:t>
      </w:r>
      <w:r>
        <w:t xml:space="preserve">, celle du FVIII est de </w:t>
      </w:r>
      <w:r>
        <w:rPr>
          <w:b/>
        </w:rPr>
        <w:t>12-15 h</w:t>
      </w:r>
      <w:r>
        <w:t xml:space="preserve"> (prolongée par le VWF).</w:t>
      </w:r>
    </w:p>
    <w:p>
      <w:pPr>
        <w:pStyle w:val="ListBullet"/>
      </w:pPr>
      <w:r>
        <w:t>Le TCA se corrige ; le temps de saignement se normalise en 1-2 h après perfusion.</w:t>
      </w:r>
    </w:p>
    <w:p>
      <w:r/>
      <w:r>
        <w:rPr>
          <w:b/>
        </w:rPr>
        <w:t>Particularité pharmacocinétique</w:t>
      </w:r>
      <w:r>
        <w:t xml:space="preserve"> :</w:t>
      </w:r>
    </w:p>
    <w:p>
      <w:pPr>
        <w:pStyle w:val="ListBullet"/>
      </w:pPr>
      <w:r/>
      <w:r>
        <w:rPr>
          <w:b/>
        </w:rPr>
        <w:t>Pic de VWF</w:t>
      </w:r>
      <w:r>
        <w:t xml:space="preserve"> à 30-60 min (immédiat).</w:t>
      </w:r>
    </w:p>
    <w:p>
      <w:pPr>
        <w:pStyle w:val="ListBullet"/>
      </w:pPr>
      <w:r/>
      <w:r>
        <w:rPr>
          <w:b/>
        </w:rPr>
        <w:t>Pic de FVIII</w:t>
      </w:r>
      <w:r>
        <w:t xml:space="preserve"> retardé à 4-6 h (le FVIII doit d'abord être stabilisé par le VWF endogène nouvellement perfusé avant d'être libéré progressivement).</w:t>
      </w:r>
    </w:p>
    <w:p>
      <w:pPr>
        <w:pStyle w:val="ListBullet"/>
      </w:pPr>
      <w:r/>
      <w:r>
        <w:rPr>
          <w:b/>
        </w:rPr>
        <w:t>Conséquence clinique</w:t>
      </w:r>
      <w:r>
        <w:t xml:space="preserve"> : pour une chirurgie urgente, perfuser le HAEMATE P </w:t>
      </w:r>
      <w:r>
        <w:rPr>
          <w:b/>
        </w:rPr>
        <w:t>4-6 h avant le geste</w:t>
      </w:r>
      <w:r>
        <w:t xml:space="preserve"> pour obtenir un pic de FVIII optimal. Pour une chirurgie programmée, perfuser la veille au soir + dose de charge le matin.</w:t>
      </w:r>
    </w:p>
    <w:p>
      <w:pPr>
        <w:pStyle w:val="Heading3"/>
      </w:pPr>
      <w:r>
        <w:t>Sous-section 4 — Profil pharmacologique : indications, contre-indications, effets indésirables</w:t>
      </w:r>
    </w:p>
    <w:p>
      <w:pPr>
        <w:pStyle w:val="Heading4"/>
      </w:pPr>
      <w:r>
        <w:t>Indications validées (RCP)</w:t>
      </w:r>
    </w:p>
    <w:p>
      <w:pPr>
        <w:pStyle w:val="ListNumber"/>
      </w:pPr>
      <w:r/>
      <w:r>
        <w:rPr>
          <w:b/>
        </w:rPr>
        <w:t>Maladie de Willebrand (VWD)</w:t>
      </w:r>
      <w:r>
        <w:t xml:space="preserve"> :</w:t>
      </w:r>
    </w:p>
    <w:p>
      <w:pPr>
        <w:pStyle w:val="ListBullet"/>
      </w:pPr>
      <w:r/>
      <w:r>
        <w:rPr>
          <w:b/>
        </w:rPr>
        <w:t>Type 3</w:t>
      </w:r>
      <w:r>
        <w:t xml:space="preserve"> (sévère, VWF &lt; 1 UI/dL) — traitement prophylactique et à la demande.</w:t>
      </w:r>
    </w:p>
    <w:p>
      <w:pPr>
        <w:pStyle w:val="ListBullet"/>
      </w:pPr>
      <w:r/>
      <w:r>
        <w:rPr>
          <w:b/>
        </w:rPr>
        <w:t>Type 2</w:t>
      </w:r>
      <w:r>
        <w:t xml:space="preserve"> (2A, 2B, 2M, 2N) — traitement des saignements et prévention chirurgicale, en particulier en cas de non-réponse à la desmopressine.</w:t>
      </w:r>
    </w:p>
    <w:p>
      <w:pPr>
        <w:pStyle w:val="ListBullet"/>
      </w:pPr>
      <w:r/>
      <w:r>
        <w:rPr>
          <w:b/>
        </w:rPr>
        <w:t>Type 1</w:t>
      </w:r>
      <w:r>
        <w:t xml:space="preserve"> sévère non-répondant à la desmopressine.</w:t>
      </w:r>
    </w:p>
    <w:p>
      <w:pPr>
        <w:pStyle w:val="ListNumber"/>
      </w:pPr>
      <w:r/>
      <w:r>
        <w:rPr>
          <w:b/>
        </w:rPr>
        <w:t>Couverture chirurgicale</w:t>
      </w:r>
      <w:r>
        <w:t xml:space="preserve"> chez le patient VWD (chirurgie programmée ou urgente).</w:t>
      </w:r>
    </w:p>
    <w:p>
      <w:pPr>
        <w:pStyle w:val="ListNumber"/>
      </w:pPr>
      <w:r/>
      <w:r>
        <w:rPr>
          <w:b/>
        </w:rPr>
        <w:t>Couverture péri-partum</w:t>
      </w:r>
      <w:r>
        <w:t xml:space="preserve"> des femmes VWD symptomatiques (prévention HPP).</w:t>
      </w:r>
    </w:p>
    <w:p>
      <w:pPr>
        <w:pStyle w:val="ListNumber"/>
      </w:pPr>
      <w:r/>
      <w:r>
        <w:rPr>
          <w:b/>
        </w:rPr>
        <w:t>Hémophilie A</w:t>
      </w:r>
      <w:r>
        <w:t xml:space="preserve"> en cas d'inhibiteur anti-FVIII de bas titre (low responder, &lt; 5 UB) — le VWF peut masquer l'inhibiteur et stabiliser le FVIII résiduel (utilisation off-label).</w:t>
      </w:r>
    </w:p>
    <w:p>
      <w:pPr>
        <w:pStyle w:val="ListNumber"/>
      </w:pPr>
      <w:r/>
      <w:r>
        <w:rPr>
          <w:b/>
        </w:rPr>
        <w:t>Hémophilie A acquise</w:t>
      </w:r>
      <w:r>
        <w:t xml:space="preserve"> (auto-anticorps anti-FVIII) — traitement des saignements en association avec by-passing agents.</w:t>
      </w:r>
    </w:p>
    <w:p>
      <w:pPr>
        <w:pStyle w:val="Heading4"/>
      </w:pPr>
      <w:r>
        <w:t>Contre-indications absolues</w:t>
      </w:r>
    </w:p>
    <w:p>
      <w:pPr>
        <w:pStyle w:val="ListNumber"/>
      </w:pPr>
      <w:r/>
      <w:r>
        <w:rPr>
          <w:b/>
        </w:rPr>
        <w:t>Hypersensibilité avérée</w:t>
      </w:r>
      <w:r>
        <w:t xml:space="preserve"> aux protéines humaines, à l'un des excipients, ou antécédent d'anaphylaxie à un PSS.</w:t>
      </w:r>
    </w:p>
    <w:p>
      <w:pPr>
        <w:pStyle w:val="ListNumber"/>
      </w:pPr>
      <w:r/>
      <w:r>
        <w:rPr>
          <w:b/>
        </w:rPr>
        <w:t>Inhibiteur anti-VWF</w:t>
      </w:r>
      <w:r>
        <w:t xml:space="preserve"> (rare, dans le type 3 multitransfusé) — inefficacité attendue.</w:t>
      </w:r>
    </w:p>
    <w:p>
      <w:pPr>
        <w:pStyle w:val="ListNumber"/>
      </w:pPr>
      <w:r/>
      <w:r>
        <w:rPr>
          <w:b/>
        </w:rPr>
        <w:t>Patients IgA-déficients avec anticorps anti-IgA</w:t>
      </w:r>
      <w:r>
        <w:t xml:space="preserve"> — risque majeur d'anaphylaxie.</w:t>
      </w:r>
    </w:p>
    <w:p>
      <w:pPr>
        <w:pStyle w:val="ListNumber"/>
      </w:pPr>
      <w:r/>
      <w:r>
        <w:rPr>
          <w:b/>
        </w:rPr>
        <w:t>Allergie connue à l'héparine</w:t>
      </w:r>
      <w:r>
        <w:t xml:space="preserve"> (HAEMATE P ne contient pas d'héparine, mais à vérifier selon lot).</w:t>
      </w:r>
    </w:p>
    <w:p>
      <w:pPr>
        <w:pStyle w:val="Heading4"/>
      </w:pPr>
      <w:r>
        <w:t>Contre-indications relatives</w:t>
      </w:r>
    </w:p>
    <w:p>
      <w:pPr>
        <w:pStyle w:val="ListNumber"/>
      </w:pPr>
      <w:r/>
      <w:r>
        <w:rPr>
          <w:b/>
        </w:rPr>
        <w:t>Thrombose veineuse ou artérielle récente</w:t>
      </w:r>
      <w:r>
        <w:t xml:space="preserve"> (&lt; 3 mois) — le VWF et le FVIII sont procoagulants, risque de récidive thrombotique.</w:t>
      </w:r>
    </w:p>
    <w:p>
      <w:pPr>
        <w:pStyle w:val="ListNumber"/>
      </w:pPr>
      <w:r/>
      <w:r>
        <w:rPr>
          <w:b/>
        </w:rPr>
        <w:t>Syndrome des antiphospholipides</w:t>
      </w:r>
      <w:r>
        <w:t xml:space="preserve"> — risque thrombotique accru.</w:t>
      </w:r>
    </w:p>
    <w:p>
      <w:pPr>
        <w:pStyle w:val="ListNumber"/>
      </w:pPr>
      <w:r/>
      <w:r>
        <w:rPr>
          <w:b/>
        </w:rPr>
        <w:t>Grossesse</w:t>
      </w:r>
      <w:r>
        <w:t xml:space="preserve"> : utilisable si nécessaire (CRAT), mais surveillance accrue en post-partum (risque thrombotique majoré).</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risque majoré chez les patients IgA-déficients.</w:t>
      </w:r>
    </w:p>
    <w:p>
      <w:pPr>
        <w:pStyle w:val="ListBullet"/>
      </w:pPr>
      <w:r/>
      <w:r>
        <w:rPr>
          <w:b/>
        </w:rPr>
        <w:t>Hypotension transitoire</w:t>
      </w:r>
      <w:r>
        <w:t xml:space="preserve"> (lors de perfusion rapide).</w:t>
      </w:r>
    </w:p>
    <w:p>
      <w:pPr>
        <w:pStyle w:val="ListBullet"/>
      </w:pPr>
      <w:r/>
      <w:r>
        <w:rPr>
          <w:b/>
        </w:rPr>
        <w:t>Nausées, vomissements</w:t>
      </w:r>
      <w:r>
        <w:t>.</w:t>
      </w:r>
    </w:p>
    <w:p>
      <w:r/>
      <w:r>
        <w:rPr>
          <w:b/>
        </w:rPr>
        <w:t>Effets indésirables rares (≥ 1/10 000)</w:t>
      </w:r>
      <w:r>
        <w:t xml:space="preserve"> :</w:t>
      </w:r>
    </w:p>
    <w:p>
      <w:pPr>
        <w:pStyle w:val="ListBullet"/>
      </w:pPr>
      <w:r/>
      <w:r>
        <w:rPr>
          <w:b/>
        </w:rPr>
        <w:t>Thrombose</w:t>
      </w:r>
      <w:r>
        <w:t xml:space="preserve"> (en particulier à doses cumulées &gt; 200 UI/kg/24 h, ou chez les patients à risque thrombotique — VWF et FVIII sont procoagulants).</w:t>
      </w:r>
    </w:p>
    <w:p>
      <w:pPr>
        <w:pStyle w:val="ListBullet"/>
      </w:pPr>
      <w:r/>
      <w:r>
        <w:rPr>
          <w:b/>
        </w:rPr>
        <w:t>Réaction d'hypersensibilité retardée</w:t>
      </w:r>
      <w:r>
        <w:t xml:space="preserve"> (maladie sérique).</w:t>
      </w:r>
    </w:p>
    <w:p>
      <w:pPr>
        <w:pStyle w:val="ListBullet"/>
      </w:pPr>
      <w:r/>
      <w:r>
        <w:rPr>
          <w:b/>
        </w:rPr>
        <w:t>Hémolyse</w:t>
      </w:r>
      <w:r>
        <w:t xml:space="preserve"> (chez les patients de groupe sanguin A, B, AB — HAEMATE P contient des isohémagglutinines anti-A et anti-B résiduelles).</w:t>
      </w:r>
    </w:p>
    <w:p>
      <w:pPr>
        <w:pStyle w:val="ListBullet"/>
      </w:pPr>
      <w:r/>
      <w:r>
        <w:rPr>
          <w:b/>
        </w:rPr>
        <w:t>Inhibiteur anti-VWF</w:t>
      </w:r>
      <w:r>
        <w:t xml:space="preserve"> (rare, dans le type 3 multitransfusé).</w:t>
      </w:r>
    </w:p>
    <w:p>
      <w:r/>
      <w:r>
        <w:rPr>
          <w:b/>
        </w:rPr>
        <w:t>Effets indésirables très rares</w:t>
      </w:r>
      <w:r>
        <w:t xml:space="preserve"> :</w:t>
      </w:r>
    </w:p>
    <w:p>
      <w:pPr>
        <w:pStyle w:val="ListBullet"/>
      </w:pPr>
      <w:r/>
      <w:r>
        <w:rPr>
          <w:b/>
        </w:rPr>
        <w:t>Transmission d'agents infectieux</w:t>
      </w:r>
      <w:r>
        <w:t xml:space="preserve"> (VIH, VHB, VHC — risque résiduel théorique nul depuis les étapes d'inactivation virale systématiques ; Parvovirus B19 — risque résiduel réel mais très faible après pasteurisation 60 °C/10 h).</w:t>
      </w:r>
    </w:p>
    <w:p>
      <w:pPr>
        <w:pStyle w:val="ListBullet"/>
      </w:pPr>
      <w:r/>
      <w:r>
        <w:rPr>
          <w:b/>
        </w:rPr>
        <w:t>Transmission de prions</w:t>
      </w:r>
      <w:r>
        <w:t xml:space="preserve"> (variant de Creutzfeldt-Jakob) — risque théorique non documenté.</w:t>
      </w:r>
    </w:p>
    <w:p>
      <w:pPr>
        <w:pStyle w:val="Heading3"/>
      </w:pPr>
      <w:r>
        <w:t>Sous-section 5 — Prévention et gestion des effets indésirables</w:t>
      </w:r>
    </w:p>
    <w:p>
      <w:pPr>
        <w:pStyle w:val="Heading4"/>
      </w:pPr>
      <w:r>
        <w:t>Prévention des réactions d'hypersensibilité</w:t>
      </w:r>
    </w:p>
    <w:p>
      <w:pPr>
        <w:pStyle w:val="ListBullet"/>
      </w:pPr>
      <w:r/>
      <w:r>
        <w:rPr>
          <w:b/>
        </w:rPr>
        <w:t>Interrogatoire allergologique</w:t>
      </w:r>
      <w:r>
        <w:t xml:space="preserve"> préalable : antécédents d'allergie aux protéines animales, déficit en IgA (dosage pondéral IgA systématique avant la première administration), antécédents de réaction à un PSS.</w:t>
      </w:r>
    </w:p>
    <w:p>
      <w:pPr>
        <w:pStyle w:val="ListBullet"/>
      </w:pPr>
      <w:r/>
      <w:r>
        <w:rPr>
          <w:b/>
        </w:rPr>
        <w:t>Prick-test</w:t>
      </w:r>
      <w:r>
        <w:t xml:space="preserve"> préalable recommandé en cas d'antécédents.</w:t>
      </w:r>
    </w:p>
    <w:p>
      <w:pPr>
        <w:pStyle w:val="ListBullet"/>
      </w:pPr>
      <w:r/>
      <w:r>
        <w:rPr>
          <w:b/>
        </w:rPr>
        <w:t>Disponibilité du matériel de réanimation anaphylactique</w:t>
      </w:r>
      <w:r>
        <w:t xml:space="preserve"> à proximité (adrénaline IM 0,5 mg, antihistaminique IV, corticoïde IV, oxygène, intubation).</w:t>
      </w:r>
    </w:p>
    <w:p>
      <w:pPr>
        <w:pStyle w:val="ListBullet"/>
      </w:pPr>
      <w:r/>
      <w:r>
        <w:rPr>
          <w:b/>
        </w:rPr>
        <w:t>Perfusion lente</w:t>
      </w:r>
      <w:r>
        <w:t xml:space="preserve"> (≤ 3 mL/min pour la première dose, surveillance 30-60 min après la première administration chez tout patient naïf).</w:t>
      </w:r>
    </w:p>
    <w:p>
      <w:pPr>
        <w:pStyle w:val="ListBullet"/>
      </w:pPr>
      <w:r/>
      <w:r>
        <w:rPr>
          <w:b/>
        </w:rPr>
        <w:t>Pré-médication</w:t>
      </w:r>
      <w:r>
        <w:t xml:space="preserve"> antihistaminique (cétirizine 10 mg PO 1 h avant) en cas d'antécédents de réaction mineure.</w:t>
      </w:r>
    </w:p>
    <w:p>
      <w:pPr>
        <w:pStyle w:val="Heading4"/>
      </w:pPr>
      <w:r>
        <w:t>Prévention des complications thrombotiques</w:t>
      </w:r>
    </w:p>
    <w:p>
      <w:pPr>
        <w:pStyle w:val="ListBullet"/>
      </w:pPr>
      <w:r>
        <w:t>Surveillance clinique (douleur mollo-jambière, dyspnée, céphalées brutales) surtout chez les patients âgés, avec antécédents thrombotiques, en post-opératoire.</w:t>
      </w:r>
    </w:p>
    <w:p>
      <w:pPr>
        <w:pStyle w:val="ListBullet"/>
      </w:pPr>
      <w:r>
        <w:t>Surveillance biologique (D-dimères, fibrinogène, NFS-plaquettes) en cas de doses cumulées &gt; 200 UI/kg/24 h.</w:t>
      </w:r>
    </w:p>
    <w:p>
      <w:pPr>
        <w:pStyle w:val="ListBullet"/>
      </w:pPr>
      <w:r/>
      <w:r>
        <w:rPr>
          <w:b/>
        </w:rPr>
        <w:t>Éviter la surcharge en VWF</w:t>
      </w:r>
      <w:r>
        <w:t xml:space="preserve"> : en cas de chirurgie lourde prolongée, alternance avec pdFVIII seul (HAEMOCTIN SDH, OCTANATE) ou rFVIII (KOVALTRY, ADVATE) pour éviter l'accumulation de VWF.</w:t>
      </w:r>
    </w:p>
    <w:p>
      <w:pPr>
        <w:pStyle w:val="ListBullet"/>
      </w:pPr>
      <w:r/>
      <w:r>
        <w:rPr>
          <w:b/>
        </w:rPr>
        <w:t>Surveillance du FVIII</w:t>
      </w:r>
      <w:r>
        <w:t xml:space="preserve"> : ne pas dépasser un FVIII:C &gt; 250-300 UI/dL (risque thrombotique majeur au-delà).</w:t>
      </w:r>
    </w:p>
    <w:p>
      <w:pPr>
        <w:pStyle w:val="Heading4"/>
      </w:pPr>
      <w:r>
        <w:t>Prévention de la transmission virale</w:t>
      </w:r>
    </w:p>
    <w:p>
      <w:pPr>
        <w:pStyle w:val="ListBullet"/>
      </w:pPr>
      <w:r/>
      <w:r>
        <w:rPr>
          <w:b/>
        </w:rPr>
        <w:t>Vaccination hépatite A et B</w:t>
      </w:r>
      <w:r>
        <w:t xml:space="preserve"> systématique chez tout patient VWD avant la première exposition au PSS plasmatique.</w:t>
      </w:r>
    </w:p>
    <w:p>
      <w:pPr>
        <w:pStyle w:val="ListBullet"/>
      </w:pPr>
      <w:r/>
      <w:r>
        <w:rPr>
          <w:b/>
        </w:rPr>
        <w:t>Dépistage viral</w:t>
      </w:r>
      <w:r>
        <w:t xml:space="preserve"> systématique avant la première administration (sérologies VIH, VHB, VHC, HTLV) puis annuel.</w:t>
      </w:r>
    </w:p>
    <w:p>
      <w:pPr>
        <w:pStyle w:val="ListBullet"/>
      </w:pPr>
      <w:r/>
      <w:r>
        <w:rPr>
          <w:b/>
        </w:rPr>
        <w:t>Pharmacovigilance</w:t>
      </w:r>
      <w:r>
        <w:t xml:space="preserve"> : notification de toute infection virale survenant dans les 6 mois suivant l'administration de HAEMATE P.</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w:t>
      </w:r>
    </w:p>
    <w:p>
      <w:pPr>
        <w:pStyle w:val="ListBullet"/>
      </w:pPr>
      <w:r/>
      <w:r>
        <w:rPr>
          <w:b/>
        </w:rPr>
        <w:t>Surcharge volémique</w:t>
      </w:r>
      <w:r>
        <w:t xml:space="preserve"> : ralentir le débit, surveillance.</w:t>
      </w:r>
    </w:p>
    <w:p>
      <w:pPr>
        <w:pStyle w:val="ListBullet"/>
      </w:pPr>
      <w:r/>
      <w:r>
        <w:rPr>
          <w:b/>
        </w:rPr>
        <w:t>Thrombose</w:t>
      </w:r>
      <w:r>
        <w:t xml:space="preserve"> : arrêt du HAEMATE P, héparine à dose curative, bilan étiologique.</w:t>
      </w:r>
    </w:p>
    <w:p>
      <w:pPr>
        <w:pStyle w:val="ListBullet"/>
      </w:pPr>
      <w:r/>
      <w:r>
        <w:rPr>
          <w:b/>
        </w:rPr>
        <w:t>Hémolyse</w:t>
      </w:r>
      <w:r>
        <w:t xml:space="preserve"> (groupe A, B, AB) : surveillance clinique (ictère, urines foncées) et biologique (hémoglobine, haptoglobine, LDH). Réduire la dose ou changer de produit si hémolyse sévère.</w:t>
      </w:r>
    </w:p>
    <w:p>
      <w:pPr>
        <w:pStyle w:val="Heading3"/>
      </w:pPr>
      <w:r>
        <w:t>Sous-section 6 — Interactions médicamenteuses</w:t>
      </w:r>
    </w:p>
    <w:p>
      <w:pPr>
        <w:pStyle w:val="Heading4"/>
      </w:pPr>
      <w:r>
        <w:t>Interactions pharmacodynamiques</w:t>
      </w:r>
    </w:p>
    <w:p>
      <w:pPr>
        <w:pStyle w:val="ListBullet"/>
      </w:pPr>
      <w:r/>
      <w:r>
        <w:rPr>
          <w:b/>
        </w:rPr>
        <w:t>Antifibrinolytiques</w:t>
      </w:r>
      <w:r>
        <w:t xml:space="preserve"> (acide tranexamique, acide aminocaproïque) : synergie bénéfique pour les saignements muqueux. Association recommandée en prophylaxie dentaire et chirurgie buccale.</w:t>
      </w:r>
    </w:p>
    <w:p>
      <w:pPr>
        <w:pStyle w:val="ListBullet"/>
      </w:pPr>
      <w:r/>
      <w:r>
        <w:rPr>
          <w:b/>
        </w:rPr>
        <w:t>Desmopressine (DDAVP)</w:t>
      </w:r>
      <w:r>
        <w:t xml:space="preserve"> : association potentiellement utile en cas de chirurgie majeure chez VWD type 1 ou 2A (DDAVP libère le VWF endogène, HAEMATE P apporte le VWF et FVIII exogènes). </w:t>
      </w:r>
      <w:r>
        <w:rPr>
          <w:b/>
        </w:rPr>
        <w:t>Contre-indication absolue</w:t>
      </w:r>
      <w:r>
        <w:t xml:space="preserve"> en cas de VWD type 2B (la DDAVP libère le VWF anormal qui fixe les plaquettes → thrombopénie ++).</w:t>
      </w:r>
    </w:p>
    <w:p>
      <w:pPr>
        <w:pStyle w:val="ListBullet"/>
      </w:pPr>
      <w:r/>
      <w:r>
        <w:rPr>
          <w:b/>
        </w:rPr>
        <w:t>Antiagrégants plaquettaires</w:t>
      </w:r>
      <w:r>
        <w:t xml:space="preserve"> (aspirine, clopidogrel) : majoration du risque hémorragique — à éviter sauf indication vitale.</w:t>
      </w:r>
    </w:p>
    <w:p>
      <w:pPr>
        <w:pStyle w:val="ListBullet"/>
      </w:pPr>
      <w:r/>
      <w:r>
        <w:rPr>
          <w:b/>
        </w:rPr>
        <w:t>AINS</w:t>
      </w:r>
      <w:r>
        <w:t xml:space="preserve"> : majoration du risque hémorragique (gastrite, ulcère) — à éviter au long cours.</w:t>
      </w:r>
    </w:p>
    <w:p>
      <w:pPr>
        <w:pStyle w:val="ListBullet"/>
      </w:pPr>
      <w:r/>
      <w:r>
        <w:rPr>
          <w:b/>
        </w:rPr>
        <w:t>Anticoagulants oraux</w:t>
      </w:r>
      <w:r>
        <w:t xml:space="preserve"> (AVK, AOD) : contre-indication relative absolue en cas de VWD symptomatique.</w:t>
      </w:r>
    </w:p>
    <w:p>
      <w:pPr>
        <w:pStyle w:val="ListBullet"/>
      </w:pPr>
      <w:r/>
      <w:r>
        <w:rPr>
          <w:b/>
        </w:rPr>
        <w:t>Héparine</w:t>
      </w:r>
      <w:r>
        <w:t xml:space="preserve"> (HBPM, HNF) : risque hémorragique majeur — à éviter sauf indication vitale sous couverture stricte par VWF+FVIII.</w:t>
      </w:r>
    </w:p>
    <w:p>
      <w:pPr>
        <w:pStyle w:val="ListBullet"/>
      </w:pPr>
      <w:r/>
      <w:r>
        <w:rPr>
          <w:b/>
        </w:rPr>
        <w:t>Contraception orale estroprogestative</w:t>
      </w:r>
      <w:r>
        <w:t xml:space="preserve"> : synergie bénéfique pour les ménorragies de la VWD type 1 (augmente le VWF hépatique). Attention au risque thrombotique (estrogènes + VWF exogène).</w:t>
      </w:r>
    </w:p>
    <w:p>
      <w:pPr>
        <w:pStyle w:val="Heading4"/>
      </w:pPr>
      <w:r>
        <w:t>Interactions pharmacocinétiques</w:t>
      </w:r>
    </w:p>
    <w:p>
      <w:pPr>
        <w:pStyle w:val="ListBullet"/>
      </w:pPr>
      <w:r>
        <w:t>Aucune interaction significative rapportée (le VWF et le FVIII sont dégradés par protéolyse endogène).</w:t>
      </w:r>
    </w:p>
    <w:p>
      <w:pPr>
        <w:pStyle w:val="ListBullet"/>
      </w:pPr>
      <w:r/>
      <w:r>
        <w:rPr>
          <w:b/>
        </w:rPr>
        <w:t>Rétro-activation par le VWF endogène</w:t>
      </w:r>
      <w:r>
        <w:t xml:space="preserve"> : en cas de VWD type 3 (VWF endogène absent), la demi-vie du FVIII exogène est plus courte (~8-10 h vs ~12-15 h avec VWF présent). Préférer alors HAEMATE P (apporte les deux) plutôt que rFVIII seul.</w:t>
      </w:r>
    </w:p>
    <w:p>
      <w:pPr>
        <w:pStyle w:val="Heading4"/>
      </w:pPr>
      <w:r>
        <w:t>Incompatibilités physiques</w:t>
      </w:r>
    </w:p>
    <w:p>
      <w:pPr>
        <w:pStyle w:val="ListBullet"/>
      </w:pPr>
      <w:r>
        <w:t>Ne jamais mélanger le HAEMATE P avec d'autres médicaments dans la même tubulure.</w:t>
      </w:r>
    </w:p>
    <w:p>
      <w:pPr>
        <w:pStyle w:val="ListBullet"/>
      </w:pPr>
      <w:r>
        <w:t>Utiliser uniquement le solvant fourni (EPPI)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Le VWF (poids moléculaire ~250-20 000 kDa multimère) et le FVIII (260 kDa) ne traversent pas significativement la barrière placentaire. Aucun effet tératogène documenté.</w:t>
      </w:r>
    </w:p>
    <w:p>
      <w:pPr>
        <w:pStyle w:val="ListBullet"/>
      </w:pPr>
      <w:r/>
      <w:r>
        <w:rPr>
          <w:b/>
        </w:rPr>
        <w:t>Allaitement</w:t>
      </w:r>
      <w:r>
        <w:t xml:space="preserve"> : </w:t>
      </w:r>
      <w:r>
        <w:rPr>
          <w:b/>
        </w:rPr>
        <w:t>compatible</w:t>
      </w:r>
      <w:r>
        <w:t xml:space="preserve"> (CRAT). Le VWF et le FVIII passent en quantité négligeable dans le lait maternel ; digestion protéique néonatale. Aucun effet indésirable chez le nouveau-né allaité rapporté.</w:t>
      </w:r>
    </w:p>
    <w:p>
      <w:pPr>
        <w:pStyle w:val="Heading4"/>
      </w:pPr>
      <w:r>
        <w:t>Indications chez la femme enceinte VWD</w:t>
      </w:r>
    </w:p>
    <w:p>
      <w:pPr>
        <w:pStyle w:val="ListBullet"/>
      </w:pPr>
      <w:r/>
      <w:r>
        <w:rPr>
          <w:b/>
        </w:rPr>
        <w:t>Type 1 modéré/léger</w:t>
      </w:r>
      <w:r>
        <w:t xml:space="preserve"> : DDAVP pendant le travail (avec surveillance hyponatrémie). HAEMATE P si non-réponse à la DDAVP.</w:t>
      </w:r>
    </w:p>
    <w:p>
      <w:pPr>
        <w:pStyle w:val="ListBullet"/>
      </w:pPr>
      <w:r/>
      <w:r>
        <w:rPr>
          <w:b/>
        </w:rPr>
        <w:t>Type 2 et 3</w:t>
      </w:r>
      <w:r>
        <w:t xml:space="preserve"> : HAEMATE P pendant le travail et 7-14 jours post-partum.</w:t>
      </w:r>
    </w:p>
    <w:p>
      <w:pPr>
        <w:pStyle w:val="ListBullet"/>
      </w:pPr>
      <w:r/>
      <w:r>
        <w:rPr>
          <w:b/>
        </w:rPr>
        <w:t>Maintien du VWF ≥ 50 UI/dL</w:t>
      </w:r>
      <w:r>
        <w:t xml:space="preserve"> pendant le travail et ≥ 30 UI/dL pendant 7-14 jours post-partum.</w:t>
      </w:r>
    </w:p>
    <w:p>
      <w:pPr>
        <w:pStyle w:val="Heading4"/>
      </w:pPr>
      <w:r>
        <w:t>Posologie chez la femme enceinte</w:t>
      </w:r>
    </w:p>
    <w:p>
      <w:pPr>
        <w:pStyle w:val="ListBullet"/>
      </w:pPr>
      <w:r>
        <w:t>Dose : 20-40 UI VWF/kg en bolus IV avant le travail, puis 20-30 UI VWF/kg toutes les 12-24 h pendant 3-7 jours.</w:t>
      </w:r>
    </w:p>
    <w:p>
      <w:pPr>
        <w:pStyle w:val="ListBullet"/>
      </w:pPr>
      <w:r>
        <w:t>Surveillance du taux de VWF:RCo et FVIII:C toutes les 12-24 h pendant la période critique.</w:t>
      </w:r>
    </w:p>
    <w:p>
      <w:pPr>
        <w:pStyle w:val="ListBullet"/>
      </w:pPr>
      <w:r/>
      <w:r>
        <w:rPr>
          <w:b/>
        </w:rPr>
        <w:t>Contre-indication de l'anesthésie loco-régionale (ALR)</w:t>
      </w:r>
      <w:r>
        <w:t xml:space="preserve"> si VWF &lt; 50 UI/dL (risque d'hématome péridural).</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HAEMATE P (en UI VWF) est calculée selon la formule :</w:t>
      </w:r>
    </w:p>
    <w:p>
      <w:pPr>
        <w:ind w:left="567"/>
      </w:pPr>
      <w:r>
        <w:rPr>
          <w:i/>
          <w:color w:val="606060"/>
        </w:rPr>
        <w:t>**Dose (UI VWF) = Poids (kg) × ΔVWF souhaité (UI/dL) × 0,5**</w:t>
      </w:r>
    </w:p>
    <w:p>
      <w:r>
        <w:t xml:space="preserve">Le facteur </w:t>
      </w:r>
      <w:r>
        <w:rPr>
          <w:b/>
        </w:rPr>
        <w:t>0,5</w:t>
      </w:r>
      <w:r>
        <w:t xml:space="preserve"> reflète le récovery moyen du VWF (~1,5-2,0 UI/dL/UI/kg → inverse 0,5-0,7).</w:t>
      </w:r>
    </w:p>
    <w:p>
      <w:r/>
      <w:r>
        <w:rPr>
          <w:b/>
        </w:rPr>
        <w:t>Exemple clinique</w:t>
      </w:r>
      <w:r>
        <w:t xml:space="preserve"> :</w:t>
      </w:r>
    </w:p>
    <w:p>
      <w:pPr>
        <w:pStyle w:val="ListBullet"/>
      </w:pPr>
      <w:r>
        <w:t>Patiente VWD type 3, 60 kg, devant subir une cholécystectomie.</w:t>
      </w:r>
    </w:p>
    <w:p>
      <w:pPr>
        <w:pStyle w:val="ListBullet"/>
      </w:pPr>
      <w:r>
        <w:t>Objectif : VWF:RCo ≥ 80 UI/dL (chirurgie majeure).</w:t>
      </w:r>
    </w:p>
    <w:p>
      <w:pPr>
        <w:pStyle w:val="ListBullet"/>
      </w:pPr>
      <w:r>
        <w:t xml:space="preserve">Dose = 60 × 80 × 0,5 = </w:t>
      </w:r>
      <w:r>
        <w:rPr>
          <w:b/>
        </w:rPr>
        <w:t>2 400 UI VWF</w:t>
      </w:r>
      <w:r>
        <w:t xml:space="preserve"> → utiliser HAEMATE P 1000/2400 (apporte 1000 UI FVIII + 2400 UI VWF).</w:t>
      </w:r>
    </w:p>
    <w:p>
      <w:pPr>
        <w:pStyle w:val="ListBullet"/>
      </w:pPr>
      <w:r>
        <w:t>Ré-injection à 24 h si besoin (demi-vie VWF ~12 h).</w:t>
      </w:r>
    </w:p>
    <w:p>
      <w:pPr>
        <w:pStyle w:val="Heading4"/>
      </w:pPr>
      <w:r>
        <w:t>Posologie selon le type de saignement et de chirurgie</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 de saignement</w:t>
            </w:r>
          </w:p>
        </w:tc>
        <w:tc>
          <w:tcPr>
            <w:tcW w:type="dxa" w:w="2078"/>
            <w:shd w:val="clear" w:color="auto" w:fill="F2F2F2"/>
          </w:tcPr>
          <w:p>
            <w:r>
              <w:rPr>
                <w:rFonts w:ascii="Times New Roman" w:hAnsi="Times New Roman"/>
                <w:b/>
                <w:sz w:val="20"/>
              </w:rPr>
              <w:t>Taux cible VWF:RCo</w:t>
            </w:r>
          </w:p>
        </w:tc>
        <w:tc>
          <w:tcPr>
            <w:tcW w:type="dxa" w:w="2078"/>
            <w:shd w:val="clear" w:color="auto" w:fill="F2F2F2"/>
          </w:tcPr>
          <w:p>
            <w:r>
              <w:rPr>
                <w:rFonts w:ascii="Times New Roman" w:hAnsi="Times New Roman"/>
                <w:b/>
                <w:sz w:val="20"/>
              </w:rPr>
              <w:t>Dose initiale (UI VWF/kg)</w:t>
            </w:r>
          </w:p>
        </w:tc>
        <w:tc>
          <w:tcPr>
            <w:tcW w:type="dxa" w:w="2078"/>
            <w:shd w:val="clear" w:color="auto" w:fill="F2F2F2"/>
          </w:tcPr>
          <w:p>
            <w:r>
              <w:rPr>
                <w:rFonts w:ascii="Times New Roman" w:hAnsi="Times New Roman"/>
                <w:b/>
                <w:sz w:val="20"/>
              </w:rPr>
              <w:t>Durée</w:t>
            </w:r>
          </w:p>
        </w:tc>
      </w:tr>
      <w:tr>
        <w:tc>
          <w:tcPr>
            <w:tcW w:type="dxa" w:w="2078"/>
          </w:tcPr>
          <w:p>
            <w:r>
              <w:rPr>
                <w:rFonts w:ascii="Times New Roman" w:hAnsi="Times New Roman"/>
                <w:sz w:val="20"/>
              </w:rPr>
              <w:t>Saignement mineur (épistaxis, gingivorragie)</w:t>
            </w:r>
          </w:p>
        </w:tc>
        <w:tc>
          <w:tcPr>
            <w:tcW w:type="dxa" w:w="2078"/>
          </w:tcPr>
          <w:p>
            <w:r>
              <w:rPr>
                <w:rFonts w:ascii="Times New Roman" w:hAnsi="Times New Roman"/>
                <w:sz w:val="20"/>
              </w:rPr>
              <w:t>30-50 UI/dL</w:t>
            </w:r>
          </w:p>
        </w:tc>
        <w:tc>
          <w:tcPr>
            <w:tcW w:type="dxa" w:w="2078"/>
          </w:tcPr>
          <w:p>
            <w:r>
              <w:rPr>
                <w:rFonts w:ascii="Times New Roman" w:hAnsi="Times New Roman"/>
                <w:sz w:val="20"/>
              </w:rPr>
              <w:t>20-30 UI/kg</w:t>
            </w:r>
          </w:p>
        </w:tc>
        <w:tc>
          <w:tcPr>
            <w:tcW w:type="dxa" w:w="2078"/>
          </w:tcPr>
          <w:p>
            <w:r>
              <w:rPr>
                <w:rFonts w:ascii="Times New Roman" w:hAnsi="Times New Roman"/>
                <w:sz w:val="20"/>
              </w:rPr>
              <w:t>1-3 jours</w:t>
            </w:r>
          </w:p>
        </w:tc>
      </w:tr>
      <w:tr>
        <w:tc>
          <w:tcPr>
            <w:tcW w:type="dxa" w:w="2078"/>
          </w:tcPr>
          <w:p>
            <w:r>
              <w:rPr>
                <w:rFonts w:ascii="Times New Roman" w:hAnsi="Times New Roman"/>
                <w:sz w:val="20"/>
              </w:rPr>
              <w:t>Ménorragie aiguë</w:t>
            </w:r>
          </w:p>
        </w:tc>
        <w:tc>
          <w:tcPr>
            <w:tcW w:type="dxa" w:w="2078"/>
          </w:tcPr>
          <w:p>
            <w:r>
              <w:rPr>
                <w:rFonts w:ascii="Times New Roman" w:hAnsi="Times New Roman"/>
                <w:sz w:val="20"/>
              </w:rPr>
              <w:t>50 UI/dL</w:t>
            </w:r>
          </w:p>
        </w:tc>
        <w:tc>
          <w:tcPr>
            <w:tcW w:type="dxa" w:w="2078"/>
          </w:tcPr>
          <w:p>
            <w:r>
              <w:rPr>
                <w:rFonts w:ascii="Times New Roman" w:hAnsi="Times New Roman"/>
                <w:sz w:val="20"/>
              </w:rPr>
              <w:t>30-40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Hémarthrose</w:t>
            </w:r>
          </w:p>
        </w:tc>
        <w:tc>
          <w:tcPr>
            <w:tcW w:type="dxa" w:w="2078"/>
          </w:tcPr>
          <w:p>
            <w:r>
              <w:rPr>
                <w:rFonts w:ascii="Times New Roman" w:hAnsi="Times New Roman"/>
                <w:sz w:val="20"/>
              </w:rPr>
              <w:t>50-80 UI/dL</w:t>
            </w:r>
          </w:p>
        </w:tc>
        <w:tc>
          <w:tcPr>
            <w:tcW w:type="dxa" w:w="2078"/>
          </w:tcPr>
          <w:p>
            <w:r>
              <w:rPr>
                <w:rFonts w:ascii="Times New Roman" w:hAnsi="Times New Roman"/>
                <w:sz w:val="20"/>
              </w:rPr>
              <w:t>40-50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Hémorragie digestive</w:t>
            </w:r>
          </w:p>
        </w:tc>
        <w:tc>
          <w:tcPr>
            <w:tcW w:type="dxa" w:w="2078"/>
          </w:tcPr>
          <w:p>
            <w:r>
              <w:rPr>
                <w:rFonts w:ascii="Times New Roman" w:hAnsi="Times New Roman"/>
                <w:sz w:val="20"/>
              </w:rPr>
              <w:t>80-100 UI/dL</w:t>
            </w:r>
          </w:p>
        </w:tc>
        <w:tc>
          <w:tcPr>
            <w:tcW w:type="dxa" w:w="2078"/>
          </w:tcPr>
          <w:p>
            <w:r>
              <w:rPr>
                <w:rFonts w:ascii="Times New Roman" w:hAnsi="Times New Roman"/>
                <w:sz w:val="20"/>
              </w:rPr>
              <w:t>50-60 UI/kg</w:t>
            </w:r>
          </w:p>
        </w:tc>
        <w:tc>
          <w:tcPr>
            <w:tcW w:type="dxa" w:w="2078"/>
          </w:tcPr>
          <w:p>
            <w:r>
              <w:rPr>
                <w:rFonts w:ascii="Times New Roman" w:hAnsi="Times New Roman"/>
                <w:sz w:val="20"/>
              </w:rPr>
              <w:t>5-7 jours</w:t>
            </w:r>
          </w:p>
        </w:tc>
      </w:tr>
      <w:tr>
        <w:tc>
          <w:tcPr>
            <w:tcW w:type="dxa" w:w="2078"/>
          </w:tcPr>
          <w:p>
            <w:r>
              <w:rPr>
                <w:rFonts w:ascii="Times New Roman" w:hAnsi="Times New Roman"/>
                <w:sz w:val="20"/>
              </w:rPr>
              <w:t>Chirurgie mineure</w:t>
            </w:r>
          </w:p>
        </w:tc>
        <w:tc>
          <w:tcPr>
            <w:tcW w:type="dxa" w:w="2078"/>
          </w:tcPr>
          <w:p>
            <w:r>
              <w:rPr>
                <w:rFonts w:ascii="Times New Roman" w:hAnsi="Times New Roman"/>
                <w:sz w:val="20"/>
              </w:rPr>
              <w:t>50-80 UI/dL</w:t>
            </w:r>
          </w:p>
        </w:tc>
        <w:tc>
          <w:tcPr>
            <w:tcW w:type="dxa" w:w="2078"/>
          </w:tcPr>
          <w:p>
            <w:r>
              <w:rPr>
                <w:rFonts w:ascii="Times New Roman" w:hAnsi="Times New Roman"/>
                <w:sz w:val="20"/>
              </w:rPr>
              <w:t>30-40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Chirurgie majeure</w:t>
            </w:r>
          </w:p>
        </w:tc>
        <w:tc>
          <w:tcPr>
            <w:tcW w:type="dxa" w:w="2078"/>
          </w:tcPr>
          <w:p>
            <w:r>
              <w:rPr>
                <w:rFonts w:ascii="Times New Roman" w:hAnsi="Times New Roman"/>
                <w:sz w:val="20"/>
              </w:rPr>
              <w:t>80-100 UI/dL</w:t>
            </w:r>
          </w:p>
        </w:tc>
        <w:tc>
          <w:tcPr>
            <w:tcW w:type="dxa" w:w="2078"/>
          </w:tcPr>
          <w:p>
            <w:r>
              <w:rPr>
                <w:rFonts w:ascii="Times New Roman" w:hAnsi="Times New Roman"/>
                <w:sz w:val="20"/>
              </w:rPr>
              <w:t>40-60 UI/kg</w:t>
            </w:r>
          </w:p>
        </w:tc>
        <w:tc>
          <w:tcPr>
            <w:tcW w:type="dxa" w:w="2078"/>
          </w:tcPr>
          <w:p>
            <w:r>
              <w:rPr>
                <w:rFonts w:ascii="Times New Roman" w:hAnsi="Times New Roman"/>
                <w:sz w:val="20"/>
              </w:rPr>
              <w:t>7-14 jours</w:t>
            </w:r>
          </w:p>
        </w:tc>
      </w:tr>
      <w:tr>
        <w:tc>
          <w:tcPr>
            <w:tcW w:type="dxa" w:w="2078"/>
          </w:tcPr>
          <w:p>
            <w:r>
              <w:rPr>
                <w:rFonts w:ascii="Times New Roman" w:hAnsi="Times New Roman"/>
                <w:sz w:val="20"/>
              </w:rPr>
              <w:t>Chirurgie obstétricale (césarienne)</w:t>
            </w:r>
          </w:p>
        </w:tc>
        <w:tc>
          <w:tcPr>
            <w:tcW w:type="dxa" w:w="2078"/>
          </w:tcPr>
          <w:p>
            <w:r>
              <w:rPr>
                <w:rFonts w:ascii="Times New Roman" w:hAnsi="Times New Roman"/>
                <w:sz w:val="20"/>
              </w:rPr>
              <w:t>80-100 UI/dL</w:t>
            </w:r>
          </w:p>
        </w:tc>
        <w:tc>
          <w:tcPr>
            <w:tcW w:type="dxa" w:w="2078"/>
          </w:tcPr>
          <w:p>
            <w:r>
              <w:rPr>
                <w:rFonts w:ascii="Times New Roman" w:hAnsi="Times New Roman"/>
                <w:sz w:val="20"/>
              </w:rPr>
              <w:t>50-60 UI/kg</w:t>
            </w:r>
          </w:p>
        </w:tc>
        <w:tc>
          <w:tcPr>
            <w:tcW w:type="dxa" w:w="2078"/>
          </w:tcPr>
          <w:p>
            <w:r>
              <w:rPr>
                <w:rFonts w:ascii="Times New Roman" w:hAnsi="Times New Roman"/>
                <w:sz w:val="20"/>
              </w:rPr>
              <w:t>7-14 jours</w:t>
            </w:r>
          </w:p>
        </w:tc>
      </w:tr>
      <w:tr>
        <w:tc>
          <w:tcPr>
            <w:tcW w:type="dxa" w:w="2078"/>
          </w:tcPr>
          <w:p>
            <w:r>
              <w:rPr>
                <w:rFonts w:ascii="Times New Roman" w:hAnsi="Times New Roman"/>
                <w:sz w:val="20"/>
              </w:rPr>
              <w:t>Extraction dentaire</w:t>
            </w:r>
          </w:p>
        </w:tc>
        <w:tc>
          <w:tcPr>
            <w:tcW w:type="dxa" w:w="2078"/>
          </w:tcPr>
          <w:p>
            <w:r>
              <w:rPr>
                <w:rFonts w:ascii="Times New Roman" w:hAnsi="Times New Roman"/>
                <w:sz w:val="20"/>
              </w:rPr>
              <w:t>50 UI/dL</w:t>
            </w:r>
          </w:p>
        </w:tc>
        <w:tc>
          <w:tcPr>
            <w:tcW w:type="dxa" w:w="2078"/>
          </w:tcPr>
          <w:p>
            <w:r>
              <w:rPr>
                <w:rFonts w:ascii="Times New Roman" w:hAnsi="Times New Roman"/>
                <w:sz w:val="20"/>
              </w:rPr>
              <w:t>30-40 UI/kg</w:t>
            </w:r>
          </w:p>
        </w:tc>
        <w:tc>
          <w:tcPr>
            <w:tcW w:type="dxa" w:w="2078"/>
          </w:tcPr>
          <w:p>
            <w:r>
              <w:rPr>
                <w:rFonts w:ascii="Times New Roman" w:hAnsi="Times New Roman"/>
                <w:sz w:val="20"/>
              </w:rPr>
              <w:t>1-3 jours (en association avec acide tranexamique)</w:t>
            </w:r>
          </w:p>
        </w:tc>
      </w:tr>
    </w:tbl>
    <w:p/>
    <w:p>
      <w:pPr>
        <w:pStyle w:val="Heading4"/>
      </w:pPr>
      <w:r>
        <w:t>Prophylaxie chez VWD type 3 sévère</w:t>
      </w:r>
    </w:p>
    <w:p>
      <w:pPr>
        <w:pStyle w:val="ListBullet"/>
      </w:pPr>
      <w:r/>
      <w:r>
        <w:rPr>
          <w:b/>
        </w:rPr>
        <w:t>Prophylaxie primaire</w:t>
      </w:r>
      <w:r>
        <w:t xml:space="preserve"> : 30-50 UI VWF/kg </w:t>
      </w:r>
      <w:r>
        <w:rPr>
          <w:b/>
        </w:rPr>
        <w:t>1-2x/semaine</w:t>
      </w:r>
      <w:r>
        <w:t xml:space="preserve"> (demi-vie VWF ~12 h).</w:t>
      </w:r>
    </w:p>
    <w:p>
      <w:pPr>
        <w:pStyle w:val="ListBullet"/>
      </w:pPr>
      <w:r>
        <w:t>Recommandation WFH 2020 pour VWD type 3 avec saignements récidivants (en particulier gastro-intestinaux, hémarthroses).</w:t>
      </w:r>
    </w:p>
    <w:p>
      <w:pPr>
        <w:pStyle w:val="Heading4"/>
      </w:pPr>
      <w:r>
        <w:t>Mode d'administration</w:t>
      </w:r>
    </w:p>
    <w:p>
      <w:pPr>
        <w:pStyle w:val="ListBullet"/>
      </w:pPr>
      <w:r/>
      <w:r>
        <w:rPr>
          <w:b/>
        </w:rPr>
        <w:t>Voie IV stricte</w:t>
      </w:r>
      <w:r>
        <w:t xml:space="preserve"> (jamais IM ni SC).</w:t>
      </w:r>
    </w:p>
    <w:p>
      <w:pPr>
        <w:pStyle w:val="ListBullet"/>
      </w:pPr>
      <w:r/>
      <w:r>
        <w:rPr>
          <w:b/>
        </w:rPr>
        <w:t>Reconstitution</w:t>
      </w:r>
      <w:r>
        <w:t xml:space="preserve"> : utiliser le solvant fourni (EPPI), éviter de toucher le bouchon avec une aiguille non stérile, mouvement rotatif doux (ne pas agiter vigoureusement).</w:t>
      </w:r>
    </w:p>
    <w:p>
      <w:pPr>
        <w:pStyle w:val="ListBullet"/>
      </w:pPr>
      <w:r/>
      <w:r>
        <w:rPr>
          <w:b/>
        </w:rPr>
        <w:t>Température</w:t>
      </w:r>
      <w:r>
        <w:t xml:space="preserve"> : la solution reconstituée doit être à température ambiante (≤ 25 °C) avant administration.</w:t>
      </w:r>
    </w:p>
    <w:p>
      <w:pPr>
        <w:pStyle w:val="ListBullet"/>
      </w:pPr>
      <w:r/>
      <w:r>
        <w:rPr>
          <w:b/>
        </w:rPr>
        <w:t>Débit de perfusion</w:t>
      </w:r>
      <w:r>
        <w:t xml:space="preserve"> : ≤ 3 mL/min chez l'adulte (1 mL/min chez l'enfant &lt; 20 kg).</w:t>
      </w:r>
    </w:p>
    <w:p>
      <w:pPr>
        <w:pStyle w:val="ListBullet"/>
      </w:pPr>
      <w:r/>
      <w:r>
        <w:rPr>
          <w:b/>
        </w:rPr>
        <w:t>Surveillance</w:t>
      </w:r>
      <w:r>
        <w:t xml:space="preserve"> : observation 30-60 min après la première administration chez tout patient naïf.</w:t>
      </w:r>
    </w:p>
    <w:p>
      <w:pPr>
        <w:pStyle w:val="ListBullet"/>
      </w:pPr>
      <w:r/>
      <w:r>
        <w:rPr>
          <w:b/>
        </w:rPr>
        <w:t>Particularité</w:t>
      </w:r>
      <w:r>
        <w:t xml:space="preserve"> : pour chirurgie urgente, perfuser 4-6 h avant le geste pour obtenir un pic de FVIII optimal (le FVIII est libéré progressivement du complexe VWF-FVIII). Pour chirurgie programmée, perfuser la veille au soir + dose de charge le matin.</w:t>
      </w:r>
    </w:p>
    <w:p>
      <w:pPr>
        <w:pStyle w:val="Heading3"/>
      </w:pPr>
      <w:r>
        <w:t>Sous-section 9 — Arbitrage et bénéfices des formes galéniques</w:t>
      </w:r>
    </w:p>
    <w:p>
      <w:pPr>
        <w:pStyle w:val="Heading4"/>
      </w:pPr>
      <w:r>
        <w:t>HAEMATE P vs FANDHI (cf. fiche 234.2)</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HAEMATE P</w:t>
            </w:r>
          </w:p>
        </w:tc>
        <w:tc>
          <w:tcPr>
            <w:tcW w:type="dxa" w:w="2771"/>
            <w:shd w:val="clear" w:color="auto" w:fill="F2F2F2"/>
          </w:tcPr>
          <w:p>
            <w:r>
              <w:rPr>
                <w:rFonts w:ascii="Times New Roman" w:hAnsi="Times New Roman"/>
                <w:b/>
                <w:sz w:val="20"/>
              </w:rPr>
              <w:t>FANDHI</w:t>
            </w:r>
          </w:p>
        </w:tc>
      </w:tr>
      <w:tr>
        <w:tc>
          <w:tcPr>
            <w:tcW w:type="dxa" w:w="2771"/>
          </w:tcPr>
          <w:p>
            <w:r>
              <w:rPr>
                <w:rFonts w:ascii="Times New Roman" w:hAnsi="Times New Roman"/>
                <w:sz w:val="20"/>
              </w:rPr>
              <w:t>Laboratoire</w:t>
            </w:r>
          </w:p>
        </w:tc>
        <w:tc>
          <w:tcPr>
            <w:tcW w:type="dxa" w:w="2771"/>
          </w:tcPr>
          <w:p>
            <w:r>
              <w:rPr>
                <w:rFonts w:ascii="Times New Roman" w:hAnsi="Times New Roman"/>
                <w:sz w:val="20"/>
              </w:rPr>
              <w:t>CSL Behring GmbH (Allemagne)</w:t>
            </w:r>
          </w:p>
        </w:tc>
        <w:tc>
          <w:tcPr>
            <w:tcW w:type="dxa" w:w="2771"/>
          </w:tcPr>
          <w:p>
            <w:r>
              <w:rPr>
                <w:rFonts w:ascii="Times New Roman" w:hAnsi="Times New Roman"/>
                <w:sz w:val="20"/>
              </w:rPr>
              <w:t>Instituto Grifols S.A. (Espagne)</w:t>
            </w:r>
          </w:p>
        </w:tc>
      </w:tr>
      <w:tr>
        <w:tc>
          <w:tcPr>
            <w:tcW w:type="dxa" w:w="2771"/>
          </w:tcPr>
          <w:p>
            <w:r>
              <w:rPr>
                <w:rFonts w:ascii="Times New Roman" w:hAnsi="Times New Roman"/>
                <w:sz w:val="20"/>
              </w:rPr>
              <w:t>Ratio FVIII:VWF</w:t>
            </w:r>
          </w:p>
        </w:tc>
        <w:tc>
          <w:tcPr>
            <w:tcW w:type="dxa" w:w="2771"/>
          </w:tcPr>
          <w:p>
            <w:r>
              <w:rPr>
                <w:rFonts w:ascii="Times New Roman" w:hAnsi="Times New Roman"/>
                <w:sz w:val="20"/>
              </w:rPr>
              <w:t>1:2,4 (500/1200 et 1000/2400) ; 1:6,4 (250/1600)</w:t>
            </w:r>
          </w:p>
        </w:tc>
        <w:tc>
          <w:tcPr>
            <w:tcW w:type="dxa" w:w="2771"/>
          </w:tcPr>
          <w:p>
            <w:r>
              <w:rPr>
                <w:rFonts w:ascii="Times New Roman" w:hAnsi="Times New Roman"/>
                <w:sz w:val="20"/>
              </w:rPr>
              <w:t>1:1,2 (250/300 ; 500/600 ; 1000/1200)</w:t>
            </w:r>
          </w:p>
        </w:tc>
      </w:tr>
      <w:tr>
        <w:tc>
          <w:tcPr>
            <w:tcW w:type="dxa" w:w="2771"/>
          </w:tcPr>
          <w:p>
            <w:r>
              <w:rPr>
                <w:rFonts w:ascii="Times New Roman" w:hAnsi="Times New Roman"/>
                <w:sz w:val="20"/>
              </w:rPr>
              <w:t>Inactivation virale</w:t>
            </w:r>
          </w:p>
        </w:tc>
        <w:tc>
          <w:tcPr>
            <w:tcW w:type="dxa" w:w="2771"/>
          </w:tcPr>
          <w:p>
            <w:r>
              <w:rPr>
                <w:rFonts w:ascii="Times New Roman" w:hAnsi="Times New Roman"/>
                <w:sz w:val="20"/>
              </w:rPr>
              <w:t>SD + pasteurisation 60 °C/10 h</w:t>
            </w:r>
          </w:p>
        </w:tc>
        <w:tc>
          <w:tcPr>
            <w:tcW w:type="dxa" w:w="2771"/>
          </w:tcPr>
          <w:p>
            <w:r>
              <w:rPr>
                <w:rFonts w:ascii="Times New Roman" w:hAnsi="Times New Roman"/>
                <w:sz w:val="20"/>
              </w:rPr>
              <w:t>SD + nanofiltration</w:t>
            </w:r>
          </w:p>
        </w:tc>
      </w:tr>
      <w:tr>
        <w:tc>
          <w:tcPr>
            <w:tcW w:type="dxa" w:w="2771"/>
          </w:tcPr>
          <w:p>
            <w:r>
              <w:rPr>
                <w:rFonts w:ascii="Times New Roman" w:hAnsi="Times New Roman"/>
                <w:sz w:val="20"/>
              </w:rPr>
              <w:t>Multimères VWF</w:t>
            </w:r>
          </w:p>
        </w:tc>
        <w:tc>
          <w:tcPr>
            <w:tcW w:type="dxa" w:w="2771"/>
          </w:tcPr>
          <w:p>
            <w:r>
              <w:rPr>
                <w:rFonts w:ascii="Times New Roman" w:hAnsi="Times New Roman"/>
                <w:sz w:val="20"/>
              </w:rPr>
              <w:t>Quasi-normaux (HMW présents)</w:t>
            </w:r>
          </w:p>
        </w:tc>
        <w:tc>
          <w:tcPr>
            <w:tcW w:type="dxa" w:w="2771"/>
          </w:tcPr>
          <w:p>
            <w:r>
              <w:rPr>
                <w:rFonts w:ascii="Times New Roman" w:hAnsi="Times New Roman"/>
                <w:sz w:val="20"/>
              </w:rPr>
              <w:t>Quasi-normaux (HMW présents)</w:t>
            </w:r>
          </w:p>
        </w:tc>
      </w:tr>
      <w:tr>
        <w:tc>
          <w:tcPr>
            <w:tcW w:type="dxa" w:w="2771"/>
          </w:tcPr>
          <w:p>
            <w:r>
              <w:rPr>
                <w:rFonts w:ascii="Times New Roman" w:hAnsi="Times New Roman"/>
                <w:sz w:val="20"/>
              </w:rPr>
              <w:t>Demi-vie VWF</w:t>
            </w:r>
          </w:p>
        </w:tc>
        <w:tc>
          <w:tcPr>
            <w:tcW w:type="dxa" w:w="2771"/>
          </w:tcPr>
          <w:p>
            <w:r>
              <w:rPr>
                <w:rFonts w:ascii="Times New Roman" w:hAnsi="Times New Roman"/>
                <w:sz w:val="20"/>
              </w:rPr>
              <w:t>10-14 h</w:t>
            </w:r>
          </w:p>
        </w:tc>
        <w:tc>
          <w:tcPr>
            <w:tcW w:type="dxa" w:w="2771"/>
          </w:tcPr>
          <w:p>
            <w:r>
              <w:rPr>
                <w:rFonts w:ascii="Times New Roman" w:hAnsi="Times New Roman"/>
                <w:sz w:val="20"/>
              </w:rPr>
              <w:t>10-14 h</w:t>
            </w:r>
          </w:p>
        </w:tc>
      </w:tr>
      <w:tr>
        <w:tc>
          <w:tcPr>
            <w:tcW w:type="dxa" w:w="2771"/>
          </w:tcPr>
          <w:p>
            <w:r>
              <w:rPr>
                <w:rFonts w:ascii="Times New Roman" w:hAnsi="Times New Roman"/>
                <w:sz w:val="20"/>
              </w:rPr>
              <w:t>Récovery VWF</w:t>
            </w:r>
          </w:p>
        </w:tc>
        <w:tc>
          <w:tcPr>
            <w:tcW w:type="dxa" w:w="2771"/>
          </w:tcPr>
          <w:p>
            <w:r>
              <w:rPr>
                <w:rFonts w:ascii="Times New Roman" w:hAnsi="Times New Roman"/>
                <w:sz w:val="20"/>
              </w:rPr>
              <w:t>1,5-2,0 UI/dL/UI/kg</w:t>
            </w:r>
          </w:p>
        </w:tc>
        <w:tc>
          <w:tcPr>
            <w:tcW w:type="dxa" w:w="2771"/>
          </w:tcPr>
          <w:p>
            <w:r>
              <w:rPr>
                <w:rFonts w:ascii="Times New Roman" w:hAnsi="Times New Roman"/>
                <w:sz w:val="20"/>
              </w:rPr>
              <w:t>2,0 UI/dL/UI/kg</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w:t>
            </w:r>
          </w:p>
        </w:tc>
        <w:tc>
          <w:tcPr>
            <w:tcW w:type="dxa" w:w="2771"/>
          </w:tcPr>
          <w:p>
            <w:r>
              <w:rPr>
                <w:rFonts w:ascii="Times New Roman" w:hAnsi="Times New Roman"/>
                <w:sz w:val="20"/>
              </w:rPr>
              <w:t>Élevé</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3 dosages</w:t>
            </w:r>
          </w:p>
        </w:tc>
        <w:tc>
          <w:tcPr>
            <w:tcW w:type="dxa" w:w="2771"/>
          </w:tcPr>
          <w:p>
            <w:r>
              <w:rPr>
                <w:rFonts w:ascii="Times New Roman" w:hAnsi="Times New Roman"/>
                <w:sz w:val="20"/>
              </w:rPr>
              <w:t>3 dosages</w:t>
            </w:r>
          </w:p>
        </w:tc>
      </w:tr>
    </w:tbl>
    <w:p/>
    <w:p>
      <w:r/>
      <w:r>
        <w:rPr>
          <w:b/>
        </w:rPr>
        <w:t>Arbitrage clinique</w:t>
      </w:r>
      <w:r>
        <w:t xml:space="preserve"> :</w:t>
      </w:r>
    </w:p>
    <w:p>
      <w:pPr>
        <w:pStyle w:val="ListBullet"/>
      </w:pPr>
      <w:r/>
      <w:r>
        <w:rPr>
          <w:b/>
        </w:rPr>
        <w:t>VWD type 3 sévère</w:t>
      </w:r>
      <w:r>
        <w:t xml:space="preserve"> (besoin majeur en VWF) : préférer HAEMATE P 250/1600 (ratio VWF-dominé) ou FANDHI 250/300 (mais FANDHI a un ratio moins favorable).</w:t>
      </w:r>
    </w:p>
    <w:p>
      <w:pPr>
        <w:pStyle w:val="ListBullet"/>
      </w:pPr>
      <w:r/>
      <w:r>
        <w:rPr>
          <w:b/>
        </w:rPr>
        <w:t>VWD type 1 et 2 modérés</w:t>
      </w:r>
      <w:r>
        <w:t xml:space="preserve"> (besoin équilibré FVIII/VWF) : HAEMATE P 500/1200 ou 1000/2400 ou FANDHI 500/600 ou 1000/1200.</w:t>
      </w:r>
    </w:p>
    <w:p>
      <w:pPr>
        <w:pStyle w:val="ListBullet"/>
      </w:pPr>
      <w:r/>
      <w:r>
        <w:rPr>
          <w:b/>
        </w:rPr>
        <w:t>Choix selon disponibilité</w:t>
      </w:r>
      <w:r>
        <w:t xml:space="preserve"> et coût local.</w:t>
      </w:r>
    </w:p>
    <w:p>
      <w:pPr>
        <w:pStyle w:val="Heading4"/>
      </w:pPr>
      <w:r>
        <w:t>HAEMATE P vs VWF seul (Wilate, Veyvondi — non disponibles Algérie)</w:t>
      </w:r>
    </w:p>
    <w:p>
      <w:pPr>
        <w:pStyle w:val="ListBullet"/>
      </w:pPr>
      <w:r/>
      <w:r>
        <w:rPr>
          <w:b/>
        </w:rPr>
        <w:t>VWF seul (Veyvondi)</w:t>
      </w:r>
      <w:r>
        <w:t xml:space="preserve"> : pas de FVIII dans le flacon, permet de ne pas surcharger en FVIII (utile si FVIII basal normal).</w:t>
      </w:r>
    </w:p>
    <w:p>
      <w:pPr>
        <w:pStyle w:val="ListBullet"/>
      </w:pPr>
      <w:r/>
      <w:r>
        <w:rPr>
          <w:b/>
        </w:rPr>
        <w:t>HAEMATE P</w:t>
      </w:r>
      <w:r>
        <w:t xml:space="preserve"> : apporte FVIII + VWF simultanément, plus simple d'utilisation.</w:t>
      </w:r>
    </w:p>
    <w:p>
      <w:pPr>
        <w:pStyle w:val="ListBullet"/>
      </w:pPr>
      <w:r/>
      <w:r>
        <w:rPr>
          <w:b/>
        </w:rPr>
        <w:t>Indication du VWF seul</w:t>
      </w:r>
      <w:r>
        <w:t xml:space="preserve"> : VWD type 1 ou 2 avec FVIII basal normal ou élevé (rare en pratique clinique).</w:t>
      </w:r>
    </w:p>
    <w:p>
      <w:pPr>
        <w:pStyle w:val="Heading4"/>
      </w:pPr>
      <w:r>
        <w:t>HAEMATE P vs pdFVIII seul (HAEMOCTIN SDH, OCTANATE)</w:t>
      </w:r>
    </w:p>
    <w:p>
      <w:pPr>
        <w:pStyle w:val="ListBullet"/>
      </w:pPr>
      <w:r/>
      <w:r>
        <w:rPr>
          <w:b/>
        </w:rPr>
        <w:t>HAEMATE P</w:t>
      </w:r>
      <w:r>
        <w:t xml:space="preserve"> : ratio FVIII:VWF optimisé pour VWD (VWF en quantité suffisante pour stabiliser le FVIII et restaurer l'adhésion plaquettaire).</w:t>
      </w:r>
    </w:p>
    <w:p>
      <w:pPr>
        <w:pStyle w:val="ListBullet"/>
      </w:pPr>
      <w:r/>
      <w:r>
        <w:rPr>
          <w:b/>
        </w:rPr>
        <w:t>pdFVIII seul</w:t>
      </w:r>
      <w:r>
        <w:t xml:space="preserve"> : contient du VWF en quantité variable (rapport FVIII:VWF ~1:2 à 1:3), moins bien standardisé que HAEMATE P. Utile pour hémophilie A simple (sans VWD) ou pour maintenance après chirurgie.</w:t>
      </w:r>
    </w:p>
    <w:p>
      <w:pPr>
        <w:pStyle w:val="Heading3"/>
      </w:pPr>
      <w:r>
        <w:t>Sous-section 10 — Instructions et conseils au patient</w:t>
      </w:r>
    </w:p>
    <w:p>
      <w:pPr>
        <w:pStyle w:val="Heading4"/>
      </w:pPr>
      <w:r>
        <w:t>Formation à l'auto-administration à domicile</w:t>
      </w:r>
    </w:p>
    <w:p>
      <w:pPr>
        <w:pStyle w:val="ListBullet"/>
      </w:pPr>
      <w:r>
        <w:t>Cf. fiche 232.1 (sous-section 10).</w:t>
      </w:r>
    </w:p>
    <w:p>
      <w:pPr>
        <w:pStyle w:val="ListBullet"/>
      </w:pPr>
      <w:r>
        <w:t>Particularité VWD type 3 : l'auto-administration à domicile est plus complexe que pour l'hémophilie A (VWD est moins fréquente, la formation est moins systématique). Encourager la formation pour les patients VWD type 3 sévères avec saignements récidivants.</w:t>
      </w:r>
    </w:p>
    <w:p>
      <w:pPr>
        <w:pStyle w:val="Heading4"/>
      </w:pPr>
      <w:r>
        <w:t>Gestion de la chaîne du froid</w:t>
      </w:r>
    </w:p>
    <w:p>
      <w:pPr>
        <w:pStyle w:val="ListBullet"/>
      </w:pPr>
      <w:r>
        <w:t>Cf. fiche 232.1 (sous-section 10).</w:t>
      </w:r>
    </w:p>
    <w:p>
      <w:pPr>
        <w:pStyle w:val="ListBullet"/>
      </w:pPr>
      <w:r>
        <w:t>Conservation +2 °C à +8 °C stricte, ne jamais congeler, transport en sac isotherme.</w:t>
      </w:r>
    </w:p>
    <w:p>
      <w:pPr>
        <w:pStyle w:val="Heading4"/>
      </w:pPr>
      <w:r>
        <w:t>Reconstitution de la solution</w:t>
      </w:r>
    </w:p>
    <w:p>
      <w:pPr>
        <w:pStyle w:val="ListNumber"/>
      </w:pPr>
      <w:r>
        <w:t>Sortir le flacon du réfrigérateur 5-10 min avant (température ambiante ≤ 25 °C).</w:t>
      </w:r>
    </w:p>
    <w:p>
      <w:pPr>
        <w:pStyle w:val="ListNumber"/>
      </w:pPr>
      <w:r>
        <w:t>Désinfecter le bouchon avec un tampon d'alcool.</w:t>
      </w:r>
    </w:p>
    <w:p>
      <w:pPr>
        <w:pStyle w:val="ListNumber"/>
      </w:pPr>
      <w:r>
        <w:t>Transférer le solvant dans le flacon de poudre avec le dispositif de transfert stérile fourni.</w:t>
      </w:r>
    </w:p>
    <w:p>
      <w:pPr>
        <w:pStyle w:val="ListNumber"/>
      </w:pPr>
      <w:r>
        <w:t>Agiter doucement par rotation entre les paumes pendant 1-3 minutes (ne jamais agiter vigoureusement).</w:t>
      </w:r>
    </w:p>
    <w:p>
      <w:pPr>
        <w:pStyle w:val="ListNumber"/>
      </w:pPr>
      <w:r>
        <w:t>Vérifier que la solution est limpide, incolore à légèrement opalescente, sans particules ni filaments.</w:t>
      </w:r>
    </w:p>
    <w:p>
      <w:pPr>
        <w:pStyle w:val="ListNumber"/>
      </w:pPr>
      <w:r>
        <w:t>Aspirer la solution dans la seringue avec l'aiguille filtre fournie.</w:t>
      </w:r>
    </w:p>
    <w:p>
      <w:pPr>
        <w:pStyle w:val="ListNumber"/>
      </w:pPr>
      <w:r>
        <w:t>Administrer immédiatement (≤ 3 h à température ambiante).</w:t>
      </w:r>
    </w:p>
    <w:p>
      <w:pPr>
        <w:pStyle w:val="ListNumber"/>
      </w:pPr>
      <w:r>
        <w:t>Éliminer tout flacon entamé, ne jamais recongeler.</w:t>
      </w:r>
    </w:p>
    <w:p>
      <w:pPr>
        <w:pStyle w:val="Heading4"/>
      </w:pPr>
      <w:r>
        <w:t>Conduite à tenir en cas de saignement aigu</w:t>
      </w:r>
    </w:p>
    <w:p>
      <w:pPr>
        <w:pStyle w:val="ListBullet"/>
      </w:pPr>
      <w:r/>
      <w:r>
        <w:rPr>
          <w:b/>
        </w:rPr>
        <w:t>Premier réflexe</w:t>
      </w:r>
      <w:r>
        <w:t xml:space="preserve"> : injection de HAEMATE P (dose adaptée au type de saignement : 20-30 UI VWF/kg pour saignement mineur, 40-60 UI VWF/kg pour saignement modéré).</w:t>
      </w:r>
    </w:p>
    <w:p>
      <w:pPr>
        <w:pStyle w:val="ListBullet"/>
      </w:pPr>
      <w:r/>
      <w:r>
        <w:rPr>
          <w:b/>
        </w:rPr>
        <w:t>Acide tranexamique</w:t>
      </w:r>
      <w:r>
        <w:t xml:space="preserve"> PO 1 g × 3/jour en association (en particulier pour saignements muqueux).</w:t>
      </w:r>
    </w:p>
    <w:p>
      <w:pPr>
        <w:pStyle w:val="ListBullet"/>
      </w:pPr>
      <w:r/>
      <w:r>
        <w:rPr>
          <w:b/>
        </w:rPr>
        <w:t>Application de glace</w:t>
      </w:r>
      <w:r>
        <w:t xml:space="preserve"> sur la zone douloureuse.</w:t>
      </w:r>
    </w:p>
    <w:p>
      <w:pPr>
        <w:pStyle w:val="ListBullet"/>
      </w:pPr>
      <w:r/>
      <w:r>
        <w:rPr>
          <w:b/>
        </w:rPr>
        <w:t>Surveillance</w:t>
      </w:r>
      <w:r>
        <w:t xml:space="preserve"> : si le saignement ne se contrôle pas dans les 12-24 h, consulter en urgence le centre de référence.</w:t>
      </w:r>
    </w:p>
    <w:p>
      <w:pPr>
        <w:pStyle w:val="Heading4"/>
      </w:pPr>
      <w:r>
        <w:t>Vaccinations obligatoires</w:t>
      </w:r>
    </w:p>
    <w:p>
      <w:pPr>
        <w:pStyle w:val="ListBullet"/>
      </w:pPr>
      <w:r>
        <w:t>Vaccination hépatite A et B systématique avant la première exposition au HAEMATE P.</w:t>
      </w:r>
    </w:p>
    <w:p>
      <w:pPr>
        <w:pStyle w:val="ListBullet"/>
      </w:pPr>
      <w:r>
        <w:t>Les vaccinations se font en sous-cutanée stricte (jamais IM).</w:t>
      </w:r>
    </w:p>
    <w:p>
      <w:pPr>
        <w:pStyle w:val="Heading4"/>
      </w:pPr>
      <w:r>
        <w:t>Carte de patient VWD</w:t>
      </w:r>
    </w:p>
    <w:p>
      <w:pPr>
        <w:pStyle w:val="ListBullet"/>
      </w:pPr>
      <w:r>
        <w:t xml:space="preserve">Tout patient VWD doit avoir sur soi une </w:t>
      </w:r>
      <w:r>
        <w:rPr>
          <w:b/>
        </w:rPr>
        <w:t>carte de patient VWD</w:t>
      </w:r>
      <w:r>
        <w:t xml:space="preserve"> (portefeuille ou bracelet) précisant :</w:t>
      </w:r>
    </w:p>
    <w:p>
      <w:pPr>
        <w:pStyle w:val="ListBullet"/>
      </w:pPr>
      <w:r>
        <w:t>Type et sévérité de la VWD (type 1, 2A, 2B, 2M, 2N, 3).</w:t>
      </w:r>
    </w:p>
    <w:p>
      <w:pPr>
        <w:pStyle w:val="ListBullet"/>
      </w:pPr>
      <w:r>
        <w:t>Taux de VWF:RCo et FVIII:C basaux.</w:t>
      </w:r>
    </w:p>
    <w:p>
      <w:pPr>
        <w:pStyle w:val="ListBullet"/>
      </w:pPr>
      <w:r>
        <w:t>Traitement prophylactique en cours (dose, fréquence).</w:t>
      </w:r>
    </w:p>
    <w:p>
      <w:pPr>
        <w:pStyle w:val="ListBullet"/>
      </w:pPr>
      <w:r>
        <w:t>Centre de référence VWD (nom, téléphone, adresse).</w:t>
      </w:r>
    </w:p>
    <w:p>
      <w:pPr>
        <w:pStyle w:val="ListBullet"/>
      </w:pPr>
      <w:r>
        <w:t>Contact du patient (nom, téléphone).</w:t>
      </w:r>
    </w:p>
    <w:p>
      <w:pPr>
        <w:pStyle w:val="ListBullet"/>
      </w:pPr>
      <w:r>
        <w:t>Réponse à la desmopressine (oui/non) — crucial pour la conduite à tenir en urgence.</w:t>
      </w:r>
    </w:p>
    <w:p>
      <w:pPr>
        <w:pStyle w:val="Heading4"/>
      </w:pPr>
      <w:r>
        <w:t>Voyage et déplacement</w:t>
      </w:r>
    </w:p>
    <w:p>
      <w:pPr>
        <w:pStyle w:val="ListBullet"/>
      </w:pPr>
      <w:r>
        <w:t>Cf. fiche 232.1 (sous-section 10).</w:t>
      </w:r>
    </w:p>
    <w:p>
      <w:pPr>
        <w:pStyle w:val="Heading3"/>
      </w:pPr>
      <w:r>
        <w:t>Sous-section 11 — Notes, règles d'or et pièges au comptoir</w:t>
      </w:r>
    </w:p>
    <w:p>
      <w:pPr>
        <w:pStyle w:val="ListNumber"/>
      </w:pPr>
      <w:r/>
      <w:r>
        <w:rPr>
          <w:b/>
        </w:rPr>
        <w:t>VWD type 2B = contre-indication absolue à la desmopressine</w:t>
      </w:r>
      <w:r>
        <w:t xml:space="preserve"> (risque de thrombopénie sévère par fixation du VWF anormal aux plaquettes). Toujours vérifier le type de VWD avant d'envisager une DDAVP.</w:t>
      </w:r>
    </w:p>
    <w:p>
      <w:pPr>
        <w:pStyle w:val="ListNumber"/>
      </w:pPr>
      <w:r/>
      <w:r>
        <w:rPr>
          <w:b/>
        </w:rPr>
        <w:t>Le HAEMATE P apporte FVIII et VWF simultanément</w:t>
      </w:r>
      <w:r>
        <w:t>, mais le FVIII est libéré progressivement (pic à 4-6 h). Pour chirurgie urgente, perfuser 4-6 h avant le geste. Pour chirurgie programmée, perfuser la veille au soir.</w:t>
      </w:r>
    </w:p>
    <w:p>
      <w:pPr>
        <w:pStyle w:val="ListNumber"/>
      </w:pPr>
      <w:r/>
      <w:r>
        <w:rPr>
          <w:b/>
        </w:rPr>
        <w:t>Surveillance du FVIII</w:t>
      </w:r>
      <w:r>
        <w:t xml:space="preserve"> : ne pas dépasser FVIII:C &gt; 250-300 UI/dL (risque thrombotique majeur au-delà). Particulièrement important en chirurgie prolongée avec doses cumulées.</w:t>
      </w:r>
    </w:p>
    <w:p>
      <w:pPr>
        <w:pStyle w:val="ListNumber"/>
      </w:pPr>
      <w:r/>
      <w:r>
        <w:rPr>
          <w:b/>
        </w:rPr>
        <w:t>Le ratio FVIII:VWF diffère selon le dosage</w:t>
      </w:r>
      <w:r>
        <w:t xml:space="preserve"> : 250/1600 (ratio 1:6,4, VWF-dominé) pour VWD type 3 ; 500/1200 et 1000/2400 (ratio 1:2,4, équilibré) pour VWD type 1 et 2 modérés.</w:t>
      </w:r>
    </w:p>
    <w:p>
      <w:pPr>
        <w:pStyle w:val="ListNumber"/>
      </w:pPr>
      <w:r/>
      <w:r>
        <w:rPr>
          <w:b/>
        </w:rPr>
        <w:t>Patients IgA-déficients avec anti-IgA</w:t>
      </w:r>
      <w:r>
        <w:t xml:space="preserve"> : risque majeur d'anaphylaxie. Dosage pondéral IgA systématique avant la première administration. Si déficit en IgA avec anti-IgA, alternative : rFVIII + VWF recombinant (non disponible en Algérie — Veyvondi est plasmatique).</w:t>
      </w:r>
    </w:p>
    <w:p>
      <w:pPr>
        <w:pStyle w:val="ListNumber"/>
      </w:pPr>
      <w:r/>
      <w:r>
        <w:rPr>
          <w:b/>
        </w:rPr>
        <w:t>Hémolyse chez les patients de groupe A, B, AB</w:t>
      </w:r>
      <w:r>
        <w:t xml:space="preserve"> : le HAEMATE P contient des isohémagglutinines anti-A et anti-B résiduelles. Surveillance clinique (ictère, urines foncées) et biologique (hémoglobine, haptoglobine).</w:t>
      </w:r>
    </w:p>
    <w:p>
      <w:pPr>
        <w:pStyle w:val="ListNumber"/>
      </w:pPr>
      <w:r/>
      <w:r>
        <w:rPr>
          <w:b/>
        </w:rPr>
        <w:t>Vaccination hépatite A et B</w:t>
      </w:r>
      <w:r>
        <w:t xml:space="preserve"> systématique avant la première exposition au HAEMATE P.</w:t>
      </w:r>
    </w:p>
    <w:p>
      <w:pPr>
        <w:pStyle w:val="ListNumber"/>
      </w:pPr>
      <w:r/>
      <w:r>
        <w:rPr>
          <w:b/>
        </w:rPr>
        <w:t>Risque thrombotique</w:t>
      </w:r>
      <w:r>
        <w:t xml:space="preserve"> accru à doses cumulées &gt; 200 UI/kg/24 h (VWF et FVIII sont procoagulants). Surveillance D-dimères et fibrinogène.</w:t>
      </w:r>
    </w:p>
    <w:p>
      <w:pPr>
        <w:pStyle w:val="ListNumber"/>
      </w:pPr>
      <w:r/>
      <w:r>
        <w:rPr>
          <w:b/>
        </w:rPr>
        <w:t>Inhibiteur anti-VWF</w:t>
      </w:r>
      <w:r>
        <w:t xml:space="preserve"> : rare (~5-10 % des VWD type 3 multitransfusés). Test Bethesda-like (test anticorps anti-VWF). En cas d'inhibiteur, by-passing agents (rFVIIa, FEIBA) ou VWF recombinant (non disponible en Algérie).</w:t>
      </w:r>
    </w:p>
    <w:p>
      <w:pPr>
        <w:pStyle w:val="ListNumber"/>
      </w:pPr>
      <w:r/>
      <w:r>
        <w:rPr>
          <w:b/>
        </w:rPr>
        <w:t>VWD type 2N</w:t>
      </w:r>
      <w:r>
        <w:t xml:space="preserve"> : souvent confondue avec hémophilie A légère (FVIII bas, VWF normal). Diagnostic différentiel par test de liaison VWF-FVIII. Le HAEMATE P est le traitement de choix du type 2N.</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HAEMATE P utilisable (CRAT). Maintenir VWF ≥ 50 UI/dL pendant le travail et ≥ 30 UI/dL pendant 7-14 jours post-partum.</w:t>
      </w:r>
    </w:p>
    <w:p>
      <w:pPr>
        <w:pStyle w:val="ListNumber"/>
      </w:pPr>
      <w:r/>
      <w:r>
        <w:rPr>
          <w:b/>
        </w:rPr>
        <w:t>Éviter l'aspirine et les AINS</w:t>
      </w:r>
      <w:r>
        <w:t xml:space="preserve"> chez le patient VWD symptomatique.</w:t>
      </w:r>
    </w:p>
    <w:p>
      <w:pPr>
        <w:pStyle w:val="ListNumber"/>
      </w:pPr>
      <w:r/>
      <w:r>
        <w:rPr>
          <w:b/>
        </w:rPr>
        <w:t>Surveillance ostéo-articulaire</w:t>
      </w:r>
      <w:r>
        <w:t xml:space="preserve"> (VWD type 3) : les hémarthroses récidivantes → arthropathie destructrice. Prévention par prophylaxie primaire précoce.</w:t>
      </w:r>
    </w:p>
    <w:p>
      <w:pPr>
        <w:pStyle w:val="ListNumber"/>
      </w:pPr>
      <w:r/>
      <w:r>
        <w:rPr>
          <w:b/>
        </w:rPr>
        <w:t>Information patient</w:t>
      </w:r>
      <w:r>
        <w:t xml:space="preserve"> : carte de patient VWD (type, traitement prophylactique, centre de référence, contacts d'urgence), carnet de suivi patient, numéro d'urgence 24/7 du centre de référence.</w:t>
      </w:r>
    </w:p>
    <w:p>
      <w:pPr>
        <w:pStyle w:val="ListNumber"/>
      </w:pPr>
      <w:r/>
      <w:r>
        <w:rPr>
          <w:b/>
        </w:rPr>
        <w:t>La maladie de Willebrand est sous-diagnostiquée en Algérie</w:t>
      </w:r>
      <w:r>
        <w:t xml:space="preserve"> : moins de 10 % des patients symptomatiques sont diagnostiqués. Le pharmacien d'officine a un rôle clé dans le dépistage (ménorragies inexpliquées, épistaxis récidivantes, antécédents familiaux de saignement) → orientation vers un hématologue pour bilan biologique (VWF:Ag, VWF:RCo, FVIII:C).</w:t>
      </w:r>
    </w:p>
    <w:p>
      <w:pPr>
        <w:pStyle w:val="Heading3"/>
      </w:pPr>
      <w:r>
        <w:t>Sous-section 12 — Tableau comparatif de sous-classe (HAEMATE P dosages)</w:t>
      </w:r>
    </w:p>
    <w:tbl>
      <w:tblPr>
        <w:tblStyle w:val="LightGrid-Accent1"/>
        <w:tblW w:type="auto" w:w="0"/>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F2F2F2"/>
          </w:tcPr>
          <w:p>
            <w:r>
              <w:rPr>
                <w:rFonts w:ascii="Times New Roman" w:hAnsi="Times New Roman"/>
                <w:b/>
                <w:sz w:val="20"/>
              </w:rPr>
              <w:t>Spécialité</w:t>
            </w:r>
          </w:p>
        </w:tc>
        <w:tc>
          <w:tcPr>
            <w:tcW w:type="dxa" w:w="1039"/>
            <w:shd w:val="clear" w:color="auto" w:fill="F2F2F2"/>
          </w:tcPr>
          <w:p>
            <w:r>
              <w:rPr>
                <w:rFonts w:ascii="Times New Roman" w:hAnsi="Times New Roman"/>
                <w:b/>
                <w:sz w:val="20"/>
              </w:rPr>
              <w:t>Laboratoire</w:t>
            </w:r>
          </w:p>
        </w:tc>
        <w:tc>
          <w:tcPr>
            <w:tcW w:type="dxa" w:w="1039"/>
            <w:shd w:val="clear" w:color="auto" w:fill="F2F2F2"/>
          </w:tcPr>
          <w:p>
            <w:r>
              <w:rPr>
                <w:rFonts w:ascii="Times New Roman" w:hAnsi="Times New Roman"/>
                <w:b/>
                <w:sz w:val="20"/>
              </w:rPr>
              <w:t>Origine</w:t>
            </w:r>
          </w:p>
        </w:tc>
        <w:tc>
          <w:tcPr>
            <w:tcW w:type="dxa" w:w="1039"/>
            <w:shd w:val="clear" w:color="auto" w:fill="F2F2F2"/>
          </w:tcPr>
          <w:p>
            <w:r>
              <w:rPr>
                <w:rFonts w:ascii="Times New Roman" w:hAnsi="Times New Roman"/>
                <w:b/>
                <w:sz w:val="20"/>
              </w:rPr>
              <w:t>Dosages (FVIII/VWF)</w:t>
            </w:r>
          </w:p>
        </w:tc>
        <w:tc>
          <w:tcPr>
            <w:tcW w:type="dxa" w:w="1039"/>
            <w:shd w:val="clear" w:color="auto" w:fill="F2F2F2"/>
          </w:tcPr>
          <w:p>
            <w:r>
              <w:rPr>
                <w:rFonts w:ascii="Times New Roman" w:hAnsi="Times New Roman"/>
                <w:b/>
                <w:sz w:val="20"/>
              </w:rPr>
              <w:t>Ratio FVIII:VWF</w:t>
            </w:r>
          </w:p>
        </w:tc>
        <w:tc>
          <w:tcPr>
            <w:tcW w:type="dxa" w:w="1039"/>
            <w:shd w:val="clear" w:color="auto" w:fill="F2F2F2"/>
          </w:tcPr>
          <w:p>
            <w:r>
              <w:rPr>
                <w:rFonts w:ascii="Times New Roman" w:hAnsi="Times New Roman"/>
                <w:b/>
                <w:sz w:val="20"/>
              </w:rPr>
              <w:t>Demi-vie VWF</w:t>
            </w:r>
          </w:p>
        </w:tc>
        <w:tc>
          <w:tcPr>
            <w:tcW w:type="dxa" w:w="1039"/>
            <w:shd w:val="clear" w:color="auto" w:fill="F2F2F2"/>
          </w:tcPr>
          <w:p>
            <w:r>
              <w:rPr>
                <w:rFonts w:ascii="Times New Roman" w:hAnsi="Times New Roman"/>
                <w:b/>
                <w:sz w:val="20"/>
              </w:rPr>
              <w:t>Indication privilégiée</w:t>
            </w:r>
          </w:p>
        </w:tc>
        <w:tc>
          <w:tcPr>
            <w:tcW w:type="dxa" w:w="1039"/>
            <w:shd w:val="clear" w:color="auto" w:fill="F2F2F2"/>
          </w:tcPr>
          <w:p>
            <w:r>
              <w:rPr>
                <w:rFonts w:ascii="Times New Roman" w:hAnsi="Times New Roman"/>
                <w:b/>
                <w:sz w:val="20"/>
              </w:rPr>
              <w:t>Statut Algérie</w:t>
            </w:r>
          </w:p>
        </w:tc>
      </w:tr>
      <w:tr>
        <w:tc>
          <w:tcPr>
            <w:tcW w:type="dxa" w:w="1039"/>
          </w:tcPr>
          <w:p>
            <w:r>
              <w:rPr>
                <w:rFonts w:ascii="Times New Roman" w:hAnsi="Times New Roman"/>
                <w:sz w:val="20"/>
              </w:rPr>
              <w:t>HAEMATE P 250/1600</w:t>
            </w:r>
          </w:p>
        </w:tc>
        <w:tc>
          <w:tcPr>
            <w:tcW w:type="dxa" w:w="1039"/>
          </w:tcPr>
          <w:p>
            <w:r>
              <w:rPr>
                <w:rFonts w:ascii="Times New Roman" w:hAnsi="Times New Roman"/>
                <w:sz w:val="20"/>
              </w:rPr>
              <w:t>CSL Behring GmbH (Allemagne)</w:t>
            </w:r>
          </w:p>
        </w:tc>
        <w:tc>
          <w:tcPr>
            <w:tcW w:type="dxa" w:w="1039"/>
          </w:tcPr>
          <w:p>
            <w:r>
              <w:rPr>
                <w:rFonts w:ascii="Times New Roman" w:hAnsi="Times New Roman"/>
                <w:sz w:val="20"/>
              </w:rPr>
              <w:t>Plasma humain</w:t>
            </w:r>
          </w:p>
        </w:tc>
        <w:tc>
          <w:tcPr>
            <w:tcW w:type="dxa" w:w="1039"/>
          </w:tcPr>
          <w:p>
            <w:r>
              <w:rPr>
                <w:rFonts w:ascii="Times New Roman" w:hAnsi="Times New Roman"/>
                <w:sz w:val="20"/>
              </w:rPr>
              <w:t>250 UI FVIII + 1600 UI VWF</w:t>
            </w:r>
          </w:p>
        </w:tc>
        <w:tc>
          <w:tcPr>
            <w:tcW w:type="dxa" w:w="1039"/>
          </w:tcPr>
          <w:p>
            <w:r>
              <w:rPr>
                <w:rFonts w:ascii="Times New Roman" w:hAnsi="Times New Roman"/>
                <w:sz w:val="20"/>
              </w:rPr>
              <w:t>1:6,4</w:t>
            </w:r>
          </w:p>
        </w:tc>
        <w:tc>
          <w:tcPr>
            <w:tcW w:type="dxa" w:w="1039"/>
          </w:tcPr>
          <w:p>
            <w:r>
              <w:rPr>
                <w:rFonts w:ascii="Times New Roman" w:hAnsi="Times New Roman"/>
                <w:sz w:val="20"/>
              </w:rPr>
              <w:t>10-14 h</w:t>
            </w:r>
          </w:p>
        </w:tc>
        <w:tc>
          <w:tcPr>
            <w:tcW w:type="dxa" w:w="1039"/>
          </w:tcPr>
          <w:p>
            <w:r>
              <w:rPr>
                <w:rFonts w:ascii="Times New Roman" w:hAnsi="Times New Roman"/>
                <w:sz w:val="20"/>
              </w:rPr>
              <w:t>VWD type 3 sévère</w:t>
            </w:r>
          </w:p>
        </w:tc>
        <w:tc>
          <w:tcPr>
            <w:tcW w:type="dxa" w:w="1039"/>
          </w:tcPr>
          <w:p>
            <w:r>
              <w:rPr>
                <w:rFonts w:ascii="Times New Roman" w:hAnsi="Times New Roman"/>
                <w:sz w:val="20"/>
              </w:rPr>
              <w:t>Actif</w:t>
            </w:r>
          </w:p>
        </w:tc>
      </w:tr>
      <w:tr>
        <w:tc>
          <w:tcPr>
            <w:tcW w:type="dxa" w:w="1039"/>
          </w:tcPr>
          <w:p>
            <w:r>
              <w:rPr>
                <w:rFonts w:ascii="Times New Roman" w:hAnsi="Times New Roman"/>
                <w:sz w:val="20"/>
              </w:rPr>
              <w:t>HAEMATE P 500/1200</w:t>
            </w:r>
          </w:p>
        </w:tc>
        <w:tc>
          <w:tcPr>
            <w:tcW w:type="dxa" w:w="1039"/>
          </w:tcPr>
          <w:p>
            <w:r>
              <w:rPr>
                <w:rFonts w:ascii="Times New Roman" w:hAnsi="Times New Roman"/>
                <w:sz w:val="20"/>
              </w:rPr>
              <w:t>CSL Behring GmbH (Allemagne)</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 FVIII + 1200 UI VWF</w:t>
            </w:r>
          </w:p>
        </w:tc>
        <w:tc>
          <w:tcPr>
            <w:tcW w:type="dxa" w:w="1039"/>
          </w:tcPr>
          <w:p>
            <w:r>
              <w:rPr>
                <w:rFonts w:ascii="Times New Roman" w:hAnsi="Times New Roman"/>
                <w:sz w:val="20"/>
              </w:rPr>
              <w:t>1:2,4</w:t>
            </w:r>
          </w:p>
        </w:tc>
        <w:tc>
          <w:tcPr>
            <w:tcW w:type="dxa" w:w="1039"/>
          </w:tcPr>
          <w:p>
            <w:r>
              <w:rPr>
                <w:rFonts w:ascii="Times New Roman" w:hAnsi="Times New Roman"/>
                <w:sz w:val="20"/>
              </w:rPr>
              <w:t>10-14 h</w:t>
            </w:r>
          </w:p>
        </w:tc>
        <w:tc>
          <w:tcPr>
            <w:tcW w:type="dxa" w:w="1039"/>
          </w:tcPr>
          <w:p>
            <w:r>
              <w:rPr>
                <w:rFonts w:ascii="Times New Roman" w:hAnsi="Times New Roman"/>
                <w:sz w:val="20"/>
              </w:rPr>
              <w:t>VWD type 1, 2A, 2M modérés</w:t>
            </w:r>
          </w:p>
        </w:tc>
        <w:tc>
          <w:tcPr>
            <w:tcW w:type="dxa" w:w="1039"/>
          </w:tcPr>
          <w:p>
            <w:r>
              <w:rPr>
                <w:rFonts w:ascii="Times New Roman" w:hAnsi="Times New Roman"/>
                <w:sz w:val="20"/>
              </w:rPr>
              <w:t>Actif</w:t>
            </w:r>
          </w:p>
        </w:tc>
      </w:tr>
      <w:tr>
        <w:tc>
          <w:tcPr>
            <w:tcW w:type="dxa" w:w="1039"/>
          </w:tcPr>
          <w:p>
            <w:r>
              <w:rPr>
                <w:rFonts w:ascii="Times New Roman" w:hAnsi="Times New Roman"/>
                <w:sz w:val="20"/>
              </w:rPr>
              <w:t>HAEMATE P 1000/2400</w:t>
            </w:r>
          </w:p>
        </w:tc>
        <w:tc>
          <w:tcPr>
            <w:tcW w:type="dxa" w:w="1039"/>
          </w:tcPr>
          <w:p>
            <w:r>
              <w:rPr>
                <w:rFonts w:ascii="Times New Roman" w:hAnsi="Times New Roman"/>
                <w:sz w:val="20"/>
              </w:rPr>
              <w:t>CSL Behring GmbH (Allemagne)</w:t>
            </w:r>
          </w:p>
        </w:tc>
        <w:tc>
          <w:tcPr>
            <w:tcW w:type="dxa" w:w="1039"/>
          </w:tcPr>
          <w:p>
            <w:r>
              <w:rPr>
                <w:rFonts w:ascii="Times New Roman" w:hAnsi="Times New Roman"/>
                <w:sz w:val="20"/>
              </w:rPr>
              <w:t>Plasma humain</w:t>
            </w:r>
          </w:p>
        </w:tc>
        <w:tc>
          <w:tcPr>
            <w:tcW w:type="dxa" w:w="1039"/>
          </w:tcPr>
          <w:p>
            <w:r>
              <w:rPr>
                <w:rFonts w:ascii="Times New Roman" w:hAnsi="Times New Roman"/>
                <w:sz w:val="20"/>
              </w:rPr>
              <w:t>1000 UI FVIII + 2400 UI VWF</w:t>
            </w:r>
          </w:p>
        </w:tc>
        <w:tc>
          <w:tcPr>
            <w:tcW w:type="dxa" w:w="1039"/>
          </w:tcPr>
          <w:p>
            <w:r>
              <w:rPr>
                <w:rFonts w:ascii="Times New Roman" w:hAnsi="Times New Roman"/>
                <w:sz w:val="20"/>
              </w:rPr>
              <w:t>1:2,4</w:t>
            </w:r>
          </w:p>
        </w:tc>
        <w:tc>
          <w:tcPr>
            <w:tcW w:type="dxa" w:w="1039"/>
          </w:tcPr>
          <w:p>
            <w:r>
              <w:rPr>
                <w:rFonts w:ascii="Times New Roman" w:hAnsi="Times New Roman"/>
                <w:sz w:val="20"/>
              </w:rPr>
              <w:t>10-14 h</w:t>
            </w:r>
          </w:p>
        </w:tc>
        <w:tc>
          <w:tcPr>
            <w:tcW w:type="dxa" w:w="1039"/>
          </w:tcPr>
          <w:p>
            <w:r>
              <w:rPr>
                <w:rFonts w:ascii="Times New Roman" w:hAnsi="Times New Roman"/>
                <w:sz w:val="20"/>
              </w:rPr>
              <w:t>VWD type 1, 2A, 2M sévères + chirurgie</w:t>
            </w:r>
          </w:p>
        </w:tc>
        <w:tc>
          <w:tcPr>
            <w:tcW w:type="dxa" w:w="1039"/>
          </w:tcPr>
          <w:p>
            <w:r>
              <w:rPr>
                <w:rFonts w:ascii="Times New Roman" w:hAnsi="Times New Roman"/>
                <w:sz w:val="20"/>
              </w:rPr>
              <w:t>Actif</w:t>
            </w:r>
          </w:p>
        </w:tc>
      </w:tr>
    </w:tbl>
    <w:p/>
    <w:p>
      <w:pPr>
        <w:pStyle w:val="Heading2"/>
      </w:pPr>
      <w:r>
        <w:t>234.2. DCI : Facteur VIII de coagulation et Facteur de von Willebrand (FANDHI)</w:t>
      </w:r>
    </w:p>
    <w:p>
      <w:pPr>
        <w:pStyle w:val="Heading3"/>
      </w:pPr>
      <w:r>
        <w:t>Sous-section 1 — Liste des catégories thérapeutiques</w:t>
      </w:r>
    </w:p>
    <w:p>
      <w:pPr>
        <w:pStyle w:val="ListBullet"/>
      </w:pPr>
      <w:r/>
      <w:r>
        <w:rPr>
          <w:b/>
        </w:rPr>
        <w:t>Code ATC</w:t>
      </w:r>
      <w:r>
        <w:t xml:space="preserve"> : </w:t>
      </w:r>
      <w:r>
        <w:rPr>
          <w:b/>
        </w:rPr>
        <w:t>B02BD32</w:t>
      </w:r>
      <w:r>
        <w:t xml:space="preserve"> — Complexe Facteur VIII + Facteur von Willebrand (enregistré en 2019 dans la classification ATC).</w:t>
      </w:r>
    </w:p>
    <w:p>
      <w:pPr>
        <w:pStyle w:val="ListBullet"/>
      </w:pPr>
      <w:r/>
      <w:r>
        <w:rPr>
          <w:b/>
        </w:rPr>
        <w:t>Classe pharmacologique</w:t>
      </w:r>
      <w:r>
        <w:t xml:space="preserve"> : concentré plasmatique combiné FVIII + VWF, ratio FVIII:VWF ~1:1,2 (FANDHI 250/300 ; 500/600 ; 1000/1200).</w:t>
      </w:r>
    </w:p>
    <w:p>
      <w:pPr>
        <w:pStyle w:val="ListBullet"/>
      </w:pPr>
      <w:r/>
      <w:r>
        <w:rPr>
          <w:b/>
        </w:rPr>
        <w:t>Statut réglementaire Algérie</w:t>
      </w:r>
      <w:r>
        <w:t xml:space="preserve"> : Liste I (substance vénéneuse), prescription réservée aux médecins spécialistes en hématologie ou gynécologie-obstétrique, délivrance hospitalière (PUI).</w:t>
      </w:r>
    </w:p>
    <w:p>
      <w:pPr>
        <w:pStyle w:val="ListBullet"/>
      </w:pPr>
      <w:r/>
      <w:r>
        <w:rPr>
          <w:b/>
        </w:rPr>
        <w:t>Statut OMS</w:t>
      </w:r>
      <w:r>
        <w:t xml:space="preserve"> : médicament essentiel (Model List of Essential Medicines 22nd edition, 2021).</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FANDHI (Instituto Grifols S.A., Espagne) en 3 dosages (250/300, 500/600, 1000/1200).</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FANDHI 25 UI FVIII/30 UI VWF par mL</w:t>
            </w:r>
          </w:p>
        </w:tc>
        <w:tc>
          <w:tcPr>
            <w:tcW w:type="dxa" w:w="1385"/>
          </w:tcPr>
          <w:p>
            <w:r>
              <w:rPr>
                <w:rFonts w:ascii="Times New Roman" w:hAnsi="Times New Roman"/>
                <w:sz w:val="20"/>
              </w:rPr>
              <w:t>Instituto Grifols S.A. (Espagne)</w:t>
            </w:r>
          </w:p>
        </w:tc>
        <w:tc>
          <w:tcPr>
            <w:tcW w:type="dxa" w:w="1385"/>
          </w:tcPr>
          <w:p>
            <w:r>
              <w:rPr>
                <w:rFonts w:ascii="Times New Roman" w:hAnsi="Times New Roman"/>
                <w:sz w:val="20"/>
              </w:rPr>
              <w:t>Poudre et solvant pour solution injectable, **250 UI FVIII + 300 UI VWF** (ratio FVIII:VWF = 1:1,2)</w:t>
            </w:r>
          </w:p>
        </w:tc>
        <w:tc>
          <w:tcPr>
            <w:tcW w:type="dxa" w:w="1385"/>
          </w:tcPr>
          <w:p>
            <w:r>
              <w:rPr>
                <w:rFonts w:ascii="Times New Roman" w:hAnsi="Times New Roman"/>
                <w:sz w:val="20"/>
              </w:rPr>
              <w:t>Flacon de poudre + seringue pré-remplie 10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FANDHI 50 UI FVIII/60 UI VWF par mL</w:t>
            </w:r>
          </w:p>
        </w:tc>
        <w:tc>
          <w:tcPr>
            <w:tcW w:type="dxa" w:w="1385"/>
          </w:tcPr>
          <w:p>
            <w:r>
              <w:rPr>
                <w:rFonts w:ascii="Times New Roman" w:hAnsi="Times New Roman"/>
                <w:sz w:val="20"/>
              </w:rPr>
              <w:t>Instituto Grifols S.A. (Espagne)</w:t>
            </w:r>
          </w:p>
        </w:tc>
        <w:tc>
          <w:tcPr>
            <w:tcW w:type="dxa" w:w="1385"/>
          </w:tcPr>
          <w:p>
            <w:r>
              <w:rPr>
                <w:rFonts w:ascii="Times New Roman" w:hAnsi="Times New Roman"/>
                <w:sz w:val="20"/>
              </w:rPr>
              <w:t>Poudre et solvant pour solution injectable, **500 UI FVIII + 600 UI VWF** (ratio FVIII:VWF = 1:1,2)</w:t>
            </w:r>
          </w:p>
        </w:tc>
        <w:tc>
          <w:tcPr>
            <w:tcW w:type="dxa" w:w="1385"/>
          </w:tcPr>
          <w:p>
            <w:r>
              <w:rPr>
                <w:rFonts w:ascii="Times New Roman" w:hAnsi="Times New Roman"/>
                <w:sz w:val="20"/>
              </w:rPr>
              <w:t>Flacon de poudre + seringue pré-remplie 10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FANDHI 100 UI FVIII/120 UI VWF par mL</w:t>
            </w:r>
          </w:p>
        </w:tc>
        <w:tc>
          <w:tcPr>
            <w:tcW w:type="dxa" w:w="1385"/>
          </w:tcPr>
          <w:p>
            <w:r>
              <w:rPr>
                <w:rFonts w:ascii="Times New Roman" w:hAnsi="Times New Roman"/>
                <w:sz w:val="20"/>
              </w:rPr>
              <w:t>Instituto Grifols S.A. (Espagne)</w:t>
            </w:r>
          </w:p>
        </w:tc>
        <w:tc>
          <w:tcPr>
            <w:tcW w:type="dxa" w:w="1385"/>
          </w:tcPr>
          <w:p>
            <w:r>
              <w:rPr>
                <w:rFonts w:ascii="Times New Roman" w:hAnsi="Times New Roman"/>
                <w:sz w:val="20"/>
              </w:rPr>
              <w:t>Poudre et solvant pour solution injectable, **1000 UI FVIII + 1200 UI VWF** (ratio FVIII:VWF = 1:1,2)</w:t>
            </w:r>
          </w:p>
        </w:tc>
        <w:tc>
          <w:tcPr>
            <w:tcW w:type="dxa" w:w="1385"/>
          </w:tcPr>
          <w:p>
            <w:r>
              <w:rPr>
                <w:rFonts w:ascii="Times New Roman" w:hAnsi="Times New Roman"/>
                <w:sz w:val="20"/>
              </w:rPr>
              <w:t>Flacon de poudre + seringue pré-remplie 10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du ratio FVIII:VWF</w:t>
      </w:r>
      <w:r>
        <w:t xml:space="preserve"> :</w:t>
      </w:r>
    </w:p>
    <w:p>
      <w:pPr>
        <w:pStyle w:val="ListBullet"/>
      </w:pPr>
      <w:r>
        <w:t xml:space="preserve">Le FANDHI présente un ratio FVIII:VWF de </w:t>
      </w:r>
      <w:r>
        <w:rPr>
          <w:b/>
        </w:rPr>
        <w:t>1:1,2</w:t>
      </w:r>
      <w:r>
        <w:t xml:space="preserve"> (vs 1:2,4 pour HAEMATE P 500/1200 et 1000/2400).</w:t>
      </w:r>
    </w:p>
    <w:p>
      <w:pPr>
        <w:pStyle w:val="ListBullet"/>
      </w:pPr>
      <w:r>
        <w:t xml:space="preserve">Ce ratio est dit </w:t>
      </w:r>
      <w:r>
        <w:rPr>
          <w:b/>
        </w:rPr>
        <w:t>« FVIII-dominé »</w:t>
      </w:r>
      <w:r>
        <w:t xml:space="preserve"> : recommandé pour les saignements aigus où le FVIII est le facteur limitant (saignements articulaires, chirurgie non programmée).</w:t>
      </w:r>
    </w:p>
    <w:p>
      <w:pPr>
        <w:pStyle w:val="ListBullet"/>
      </w:pPr>
      <w:r>
        <w:t>Pour les VWD type 3 (besoin majeur en VWF), le FANDHI est moins adapté que le HAEMATE P 250/1600 (ratio VWF-dominé).</w:t>
      </w:r>
    </w:p>
    <w:p>
      <w:pPr>
        <w:pStyle w:val="ListBullet"/>
      </w:pPr>
      <w:r>
        <w:t xml:space="preserve">Le FANDHI est présenté en </w:t>
      </w:r>
      <w:r>
        <w:rPr>
          <w:b/>
        </w:rPr>
        <w:t>seringue pré-remplie de 10 mL</w:t>
      </w:r>
      <w:r>
        <w:t>, ce qui facilite la reconstitution (pas besoin d'aiguille de transfert séparée).</w:t>
      </w:r>
    </w:p>
    <w:p>
      <w:pPr>
        <w:pStyle w:val="Heading3"/>
      </w:pPr>
      <w:r>
        <w:t>Sous-section 3 — Sous-classe et mécanisme d'action moléculaire</w:t>
      </w:r>
    </w:p>
    <w:p>
      <w:r/>
      <w:r>
        <w:rPr>
          <w:b/>
        </w:rPr>
        <w:t>Sous-classe pharmacologique</w:t>
      </w:r>
      <w:r>
        <w:t xml:space="preserve"> : B02BD32 — Complexe Facteur VIII + Facteur von Willebrand (concentré plasmatique combiné). Le FANDHI est un produit équivalent au HAEMATE P (CSL Behring) mais avec un ratio FVIII:VWF différent.</w:t>
      </w:r>
    </w:p>
    <w:p>
      <w:r/>
      <w:r>
        <w:rPr>
          <w:b/>
        </w:rPr>
        <w:t>Structure moléculaire</w:t>
      </w:r>
      <w:r>
        <w:t xml:space="preserve"> :</w:t>
      </w:r>
    </w:p>
    <w:p>
      <w:pPr>
        <w:pStyle w:val="ListBullet"/>
      </w:pPr>
      <w:r>
        <w:t>Le FANDHI est obtenu par fractionnement plasmatique industriel à partir de plasma humain poolé, selon la méthode Cohn-Oncley modifiée.</w:t>
      </w:r>
    </w:p>
    <w:p>
      <w:pPr>
        <w:pStyle w:val="ListBullet"/>
      </w:pPr>
      <w:r/>
      <w:r>
        <w:rPr>
          <w:b/>
        </w:rPr>
        <w:t>Composition</w:t>
      </w:r>
      <w:r>
        <w:t xml:space="preserve"> : FVIII:C (~250-1000 UI/flacon) + VWF:RCo (~300-1200 UI/flacon) + autres protéines plasmatiques (fibronectine, immunoglobulines — traces).</w:t>
      </w:r>
    </w:p>
    <w:p>
      <w:pPr>
        <w:pStyle w:val="ListBullet"/>
      </w:pPr>
      <w:r/>
      <w:r>
        <w:rPr>
          <w:b/>
        </w:rPr>
        <w:t>Multimères VWF</w:t>
      </w:r>
      <w:r>
        <w:t xml:space="preserve"> : distribution quasi-normale, présence de tous les multimères (dont HMW — haut poids moléculaire, les plus actifs sur l'adhésion plaquettaire).</w:t>
      </w:r>
    </w:p>
    <w:p>
      <w:pPr>
        <w:pStyle w:val="ListBullet"/>
      </w:pPr>
      <w:r/>
      <w:r>
        <w:rPr>
          <w:b/>
        </w:rPr>
        <w:t>Stabilisateurs</w:t>
      </w:r>
      <w:r>
        <w:t xml:space="preserve"> : glycine, saccharose, chlorure de sodium, citrate de sodium.</w:t>
      </w:r>
    </w:p>
    <w:p>
      <w:pPr>
        <w:pStyle w:val="ListBullet"/>
      </w:pPr>
      <w:r/>
      <w:r>
        <w:rPr>
          <w:b/>
        </w:rPr>
        <w:t>Sécurité virale</w:t>
      </w:r>
      <w:r>
        <w:t xml:space="preserve"> : double inactivation virale — solvant-détergent (SD, inactivation virus enveloppés) + </w:t>
      </w:r>
      <w:r>
        <w:rPr>
          <w:b/>
        </w:rPr>
        <w:t>nanofiltration</w:t>
      </w:r>
      <w:r>
        <w:t xml:space="preserve"> (élimination des virus non enveloppés comme Parvovirus B19 et HAV par taille, ~20 nm).</w:t>
      </w:r>
    </w:p>
    <w:p>
      <w:r/>
      <w:r>
        <w:rPr>
          <w:b/>
        </w:rPr>
        <w:t>Mécanisme d'action</w:t>
      </w:r>
      <w:r>
        <w:t xml:space="preserve"> :</w:t>
      </w:r>
    </w:p>
    <w:p>
      <w:pPr>
        <w:pStyle w:val="ListBullet"/>
      </w:pPr>
      <w:r>
        <w:t>Identique au HAEMATE P (cf. fiche 234.1, sous-section 3).</w:t>
      </w:r>
    </w:p>
    <w:p>
      <w:r/>
      <w:r>
        <w:rPr>
          <w:b/>
        </w:rPr>
        <w:t>Effet pharmacodynamique</w:t>
      </w:r>
      <w:r>
        <w:t xml:space="preserve"> :</w:t>
      </w:r>
    </w:p>
    <w:p>
      <w:pPr>
        <w:pStyle w:val="ListBullet"/>
      </w:pPr>
      <w:r>
        <w:t xml:space="preserve">L'administration IV de 1 UI/kg de VWF augmente le VWF:RCo plasmatique d'environ </w:t>
      </w:r>
      <w:r>
        <w:rPr>
          <w:b/>
        </w:rPr>
        <w:t>2,0 UI/dL</w:t>
      </w:r>
      <w:r>
        <w:t xml:space="preserve"> (récovery légèrement supérieur au HAEMATE P).</w:t>
      </w:r>
    </w:p>
    <w:p>
      <w:pPr>
        <w:pStyle w:val="ListBullet"/>
      </w:pPr>
      <w:r>
        <w:t xml:space="preserve">La demi-vie plasmatique du VWF est de </w:t>
      </w:r>
      <w:r>
        <w:rPr>
          <w:b/>
        </w:rPr>
        <w:t>10-14 h</w:t>
      </w:r>
      <w:r>
        <w:t xml:space="preserve">, celle du FVIII est de </w:t>
      </w:r>
      <w:r>
        <w:rPr>
          <w:b/>
        </w:rPr>
        <w:t>12-15 h</w:t>
      </w:r>
      <w:r>
        <w:t>.</w:t>
      </w:r>
    </w:p>
    <w:p>
      <w:pPr>
        <w:pStyle w:val="Heading3"/>
      </w:pPr>
      <w:r>
        <w:t>Sous-section 4 — Profil pharmacologique : indications, contre-indications, effets indésirables</w:t>
      </w:r>
    </w:p>
    <w:p>
      <w:pPr>
        <w:pStyle w:val="Heading4"/>
      </w:pPr>
      <w:r>
        <w:t>Indications validées (RCP)</w:t>
      </w:r>
    </w:p>
    <w:p>
      <w:pPr>
        <w:pStyle w:val="ListNumber"/>
      </w:pPr>
      <w:r/>
      <w:r>
        <w:rPr>
          <w:b/>
        </w:rPr>
        <w:t>Maladie de Willebrand (VWD)</w:t>
      </w:r>
      <w:r>
        <w:t xml:space="preserve"> :</w:t>
      </w:r>
    </w:p>
    <w:p>
      <w:pPr>
        <w:pStyle w:val="ListBullet"/>
      </w:pPr>
      <w:r/>
      <w:r>
        <w:rPr>
          <w:b/>
        </w:rPr>
        <w:t>Type 2</w:t>
      </w:r>
      <w:r>
        <w:t xml:space="preserve"> (2A, 2B, 2M, 2N) — traitement des saignements et prévention chirurgicale.</w:t>
      </w:r>
    </w:p>
    <w:p>
      <w:pPr>
        <w:pStyle w:val="ListBullet"/>
      </w:pPr>
      <w:r/>
      <w:r>
        <w:rPr>
          <w:b/>
        </w:rPr>
        <w:t>Type 1</w:t>
      </w:r>
      <w:r>
        <w:t xml:space="preserve"> sévère non-répondant à la desmopressine.</w:t>
      </w:r>
    </w:p>
    <w:p>
      <w:pPr>
        <w:pStyle w:val="ListBullet"/>
      </w:pPr>
      <w:r/>
      <w:r>
        <w:rPr>
          <w:b/>
        </w:rPr>
        <w:t>Type 3</w:t>
      </w:r>
      <w:r>
        <w:t xml:space="preserve"> (sévère) — possible mais moins adapté que HAEMATE P 250/1600 (ratio VWF-dominé).</w:t>
      </w:r>
    </w:p>
    <w:p>
      <w:pPr>
        <w:pStyle w:val="ListNumber"/>
      </w:pPr>
      <w:r/>
      <w:r>
        <w:rPr>
          <w:b/>
        </w:rPr>
        <w:t>Couverture chirurgicale</w:t>
      </w:r>
      <w:r>
        <w:t xml:space="preserve"> chez le patient VWD.</w:t>
      </w:r>
    </w:p>
    <w:p>
      <w:pPr>
        <w:pStyle w:val="ListNumber"/>
      </w:pPr>
      <w:r/>
      <w:r>
        <w:rPr>
          <w:b/>
        </w:rPr>
        <w:t>Couverture péri-partum</w:t>
      </w:r>
      <w:r>
        <w:t xml:space="preserve"> des femmes VWD symptomatiques.</w:t>
      </w:r>
    </w:p>
    <w:p>
      <w:pPr>
        <w:pStyle w:val="ListNumber"/>
      </w:pPr>
      <w:r/>
      <w:r>
        <w:rPr>
          <w:b/>
        </w:rPr>
        <w:t>Hémophilie A</w:t>
      </w:r>
      <w:r>
        <w:t xml:space="preserve"> en cas d'inhibiteur anti-FVIII de bas titre (low responder) — utilisation off-label.</w:t>
      </w:r>
    </w:p>
    <w:p>
      <w:pPr>
        <w:pStyle w:val="ListNumber"/>
      </w:pPr>
      <w:r/>
      <w:r>
        <w:rPr>
          <w:b/>
        </w:rPr>
        <w:t>Hémophilie A acquise</w:t>
      </w:r>
      <w:r>
        <w:t xml:space="preserve"> (auto-anticorps anti-FVIII).</w:t>
      </w:r>
    </w:p>
    <w:p>
      <w:pPr>
        <w:pStyle w:val="Heading4"/>
      </w:pPr>
      <w:r>
        <w:t>Contre-indications absolues</w:t>
      </w:r>
    </w:p>
    <w:p>
      <w:pPr>
        <w:pStyle w:val="ListNumber"/>
      </w:pPr>
      <w:r/>
      <w:r>
        <w:rPr>
          <w:b/>
        </w:rPr>
        <w:t>Hypersensibilité avérée</w:t>
      </w:r>
      <w:r>
        <w:t xml:space="preserve"> aux protéines humaines, à l'un des excipients, ou antécédent d'anaphylaxie à un PSS.</w:t>
      </w:r>
    </w:p>
    <w:p>
      <w:pPr>
        <w:pStyle w:val="ListNumber"/>
      </w:pPr>
      <w:r/>
      <w:r>
        <w:rPr>
          <w:b/>
        </w:rPr>
        <w:t>Inhibiteur anti-VWF</w:t>
      </w:r>
      <w:r>
        <w:t xml:space="preserve"> — inefficacité attendue.</w:t>
      </w:r>
    </w:p>
    <w:p>
      <w:pPr>
        <w:pStyle w:val="ListNumber"/>
      </w:pPr>
      <w:r/>
      <w:r>
        <w:rPr>
          <w:b/>
        </w:rPr>
        <w:t>Patients IgA-déficients avec anticorps anti-IgA</w:t>
      </w:r>
      <w:r>
        <w:t xml:space="preserve"> — risque majeur d'anaphylaxie.</w:t>
      </w:r>
    </w:p>
    <w:p>
      <w:pPr>
        <w:pStyle w:val="Heading4"/>
      </w:pPr>
      <w:r>
        <w:t>Contre-indications relatives</w:t>
      </w:r>
    </w:p>
    <w:p>
      <w:pPr>
        <w:pStyle w:val="ListNumber"/>
      </w:pPr>
      <w:r/>
      <w:r>
        <w:rPr>
          <w:b/>
        </w:rPr>
        <w:t>Thrombose veineuse ou artérielle récente</w:t>
      </w:r>
      <w:r>
        <w:t xml:space="preserve"> (&lt; 3 mois).</w:t>
      </w:r>
    </w:p>
    <w:p>
      <w:pPr>
        <w:pStyle w:val="ListNumber"/>
      </w:pPr>
      <w:r/>
      <w:r>
        <w:rPr>
          <w:b/>
        </w:rPr>
        <w:t>Syndrome des antiphospholipides</w:t>
      </w:r>
      <w:r>
        <w:t>.</w:t>
      </w:r>
    </w:p>
    <w:p>
      <w:pPr>
        <w:pStyle w:val="ListNumber"/>
      </w:pPr>
      <w:r/>
      <w:r>
        <w:rPr>
          <w:b/>
        </w:rPr>
        <w:t>Grossesse</w:t>
      </w:r>
      <w:r>
        <w:t xml:space="preserve"> : utilisable si nécessaire (CRAT).</w:t>
      </w:r>
    </w:p>
    <w:p>
      <w:pPr>
        <w:pStyle w:val="Heading4"/>
      </w:pPr>
      <w:r>
        <w:t>Effets indésirables</w:t>
      </w:r>
    </w:p>
    <w:p>
      <w:pPr>
        <w:pStyle w:val="ListBullet"/>
      </w:pPr>
      <w:r>
        <w:t>Identiques au HAEMATE P (cf. fiche 234.1, sous-section 4).</w:t>
      </w:r>
    </w:p>
    <w:p>
      <w:pPr>
        <w:pStyle w:val="Heading3"/>
      </w:pPr>
      <w:r>
        <w:t>Sous-section 5 — Prévention et gestion des effets indésirables</w:t>
      </w:r>
    </w:p>
    <w:p>
      <w:pPr>
        <w:pStyle w:val="ListBullet"/>
      </w:pPr>
      <w:r>
        <w:t>Identiques au HAEMATE P (cf. fiche 234.1, sous-section 5).</w:t>
      </w:r>
    </w:p>
    <w:p>
      <w:pPr>
        <w:pStyle w:val="Heading3"/>
      </w:pPr>
      <w:r>
        <w:t>Sous-section 6 — Interactions médicamenteuses</w:t>
      </w:r>
    </w:p>
    <w:p>
      <w:pPr>
        <w:pStyle w:val="ListBullet"/>
      </w:pPr>
      <w:r>
        <w:t>Identiques au HAEMATE P (cf. fiche 234.1, sous-section 6).</w:t>
      </w:r>
    </w:p>
    <w:p>
      <w:pPr>
        <w:pStyle w:val="Heading3"/>
      </w:pPr>
      <w:r>
        <w:t>Sous-section 7 — Grossesse et allaitement (CRAT)</w:t>
      </w:r>
    </w:p>
    <w:p>
      <w:pPr>
        <w:pStyle w:val="ListBullet"/>
      </w:pPr>
      <w:r>
        <w:t>Identiques au HAEMATE P (cf. fiche 234.1, sous-section 7).</w:t>
      </w:r>
    </w:p>
    <w:p>
      <w:pPr>
        <w:pStyle w:val="Heading3"/>
      </w:pPr>
      <w:r>
        <w:t>Sous-section 8 — Posologie et mode d'administration</w:t>
      </w:r>
    </w:p>
    <w:p>
      <w:pPr>
        <w:pStyle w:val="Heading4"/>
      </w:pPr>
      <w:r>
        <w:t>Calcul de la dose (formule classique)</w:t>
      </w:r>
    </w:p>
    <w:p>
      <w:r>
        <w:t>La dose de FANDHI (en UI VWF) est calculée selon la formule :</w:t>
      </w:r>
    </w:p>
    <w:p>
      <w:pPr>
        <w:ind w:left="567"/>
      </w:pPr>
      <w:r>
        <w:rPr>
          <w:i/>
          <w:color w:val="606060"/>
        </w:rPr>
        <w:t>**Dose (UI VWF) = Poids (kg) × ΔVWF souhaité (UI/dL) × 0,5**</w:t>
      </w:r>
    </w:p>
    <w:p>
      <w:r/>
      <w:r>
        <w:rPr>
          <w:b/>
        </w:rPr>
        <w:t>Exemple clinique</w:t>
      </w:r>
      <w:r>
        <w:t xml:space="preserve"> :</w:t>
      </w:r>
    </w:p>
    <w:p>
      <w:pPr>
        <w:pStyle w:val="ListBullet"/>
      </w:pPr>
      <w:r>
        <w:t>Patient VWD type 2A, 70 kg, devant subir une arthroscopie du genou.</w:t>
      </w:r>
    </w:p>
    <w:p>
      <w:pPr>
        <w:pStyle w:val="ListBullet"/>
      </w:pPr>
      <w:r>
        <w:t>Objectif : VWF:RCo ≥ 80 UI/dL (chirurgie majeure).</w:t>
      </w:r>
    </w:p>
    <w:p>
      <w:pPr>
        <w:pStyle w:val="ListBullet"/>
      </w:pPr>
      <w:r>
        <w:t xml:space="preserve">Dose = 70 × 80 × 0,5 = </w:t>
      </w:r>
      <w:r>
        <w:rPr>
          <w:b/>
        </w:rPr>
        <w:t>2 800 UI VWF</w:t>
      </w:r>
      <w:r>
        <w:t xml:space="preserve"> → utiliser FANDHI 1000/1200 (apporte 1000 UI FVIII + 1200 UI VWF) × 2 flacons + FANDHI 500/600 (apporte 500 UI FVIII + 600 UI VWF) × 1 flacon = 2500 UI FVIII + 3000 UI VWF (close enough).</w:t>
      </w:r>
    </w:p>
    <w:p>
      <w:pPr>
        <w:pStyle w:val="ListBullet"/>
      </w:pPr>
      <w:r>
        <w:t>Ré-injection à 24 h si besoin.</w:t>
      </w:r>
    </w:p>
    <w:p>
      <w:pPr>
        <w:pStyle w:val="Heading4"/>
      </w:pPr>
      <w:r>
        <w:t>Posologie selon le type de saignement et de chirurgie</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Type de saignement</w:t>
            </w:r>
          </w:p>
        </w:tc>
        <w:tc>
          <w:tcPr>
            <w:tcW w:type="dxa" w:w="2078"/>
            <w:shd w:val="clear" w:color="auto" w:fill="F2F2F2"/>
          </w:tcPr>
          <w:p>
            <w:r>
              <w:rPr>
                <w:rFonts w:ascii="Times New Roman" w:hAnsi="Times New Roman"/>
                <w:b/>
                <w:sz w:val="20"/>
              </w:rPr>
              <w:t>Taux cible VWF:RCo</w:t>
            </w:r>
          </w:p>
        </w:tc>
        <w:tc>
          <w:tcPr>
            <w:tcW w:type="dxa" w:w="2078"/>
            <w:shd w:val="clear" w:color="auto" w:fill="F2F2F2"/>
          </w:tcPr>
          <w:p>
            <w:r>
              <w:rPr>
                <w:rFonts w:ascii="Times New Roman" w:hAnsi="Times New Roman"/>
                <w:b/>
                <w:sz w:val="20"/>
              </w:rPr>
              <w:t>Dose initiale (UI VWF/kg)</w:t>
            </w:r>
          </w:p>
        </w:tc>
        <w:tc>
          <w:tcPr>
            <w:tcW w:type="dxa" w:w="2078"/>
            <w:shd w:val="clear" w:color="auto" w:fill="F2F2F2"/>
          </w:tcPr>
          <w:p>
            <w:r>
              <w:rPr>
                <w:rFonts w:ascii="Times New Roman" w:hAnsi="Times New Roman"/>
                <w:b/>
                <w:sz w:val="20"/>
              </w:rPr>
              <w:t>Durée</w:t>
            </w:r>
          </w:p>
        </w:tc>
      </w:tr>
      <w:tr>
        <w:tc>
          <w:tcPr>
            <w:tcW w:type="dxa" w:w="2078"/>
          </w:tcPr>
          <w:p>
            <w:r>
              <w:rPr>
                <w:rFonts w:ascii="Times New Roman" w:hAnsi="Times New Roman"/>
                <w:sz w:val="20"/>
              </w:rPr>
              <w:t>Saignement mineur</w:t>
            </w:r>
          </w:p>
        </w:tc>
        <w:tc>
          <w:tcPr>
            <w:tcW w:type="dxa" w:w="2078"/>
          </w:tcPr>
          <w:p>
            <w:r>
              <w:rPr>
                <w:rFonts w:ascii="Times New Roman" w:hAnsi="Times New Roman"/>
                <w:sz w:val="20"/>
              </w:rPr>
              <w:t>30-50 UI/dL</w:t>
            </w:r>
          </w:p>
        </w:tc>
        <w:tc>
          <w:tcPr>
            <w:tcW w:type="dxa" w:w="2078"/>
          </w:tcPr>
          <w:p>
            <w:r>
              <w:rPr>
                <w:rFonts w:ascii="Times New Roman" w:hAnsi="Times New Roman"/>
                <w:sz w:val="20"/>
              </w:rPr>
              <w:t>20-30 UI/kg</w:t>
            </w:r>
          </w:p>
        </w:tc>
        <w:tc>
          <w:tcPr>
            <w:tcW w:type="dxa" w:w="2078"/>
          </w:tcPr>
          <w:p>
            <w:r>
              <w:rPr>
                <w:rFonts w:ascii="Times New Roman" w:hAnsi="Times New Roman"/>
                <w:sz w:val="20"/>
              </w:rPr>
              <w:t>1-3 jours</w:t>
            </w:r>
          </w:p>
        </w:tc>
      </w:tr>
      <w:tr>
        <w:tc>
          <w:tcPr>
            <w:tcW w:type="dxa" w:w="2078"/>
          </w:tcPr>
          <w:p>
            <w:r>
              <w:rPr>
                <w:rFonts w:ascii="Times New Roman" w:hAnsi="Times New Roman"/>
                <w:sz w:val="20"/>
              </w:rPr>
              <w:t>Ménorragie aiguë</w:t>
            </w:r>
          </w:p>
        </w:tc>
        <w:tc>
          <w:tcPr>
            <w:tcW w:type="dxa" w:w="2078"/>
          </w:tcPr>
          <w:p>
            <w:r>
              <w:rPr>
                <w:rFonts w:ascii="Times New Roman" w:hAnsi="Times New Roman"/>
                <w:sz w:val="20"/>
              </w:rPr>
              <w:t>50 UI/dL</w:t>
            </w:r>
          </w:p>
        </w:tc>
        <w:tc>
          <w:tcPr>
            <w:tcW w:type="dxa" w:w="2078"/>
          </w:tcPr>
          <w:p>
            <w:r>
              <w:rPr>
                <w:rFonts w:ascii="Times New Roman" w:hAnsi="Times New Roman"/>
                <w:sz w:val="20"/>
              </w:rPr>
              <w:t>30-40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Hémarthrose</w:t>
            </w:r>
          </w:p>
        </w:tc>
        <w:tc>
          <w:tcPr>
            <w:tcW w:type="dxa" w:w="2078"/>
          </w:tcPr>
          <w:p>
            <w:r>
              <w:rPr>
                <w:rFonts w:ascii="Times New Roman" w:hAnsi="Times New Roman"/>
                <w:sz w:val="20"/>
              </w:rPr>
              <w:t>50-80 UI/dL</w:t>
            </w:r>
          </w:p>
        </w:tc>
        <w:tc>
          <w:tcPr>
            <w:tcW w:type="dxa" w:w="2078"/>
          </w:tcPr>
          <w:p>
            <w:r>
              <w:rPr>
                <w:rFonts w:ascii="Times New Roman" w:hAnsi="Times New Roman"/>
                <w:sz w:val="20"/>
              </w:rPr>
              <w:t>40-50 UI/kg</w:t>
            </w:r>
          </w:p>
        </w:tc>
        <w:tc>
          <w:tcPr>
            <w:tcW w:type="dxa" w:w="2078"/>
          </w:tcPr>
          <w:p>
            <w:r>
              <w:rPr>
                <w:rFonts w:ascii="Times New Roman" w:hAnsi="Times New Roman"/>
                <w:sz w:val="20"/>
              </w:rPr>
              <w:t>3-5 jours</w:t>
            </w:r>
          </w:p>
        </w:tc>
      </w:tr>
      <w:tr>
        <w:tc>
          <w:tcPr>
            <w:tcW w:type="dxa" w:w="2078"/>
          </w:tcPr>
          <w:p>
            <w:r>
              <w:rPr>
                <w:rFonts w:ascii="Times New Roman" w:hAnsi="Times New Roman"/>
                <w:sz w:val="20"/>
              </w:rPr>
              <w:t>Chirurgie majeure</w:t>
            </w:r>
          </w:p>
        </w:tc>
        <w:tc>
          <w:tcPr>
            <w:tcW w:type="dxa" w:w="2078"/>
          </w:tcPr>
          <w:p>
            <w:r>
              <w:rPr>
                <w:rFonts w:ascii="Times New Roman" w:hAnsi="Times New Roman"/>
                <w:sz w:val="20"/>
              </w:rPr>
              <w:t>80-100 UI/dL</w:t>
            </w:r>
          </w:p>
        </w:tc>
        <w:tc>
          <w:tcPr>
            <w:tcW w:type="dxa" w:w="2078"/>
          </w:tcPr>
          <w:p>
            <w:r>
              <w:rPr>
                <w:rFonts w:ascii="Times New Roman" w:hAnsi="Times New Roman"/>
                <w:sz w:val="20"/>
              </w:rPr>
              <w:t>50-60 UI/kg</w:t>
            </w:r>
          </w:p>
        </w:tc>
        <w:tc>
          <w:tcPr>
            <w:tcW w:type="dxa" w:w="2078"/>
          </w:tcPr>
          <w:p>
            <w:r>
              <w:rPr>
                <w:rFonts w:ascii="Times New Roman" w:hAnsi="Times New Roman"/>
                <w:sz w:val="20"/>
              </w:rPr>
              <w:t>7-14 jours</w:t>
            </w:r>
          </w:p>
        </w:tc>
      </w:tr>
    </w:tbl>
    <w:p/>
    <w:p>
      <w:pPr>
        <w:pStyle w:val="Heading4"/>
      </w:pPr>
      <w:r>
        <w:t>Mode d'administration</w:t>
      </w:r>
    </w:p>
    <w:p>
      <w:pPr>
        <w:pStyle w:val="ListBullet"/>
      </w:pPr>
      <w:r>
        <w:t>Cf. fiche 234.1 (sous-section 8).</w:t>
      </w:r>
    </w:p>
    <w:p>
      <w:pPr>
        <w:pStyle w:val="ListBullet"/>
      </w:pPr>
      <w:r/>
      <w:r>
        <w:rPr>
          <w:b/>
        </w:rPr>
        <w:t>Particularité FANDHI</w:t>
      </w:r>
      <w:r>
        <w:t xml:space="preserve"> : présenté en </w:t>
      </w:r>
      <w:r>
        <w:rPr>
          <w:b/>
        </w:rPr>
        <w:t>seringue pré-remplie de 10 mL</w:t>
      </w:r>
      <w:r>
        <w:t>, ce qui facilite la reconstitution (pas besoin d'aiguille de transfert séparée — la seringue se connecte directement au flacon de poudre via un dispositif Luer-Lock).</w:t>
      </w:r>
    </w:p>
    <w:p>
      <w:pPr>
        <w:pStyle w:val="Heading3"/>
      </w:pPr>
      <w:r>
        <w:t>Sous-section 9 — Arbitrage et bénéfices des formes galéniques</w:t>
      </w:r>
    </w:p>
    <w:p>
      <w:pPr>
        <w:pStyle w:val="Heading4"/>
      </w:pPr>
      <w:r>
        <w:t>FANDHI vs HAEMATE P</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FANDHI</w:t>
            </w:r>
          </w:p>
        </w:tc>
        <w:tc>
          <w:tcPr>
            <w:tcW w:type="dxa" w:w="2771"/>
            <w:shd w:val="clear" w:color="auto" w:fill="F2F2F2"/>
          </w:tcPr>
          <w:p>
            <w:r>
              <w:rPr>
                <w:rFonts w:ascii="Times New Roman" w:hAnsi="Times New Roman"/>
                <w:b/>
                <w:sz w:val="20"/>
              </w:rPr>
              <w:t>HAEMATE P</w:t>
            </w:r>
          </w:p>
        </w:tc>
      </w:tr>
      <w:tr>
        <w:tc>
          <w:tcPr>
            <w:tcW w:type="dxa" w:w="2771"/>
          </w:tcPr>
          <w:p>
            <w:r>
              <w:rPr>
                <w:rFonts w:ascii="Times New Roman" w:hAnsi="Times New Roman"/>
                <w:sz w:val="20"/>
              </w:rPr>
              <w:t>Laboratoire</w:t>
            </w:r>
          </w:p>
        </w:tc>
        <w:tc>
          <w:tcPr>
            <w:tcW w:type="dxa" w:w="2771"/>
          </w:tcPr>
          <w:p>
            <w:r>
              <w:rPr>
                <w:rFonts w:ascii="Times New Roman" w:hAnsi="Times New Roman"/>
                <w:sz w:val="20"/>
              </w:rPr>
              <w:t>Instituto Grifols S.A. (Espagne)</w:t>
            </w:r>
          </w:p>
        </w:tc>
        <w:tc>
          <w:tcPr>
            <w:tcW w:type="dxa" w:w="2771"/>
          </w:tcPr>
          <w:p>
            <w:r>
              <w:rPr>
                <w:rFonts w:ascii="Times New Roman" w:hAnsi="Times New Roman"/>
                <w:sz w:val="20"/>
              </w:rPr>
              <w:t>CSL Behring GmbH (Allemagne)</w:t>
            </w:r>
          </w:p>
        </w:tc>
      </w:tr>
      <w:tr>
        <w:tc>
          <w:tcPr>
            <w:tcW w:type="dxa" w:w="2771"/>
          </w:tcPr>
          <w:p>
            <w:r>
              <w:rPr>
                <w:rFonts w:ascii="Times New Roman" w:hAnsi="Times New Roman"/>
                <w:sz w:val="20"/>
              </w:rPr>
              <w:t>Ratio FVIII:VWF</w:t>
            </w:r>
          </w:p>
        </w:tc>
        <w:tc>
          <w:tcPr>
            <w:tcW w:type="dxa" w:w="2771"/>
          </w:tcPr>
          <w:p>
            <w:r>
              <w:rPr>
                <w:rFonts w:ascii="Times New Roman" w:hAnsi="Times New Roman"/>
                <w:sz w:val="20"/>
              </w:rPr>
              <w:t>1:1,2 (FVIII-dominé)</w:t>
            </w:r>
          </w:p>
        </w:tc>
        <w:tc>
          <w:tcPr>
            <w:tcW w:type="dxa" w:w="2771"/>
          </w:tcPr>
          <w:p>
            <w:r>
              <w:rPr>
                <w:rFonts w:ascii="Times New Roman" w:hAnsi="Times New Roman"/>
                <w:sz w:val="20"/>
              </w:rPr>
              <w:t>1:2,4 (équilibré) ou 1:6,4 (VWF-dominé)</w:t>
            </w:r>
          </w:p>
        </w:tc>
      </w:tr>
      <w:tr>
        <w:tc>
          <w:tcPr>
            <w:tcW w:type="dxa" w:w="2771"/>
          </w:tcPr>
          <w:p>
            <w:r>
              <w:rPr>
                <w:rFonts w:ascii="Times New Roman" w:hAnsi="Times New Roman"/>
                <w:sz w:val="20"/>
              </w:rPr>
              <w:t>Présentation</w:t>
            </w:r>
          </w:p>
        </w:tc>
        <w:tc>
          <w:tcPr>
            <w:tcW w:type="dxa" w:w="2771"/>
          </w:tcPr>
          <w:p>
            <w:r>
              <w:rPr>
                <w:rFonts w:ascii="Times New Roman" w:hAnsi="Times New Roman"/>
                <w:sz w:val="20"/>
              </w:rPr>
              <w:t>Seringue pré-remplie 10 mL</w:t>
            </w:r>
          </w:p>
        </w:tc>
        <w:tc>
          <w:tcPr>
            <w:tcW w:type="dxa" w:w="2771"/>
          </w:tcPr>
          <w:p>
            <w:r>
              <w:rPr>
                <w:rFonts w:ascii="Times New Roman" w:hAnsi="Times New Roman"/>
                <w:sz w:val="20"/>
              </w:rPr>
              <w:t>Flacon + flacon solvant séparés</w:t>
            </w:r>
          </w:p>
        </w:tc>
      </w:tr>
      <w:tr>
        <w:tc>
          <w:tcPr>
            <w:tcW w:type="dxa" w:w="2771"/>
          </w:tcPr>
          <w:p>
            <w:r>
              <w:rPr>
                <w:rFonts w:ascii="Times New Roman" w:hAnsi="Times New Roman"/>
                <w:sz w:val="20"/>
              </w:rPr>
              <w:t>Récovery VWF</w:t>
            </w:r>
          </w:p>
        </w:tc>
        <w:tc>
          <w:tcPr>
            <w:tcW w:type="dxa" w:w="2771"/>
          </w:tcPr>
          <w:p>
            <w:r>
              <w:rPr>
                <w:rFonts w:ascii="Times New Roman" w:hAnsi="Times New Roman"/>
                <w:sz w:val="20"/>
              </w:rPr>
              <w:t>2,0 UI/dL/UI/kg</w:t>
            </w:r>
          </w:p>
        </w:tc>
        <w:tc>
          <w:tcPr>
            <w:tcW w:type="dxa" w:w="2771"/>
          </w:tcPr>
          <w:p>
            <w:r>
              <w:rPr>
                <w:rFonts w:ascii="Times New Roman" w:hAnsi="Times New Roman"/>
                <w:sz w:val="20"/>
              </w:rPr>
              <w:t>1,5-2,0 UI/dL/UI/kg</w:t>
            </w:r>
          </w:p>
        </w:tc>
      </w:tr>
      <w:tr>
        <w:tc>
          <w:tcPr>
            <w:tcW w:type="dxa" w:w="2771"/>
          </w:tcPr>
          <w:p>
            <w:r>
              <w:rPr>
                <w:rFonts w:ascii="Times New Roman" w:hAnsi="Times New Roman"/>
                <w:sz w:val="20"/>
              </w:rPr>
              <w:t>Demi-vie VWF</w:t>
            </w:r>
          </w:p>
        </w:tc>
        <w:tc>
          <w:tcPr>
            <w:tcW w:type="dxa" w:w="2771"/>
          </w:tcPr>
          <w:p>
            <w:r>
              <w:rPr>
                <w:rFonts w:ascii="Times New Roman" w:hAnsi="Times New Roman"/>
                <w:sz w:val="20"/>
              </w:rPr>
              <w:t>10-14 h</w:t>
            </w:r>
          </w:p>
        </w:tc>
        <w:tc>
          <w:tcPr>
            <w:tcW w:type="dxa" w:w="2771"/>
          </w:tcPr>
          <w:p>
            <w:r>
              <w:rPr>
                <w:rFonts w:ascii="Times New Roman" w:hAnsi="Times New Roman"/>
                <w:sz w:val="20"/>
              </w:rPr>
              <w:t>10-14 h</w:t>
            </w:r>
          </w:p>
        </w:tc>
      </w:tr>
      <w:tr>
        <w:tc>
          <w:tcPr>
            <w:tcW w:type="dxa" w:w="2771"/>
          </w:tcPr>
          <w:p>
            <w:r>
              <w:rPr>
                <w:rFonts w:ascii="Times New Roman" w:hAnsi="Times New Roman"/>
                <w:sz w:val="20"/>
              </w:rPr>
              <w:t>Inactivation virale</w:t>
            </w:r>
          </w:p>
        </w:tc>
        <w:tc>
          <w:tcPr>
            <w:tcW w:type="dxa" w:w="2771"/>
          </w:tcPr>
          <w:p>
            <w:r>
              <w:rPr>
                <w:rFonts w:ascii="Times New Roman" w:hAnsi="Times New Roman"/>
                <w:sz w:val="20"/>
              </w:rPr>
              <w:t>SD + nanofiltration</w:t>
            </w:r>
          </w:p>
        </w:tc>
        <w:tc>
          <w:tcPr>
            <w:tcW w:type="dxa" w:w="2771"/>
          </w:tcPr>
          <w:p>
            <w:r>
              <w:rPr>
                <w:rFonts w:ascii="Times New Roman" w:hAnsi="Times New Roman"/>
                <w:sz w:val="20"/>
              </w:rPr>
              <w:t>SD + pasteurisation 60 °C/10 h</w:t>
            </w:r>
          </w:p>
        </w:tc>
      </w:tr>
      <w:tr>
        <w:tc>
          <w:tcPr>
            <w:tcW w:type="dxa" w:w="2771"/>
          </w:tcPr>
          <w:p>
            <w:r>
              <w:rPr>
                <w:rFonts w:ascii="Times New Roman" w:hAnsi="Times New Roman"/>
                <w:sz w:val="20"/>
              </w:rPr>
              <w:t>Indication privilégiée</w:t>
            </w:r>
          </w:p>
        </w:tc>
        <w:tc>
          <w:tcPr>
            <w:tcW w:type="dxa" w:w="2771"/>
          </w:tcPr>
          <w:p>
            <w:r>
              <w:rPr>
                <w:rFonts w:ascii="Times New Roman" w:hAnsi="Times New Roman"/>
                <w:sz w:val="20"/>
              </w:rPr>
              <w:t>VWD type 1 et 2 + saignements aigus</w:t>
            </w:r>
          </w:p>
        </w:tc>
        <w:tc>
          <w:tcPr>
            <w:tcW w:type="dxa" w:w="2771"/>
          </w:tcPr>
          <w:p>
            <w:r>
              <w:rPr>
                <w:rFonts w:ascii="Times New Roman" w:hAnsi="Times New Roman"/>
                <w:sz w:val="20"/>
              </w:rPr>
              <w:t>VWD type 3 (250/1600), type 1 et 2 (500/1200, 1000/2400)</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w:t>
            </w:r>
          </w:p>
        </w:tc>
        <w:tc>
          <w:tcPr>
            <w:tcW w:type="dxa" w:w="2771"/>
          </w:tcPr>
          <w:p>
            <w:r>
              <w:rPr>
                <w:rFonts w:ascii="Times New Roman" w:hAnsi="Times New Roman"/>
                <w:sz w:val="20"/>
              </w:rPr>
              <w:t>Élevé</w:t>
            </w:r>
          </w:p>
        </w:tc>
      </w:tr>
    </w:tbl>
    <w:p/>
    <w:p>
      <w:r/>
      <w:r>
        <w:rPr>
          <w:b/>
        </w:rPr>
        <w:t>Arbitrage clinique</w:t>
      </w:r>
      <w:r>
        <w:t xml:space="preserve"> :</w:t>
      </w:r>
    </w:p>
    <w:p>
      <w:pPr>
        <w:pStyle w:val="ListBullet"/>
      </w:pPr>
      <w:r/>
      <w:r>
        <w:rPr>
          <w:b/>
        </w:rPr>
        <w:t>VWD type 3 sévère</w:t>
      </w:r>
      <w:r>
        <w:t xml:space="preserve"> (besoin majeur en VWF) : préférer HAEMATE P 250/1600 (ratio VWF-dominé, plus adapté).</w:t>
      </w:r>
    </w:p>
    <w:p>
      <w:pPr>
        <w:pStyle w:val="ListBullet"/>
      </w:pPr>
      <w:r/>
      <w:r>
        <w:rPr>
          <w:b/>
        </w:rPr>
        <w:t>VWD type 1 et 2 modérés</w:t>
      </w:r>
      <w:r>
        <w:t xml:space="preserve"> : FANDHI ou HAEMATE P 500/1200 / 1000/2400 (équivalents).</w:t>
      </w:r>
    </w:p>
    <w:p>
      <w:pPr>
        <w:pStyle w:val="ListBullet"/>
      </w:pPr>
      <w:r/>
      <w:r>
        <w:rPr>
          <w:b/>
        </w:rPr>
        <w:t>Saignements aigus</w:t>
      </w:r>
      <w:r>
        <w:t xml:space="preserve"> : FANDHI légèrement préféré (ratio FVIII-dominé, plus adapté aux saignements où le FVIII est le facteur limitant).</w:t>
      </w:r>
    </w:p>
    <w:p>
      <w:pPr>
        <w:pStyle w:val="ListBullet"/>
      </w:pPr>
      <w:r/>
      <w:r>
        <w:rPr>
          <w:b/>
        </w:rPr>
        <w:t>Chirurgie urgente</w:t>
      </w:r>
      <w:r>
        <w:t xml:space="preserve"> : FANDHI légèrement préféré (présentation en seringue pré-remplie, reconstitution plus rapide).</w:t>
      </w:r>
    </w:p>
    <w:p>
      <w:pPr>
        <w:pStyle w:val="ListBullet"/>
      </w:pPr>
      <w:r/>
      <w:r>
        <w:rPr>
          <w:b/>
        </w:rPr>
        <w:t>Choix selon disponibilité</w:t>
      </w:r>
      <w:r>
        <w:t xml:space="preserve"> et coût local.</w:t>
      </w:r>
    </w:p>
    <w:p>
      <w:pPr>
        <w:pStyle w:val="Heading3"/>
      </w:pPr>
      <w:r>
        <w:t>Sous-section 10 — Instructions et conseils au patient</w:t>
      </w:r>
    </w:p>
    <w:p>
      <w:pPr>
        <w:pStyle w:val="ListBullet"/>
      </w:pPr>
      <w:r>
        <w:t>Cf. fiche 234.1 (sous-section 10).</w:t>
      </w:r>
    </w:p>
    <w:p>
      <w:pPr>
        <w:pStyle w:val="ListBullet"/>
      </w:pPr>
      <w:r/>
      <w:r>
        <w:rPr>
          <w:b/>
        </w:rPr>
        <w:t>Particularité FANDHI</w:t>
      </w:r>
      <w:r>
        <w:t xml:space="preserve"> : présentation en seringue pré-remplie, formation simplifiée à l'auto-administration.</w:t>
      </w:r>
    </w:p>
    <w:p>
      <w:pPr>
        <w:pStyle w:val="Heading3"/>
      </w:pPr>
      <w:r>
        <w:t>Sous-section 11 — Notes, règles d'or et pièges au comptoir</w:t>
      </w:r>
    </w:p>
    <w:p>
      <w:pPr>
        <w:pStyle w:val="ListNumber"/>
      </w:pPr>
      <w:r/>
      <w:r>
        <w:rPr>
          <w:b/>
        </w:rPr>
        <w:t>FANDHI présente un ratio FVIII:VWF de 1:1,2 (FVIII-dominé)</w:t>
      </w:r>
      <w:r>
        <w:t>, à ne pas confondre avec HAEMATE P qui présente un ratio 1:2,4 (équilibré) ou 1:6,4 (VWF-dominé pour le dosage 250/1600). Adapter le choix du produit au type de VWD.</w:t>
      </w:r>
    </w:p>
    <w:p>
      <w:pPr>
        <w:pStyle w:val="ListNumber"/>
      </w:pPr>
      <w:r/>
      <w:r>
        <w:rPr>
          <w:b/>
        </w:rPr>
        <w:t>FANDHI est présenté en seringue pré-remplie de 10 mL</w:t>
      </w:r>
      <w:r>
        <w:t>, ce qui facilite la reconstitution (pas besoin d'aiguille de transfert séparée). Particulièrement adapté à l'auto-administration à domicile.</w:t>
      </w:r>
    </w:p>
    <w:p>
      <w:pPr>
        <w:pStyle w:val="ListNumber"/>
      </w:pPr>
      <w:r/>
      <w:r>
        <w:rPr>
          <w:b/>
        </w:rPr>
        <w:t>VWD type 2B = contre-indication absolue à la desmopressine</w:t>
      </w:r>
      <w:r>
        <w:t xml:space="preserve"> — utiliser FANDHI ou HAEMATE P (cf. fiche 234.1).</w:t>
      </w:r>
    </w:p>
    <w:p>
      <w:pPr>
        <w:pStyle w:val="ListNumber"/>
      </w:pPr>
      <w:r/>
      <w:r>
        <w:rPr>
          <w:b/>
        </w:rPr>
        <w:t>Surveillance du FVIII</w:t>
      </w:r>
      <w:r>
        <w:t xml:space="preserve"> : ne pas dépasser FVIII:C &gt; 250-300 UI/dL (risque thrombotique majeur au-delà).</w:t>
      </w:r>
    </w:p>
    <w:p>
      <w:pPr>
        <w:pStyle w:val="ListNumber"/>
      </w:pPr>
      <w:r/>
      <w:r>
        <w:rPr>
          <w:b/>
        </w:rPr>
        <w:t>Patients IgA-déficients avec anti-IgA</w:t>
      </w:r>
      <w:r>
        <w:t xml:space="preserve"> : risque majeur d'anaphylaxie. Dosage pondéral IgA systématique avant la première administration.</w:t>
      </w:r>
    </w:p>
    <w:p>
      <w:pPr>
        <w:pStyle w:val="ListNumber"/>
      </w:pPr>
      <w:r/>
      <w:r>
        <w:rPr>
          <w:b/>
        </w:rPr>
        <w:t>Hémolyse chez les patients de groupe A, B, AB</w:t>
      </w:r>
      <w:r>
        <w:t xml:space="preserve"> : FANDHI contient des isohémagglutinines anti-A et anti-B résiduelles. Surveillance clinique (ictère, urines foncées) et biologique.</w:t>
      </w:r>
    </w:p>
    <w:p>
      <w:pPr>
        <w:pStyle w:val="ListNumber"/>
      </w:pPr>
      <w:r/>
      <w:r>
        <w:rPr>
          <w:b/>
        </w:rPr>
        <w:t>Vaccination hépatite A et B</w:t>
      </w:r>
      <w:r>
        <w:t xml:space="preserve"> systématique avant la première exposition au FANDHI.</w:t>
      </w:r>
    </w:p>
    <w:p>
      <w:pPr>
        <w:pStyle w:val="ListNumber"/>
      </w:pPr>
      <w:r/>
      <w:r>
        <w:rPr>
          <w:b/>
        </w:rPr>
        <w:t>Risque thrombotique</w:t>
      </w:r>
      <w:r>
        <w:t xml:space="preserve"> accru à doses cumulées &gt; 200 UI/kg/24 h.</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FANDHI utilisable (CRAT).</w:t>
      </w:r>
    </w:p>
    <w:p>
      <w:pPr>
        <w:pStyle w:val="ListNumber"/>
      </w:pPr>
      <w:r/>
      <w:r>
        <w:rPr>
          <w:b/>
        </w:rPr>
        <w:t>Éviter l'aspirine et les AINS</w:t>
      </w:r>
      <w:r>
        <w:t xml:space="preserve"> chez le patient VWD symptomatique.</w:t>
      </w:r>
    </w:p>
    <w:p>
      <w:pPr>
        <w:pStyle w:val="ListNumber"/>
      </w:pPr>
      <w:r/>
      <w:r>
        <w:rPr>
          <w:b/>
        </w:rPr>
        <w:t>Information patient</w:t>
      </w:r>
      <w:r>
        <w:t xml:space="preserve"> : carte de patient VWD, carnet de suivi patient.</w:t>
      </w:r>
    </w:p>
    <w:p>
      <w:pPr>
        <w:pStyle w:val="Heading3"/>
      </w:pPr>
      <w:r>
        <w:t>Sous-section 12 — Tableau comparatif de sous-classe (FANDHI dosages)</w:t>
      </w:r>
    </w:p>
    <w:tbl>
      <w:tblPr>
        <w:tblStyle w:val="LightGrid-Accent1"/>
        <w:tblW w:type="auto" w:w="0"/>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F2F2F2"/>
          </w:tcPr>
          <w:p>
            <w:r>
              <w:rPr>
                <w:rFonts w:ascii="Times New Roman" w:hAnsi="Times New Roman"/>
                <w:b/>
                <w:sz w:val="20"/>
              </w:rPr>
              <w:t>Spécialité</w:t>
            </w:r>
          </w:p>
        </w:tc>
        <w:tc>
          <w:tcPr>
            <w:tcW w:type="dxa" w:w="1039"/>
            <w:shd w:val="clear" w:color="auto" w:fill="F2F2F2"/>
          </w:tcPr>
          <w:p>
            <w:r>
              <w:rPr>
                <w:rFonts w:ascii="Times New Roman" w:hAnsi="Times New Roman"/>
                <w:b/>
                <w:sz w:val="20"/>
              </w:rPr>
              <w:t>Laboratoire</w:t>
            </w:r>
          </w:p>
        </w:tc>
        <w:tc>
          <w:tcPr>
            <w:tcW w:type="dxa" w:w="1039"/>
            <w:shd w:val="clear" w:color="auto" w:fill="F2F2F2"/>
          </w:tcPr>
          <w:p>
            <w:r>
              <w:rPr>
                <w:rFonts w:ascii="Times New Roman" w:hAnsi="Times New Roman"/>
                <w:b/>
                <w:sz w:val="20"/>
              </w:rPr>
              <w:t>Origine</w:t>
            </w:r>
          </w:p>
        </w:tc>
        <w:tc>
          <w:tcPr>
            <w:tcW w:type="dxa" w:w="1039"/>
            <w:shd w:val="clear" w:color="auto" w:fill="F2F2F2"/>
          </w:tcPr>
          <w:p>
            <w:r>
              <w:rPr>
                <w:rFonts w:ascii="Times New Roman" w:hAnsi="Times New Roman"/>
                <w:b/>
                <w:sz w:val="20"/>
              </w:rPr>
              <w:t>Dosages (FVIII/VWF)</w:t>
            </w:r>
          </w:p>
        </w:tc>
        <w:tc>
          <w:tcPr>
            <w:tcW w:type="dxa" w:w="1039"/>
            <w:shd w:val="clear" w:color="auto" w:fill="F2F2F2"/>
          </w:tcPr>
          <w:p>
            <w:r>
              <w:rPr>
                <w:rFonts w:ascii="Times New Roman" w:hAnsi="Times New Roman"/>
                <w:b/>
                <w:sz w:val="20"/>
              </w:rPr>
              <w:t>Ratio FVIII:VWF</w:t>
            </w:r>
          </w:p>
        </w:tc>
        <w:tc>
          <w:tcPr>
            <w:tcW w:type="dxa" w:w="1039"/>
            <w:shd w:val="clear" w:color="auto" w:fill="F2F2F2"/>
          </w:tcPr>
          <w:p>
            <w:r>
              <w:rPr>
                <w:rFonts w:ascii="Times New Roman" w:hAnsi="Times New Roman"/>
                <w:b/>
                <w:sz w:val="20"/>
              </w:rPr>
              <w:t>Demi-vie VWF</w:t>
            </w:r>
          </w:p>
        </w:tc>
        <w:tc>
          <w:tcPr>
            <w:tcW w:type="dxa" w:w="1039"/>
            <w:shd w:val="clear" w:color="auto" w:fill="F2F2F2"/>
          </w:tcPr>
          <w:p>
            <w:r>
              <w:rPr>
                <w:rFonts w:ascii="Times New Roman" w:hAnsi="Times New Roman"/>
                <w:b/>
                <w:sz w:val="20"/>
              </w:rPr>
              <w:t>Indication privilégiée</w:t>
            </w:r>
          </w:p>
        </w:tc>
        <w:tc>
          <w:tcPr>
            <w:tcW w:type="dxa" w:w="1039"/>
            <w:shd w:val="clear" w:color="auto" w:fill="F2F2F2"/>
          </w:tcPr>
          <w:p>
            <w:r>
              <w:rPr>
                <w:rFonts w:ascii="Times New Roman" w:hAnsi="Times New Roman"/>
                <w:b/>
                <w:sz w:val="20"/>
              </w:rPr>
              <w:t>Statut Algérie</w:t>
            </w:r>
          </w:p>
        </w:tc>
      </w:tr>
      <w:tr>
        <w:tc>
          <w:tcPr>
            <w:tcW w:type="dxa" w:w="1039"/>
          </w:tcPr>
          <w:p>
            <w:r>
              <w:rPr>
                <w:rFonts w:ascii="Times New Roman" w:hAnsi="Times New Roman"/>
                <w:sz w:val="20"/>
              </w:rPr>
              <w:t>FANDHI 250/300</w:t>
            </w:r>
          </w:p>
        </w:tc>
        <w:tc>
          <w:tcPr>
            <w:tcW w:type="dxa" w:w="1039"/>
          </w:tcPr>
          <w:p>
            <w:r>
              <w:rPr>
                <w:rFonts w:ascii="Times New Roman" w:hAnsi="Times New Roman"/>
                <w:sz w:val="20"/>
              </w:rPr>
              <w:t>Instituto Grifols S.A. (Espagne)</w:t>
            </w:r>
          </w:p>
        </w:tc>
        <w:tc>
          <w:tcPr>
            <w:tcW w:type="dxa" w:w="1039"/>
          </w:tcPr>
          <w:p>
            <w:r>
              <w:rPr>
                <w:rFonts w:ascii="Times New Roman" w:hAnsi="Times New Roman"/>
                <w:sz w:val="20"/>
              </w:rPr>
              <w:t>Plasma humain</w:t>
            </w:r>
          </w:p>
        </w:tc>
        <w:tc>
          <w:tcPr>
            <w:tcW w:type="dxa" w:w="1039"/>
          </w:tcPr>
          <w:p>
            <w:r>
              <w:rPr>
                <w:rFonts w:ascii="Times New Roman" w:hAnsi="Times New Roman"/>
                <w:sz w:val="20"/>
              </w:rPr>
              <w:t>250 UI FVIII + 300 UI VWF</w:t>
            </w:r>
          </w:p>
        </w:tc>
        <w:tc>
          <w:tcPr>
            <w:tcW w:type="dxa" w:w="1039"/>
          </w:tcPr>
          <w:p>
            <w:r>
              <w:rPr>
                <w:rFonts w:ascii="Times New Roman" w:hAnsi="Times New Roman"/>
                <w:sz w:val="20"/>
              </w:rPr>
              <w:t>1:1,2</w:t>
            </w:r>
          </w:p>
        </w:tc>
        <w:tc>
          <w:tcPr>
            <w:tcW w:type="dxa" w:w="1039"/>
          </w:tcPr>
          <w:p>
            <w:r>
              <w:rPr>
                <w:rFonts w:ascii="Times New Roman" w:hAnsi="Times New Roman"/>
                <w:sz w:val="20"/>
              </w:rPr>
              <w:t>10-14 h</w:t>
            </w:r>
          </w:p>
        </w:tc>
        <w:tc>
          <w:tcPr>
            <w:tcW w:type="dxa" w:w="1039"/>
          </w:tcPr>
          <w:p>
            <w:r>
              <w:rPr>
                <w:rFonts w:ascii="Times New Roman" w:hAnsi="Times New Roman"/>
                <w:sz w:val="20"/>
              </w:rPr>
              <w:t>VWD type 1 et 2 modérés + saignements mineurs</w:t>
            </w:r>
          </w:p>
        </w:tc>
        <w:tc>
          <w:tcPr>
            <w:tcW w:type="dxa" w:w="1039"/>
          </w:tcPr>
          <w:p>
            <w:r>
              <w:rPr>
                <w:rFonts w:ascii="Times New Roman" w:hAnsi="Times New Roman"/>
                <w:sz w:val="20"/>
              </w:rPr>
              <w:t>Actif</w:t>
            </w:r>
          </w:p>
        </w:tc>
      </w:tr>
      <w:tr>
        <w:tc>
          <w:tcPr>
            <w:tcW w:type="dxa" w:w="1039"/>
          </w:tcPr>
          <w:p>
            <w:r>
              <w:rPr>
                <w:rFonts w:ascii="Times New Roman" w:hAnsi="Times New Roman"/>
                <w:sz w:val="20"/>
              </w:rPr>
              <w:t>FANDHI 500/600</w:t>
            </w:r>
          </w:p>
        </w:tc>
        <w:tc>
          <w:tcPr>
            <w:tcW w:type="dxa" w:w="1039"/>
          </w:tcPr>
          <w:p>
            <w:r>
              <w:rPr>
                <w:rFonts w:ascii="Times New Roman" w:hAnsi="Times New Roman"/>
                <w:sz w:val="20"/>
              </w:rPr>
              <w:t>Instituto Grifols S.A. (Espagne)</w:t>
            </w:r>
          </w:p>
        </w:tc>
        <w:tc>
          <w:tcPr>
            <w:tcW w:type="dxa" w:w="1039"/>
          </w:tcPr>
          <w:p>
            <w:r>
              <w:rPr>
                <w:rFonts w:ascii="Times New Roman" w:hAnsi="Times New Roman"/>
                <w:sz w:val="20"/>
              </w:rPr>
              <w:t>Plasma humain</w:t>
            </w:r>
          </w:p>
        </w:tc>
        <w:tc>
          <w:tcPr>
            <w:tcW w:type="dxa" w:w="1039"/>
          </w:tcPr>
          <w:p>
            <w:r>
              <w:rPr>
                <w:rFonts w:ascii="Times New Roman" w:hAnsi="Times New Roman"/>
                <w:sz w:val="20"/>
              </w:rPr>
              <w:t>500 UI FVIII + 600 UI VWF</w:t>
            </w:r>
          </w:p>
        </w:tc>
        <w:tc>
          <w:tcPr>
            <w:tcW w:type="dxa" w:w="1039"/>
          </w:tcPr>
          <w:p>
            <w:r>
              <w:rPr>
                <w:rFonts w:ascii="Times New Roman" w:hAnsi="Times New Roman"/>
                <w:sz w:val="20"/>
              </w:rPr>
              <w:t>1:1,2</w:t>
            </w:r>
          </w:p>
        </w:tc>
        <w:tc>
          <w:tcPr>
            <w:tcW w:type="dxa" w:w="1039"/>
          </w:tcPr>
          <w:p>
            <w:r>
              <w:rPr>
                <w:rFonts w:ascii="Times New Roman" w:hAnsi="Times New Roman"/>
                <w:sz w:val="20"/>
              </w:rPr>
              <w:t>10-14 h</w:t>
            </w:r>
          </w:p>
        </w:tc>
        <w:tc>
          <w:tcPr>
            <w:tcW w:type="dxa" w:w="1039"/>
          </w:tcPr>
          <w:p>
            <w:r>
              <w:rPr>
                <w:rFonts w:ascii="Times New Roman" w:hAnsi="Times New Roman"/>
                <w:sz w:val="20"/>
              </w:rPr>
              <w:t>VWD type 1 et 2 + chirurgie mineure</w:t>
            </w:r>
          </w:p>
        </w:tc>
        <w:tc>
          <w:tcPr>
            <w:tcW w:type="dxa" w:w="1039"/>
          </w:tcPr>
          <w:p>
            <w:r>
              <w:rPr>
                <w:rFonts w:ascii="Times New Roman" w:hAnsi="Times New Roman"/>
                <w:sz w:val="20"/>
              </w:rPr>
              <w:t>Actif</w:t>
            </w:r>
          </w:p>
        </w:tc>
      </w:tr>
      <w:tr>
        <w:tc>
          <w:tcPr>
            <w:tcW w:type="dxa" w:w="1039"/>
          </w:tcPr>
          <w:p>
            <w:r>
              <w:rPr>
                <w:rFonts w:ascii="Times New Roman" w:hAnsi="Times New Roman"/>
                <w:sz w:val="20"/>
              </w:rPr>
              <w:t>FANDHI 1000/1200</w:t>
            </w:r>
          </w:p>
        </w:tc>
        <w:tc>
          <w:tcPr>
            <w:tcW w:type="dxa" w:w="1039"/>
          </w:tcPr>
          <w:p>
            <w:r>
              <w:rPr>
                <w:rFonts w:ascii="Times New Roman" w:hAnsi="Times New Roman"/>
                <w:sz w:val="20"/>
              </w:rPr>
              <w:t>Instituto Grifols S.A. (Espagne)</w:t>
            </w:r>
          </w:p>
        </w:tc>
        <w:tc>
          <w:tcPr>
            <w:tcW w:type="dxa" w:w="1039"/>
          </w:tcPr>
          <w:p>
            <w:r>
              <w:rPr>
                <w:rFonts w:ascii="Times New Roman" w:hAnsi="Times New Roman"/>
                <w:sz w:val="20"/>
              </w:rPr>
              <w:t>Plasma humain</w:t>
            </w:r>
          </w:p>
        </w:tc>
        <w:tc>
          <w:tcPr>
            <w:tcW w:type="dxa" w:w="1039"/>
          </w:tcPr>
          <w:p>
            <w:r>
              <w:rPr>
                <w:rFonts w:ascii="Times New Roman" w:hAnsi="Times New Roman"/>
                <w:sz w:val="20"/>
              </w:rPr>
              <w:t>1000 UI FVIII + 1200 UI VWF</w:t>
            </w:r>
          </w:p>
        </w:tc>
        <w:tc>
          <w:tcPr>
            <w:tcW w:type="dxa" w:w="1039"/>
          </w:tcPr>
          <w:p>
            <w:r>
              <w:rPr>
                <w:rFonts w:ascii="Times New Roman" w:hAnsi="Times New Roman"/>
                <w:sz w:val="20"/>
              </w:rPr>
              <w:t>1:1,2</w:t>
            </w:r>
          </w:p>
        </w:tc>
        <w:tc>
          <w:tcPr>
            <w:tcW w:type="dxa" w:w="1039"/>
          </w:tcPr>
          <w:p>
            <w:r>
              <w:rPr>
                <w:rFonts w:ascii="Times New Roman" w:hAnsi="Times New Roman"/>
                <w:sz w:val="20"/>
              </w:rPr>
              <w:t>10-14 h</w:t>
            </w:r>
          </w:p>
        </w:tc>
        <w:tc>
          <w:tcPr>
            <w:tcW w:type="dxa" w:w="1039"/>
          </w:tcPr>
          <w:p>
            <w:r>
              <w:rPr>
                <w:rFonts w:ascii="Times New Roman" w:hAnsi="Times New Roman"/>
                <w:sz w:val="20"/>
              </w:rPr>
              <w:t>VWD type 1 et 2 sévères + chirurgie majeure</w:t>
            </w:r>
          </w:p>
        </w:tc>
        <w:tc>
          <w:tcPr>
            <w:tcW w:type="dxa" w:w="1039"/>
          </w:tcPr>
          <w:p>
            <w:r>
              <w:rPr>
                <w:rFonts w:ascii="Times New Roman" w:hAnsi="Times New Roman"/>
                <w:sz w:val="20"/>
              </w:rPr>
              <w:t>Actif</w:t>
            </w:r>
          </w:p>
        </w:tc>
      </w:tr>
    </w:tbl>
    <w:p/>
    <w:p>
      <w:pPr>
        <w:pStyle w:val="Heading2"/>
      </w:pPr>
      <w:r>
        <w:t>234.3. Tableau comparatif de sous-classe (Complexe FVIII + VWF)</w:t>
      </w:r>
    </w:p>
    <w:tbl>
      <w:tblPr>
        <w:tblStyle w:val="LightGrid-Accent1"/>
        <w:tblW w:type="auto" w:w="0"/>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shd w:val="clear" w:color="auto" w:fill="F2F2F2"/>
          </w:tcPr>
          <w:p>
            <w:r>
              <w:rPr>
                <w:rFonts w:ascii="Times New Roman" w:hAnsi="Times New Roman"/>
                <w:b/>
                <w:sz w:val="20"/>
              </w:rPr>
              <w:t>#</w:t>
            </w:r>
          </w:p>
        </w:tc>
        <w:tc>
          <w:tcPr>
            <w:tcW w:type="dxa" w:w="831"/>
            <w:shd w:val="clear" w:color="auto" w:fill="F2F2F2"/>
          </w:tcPr>
          <w:p>
            <w:r>
              <w:rPr>
                <w:rFonts w:ascii="Times New Roman" w:hAnsi="Times New Roman"/>
                <w:b/>
                <w:sz w:val="20"/>
              </w:rPr>
              <w:t>DCI</w:t>
            </w:r>
          </w:p>
        </w:tc>
        <w:tc>
          <w:tcPr>
            <w:tcW w:type="dxa" w:w="831"/>
            <w:shd w:val="clear" w:color="auto" w:fill="F2F2F2"/>
          </w:tcPr>
          <w:p>
            <w:r>
              <w:rPr>
                <w:rFonts w:ascii="Times New Roman" w:hAnsi="Times New Roman"/>
                <w:b/>
                <w:sz w:val="20"/>
              </w:rPr>
              <w:t>Spécialité</w:t>
            </w:r>
          </w:p>
        </w:tc>
        <w:tc>
          <w:tcPr>
            <w:tcW w:type="dxa" w:w="831"/>
            <w:shd w:val="clear" w:color="auto" w:fill="F2F2F2"/>
          </w:tcPr>
          <w:p>
            <w:r>
              <w:rPr>
                <w:rFonts w:ascii="Times New Roman" w:hAnsi="Times New Roman"/>
                <w:b/>
                <w:sz w:val="20"/>
              </w:rPr>
              <w:t>Laboratoire</w:t>
            </w:r>
          </w:p>
        </w:tc>
        <w:tc>
          <w:tcPr>
            <w:tcW w:type="dxa" w:w="831"/>
            <w:shd w:val="clear" w:color="auto" w:fill="F2F2F2"/>
          </w:tcPr>
          <w:p>
            <w:r>
              <w:rPr>
                <w:rFonts w:ascii="Times New Roman" w:hAnsi="Times New Roman"/>
                <w:b/>
                <w:sz w:val="20"/>
              </w:rPr>
              <w:t>Ratio FVIII:VWF</w:t>
            </w:r>
          </w:p>
        </w:tc>
        <w:tc>
          <w:tcPr>
            <w:tcW w:type="dxa" w:w="831"/>
            <w:shd w:val="clear" w:color="auto" w:fill="F2F2F2"/>
          </w:tcPr>
          <w:p>
            <w:r>
              <w:rPr>
                <w:rFonts w:ascii="Times New Roman" w:hAnsi="Times New Roman"/>
                <w:b/>
                <w:sz w:val="20"/>
              </w:rPr>
              <w:t>Inactivation virale</w:t>
            </w:r>
          </w:p>
        </w:tc>
        <w:tc>
          <w:tcPr>
            <w:tcW w:type="dxa" w:w="831"/>
            <w:shd w:val="clear" w:color="auto" w:fill="F2F2F2"/>
          </w:tcPr>
          <w:p>
            <w:r>
              <w:rPr>
                <w:rFonts w:ascii="Times New Roman" w:hAnsi="Times New Roman"/>
                <w:b/>
                <w:sz w:val="20"/>
              </w:rPr>
              <w:t>Récovery VWF</w:t>
            </w:r>
          </w:p>
        </w:tc>
        <w:tc>
          <w:tcPr>
            <w:tcW w:type="dxa" w:w="831"/>
            <w:shd w:val="clear" w:color="auto" w:fill="F2F2F2"/>
          </w:tcPr>
          <w:p>
            <w:r>
              <w:rPr>
                <w:rFonts w:ascii="Times New Roman" w:hAnsi="Times New Roman"/>
                <w:b/>
                <w:sz w:val="20"/>
              </w:rPr>
              <w:t>Indication privilégiée</w:t>
            </w:r>
          </w:p>
        </w:tc>
        <w:tc>
          <w:tcPr>
            <w:tcW w:type="dxa" w:w="831"/>
            <w:shd w:val="clear" w:color="auto" w:fill="F2F2F2"/>
          </w:tcPr>
          <w:p>
            <w:r>
              <w:rPr>
                <w:rFonts w:ascii="Times New Roman" w:hAnsi="Times New Roman"/>
                <w:b/>
                <w:sz w:val="20"/>
              </w:rPr>
              <w:t>Statut Algérie</w:t>
            </w:r>
          </w:p>
        </w:tc>
        <w:tc>
          <w:tcPr>
            <w:tcW w:type="dxa" w:w="831"/>
            <w:shd w:val="clear" w:color="auto" w:fill="F2F2F2"/>
          </w:tcPr>
          <w:p>
            <w:r>
              <w:rPr>
                <w:rFonts w:ascii="Times New Roman" w:hAnsi="Times New Roman"/>
                <w:b/>
                <w:sz w:val="20"/>
              </w:rPr>
              <w:t>Code ATC</w:t>
            </w:r>
          </w:p>
        </w:tc>
      </w:tr>
      <w:tr>
        <w:tc>
          <w:tcPr>
            <w:tcW w:type="dxa" w:w="831"/>
          </w:tcPr>
          <w:p>
            <w:r>
              <w:rPr>
                <w:rFonts w:ascii="Times New Roman" w:hAnsi="Times New Roman"/>
                <w:sz w:val="20"/>
              </w:rPr>
              <w:t>1</w:t>
            </w:r>
          </w:p>
        </w:tc>
        <w:tc>
          <w:tcPr>
            <w:tcW w:type="dxa" w:w="831"/>
          </w:tcPr>
          <w:p>
            <w:r>
              <w:rPr>
                <w:rFonts w:ascii="Times New Roman" w:hAnsi="Times New Roman"/>
                <w:sz w:val="20"/>
              </w:rPr>
              <w:t>Facteur VIII / Facteur von Willebrand</w:t>
            </w:r>
          </w:p>
        </w:tc>
        <w:tc>
          <w:tcPr>
            <w:tcW w:type="dxa" w:w="831"/>
          </w:tcPr>
          <w:p>
            <w:r>
              <w:rPr>
                <w:rFonts w:ascii="Times New Roman" w:hAnsi="Times New Roman"/>
                <w:sz w:val="20"/>
              </w:rPr>
              <w:t>HAEMATE P 250/1600</w:t>
            </w:r>
          </w:p>
        </w:tc>
        <w:tc>
          <w:tcPr>
            <w:tcW w:type="dxa" w:w="831"/>
          </w:tcPr>
          <w:p>
            <w:r>
              <w:rPr>
                <w:rFonts w:ascii="Times New Roman" w:hAnsi="Times New Roman"/>
                <w:sz w:val="20"/>
              </w:rPr>
              <w:t>CSL Behring GmbH (Allemagne)</w:t>
            </w:r>
          </w:p>
        </w:tc>
        <w:tc>
          <w:tcPr>
            <w:tcW w:type="dxa" w:w="831"/>
          </w:tcPr>
          <w:p>
            <w:r>
              <w:rPr>
                <w:rFonts w:ascii="Times New Roman" w:hAnsi="Times New Roman"/>
                <w:sz w:val="20"/>
              </w:rPr>
              <w:t>1:6,4</w:t>
            </w:r>
          </w:p>
        </w:tc>
        <w:tc>
          <w:tcPr>
            <w:tcW w:type="dxa" w:w="831"/>
          </w:tcPr>
          <w:p>
            <w:r>
              <w:rPr>
                <w:rFonts w:ascii="Times New Roman" w:hAnsi="Times New Roman"/>
                <w:sz w:val="20"/>
              </w:rPr>
              <w:t>SD + pasteurisation 60 °C/10 h</w:t>
            </w:r>
          </w:p>
        </w:tc>
        <w:tc>
          <w:tcPr>
            <w:tcW w:type="dxa" w:w="831"/>
          </w:tcPr>
          <w:p>
            <w:r>
              <w:rPr>
                <w:rFonts w:ascii="Times New Roman" w:hAnsi="Times New Roman"/>
                <w:sz w:val="20"/>
              </w:rPr>
              <w:t>1,5-2,0 UI/dL/UI/kg</w:t>
            </w:r>
          </w:p>
        </w:tc>
        <w:tc>
          <w:tcPr>
            <w:tcW w:type="dxa" w:w="831"/>
          </w:tcPr>
          <w:p>
            <w:r>
              <w:rPr>
                <w:rFonts w:ascii="Times New Roman" w:hAnsi="Times New Roman"/>
                <w:sz w:val="20"/>
              </w:rPr>
              <w:t>VWD type 3 sévère</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r>
        <w:tc>
          <w:tcPr>
            <w:tcW w:type="dxa" w:w="831"/>
          </w:tcPr>
          <w:p>
            <w:r>
              <w:rPr>
                <w:rFonts w:ascii="Times New Roman" w:hAnsi="Times New Roman"/>
                <w:sz w:val="20"/>
              </w:rPr>
              <w:t>2</w:t>
            </w:r>
          </w:p>
        </w:tc>
        <w:tc>
          <w:tcPr>
            <w:tcW w:type="dxa" w:w="831"/>
          </w:tcPr>
          <w:p>
            <w:r>
              <w:rPr>
                <w:rFonts w:ascii="Times New Roman" w:hAnsi="Times New Roman"/>
                <w:sz w:val="20"/>
              </w:rPr>
              <w:t>Facteur VIII / Facteur von Willebrand</w:t>
            </w:r>
          </w:p>
        </w:tc>
        <w:tc>
          <w:tcPr>
            <w:tcW w:type="dxa" w:w="831"/>
          </w:tcPr>
          <w:p>
            <w:r>
              <w:rPr>
                <w:rFonts w:ascii="Times New Roman" w:hAnsi="Times New Roman"/>
                <w:sz w:val="20"/>
              </w:rPr>
              <w:t>HAEMATE P 500/1200</w:t>
            </w:r>
          </w:p>
        </w:tc>
        <w:tc>
          <w:tcPr>
            <w:tcW w:type="dxa" w:w="831"/>
          </w:tcPr>
          <w:p>
            <w:r>
              <w:rPr>
                <w:rFonts w:ascii="Times New Roman" w:hAnsi="Times New Roman"/>
                <w:sz w:val="20"/>
              </w:rPr>
              <w:t>CSL Behring GmbH (Allemagne)</w:t>
            </w:r>
          </w:p>
        </w:tc>
        <w:tc>
          <w:tcPr>
            <w:tcW w:type="dxa" w:w="831"/>
          </w:tcPr>
          <w:p>
            <w:r>
              <w:rPr>
                <w:rFonts w:ascii="Times New Roman" w:hAnsi="Times New Roman"/>
                <w:sz w:val="20"/>
              </w:rPr>
              <w:t>1:2,4</w:t>
            </w:r>
          </w:p>
        </w:tc>
        <w:tc>
          <w:tcPr>
            <w:tcW w:type="dxa" w:w="831"/>
          </w:tcPr>
          <w:p>
            <w:r>
              <w:rPr>
                <w:rFonts w:ascii="Times New Roman" w:hAnsi="Times New Roman"/>
                <w:sz w:val="20"/>
              </w:rPr>
              <w:t>SD + pasteurisation 60 °C/10 h</w:t>
            </w:r>
          </w:p>
        </w:tc>
        <w:tc>
          <w:tcPr>
            <w:tcW w:type="dxa" w:w="831"/>
          </w:tcPr>
          <w:p>
            <w:r>
              <w:rPr>
                <w:rFonts w:ascii="Times New Roman" w:hAnsi="Times New Roman"/>
                <w:sz w:val="20"/>
              </w:rPr>
              <w:t>1,5-2,0 UI/dL/UI/kg</w:t>
            </w:r>
          </w:p>
        </w:tc>
        <w:tc>
          <w:tcPr>
            <w:tcW w:type="dxa" w:w="831"/>
          </w:tcPr>
          <w:p>
            <w:r>
              <w:rPr>
                <w:rFonts w:ascii="Times New Roman" w:hAnsi="Times New Roman"/>
                <w:sz w:val="20"/>
              </w:rPr>
              <w:t>VWD type 1 et 2 modérés</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r>
        <w:tc>
          <w:tcPr>
            <w:tcW w:type="dxa" w:w="831"/>
          </w:tcPr>
          <w:p>
            <w:r>
              <w:rPr>
                <w:rFonts w:ascii="Times New Roman" w:hAnsi="Times New Roman"/>
                <w:sz w:val="20"/>
              </w:rPr>
              <w:t>3</w:t>
            </w:r>
          </w:p>
        </w:tc>
        <w:tc>
          <w:tcPr>
            <w:tcW w:type="dxa" w:w="831"/>
          </w:tcPr>
          <w:p>
            <w:r>
              <w:rPr>
                <w:rFonts w:ascii="Times New Roman" w:hAnsi="Times New Roman"/>
                <w:sz w:val="20"/>
              </w:rPr>
              <w:t>Facteur VIII / Facteur von Willebrand</w:t>
            </w:r>
          </w:p>
        </w:tc>
        <w:tc>
          <w:tcPr>
            <w:tcW w:type="dxa" w:w="831"/>
          </w:tcPr>
          <w:p>
            <w:r>
              <w:rPr>
                <w:rFonts w:ascii="Times New Roman" w:hAnsi="Times New Roman"/>
                <w:sz w:val="20"/>
              </w:rPr>
              <w:t>HAEMATE P 1000/2400</w:t>
            </w:r>
          </w:p>
        </w:tc>
        <w:tc>
          <w:tcPr>
            <w:tcW w:type="dxa" w:w="831"/>
          </w:tcPr>
          <w:p>
            <w:r>
              <w:rPr>
                <w:rFonts w:ascii="Times New Roman" w:hAnsi="Times New Roman"/>
                <w:sz w:val="20"/>
              </w:rPr>
              <w:t>CSL Behring GmbH (Allemagne)</w:t>
            </w:r>
          </w:p>
        </w:tc>
        <w:tc>
          <w:tcPr>
            <w:tcW w:type="dxa" w:w="831"/>
          </w:tcPr>
          <w:p>
            <w:r>
              <w:rPr>
                <w:rFonts w:ascii="Times New Roman" w:hAnsi="Times New Roman"/>
                <w:sz w:val="20"/>
              </w:rPr>
              <w:t>1:2,4</w:t>
            </w:r>
          </w:p>
        </w:tc>
        <w:tc>
          <w:tcPr>
            <w:tcW w:type="dxa" w:w="831"/>
          </w:tcPr>
          <w:p>
            <w:r>
              <w:rPr>
                <w:rFonts w:ascii="Times New Roman" w:hAnsi="Times New Roman"/>
                <w:sz w:val="20"/>
              </w:rPr>
              <w:t>SD + pasteurisation 60 °C/10 h</w:t>
            </w:r>
          </w:p>
        </w:tc>
        <w:tc>
          <w:tcPr>
            <w:tcW w:type="dxa" w:w="831"/>
          </w:tcPr>
          <w:p>
            <w:r>
              <w:rPr>
                <w:rFonts w:ascii="Times New Roman" w:hAnsi="Times New Roman"/>
                <w:sz w:val="20"/>
              </w:rPr>
              <w:t>1,5-2,0 UI/dL/UI/kg</w:t>
            </w:r>
          </w:p>
        </w:tc>
        <w:tc>
          <w:tcPr>
            <w:tcW w:type="dxa" w:w="831"/>
          </w:tcPr>
          <w:p>
            <w:r>
              <w:rPr>
                <w:rFonts w:ascii="Times New Roman" w:hAnsi="Times New Roman"/>
                <w:sz w:val="20"/>
              </w:rPr>
              <w:t>VWD type 1 et 2 sévères + chirurgie majeure</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r>
        <w:tc>
          <w:tcPr>
            <w:tcW w:type="dxa" w:w="831"/>
          </w:tcPr>
          <w:p>
            <w:r>
              <w:rPr>
                <w:rFonts w:ascii="Times New Roman" w:hAnsi="Times New Roman"/>
                <w:sz w:val="20"/>
              </w:rPr>
              <w:t>4</w:t>
            </w:r>
          </w:p>
        </w:tc>
        <w:tc>
          <w:tcPr>
            <w:tcW w:type="dxa" w:w="831"/>
          </w:tcPr>
          <w:p>
            <w:r>
              <w:rPr>
                <w:rFonts w:ascii="Times New Roman" w:hAnsi="Times New Roman"/>
                <w:sz w:val="20"/>
              </w:rPr>
              <w:t>Facteur VIII de coagulation et Facteur de von Willebrand</w:t>
            </w:r>
          </w:p>
        </w:tc>
        <w:tc>
          <w:tcPr>
            <w:tcW w:type="dxa" w:w="831"/>
          </w:tcPr>
          <w:p>
            <w:r>
              <w:rPr>
                <w:rFonts w:ascii="Times New Roman" w:hAnsi="Times New Roman"/>
                <w:sz w:val="20"/>
              </w:rPr>
              <w:t>FANDHI 250/300</w:t>
            </w:r>
          </w:p>
        </w:tc>
        <w:tc>
          <w:tcPr>
            <w:tcW w:type="dxa" w:w="831"/>
          </w:tcPr>
          <w:p>
            <w:r>
              <w:rPr>
                <w:rFonts w:ascii="Times New Roman" w:hAnsi="Times New Roman"/>
                <w:sz w:val="20"/>
              </w:rPr>
              <w:t>Instituto Grifols S.A. (Espagne)</w:t>
            </w:r>
          </w:p>
        </w:tc>
        <w:tc>
          <w:tcPr>
            <w:tcW w:type="dxa" w:w="831"/>
          </w:tcPr>
          <w:p>
            <w:r>
              <w:rPr>
                <w:rFonts w:ascii="Times New Roman" w:hAnsi="Times New Roman"/>
                <w:sz w:val="20"/>
              </w:rPr>
              <w:t>1:1,2</w:t>
            </w:r>
          </w:p>
        </w:tc>
        <w:tc>
          <w:tcPr>
            <w:tcW w:type="dxa" w:w="831"/>
          </w:tcPr>
          <w:p>
            <w:r>
              <w:rPr>
                <w:rFonts w:ascii="Times New Roman" w:hAnsi="Times New Roman"/>
                <w:sz w:val="20"/>
              </w:rPr>
              <w:t>SD + nanofiltration</w:t>
            </w:r>
          </w:p>
        </w:tc>
        <w:tc>
          <w:tcPr>
            <w:tcW w:type="dxa" w:w="831"/>
          </w:tcPr>
          <w:p>
            <w:r>
              <w:rPr>
                <w:rFonts w:ascii="Times New Roman" w:hAnsi="Times New Roman"/>
                <w:sz w:val="20"/>
              </w:rPr>
              <w:t>2,0 UI/dL/UI/kg</w:t>
            </w:r>
          </w:p>
        </w:tc>
        <w:tc>
          <w:tcPr>
            <w:tcW w:type="dxa" w:w="831"/>
          </w:tcPr>
          <w:p>
            <w:r>
              <w:rPr>
                <w:rFonts w:ascii="Times New Roman" w:hAnsi="Times New Roman"/>
                <w:sz w:val="20"/>
              </w:rPr>
              <w:t>VWD type 1 et 2 modérés + saignements mineurs</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r>
        <w:tc>
          <w:tcPr>
            <w:tcW w:type="dxa" w:w="831"/>
          </w:tcPr>
          <w:p>
            <w:r>
              <w:rPr>
                <w:rFonts w:ascii="Times New Roman" w:hAnsi="Times New Roman"/>
                <w:sz w:val="20"/>
              </w:rPr>
              <w:t>5</w:t>
            </w:r>
          </w:p>
        </w:tc>
        <w:tc>
          <w:tcPr>
            <w:tcW w:type="dxa" w:w="831"/>
          </w:tcPr>
          <w:p>
            <w:r>
              <w:rPr>
                <w:rFonts w:ascii="Times New Roman" w:hAnsi="Times New Roman"/>
                <w:sz w:val="20"/>
              </w:rPr>
              <w:t>Facteur VIII de coagulation et Facteur de von Willebrand</w:t>
            </w:r>
          </w:p>
        </w:tc>
        <w:tc>
          <w:tcPr>
            <w:tcW w:type="dxa" w:w="831"/>
          </w:tcPr>
          <w:p>
            <w:r>
              <w:rPr>
                <w:rFonts w:ascii="Times New Roman" w:hAnsi="Times New Roman"/>
                <w:sz w:val="20"/>
              </w:rPr>
              <w:t>FANDHI 500/600</w:t>
            </w:r>
          </w:p>
        </w:tc>
        <w:tc>
          <w:tcPr>
            <w:tcW w:type="dxa" w:w="831"/>
          </w:tcPr>
          <w:p>
            <w:r>
              <w:rPr>
                <w:rFonts w:ascii="Times New Roman" w:hAnsi="Times New Roman"/>
                <w:sz w:val="20"/>
              </w:rPr>
              <w:t>Instituto Grifols S.A. (Espagne)</w:t>
            </w:r>
          </w:p>
        </w:tc>
        <w:tc>
          <w:tcPr>
            <w:tcW w:type="dxa" w:w="831"/>
          </w:tcPr>
          <w:p>
            <w:r>
              <w:rPr>
                <w:rFonts w:ascii="Times New Roman" w:hAnsi="Times New Roman"/>
                <w:sz w:val="20"/>
              </w:rPr>
              <w:t>1:1,2</w:t>
            </w:r>
          </w:p>
        </w:tc>
        <w:tc>
          <w:tcPr>
            <w:tcW w:type="dxa" w:w="831"/>
          </w:tcPr>
          <w:p>
            <w:r>
              <w:rPr>
                <w:rFonts w:ascii="Times New Roman" w:hAnsi="Times New Roman"/>
                <w:sz w:val="20"/>
              </w:rPr>
              <w:t>SD + nanofiltration</w:t>
            </w:r>
          </w:p>
        </w:tc>
        <w:tc>
          <w:tcPr>
            <w:tcW w:type="dxa" w:w="831"/>
          </w:tcPr>
          <w:p>
            <w:r>
              <w:rPr>
                <w:rFonts w:ascii="Times New Roman" w:hAnsi="Times New Roman"/>
                <w:sz w:val="20"/>
              </w:rPr>
              <w:t>2,0 UI/dL/UI/kg</w:t>
            </w:r>
          </w:p>
        </w:tc>
        <w:tc>
          <w:tcPr>
            <w:tcW w:type="dxa" w:w="831"/>
          </w:tcPr>
          <w:p>
            <w:r>
              <w:rPr>
                <w:rFonts w:ascii="Times New Roman" w:hAnsi="Times New Roman"/>
                <w:sz w:val="20"/>
              </w:rPr>
              <w:t>VWD type 1 et 2 + chirurgie mineure</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r>
        <w:tc>
          <w:tcPr>
            <w:tcW w:type="dxa" w:w="831"/>
          </w:tcPr>
          <w:p>
            <w:r>
              <w:rPr>
                <w:rFonts w:ascii="Times New Roman" w:hAnsi="Times New Roman"/>
                <w:sz w:val="20"/>
              </w:rPr>
              <w:t>6</w:t>
            </w:r>
          </w:p>
        </w:tc>
        <w:tc>
          <w:tcPr>
            <w:tcW w:type="dxa" w:w="831"/>
          </w:tcPr>
          <w:p>
            <w:r>
              <w:rPr>
                <w:rFonts w:ascii="Times New Roman" w:hAnsi="Times New Roman"/>
                <w:sz w:val="20"/>
              </w:rPr>
              <w:t>Facteur VIII de coagulation et Facteur de von Willebrand</w:t>
            </w:r>
          </w:p>
        </w:tc>
        <w:tc>
          <w:tcPr>
            <w:tcW w:type="dxa" w:w="831"/>
          </w:tcPr>
          <w:p>
            <w:r>
              <w:rPr>
                <w:rFonts w:ascii="Times New Roman" w:hAnsi="Times New Roman"/>
                <w:sz w:val="20"/>
              </w:rPr>
              <w:t>FANDHI 1000/1200</w:t>
            </w:r>
          </w:p>
        </w:tc>
        <w:tc>
          <w:tcPr>
            <w:tcW w:type="dxa" w:w="831"/>
          </w:tcPr>
          <w:p>
            <w:r>
              <w:rPr>
                <w:rFonts w:ascii="Times New Roman" w:hAnsi="Times New Roman"/>
                <w:sz w:val="20"/>
              </w:rPr>
              <w:t>Instituto Grifols S.A. (Espagne)</w:t>
            </w:r>
          </w:p>
        </w:tc>
        <w:tc>
          <w:tcPr>
            <w:tcW w:type="dxa" w:w="831"/>
          </w:tcPr>
          <w:p>
            <w:r>
              <w:rPr>
                <w:rFonts w:ascii="Times New Roman" w:hAnsi="Times New Roman"/>
                <w:sz w:val="20"/>
              </w:rPr>
              <w:t>1:1,2</w:t>
            </w:r>
          </w:p>
        </w:tc>
        <w:tc>
          <w:tcPr>
            <w:tcW w:type="dxa" w:w="831"/>
          </w:tcPr>
          <w:p>
            <w:r>
              <w:rPr>
                <w:rFonts w:ascii="Times New Roman" w:hAnsi="Times New Roman"/>
                <w:sz w:val="20"/>
              </w:rPr>
              <w:t>SD + nanofiltration</w:t>
            </w:r>
          </w:p>
        </w:tc>
        <w:tc>
          <w:tcPr>
            <w:tcW w:type="dxa" w:w="831"/>
          </w:tcPr>
          <w:p>
            <w:r>
              <w:rPr>
                <w:rFonts w:ascii="Times New Roman" w:hAnsi="Times New Roman"/>
                <w:sz w:val="20"/>
              </w:rPr>
              <w:t>2,0 UI/dL/UI/kg</w:t>
            </w:r>
          </w:p>
        </w:tc>
        <w:tc>
          <w:tcPr>
            <w:tcW w:type="dxa" w:w="831"/>
          </w:tcPr>
          <w:p>
            <w:r>
              <w:rPr>
                <w:rFonts w:ascii="Times New Roman" w:hAnsi="Times New Roman"/>
                <w:sz w:val="20"/>
              </w:rPr>
              <w:t>VWD type 1 et 2 sévères + chirurgie majeure</w:t>
            </w:r>
          </w:p>
        </w:tc>
        <w:tc>
          <w:tcPr>
            <w:tcW w:type="dxa" w:w="831"/>
          </w:tcPr>
          <w:p>
            <w:r>
              <w:rPr>
                <w:rFonts w:ascii="Times New Roman" w:hAnsi="Times New Roman"/>
                <w:sz w:val="20"/>
              </w:rPr>
              <w:t>Actif</w:t>
            </w:r>
          </w:p>
        </w:tc>
        <w:tc>
          <w:tcPr>
            <w:tcW w:type="dxa" w:w="831"/>
          </w:tcPr>
          <w:p>
            <w:r>
              <w:rPr>
                <w:rFonts w:ascii="Times New Roman" w:hAnsi="Times New Roman"/>
                <w:sz w:val="20"/>
              </w:rPr>
              <w:t>B02BD32</w:t>
            </w:r>
          </w:p>
        </w:tc>
      </w:tr>
    </w:tbl>
    <w:p/>
    <w:p>
      <w:pPr>
        <w:pStyle w:val="Heading2"/>
      </w:pPr>
      <w:r>
        <w:t>234.4. Synthèse pédagogique pour la pratique clinique algérienne</w:t>
      </w:r>
    </w:p>
    <w:p>
      <w:pPr>
        <w:pStyle w:val="Heading3"/>
      </w:pPr>
      <w:r>
        <w:t>Messages-clés pour la pratique</w:t>
      </w:r>
    </w:p>
    <w:p>
      <w:pPr>
        <w:pStyle w:val="ListNumber"/>
      </w:pPr>
      <w:r/>
      <w:r>
        <w:rPr>
          <w:b/>
        </w:rPr>
        <w:t>VWD = déficit en VWF</w:t>
      </w:r>
      <w:r>
        <w:t xml:space="preserve"> ; ne pas confondre avec hémophilie A (FVIII) ou hémophilie B (FIX). Le VWF a une double fonction : transporteur du FVIII + médiateur de l'adhésion plaquettaire.</w:t>
      </w:r>
    </w:p>
    <w:p>
      <w:pPr>
        <w:pStyle w:val="ListNumber"/>
      </w:pPr>
      <w:r/>
      <w:r>
        <w:rPr>
          <w:b/>
        </w:rPr>
        <w:t>VWD est la maladie hémorragique la plus fréquente</w:t>
      </w:r>
      <w:r>
        <w:t xml:space="preserve"> (~1/1 000 symptomatiques) mais sous-diagnostiquée en Algérie (&lt; 10 % diagnostiqués). Le pharmacien d'officine a un rôle clé dans le dépistage (ménorragies inexpliquées, épistaxis récidivantes, antécédents familiaux).</w:t>
      </w:r>
    </w:p>
    <w:p>
      <w:pPr>
        <w:pStyle w:val="ListNumber"/>
      </w:pPr>
      <w:r/>
      <w:r>
        <w:rPr>
          <w:b/>
        </w:rPr>
        <w:t>Choix du traitement selon le type de VWD</w:t>
      </w:r>
      <w:r>
        <w:t xml:space="preserve"> :</w:t>
      </w:r>
    </w:p>
    <w:p>
      <w:pPr>
        <w:pStyle w:val="ListBullet"/>
      </w:pPr>
      <w:r/>
      <w:r>
        <w:rPr>
          <w:b/>
        </w:rPr>
        <w:t>Type 1 modéré</w:t>
      </w:r>
      <w:r>
        <w:t xml:space="preserve"> : DDAVP en 1re intention (réponse habituelle).</w:t>
      </w:r>
    </w:p>
    <w:p>
      <w:pPr>
        <w:pStyle w:val="ListBullet"/>
      </w:pPr>
      <w:r/>
      <w:r>
        <w:rPr>
          <w:b/>
        </w:rPr>
        <w:t>Type 1 sévère non-répondant</w:t>
      </w:r>
      <w:r>
        <w:t xml:space="preserve"> : HAEMATE P ou FANDHI.</w:t>
      </w:r>
    </w:p>
    <w:p>
      <w:pPr>
        <w:pStyle w:val="ListBullet"/>
      </w:pPr>
      <w:r/>
      <w:r>
        <w:rPr>
          <w:b/>
        </w:rPr>
        <w:t>Type 2A, 2M</w:t>
      </w:r>
      <w:r>
        <w:t xml:space="preserve"> : HAEMATE P ou FANDHI (DDAVP souvent inefficace).</w:t>
      </w:r>
    </w:p>
    <w:p>
      <w:pPr>
        <w:pStyle w:val="ListBullet"/>
      </w:pPr>
      <w:r/>
      <w:r>
        <w:rPr>
          <w:b/>
        </w:rPr>
        <w:t>Type 2B</w:t>
      </w:r>
      <w:r>
        <w:t xml:space="preserve"> : HAEMATE P ou FANDHI (DDAVP CI absolue — risque de thrombopénie).</w:t>
      </w:r>
    </w:p>
    <w:p>
      <w:pPr>
        <w:pStyle w:val="ListBullet"/>
      </w:pPr>
      <w:r/>
      <w:r>
        <w:rPr>
          <w:b/>
        </w:rPr>
        <w:t>Type 2N</w:t>
      </w:r>
      <w:r>
        <w:t xml:space="preserve"> : HAEMATE P ou FANDHI (souvent confondue avec hémophilie A légère).</w:t>
      </w:r>
    </w:p>
    <w:p>
      <w:pPr>
        <w:pStyle w:val="ListBullet"/>
      </w:pPr>
      <w:r/>
      <w:r>
        <w:rPr>
          <w:b/>
        </w:rPr>
        <w:t>Type 3</w:t>
      </w:r>
      <w:r>
        <w:t xml:space="preserve"> : HAEMATE P 250/1600 (ratio VWF-dominé, préférable).</w:t>
      </w:r>
    </w:p>
    <w:p>
      <w:pPr>
        <w:pStyle w:val="ListNumber"/>
      </w:pPr>
      <w:r/>
      <w:r>
        <w:rPr>
          <w:b/>
        </w:rPr>
        <w:t>Choix HAEMATE P vs FANDHI</w:t>
      </w:r>
      <w:r>
        <w:t xml:space="preserve"> :</w:t>
      </w:r>
    </w:p>
    <w:p>
      <w:pPr>
        <w:pStyle w:val="ListBullet"/>
      </w:pPr>
      <w:r/>
      <w:r>
        <w:rPr>
          <w:b/>
        </w:rPr>
        <w:t>VWD type 3 sévère</w:t>
      </w:r>
      <w:r>
        <w:t xml:space="preserve"> : HAEMATE P 250/1600 (ratio VWF-dominé).</w:t>
      </w:r>
    </w:p>
    <w:p>
      <w:pPr>
        <w:pStyle w:val="ListBullet"/>
      </w:pPr>
      <w:r/>
      <w:r>
        <w:rPr>
          <w:b/>
        </w:rPr>
        <w:t>VWD type 1 et 2 modérés</w:t>
      </w:r>
      <w:r>
        <w:t xml:space="preserve"> : HAEMATE P 500/1200 ou FANDHI 500/600.</w:t>
      </w:r>
    </w:p>
    <w:p>
      <w:pPr>
        <w:pStyle w:val="ListBullet"/>
      </w:pPr>
      <w:r/>
      <w:r>
        <w:rPr>
          <w:b/>
        </w:rPr>
        <w:t>Saignements aigus</w:t>
      </w:r>
      <w:r>
        <w:t xml:space="preserve"> : FANDHI légèrement préféré (ratio FVIII-dominé + seringue pré-remplie).</w:t>
      </w:r>
    </w:p>
    <w:p>
      <w:pPr>
        <w:pStyle w:val="ListBullet"/>
      </w:pPr>
      <w:r/>
      <w:r>
        <w:rPr>
          <w:b/>
        </w:rPr>
        <w:t>Choix selon disponibilité</w:t>
      </w:r>
      <w:r>
        <w:t xml:space="preserve"> et coût local.</w:t>
      </w:r>
    </w:p>
    <w:p>
      <w:pPr>
        <w:pStyle w:val="ListNumber"/>
      </w:pPr>
      <w:r/>
      <w:r>
        <w:rPr>
          <w:b/>
        </w:rPr>
        <w:t>DDAVP est contre-indiquée dans le type 2B</w:t>
      </w:r>
      <w:r>
        <w:t xml:space="preserve"> (risque de thrombopénie sévère). Toujours vérifier le type de VWD avant d'envisager une DDAVP.</w:t>
      </w:r>
    </w:p>
    <w:p>
      <w:pPr>
        <w:pStyle w:val="ListNumber"/>
      </w:pPr>
      <w:r/>
      <w:r>
        <w:rPr>
          <w:b/>
        </w:rPr>
        <w:t>Le FVIII est libéré progressivement</w:t>
      </w:r>
      <w:r>
        <w:t xml:space="preserve"> du complexe VWF-FVIII (pic à 4-6 h). Pour chirurgie urgente, perfuser 4-6 h avant le geste. Pour chirurgie programmée, perfuser la veille au soir.</w:t>
      </w:r>
    </w:p>
    <w:p>
      <w:pPr>
        <w:pStyle w:val="ListNumber"/>
      </w:pPr>
      <w:r/>
      <w:r>
        <w:rPr>
          <w:b/>
        </w:rPr>
        <w:t>Surveillance du FVIII</w:t>
      </w:r>
      <w:r>
        <w:t xml:space="preserve"> : ne pas dépasser FVIII:C &gt; 250-300 UI/dL (risque thrombotique majeur au-delà).</w:t>
      </w:r>
    </w:p>
    <w:p>
      <w:pPr>
        <w:pStyle w:val="ListNumber"/>
      </w:pPr>
      <w:r/>
      <w:r>
        <w:rPr>
          <w:b/>
        </w:rPr>
        <w:t>Patients IgA-déficients avec anti-IgA</w:t>
      </w:r>
      <w:r>
        <w:t xml:space="preserve"> : risque majeur d'anaphylaxie. Dosage pondéral IgA systématique avant la première administration.</w:t>
      </w:r>
    </w:p>
    <w:p>
      <w:pPr>
        <w:pStyle w:val="ListNumber"/>
      </w:pPr>
      <w:r/>
      <w:r>
        <w:rPr>
          <w:b/>
        </w:rPr>
        <w:t>Vaccination hépatite A et B</w:t>
      </w:r>
      <w:r>
        <w:t xml:space="preserve"> systématique avant la première exposition au PSS plasmatique.</w:t>
      </w:r>
    </w:p>
    <w:p>
      <w:pPr>
        <w:pStyle w:val="ListNumber"/>
      </w:pPr>
      <w:r/>
      <w:r>
        <w:rPr>
          <w:b/>
        </w:rPr>
        <w:t>Hémolyse chez les patients de groupe A, B, AB</w:t>
      </w:r>
      <w:r>
        <w:t xml:space="preserve"> : surveillance clinique et biologique (HAEMATE P et FANDHI contiennent des isohémagglutinines anti-A et anti-B résiduelles).</w:t>
      </w:r>
    </w:p>
    <w:p>
      <w:pPr>
        <w:pStyle w:val="ListNumber"/>
      </w:pPr>
      <w:r/>
      <w:r>
        <w:rPr>
          <w:b/>
        </w:rPr>
        <w:t>Inhibiteur anti-VWF</w:t>
      </w:r>
      <w:r>
        <w:t xml:space="preserve"> : rare (~5-10 % des VWD type 3 multitransfusés). Test anticorps anti-VWF.</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HAEMATE P et FANDHI utilisables (CRAT). Maintenir VWF ≥ 50 UI/dL pendant le travail et ≥ 30 UI/dL pendant 7-14 jours post-partum.</w:t>
      </w:r>
    </w:p>
    <w:p>
      <w:pPr>
        <w:pStyle w:val="ListNumber"/>
      </w:pPr>
      <w:r/>
      <w:r>
        <w:rPr>
          <w:b/>
        </w:rPr>
        <w:t>Éviter l'aspirine et les AINS</w:t>
      </w:r>
      <w:r>
        <w:t xml:space="preserve"> chez le patient VWD symptomatique.</w:t>
      </w:r>
    </w:p>
    <w:p>
      <w:pPr>
        <w:pStyle w:val="ListNumber"/>
      </w:pPr>
      <w:r/>
      <w:r>
        <w:rPr>
          <w:b/>
        </w:rPr>
        <w:t>Contraception orale estroprogestative</w:t>
      </w:r>
      <w:r>
        <w:t xml:space="preserve"> en 1re intention pour les ménorragies de la VWD type 1 (réduit les ménorragies de 50-70 % en augmentant le VWF hépatique).</w:t>
      </w:r>
    </w:p>
    <w:p>
      <w:pPr>
        <w:pStyle w:val="ListNumber"/>
      </w:pPr>
      <w:r/>
      <w:r>
        <w:rPr>
          <w:b/>
        </w:rPr>
        <w:t>Information patient</w:t>
      </w:r>
      <w:r>
        <w:t xml:space="preserve"> : carte de patient VWD (type, traitement prophylactique, centre de référence, contacts d'urgence, réponse à la DDAVP), carnet de suivi patient, numéro d'urgence 24/7 du centre de référence.</w:t>
      </w:r>
    </w:p>
    <w:p>
      <w:pPr>
        <w:pStyle w:val="Heading3"/>
      </w:pPr>
      <w:r>
        <w:t>Références bibliographiques spécifiques</w:t>
      </w:r>
    </w:p>
    <w:p>
      <w:pPr>
        <w:pStyle w:val="ListNumber"/>
      </w:pPr>
      <w:r>
        <w:t>WFH — Guidelines for the Management of Hemophilia, 3rd edition (2020) — incluant chapitre VWD.</w:t>
      </w:r>
    </w:p>
    <w:p>
      <w:pPr>
        <w:pStyle w:val="ListNumber"/>
      </w:pPr>
      <w:r>
        <w:t>EHC — Principles of Care for People with Hemophilia and VWD (2021 update).</w:t>
      </w:r>
    </w:p>
    <w:p>
      <w:pPr>
        <w:pStyle w:val="ListNumber"/>
      </w:pPr>
      <w:r>
        <w:t>ISTH (International Society on Thrombosis and Haemostasis) — VWD Classification 2006, update 2024.</w:t>
      </w:r>
    </w:p>
    <w:p>
      <w:pPr>
        <w:pStyle w:val="ListNumber"/>
      </w:pPr>
      <w:r>
        <w:t>EMA — EPAR HAEMATE P, FANDHI.</w:t>
      </w:r>
    </w:p>
    <w:p>
      <w:pPr>
        <w:pStyle w:val="ListNumber"/>
      </w:pPr>
      <w:r>
        <w:t>HAS — Avis de la Commission de la Transparence pour chaque spécialité.</w:t>
      </w:r>
    </w:p>
    <w:p>
      <w:pPr>
        <w:pStyle w:val="ListNumber"/>
      </w:pPr>
      <w:r>
        <w:t>ANSM — RCP français de chaque spécialité.</w:t>
      </w:r>
    </w:p>
    <w:p>
      <w:pPr>
        <w:pStyle w:val="ListNumber"/>
      </w:pPr>
      <w:r>
        <w:t>Sadler JE et al. — « Update on the pathophysiology and classification of von Willebrand disease » (J Thromb Haemost 2006 — ISTH classification).</w:t>
      </w:r>
    </w:p>
    <w:p>
      <w:pPr>
        <w:pStyle w:val="ListNumber"/>
      </w:pPr>
      <w:r>
        <w:t>Leebeek FWG, Eikenboom JCJ — « Von Willebrand's disease » (NEJM 2016).</w:t>
      </w:r>
    </w:p>
    <w:p>
      <w:pPr>
        <w:pStyle w:val="ListNumber"/>
      </w:pPr>
      <w:r>
        <w:t>Mannucci PM — « Treatment of von Willebrand's disease » (NEJM 2004).</w:t>
      </w:r>
    </w:p>
    <w:p>
      <w:pPr>
        <w:pStyle w:val="ListNumber"/>
      </w:pPr>
      <w:r>
        <w:t>Castaman G et al. — « Pregnancy and delivery management in women with von Willebrand disease » (Eur J Haematol 2018).</w:t>
      </w:r>
    </w:p>
    <w:p>
      <w:pPr>
        <w:pStyle w:val="ListNumber"/>
      </w:pPr>
      <w:r>
        <w:t>CRAT — Fiches « HAEMATE P », « FANDHI », « Desmopressine », « Von Willebrand disease ».</w:t>
      </w:r>
    </w:p>
    <w:p>
      <w:pPr>
        <w:pStyle w:val="ListNumber"/>
      </w:pPr>
      <w:r>
        <w:t>Federici AB — « Clinical diagnosis of von Willebrand disease » (Haemophilia 2004).</w:t>
      </w:r>
    </w:p>
    <w:p>
      <w:pPr>
        <w:pStyle w:val="Heading1"/>
      </w:pPr>
      <w:r>
        <w:t>Fascicule XXIII — Chapitre 235</w:t>
      </w:r>
    </w:p>
    <w:p>
      <w:pPr>
        <w:pStyle w:val="Heading2"/>
      </w:pPr>
      <w:r>
        <w:t>Complexe de Prothrombine (PCC — 4 facteurs)</w:t>
      </w:r>
    </w:p>
    <w:p>
      <w:pPr>
        <w:pStyle w:val="Heading2"/>
      </w:pPr>
      <w:r>
        <w:t>Sommaire du chapitre 235</w:t>
      </w:r>
    </w:p>
    <w:p>
      <w:pPr>
        <w:pStyle w:val="ListBullet"/>
      </w:pPr>
      <w:r>
        <w:t>235.0. Introduction : place du PCC dans la stratégie thérapeutique des antivitamines K et de la coagulation intravasculaire disséminée</w:t>
      </w:r>
    </w:p>
    <w:p>
      <w:pPr>
        <w:pStyle w:val="ListBullet"/>
      </w:pPr>
      <w:r>
        <w:t>235.1. DCI : Facteur II / Facteur VII / Facteur IX / Facteur X (PROTHROMPLEX TOTAL S-TIM 4-600) [RETRAIT]</w:t>
      </w:r>
    </w:p>
    <w:p>
      <w:pPr>
        <w:pStyle w:val="ListBullet"/>
      </w:pPr>
      <w:r>
        <w:t>235.2. Tableau comparatif international des PCC disponibles</w:t>
      </w:r>
    </w:p>
    <w:p>
      <w:pPr>
        <w:pStyle w:val="ListBullet"/>
      </w:pPr>
      <w:r>
        <w:t>235.3. Synthèse pédagogique et particularités algériennes</w:t>
      </w:r>
    </w:p>
    <w:p>
      <w:pPr>
        <w:pStyle w:val="Heading2"/>
      </w:pPr>
      <w:r>
        <w:t>235.0. Introduction : place du PCC dans la stratégie thérapeutique des antivitamines K et de la coagulation intravasculaire disséminée</w:t>
      </w:r>
    </w:p>
    <w:p>
      <w:pPr>
        <w:pStyle w:val="Heading3"/>
      </w:pPr>
      <w:r>
        <w:t>1. Définition et historique</w:t>
      </w:r>
    </w:p>
    <w:p>
      <w:r>
        <w:t xml:space="preserve">Le </w:t>
      </w:r>
      <w:r>
        <w:rPr>
          <w:b/>
        </w:rPr>
        <w:t>Complexe de Prothrombine Concentré (PCC — Prothrombin Complex Concentrate)</w:t>
      </w:r>
      <w:r>
        <w:t xml:space="preserve"> est un médicament dérivé du plasma humain contenant les quatre </w:t>
      </w:r>
      <w:r>
        <w:rPr>
          <w:b/>
        </w:rPr>
        <w:t>facteurs de coagulation vitamine-K-dépendants</w:t>
      </w:r>
      <w:r>
        <w:t xml:space="preserve"> (FII, FVII, FIX, FX) en proportions standardisées. Il a été développé initialement dans les années 1960-1970 comme traitement substitutif de l'hémophilie B (FIX), avant d'être supplanté par les concentrés purs de FIX (pdFIX puis rFIX) à partir des années 1990. Sa place actuelle est essentiellement celle d'</w:t>
      </w:r>
      <w:r>
        <w:rPr>
          <w:b/>
        </w:rPr>
        <w:t>antidote des antivitamines K (AVK)</w:t>
      </w:r>
      <w:r>
        <w:t xml:space="preserve"> dans les hémorragies graves ou en urgence préopératoire chez les patients sous AVK.</w:t>
      </w:r>
    </w:p>
    <w:p>
      <w:r>
        <w:t xml:space="preserve">Le PCC a connu une véritable révolution thérapeutique depuis les années 2010 : auparavant considéré comme un produit de seconde ligne après le Plasma Frais Congelé (PFC), il est devenu le </w:t>
      </w:r>
      <w:r>
        <w:rPr>
          <w:b/>
        </w:rPr>
        <w:t>traitement de référence pour le reversal urgent des AVK</w:t>
      </w:r>
      <w:r>
        <w:t xml:space="preserve"> dans les recommandations internationales (HAS 2008, SFAR 2015, ACCP 2012, ESC 2024), en raison de :</w:t>
      </w:r>
    </w:p>
    <w:p>
      <w:pPr>
        <w:pStyle w:val="ListBullet"/>
      </w:pPr>
      <w:r>
        <w:t>Sa rapidité d'action (correction de l'INR en 15-30 minutes vs 4-6 h pour le PFC).</w:t>
      </w:r>
    </w:p>
    <w:p>
      <w:pPr>
        <w:pStyle w:val="ListBullet"/>
      </w:pPr>
      <w:r>
        <w:t>Son volume réduit (~20-40 mL vs 1 000-1 500 mL pour le PFC).</w:t>
      </w:r>
    </w:p>
    <w:p>
      <w:pPr>
        <w:pStyle w:val="ListBullet"/>
      </w:pPr>
      <w:r>
        <w:t>Sa sécurité virale supérieure (PCC = produit stable inactivé par SD/nanofiltration ; PFC = produit sanguin labile non inactivé).</w:t>
      </w:r>
    </w:p>
    <w:p>
      <w:pPr>
        <w:pStyle w:val="ListBullet"/>
      </w:pPr>
      <w:r>
        <w:t>Sa standardisation (concentration connue en FII, FVII, FIX, FX).</w:t>
      </w:r>
    </w:p>
    <w:p>
      <w:pPr>
        <w:pStyle w:val="Heading3"/>
      </w:pPr>
      <w:r>
        <w:t>2. Types de PCC disponibles</w:t>
      </w:r>
    </w:p>
    <w:p>
      <w:r>
        <w:t>On distingue historiquement :</w:t>
      </w:r>
    </w:p>
    <w:p>
      <w:pPr>
        <w:pStyle w:val="ListBullet"/>
      </w:pPr>
      <w:r/>
      <w:r>
        <w:rPr>
          <w:b/>
        </w:rPr>
        <w:t>PCC à 3 facteurs</w:t>
      </w:r>
      <w:r>
        <w:t xml:space="preserve"> (FII, FIX, FX — sans FVII) : historiques (PROTHROMPLEX IMMUNO 600), encore utilisés dans certains pays. Limitation : ne corrigent pas complètement l'INR car le FVII est le facteur limitant de la voie extrinsèque.</w:t>
      </w:r>
    </w:p>
    <w:p>
      <w:pPr>
        <w:pStyle w:val="ListBullet"/>
      </w:pPr>
      <w:r/>
      <w:r>
        <w:rPr>
          <w:b/>
        </w:rPr>
        <w:t>PCC à 4 facteurs</w:t>
      </w:r>
      <w:r>
        <w:t xml:space="preserve"> (FII, FVII, FIX, FX) : modernes (OCTAPLEX, BERIPLEX, PROTHROMPLEX TOTAL), recommandations internationales. Corrigent complètement l'INR.</w:t>
      </w:r>
    </w:p>
    <w:p>
      <w:pPr>
        <w:pStyle w:val="ListBullet"/>
      </w:pPr>
      <w:r/>
      <w:r>
        <w:rPr>
          <w:b/>
        </w:rPr>
        <w:t>PCC activés</w:t>
      </w:r>
      <w:r>
        <w:t xml:space="preserve"> (FEIBA) : contiennent des facteurs activés (IIa, IXa, Xa, VII non activé) — indiqués pour l'hémophilie A avec inhibiteur (cf. fiche 232.8), pas pour le reversal AVK.</w:t>
      </w:r>
    </w:p>
    <w:p>
      <w:pPr>
        <w:pStyle w:val="Heading3"/>
      </w:pPr>
      <w:r>
        <w:t>3. Indications validées du PCC 4 facteurs</w:t>
      </w:r>
    </w:p>
    <w:p>
      <w:pPr>
        <w:pStyle w:val="ListNumber"/>
      </w:pPr>
      <w:r/>
      <w:r>
        <w:rPr>
          <w:b/>
        </w:rPr>
        <w:t>Reversal urgent des AVK</w:t>
      </w:r>
      <w:r>
        <w:t xml:space="preserve"> en cas d'hémorragie grave ou d'urgence chirurgicale :</w:t>
      </w:r>
    </w:p>
    <w:p>
      <w:pPr>
        <w:pStyle w:val="ListBullet"/>
      </w:pPr>
      <w:r>
        <w:t>Hémorragie intracrânienne (HIC) sous AVK (indication principale — gain de 30 minutes = 30 % de mortalité en moins).</w:t>
      </w:r>
    </w:p>
    <w:p>
      <w:pPr>
        <w:pStyle w:val="ListBullet"/>
      </w:pPr>
      <w:r>
        <w:t>Hémorragie digestive active sous AVK.</w:t>
      </w:r>
    </w:p>
    <w:p>
      <w:pPr>
        <w:pStyle w:val="ListBullet"/>
      </w:pPr>
      <w:r>
        <w:t>Chirurgie urgente non programmée sous AVK (traumatologie, chirurgie abdominale, neurochirurgie).</w:t>
      </w:r>
    </w:p>
    <w:p>
      <w:pPr>
        <w:pStyle w:val="ListBullet"/>
      </w:pPr>
      <w:r>
        <w:t>Traumatisme grave sous AVK.</w:t>
      </w:r>
    </w:p>
    <w:p>
      <w:pPr>
        <w:pStyle w:val="ListNumber"/>
      </w:pPr>
      <w:r/>
      <w:r>
        <w:rPr>
          <w:b/>
        </w:rPr>
        <w:t>Reversal rapide pré-opératoire</w:t>
      </w:r>
      <w:r>
        <w:t xml:space="preserve"> programmé sous AVK (lorsque la vitamine K1 (phytoménadione) ne permet pas un délai suffisamment court — action en 6-12 h pour la vitamine K1 vs 15-30 min pour le PCC).</w:t>
      </w:r>
    </w:p>
    <w:p>
      <w:pPr>
        <w:pStyle w:val="ListNumber"/>
      </w:pPr>
      <w:r/>
      <w:r>
        <w:rPr>
          <w:b/>
        </w:rPr>
        <w:t>CIVD (coagulation intravascular disséminée) avec effondrement des facteurs vitamine-K-dépendants</w:t>
      </w:r>
      <w:r>
        <w:t xml:space="preserve"> (en association avec PFC, plaquettes, fibrinogène).</w:t>
      </w:r>
    </w:p>
    <w:p>
      <w:pPr>
        <w:pStyle w:val="ListNumber"/>
      </w:pPr>
      <w:r/>
      <w:r>
        <w:rPr>
          <w:b/>
        </w:rPr>
        <w:t>Hémorragie massive</w:t>
      </w:r>
      <w:r>
        <w:t xml:space="preserve"> avec dilution des facteurs de coagulation (transfusion massive &gt; 1 masse sanguine).</w:t>
      </w:r>
    </w:p>
    <w:p>
      <w:pPr>
        <w:pStyle w:val="ListNumber"/>
      </w:pPr>
      <w:r/>
      <w:r>
        <w:rPr>
          <w:b/>
        </w:rPr>
        <w:t>Insuffisance hépatique sévère</w:t>
      </w:r>
      <w:r>
        <w:t xml:space="preserve"> avec déficit en facteurs vitamine-K-dépendants (alternative au PFC).</w:t>
      </w:r>
    </w:p>
    <w:p>
      <w:pPr>
        <w:pStyle w:val="Heading3"/>
      </w:pPr>
      <w:r>
        <w:t>4. Place dans les recommandations internationales</w:t>
      </w:r>
    </w:p>
    <w:p>
      <w:pPr>
        <w:pStyle w:val="ListBullet"/>
      </w:pPr>
      <w:r/>
      <w:r>
        <w:rPr>
          <w:b/>
        </w:rPr>
        <w:t>HAS (Haute Autorité de Santé) — Recommandations 2008, mises à jour 2017</w:t>
      </w:r>
      <w:r>
        <w:t xml:space="preserve"> : PCC 4 facteurs comme traitement de 1re intention du reversal urgent des AVK en cas d'hémorragie grave ou d'urgence chirurgicale, à la dose de </w:t>
      </w:r>
      <w:r>
        <w:rPr>
          <w:b/>
        </w:rPr>
        <w:t>25-50 UI/kg</w:t>
      </w:r>
      <w:r>
        <w:t xml:space="preserve"> (selon INR initial et poids du patient), en association avec la vitamine K1 (10 mg IV lent).</w:t>
      </w:r>
    </w:p>
    <w:p>
      <w:pPr>
        <w:pStyle w:val="ListBullet"/>
      </w:pPr>
      <w:r/>
      <w:r>
        <w:rPr>
          <w:b/>
        </w:rPr>
        <w:t>SFAR (Société Française d'Anesthésie-Réanimation) — Prise en charge de l'hémorragie massive 2015, mises à jour 2022</w:t>
      </w:r>
      <w:r>
        <w:t xml:space="preserve"> : PCC 4 facteurs en cas d'hémorragie massive sous AVK avec INR &gt; 1,5 ou en cas de CIVD.</w:t>
      </w:r>
    </w:p>
    <w:p>
      <w:pPr>
        <w:pStyle w:val="ListBullet"/>
      </w:pPr>
      <w:r/>
      <w:r>
        <w:rPr>
          <w:b/>
        </w:rPr>
        <w:t>ACCP (American College of Chest Physicians) — Antithrombotic Therapy 10th edition 2012</w:t>
      </w:r>
      <w:r>
        <w:t xml:space="preserve"> : PCC 4 facteurs préférés au PFC pour le reversal urgent des AVK.</w:t>
      </w:r>
    </w:p>
    <w:p>
      <w:pPr>
        <w:pStyle w:val="ListBullet"/>
      </w:pPr>
      <w:r/>
      <w:r>
        <w:rPr>
          <w:b/>
        </w:rPr>
        <w:t>ESC (European Society of Cardiology) — Guidelines 2024</w:t>
      </w:r>
      <w:r>
        <w:t xml:space="preserve"> : PCC 4 facteurs pour le reversal des AVK en cas d'hémorragie grave.</w:t>
      </w:r>
    </w:p>
    <w:p>
      <w:pPr>
        <w:pStyle w:val="ListBullet"/>
      </w:pPr>
      <w:r/>
      <w:r>
        <w:rPr>
          <w:b/>
        </w:rPr>
        <w:t>Neurocritical Care Society 2016</w:t>
      </w:r>
      <w:r>
        <w:t xml:space="preserve"> : PCC 4 facteurs pour le reversal des AVK en cas d'HIC.</w:t>
      </w:r>
    </w:p>
    <w:p>
      <w:pPr>
        <w:pStyle w:val="Heading3"/>
      </w:pPr>
      <w:r>
        <w:t>5. Dosage et posologie</w:t>
      </w:r>
    </w:p>
    <w:p>
      <w:pPr>
        <w:pStyle w:val="ListBullet"/>
      </w:pPr>
      <w:r/>
      <w:r>
        <w:rPr>
          <w:b/>
        </w:rPr>
        <w:t>Dose standard adulte</w:t>
      </w:r>
      <w:r>
        <w:t xml:space="preserve"> : 25-50 UI/kg (basé sur le poids corporel et l'INR initial).</w:t>
      </w:r>
    </w:p>
    <w:p>
      <w:pPr>
        <w:pStyle w:val="ListBullet"/>
      </w:pPr>
      <w:r/>
      <w:r>
        <w:rPr>
          <w:b/>
        </w:rPr>
        <w:t>Calcul selon INR</w:t>
      </w:r>
      <w:r>
        <w:t xml:space="preserve"> (HAS 2008) :</w:t>
      </w:r>
    </w:p>
    <w:p>
      <w:pPr>
        <w:pStyle w:val="ListBullet"/>
      </w:pPr>
      <w:r>
        <w:t>INR 2,0-3,9 : 25 UI/kg.</w:t>
      </w:r>
    </w:p>
    <w:p>
      <w:pPr>
        <w:pStyle w:val="ListBullet"/>
      </w:pPr>
      <w:r>
        <w:t>INR 4,0-5,9 : 35 UI/kg.</w:t>
      </w:r>
    </w:p>
    <w:p>
      <w:pPr>
        <w:pStyle w:val="ListBullet"/>
      </w:pPr>
      <w:r>
        <w:t>INR ≥ 6,0 : 50 UI/kg.</w:t>
      </w:r>
    </w:p>
    <w:p>
      <w:pPr>
        <w:pStyle w:val="ListBullet"/>
      </w:pPr>
      <w:r/>
      <w:r>
        <w:rPr>
          <w:b/>
        </w:rPr>
        <w:t>Dose maximale</w:t>
      </w:r>
      <w:r>
        <w:t xml:space="preserve"> : 50 UI/kg (ou 3 000 UI adulte) — au-delà, risque thrombotique majeur.</w:t>
      </w:r>
    </w:p>
    <w:p>
      <w:pPr>
        <w:pStyle w:val="ListBullet"/>
      </w:pPr>
      <w:r/>
      <w:r>
        <w:rPr>
          <w:b/>
        </w:rPr>
        <w:t>Associations systématiques</w:t>
      </w:r>
      <w:r>
        <w:t xml:space="preserve"> :</w:t>
      </w:r>
    </w:p>
    <w:p>
      <w:pPr>
        <w:pStyle w:val="ListBullet"/>
      </w:pPr>
      <w:r>
        <w:t>Vitamine K1 (phytoménadione) 10 mg IV lent (sur 10 min, dilué dans 50 mL NaCl 0,9 %) — action retardée (6-12 h) mais durable (synthèse hépatique des facteurs vitamine-K-dépendants).</w:t>
      </w:r>
    </w:p>
    <w:p>
      <w:pPr>
        <w:pStyle w:val="ListBullet"/>
      </w:pPr>
      <w:r>
        <w:t>Surveillance INR à 30 min, 1 h, 4 h, 24 h post-PCC.</w:t>
      </w:r>
    </w:p>
    <w:p>
      <w:pPr>
        <w:pStyle w:val="Heading3"/>
      </w:pPr>
      <w:r>
        <w:t>6. Risque thrombotique</w:t>
      </w:r>
    </w:p>
    <w:p>
      <w:r>
        <w:t xml:space="preserve">Le PCC est un médicament procoagulant majeur, le </w:t>
      </w:r>
      <w:r>
        <w:rPr>
          <w:b/>
        </w:rPr>
        <w:t>risque thrombotique</w:t>
      </w:r>
      <w:r>
        <w:t xml:space="preserve"> est la principale complication :</w:t>
      </w:r>
    </w:p>
    <w:p>
      <w:pPr>
        <w:pStyle w:val="ListBullet"/>
      </w:pPr>
      <w:r/>
      <w:r>
        <w:rPr>
          <w:b/>
        </w:rPr>
        <w:t>Thrombose veineuse profonde (TVP)</w:t>
      </w:r>
      <w:r>
        <w:t xml:space="preserve"> et </w:t>
      </w:r>
      <w:r>
        <w:rPr>
          <w:b/>
        </w:rPr>
        <w:t>embolie pulmonaire (EP)</w:t>
      </w:r>
      <w:r>
        <w:t xml:space="preserve"> : ~3-7 % des patients recevant PCC pour reversal AVK.</w:t>
      </w:r>
    </w:p>
    <w:p>
      <w:pPr>
        <w:pStyle w:val="ListBullet"/>
      </w:pPr>
      <w:r/>
      <w:r>
        <w:rPr>
          <w:b/>
        </w:rPr>
        <w:t>Accident vasculaire cérébral ischémique</w:t>
      </w:r>
      <w:r>
        <w:t xml:space="preserve"> : ~1-2 %.</w:t>
      </w:r>
    </w:p>
    <w:p>
      <w:pPr>
        <w:pStyle w:val="ListBullet"/>
      </w:pPr>
      <w:r/>
      <w:r>
        <w:rPr>
          <w:b/>
        </w:rPr>
        <w:t>Infarctus du myocarde</w:t>
      </w:r>
      <w:r>
        <w:t xml:space="preserve"> : ~1-2 %.</w:t>
      </w:r>
    </w:p>
    <w:p>
      <w:pPr>
        <w:pStyle w:val="ListBullet"/>
      </w:pPr>
      <w:r/>
      <w:r>
        <w:rPr>
          <w:b/>
        </w:rPr>
        <w:t>CIVD</w:t>
      </w:r>
      <w:r>
        <w:t xml:space="preserve"> : rare mais grave.</w:t>
      </w:r>
    </w:p>
    <w:p>
      <w:pPr>
        <w:pStyle w:val="ListBullet"/>
      </w:pPr>
      <w:r>
        <w:t>Risque majoré chez les patients avec antécédents thrombotiques, cancer actif, post-opératoire, post-partum, syndrome des antiphospholipides.</w:t>
      </w:r>
    </w:p>
    <w:p>
      <w:r>
        <w:t>Surveillance : D-dimères, fibrinogène, NFS-plaquettes, clinique (douleur mollo-jambière, dyspnée, céphalées brutales, douleur thoracique).</w:t>
      </w:r>
    </w:p>
    <w:p>
      <w:pPr>
        <w:pStyle w:val="Heading2"/>
      </w:pPr>
      <w:r>
        <w:t>235.1. DCI : Facteur II / Facteur VII / Facteur IX / Facteur X (PROTHROMPLEX TOTAL S-TIM 4-600) [RETRAIT]</w:t>
      </w:r>
    </w:p>
    <w:p>
      <w:pPr>
        <w:pStyle w:val="Heading3"/>
      </w:pPr>
      <w:r>
        <w:t>Sous-section 1 — Liste des catégories thérapeutiques</w:t>
      </w:r>
    </w:p>
    <w:p>
      <w:pPr>
        <w:pStyle w:val="ListBullet"/>
      </w:pPr>
      <w:r/>
      <w:r>
        <w:rPr>
          <w:b/>
        </w:rPr>
        <w:t>Code ATC</w:t>
      </w:r>
      <w:r>
        <w:t xml:space="preserve"> : </w:t>
      </w:r>
      <w:r>
        <w:rPr>
          <w:b/>
        </w:rPr>
        <w:t>B02BD02</w:t>
      </w:r>
      <w:r>
        <w:t xml:space="preserve"> — Complexe prothrombinique humain (PCC).</w:t>
      </w:r>
    </w:p>
    <w:p>
      <w:pPr>
        <w:pStyle w:val="ListBullet"/>
      </w:pPr>
      <w:r/>
      <w:r>
        <w:rPr>
          <w:b/>
        </w:rPr>
        <w:t>Classe pharmacologique</w:t>
      </w:r>
      <w:r>
        <w:t xml:space="preserve"> : concentré plasmatique combiné des 4 facteurs vitamine-K-dépendants (FII prothrombine, FVII proconvertine, FIX Christmas, FX Stuart).</w:t>
      </w:r>
    </w:p>
    <w:p>
      <w:pPr>
        <w:pStyle w:val="ListBullet"/>
      </w:pPr>
      <w:r/>
      <w:r>
        <w:rPr>
          <w:b/>
        </w:rPr>
        <w:t>Statut réglementaire Algérie</w:t>
      </w:r>
      <w:r>
        <w:t xml:space="preserve"> : Liste I (substance vénéneuse), prescription réservée aux médecins spécialistes en hématologie, réanimation, anesthésie-réanimation ou neurochirurgie, délivrance hospitalière (PUI).</w:t>
      </w:r>
    </w:p>
    <w:p>
      <w:pPr>
        <w:pStyle w:val="ListBullet"/>
      </w:pPr>
      <w:r/>
      <w:r>
        <w:rPr>
          <w:b/>
        </w:rPr>
        <w:t>Statut OMS</w:t>
      </w:r>
      <w:r>
        <w:t xml:space="preserve"> : médicament essentiel (Model List of Essential Medicines 22nd edition, 2021).</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w:t>
      </w:r>
      <w:r>
        <w:rPr>
          <w:b/>
        </w:rPr>
        <w:t>RETRAIT</w:t>
      </w:r>
      <w:r>
        <w:t xml:space="preserve"> du marché depuis avril 2026. Aucune autre spécialité PCC 4 facteurs n'est actuellement disponible en Algérie. Les alternatives sont :</w:t>
      </w:r>
    </w:p>
    <w:p>
      <w:pPr>
        <w:pStyle w:val="ListBullet"/>
      </w:pPr>
      <w:r/>
      <w:r>
        <w:rPr>
          <w:b/>
        </w:rPr>
        <w:t>Plasma Frais Congelé (PFC)</w:t>
      </w:r>
      <w:r>
        <w:t xml:space="preserve"> — produit sanguin labile, plus volumineux, action plus lente (4-6 h).</w:t>
      </w:r>
    </w:p>
    <w:p>
      <w:pPr>
        <w:pStyle w:val="ListBullet"/>
      </w:pPr>
      <w:r/>
      <w:r>
        <w:rPr>
          <w:b/>
        </w:rPr>
        <w:t>Importation exceptionnelle ATU nominative</w:t>
      </w:r>
      <w:r>
        <w:t xml:space="preserve"> de PCC 4 facteurs étrangers (OCTAPLEX — Octapharma ; BERIPLEX/KCENTRA — CSL Behring).</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PROTHROMPLEX TOTAL S -TIM 4 - 600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Lyophilisat et solvant pour solution injectable IV, **30 UI FII / 25 UI FVII / 30 UI FIX / 30 UI FX par mL** (soit 600 UI FII, 500 UI FVII, 600 UI FIX, 600 UI FX par flacon de 20 mL)</w:t>
            </w:r>
          </w:p>
        </w:tc>
        <w:tc>
          <w:tcPr>
            <w:tcW w:type="dxa" w:w="1385"/>
          </w:tcPr>
          <w:p>
            <w:r>
              <w:rPr>
                <w:rFonts w:ascii="Times New Roman" w:hAnsi="Times New Roman"/>
                <w:sz w:val="20"/>
              </w:rPr>
              <w:t>Boîte de 1 flacon de lyophilisat + 1 flacon de solvant 20 mL + kit de transfert (aiguille hypodermique, aiguille d'aération, aiguille de transfert, pansement d'alcool)</w:t>
            </w:r>
          </w:p>
        </w:tc>
        <w:tc>
          <w:tcPr>
            <w:tcW w:type="dxa" w:w="1385"/>
          </w:tcPr>
          <w:p>
            <w:r>
              <w:rPr>
                <w:rFonts w:ascii="Times New Roman" w:hAnsi="Times New Roman"/>
                <w:sz w:val="20"/>
              </w:rPr>
              <w:t>Liste I</w:t>
            </w:r>
          </w:p>
        </w:tc>
        <w:tc>
          <w:tcPr>
            <w:tcW w:type="dxa" w:w="1385"/>
          </w:tcPr>
          <w:p>
            <w:r>
              <w:rPr>
                <w:rFonts w:ascii="Times New Roman" w:hAnsi="Times New Roman"/>
                <w:sz w:val="20"/>
              </w:rPr>
              <w:t>**RETRAIT**</w:t>
            </w:r>
          </w:p>
        </w:tc>
      </w:tr>
    </w:tbl>
    <w:p/>
    <w:p>
      <w:r/>
      <w:r>
        <w:rPr>
          <w:b/>
        </w:rPr>
        <w:t>Statut PROTHROMPLEX TOTAL</w:t>
      </w:r>
      <w:r>
        <w:t xml:space="preserve"> : retiré du marché algérien depuis avril 2026. Les patients algériens nécessitant un reversal urgent des AVK doivent être pris en charge par alternatives :</w:t>
      </w:r>
    </w:p>
    <w:p>
      <w:pPr>
        <w:pStyle w:val="ListBullet"/>
      </w:pPr>
      <w:r/>
      <w:r>
        <w:rPr>
          <w:b/>
        </w:rPr>
        <w:t>Plasma Frais Congelé (PFC)</w:t>
      </w:r>
      <w:r>
        <w:t xml:space="preserve"> : 15 mL/kg IV (soit ~1 000-1 500 mL adulte), action en 4-6 h, surveillance INR à 6 h.</w:t>
      </w:r>
    </w:p>
    <w:p>
      <w:pPr>
        <w:pStyle w:val="ListBullet"/>
      </w:pPr>
      <w:r/>
      <w:r>
        <w:rPr>
          <w:b/>
        </w:rPr>
        <w:t>Vitamine K1 (phytoménadione)</w:t>
      </w:r>
      <w:r>
        <w:t xml:space="preserve"> : 10 mg IV lent (sur 10 min, dilué), action en 6-12 h, durable.</w:t>
      </w:r>
    </w:p>
    <w:p>
      <w:pPr>
        <w:pStyle w:val="ListBullet"/>
      </w:pPr>
      <w:r/>
      <w:r>
        <w:rPr>
          <w:b/>
        </w:rPr>
        <w:t>Importation exceptionnelle ATU nominative</w:t>
      </w:r>
      <w:r>
        <w:t xml:space="preserve"> de OCTAPLEX (Octapharma, Allemagne) ou BERIPLEX/KCENTRA (CSL Behring, Allemagne) pour les centres hospitaliers équipés.</w:t>
      </w:r>
    </w:p>
    <w:p>
      <w:r>
        <w:t>Les stocks résiduels éventuels de PROTHROMPLEX TOTAL doivent être retournés au fournisseur (Baxter) ou détruits selon la procédure DASRI (Déchets d'Activités de Soins à Risques Infectieux).</w:t>
      </w:r>
    </w:p>
    <w:p>
      <w:pPr>
        <w:pStyle w:val="Heading3"/>
      </w:pPr>
      <w:r>
        <w:t>Sous-section 3 — Sous-classe et mécanisme d'action moléculaire</w:t>
      </w:r>
    </w:p>
    <w:p>
      <w:r/>
      <w:r>
        <w:rPr>
          <w:b/>
        </w:rPr>
        <w:t>Sous-classe pharmacologique</w:t>
      </w:r>
      <w:r>
        <w:t xml:space="preserve"> : B02BD02 — Complexe prothrombinique humain (PCC 4 facteurs). À ne pas confondre avec B02BD01 (FIX seul, pdFIX) ou B02BD30 (complexe anti-inhibiteur activé, FEIBA).</w:t>
      </w:r>
    </w:p>
    <w:p>
      <w:r/>
      <w:r>
        <w:rPr>
          <w:b/>
        </w:rPr>
        <w:t>Structure moléculaire</w:t>
      </w:r>
      <w:r>
        <w:t xml:space="preserve"> :</w:t>
      </w:r>
    </w:p>
    <w:p>
      <w:pPr>
        <w:pStyle w:val="ListBullet"/>
      </w:pPr>
      <w:r>
        <w:t>Le PROTHROMPLEX TOTAL est obtenu par fractionnement plasmatique industriel à partir de plasma humain poolé (pool de plusieurs milliers de dons qualifiés biologiquement). Le fractionnement utilise la méthode Cohn-Oncley modifiée avec étapes spécifiques pour les facteurs vitamine-K-dépendants (FII, FVII, FIX, FX).</w:t>
      </w:r>
    </w:p>
    <w:p>
      <w:pPr>
        <w:pStyle w:val="ListBullet"/>
      </w:pPr>
      <w:r/>
      <w:r>
        <w:rPr>
          <w:b/>
        </w:rPr>
        <w:t>Composition</w:t>
      </w:r>
      <w:r>
        <w:t xml:space="preserve"> : FII (prothrombine, ~30 UI/mL), FVII (proconvertine, ~25 UI/mL), FIX (Christmas, ~30 UI/mL), FX (Stuart, ~30 UI/mL) + protéines plasmatiques (protéine C, protéine S, antithrombine — traces).</w:t>
      </w:r>
    </w:p>
    <w:p>
      <w:pPr>
        <w:pStyle w:val="ListBullet"/>
      </w:pPr>
      <w:r/>
      <w:r>
        <w:rPr>
          <w:b/>
        </w:rPr>
        <w:t>Héparine ajoutée</w:t>
      </w:r>
      <w:r>
        <w:t xml:space="preserve"> (~0,5-1 UI/mL) — prévention de l'activation in vitro des facteurs, mais surveillance plaquettaire (TIH).</w:t>
      </w:r>
    </w:p>
    <w:p>
      <w:pPr>
        <w:pStyle w:val="ListBullet"/>
      </w:pPr>
      <w:r/>
      <w:r>
        <w:rPr>
          <w:b/>
        </w:rPr>
        <w:t>Antithrombine ajoutée</w:t>
      </w:r>
      <w:r>
        <w:t xml:space="preserve"> (~0,5-1 UI/mL) — prévention de l'activation in vitro.</w:t>
      </w:r>
    </w:p>
    <w:p>
      <w:pPr>
        <w:pStyle w:val="ListBullet"/>
      </w:pPr>
      <w:r/>
      <w:r>
        <w:rPr>
          <w:b/>
        </w:rPr>
        <w:t>Stabilisateurs</w:t>
      </w:r>
      <w:r>
        <w:t xml:space="preserve"> : citrate de sodium, chlorure de sodium.</w:t>
      </w:r>
    </w:p>
    <w:p>
      <w:pPr>
        <w:pStyle w:val="ListBullet"/>
      </w:pPr>
      <w:r/>
      <w:r>
        <w:rPr>
          <w:b/>
        </w:rPr>
        <w:t>Sécurité virale</w:t>
      </w:r>
      <w:r>
        <w:t xml:space="preserve"> : double inactivation virale — solvant-détergent (SD, inactivation virus enveloppés) + </w:t>
      </w:r>
      <w:r>
        <w:rPr>
          <w:b/>
        </w:rPr>
        <w:t>vapeur (heat treatment à 60 °C pendant 10 h en solution liquide)</w:t>
      </w:r>
      <w:r>
        <w:t>, similaire à la pasteurisation de l'albumine.</w:t>
      </w:r>
    </w:p>
    <w:p>
      <w:r/>
      <w:r>
        <w:rPr>
          <w:b/>
        </w:rPr>
        <w:t>Mécanisme d'action</w:t>
      </w:r>
      <w:r>
        <w:t xml:space="preserve"> :</w:t>
      </w:r>
    </w:p>
    <w:p>
      <w:pPr>
        <w:pStyle w:val="ListBullet"/>
      </w:pPr>
      <w:r>
        <w:t>Le PCC administré apporte directement les 4 facteurs vitamine-K-dépendants (FII, FVII, FIX, FX) sous forme zymogène (non activée), prêts à être activés par les voies physiologiques de la cascade de coagulation.</w:t>
      </w:r>
    </w:p>
    <w:p>
      <w:pPr>
        <w:pStyle w:val="ListBullet"/>
      </w:pPr>
      <w:r/>
      <w:r>
        <w:rPr>
          <w:b/>
        </w:rPr>
        <w:t>FVII</w:t>
      </w:r>
      <w:r>
        <w:t xml:space="preserve"> est activé en FVIIa par le FT-FXa, et active le FX → FXa (voie extrinsèque).</w:t>
      </w:r>
    </w:p>
    <w:p>
      <w:pPr>
        <w:pStyle w:val="ListBullet"/>
      </w:pPr>
      <w:r/>
      <w:r>
        <w:rPr>
          <w:b/>
        </w:rPr>
        <w:t>FIX</w:t>
      </w:r>
      <w:r>
        <w:t xml:space="preserve"> est activé en FIXa par le FT-FVIIa ou le FXIa, et active le FX → FXa (voie intrinsèque) en association avec FVIIIa.</w:t>
      </w:r>
    </w:p>
    <w:p>
      <w:pPr>
        <w:pStyle w:val="ListBullet"/>
      </w:pPr>
      <w:r/>
      <w:r>
        <w:rPr>
          <w:b/>
        </w:rPr>
        <w:t>FX</w:t>
      </w:r>
      <w:r>
        <w:t xml:space="preserve"> est activé en FXa par les complexes tenase (extrinsèque et intrinsèque), et avec FVa forme le complexe prothrombinase qui active la prothrombine (FII) en thrombine (FIIa).</w:t>
      </w:r>
    </w:p>
    <w:p>
      <w:pPr>
        <w:pStyle w:val="ListBullet"/>
      </w:pPr>
      <w:r/>
      <w:r>
        <w:rPr>
          <w:b/>
        </w:rPr>
        <w:t>FII</w:t>
      </w:r>
      <w:r>
        <w:t xml:space="preserve"> est activée en thrombine (FIIa) par le complexe prothrombinase ; la thrombine convertit le fibrinogène (FI) en fibrine (FIa).</w:t>
      </w:r>
    </w:p>
    <w:p>
      <w:pPr>
        <w:pStyle w:val="ListBullet"/>
      </w:pPr>
      <w:r/>
      <w:r>
        <w:rPr>
          <w:b/>
        </w:rPr>
        <w:t>Restauration immédiate</w:t>
      </w:r>
      <w:r>
        <w:t xml:space="preserve"> de la coagulation chez le patient sous AVK (qui a une diminution des 4 facteurs vitamine-K-dépendants par inhibition de la γ-carboxylation hépatique).</w:t>
      </w:r>
    </w:p>
    <w:p>
      <w:r/>
      <w:r>
        <w:rPr>
          <w:b/>
        </w:rPr>
        <w:t>Effet pharmacodynamique</w:t>
      </w:r>
      <w:r>
        <w:t xml:space="preserve"> :</w:t>
      </w:r>
    </w:p>
    <w:p>
      <w:pPr>
        <w:pStyle w:val="ListBullet"/>
      </w:pPr>
      <w:r>
        <w:t>L'administration IV de 25-50 UI/kg de PCC corrige l'INR de 4-6 à &lt; 1,5 en 15-30 minutes (vs 4-6 h pour le PFC).</w:t>
      </w:r>
    </w:p>
    <w:p>
      <w:pPr>
        <w:pStyle w:val="ListBullet"/>
      </w:pPr>
      <w:r>
        <w:t>La correction est immédiate mais transitoire (durée 6-8 h) — d'où la nécessité d'associer systématiquement la vitamine K1 (action retardée 6-12 h mais durable 7-14 jours, permettant l'arrêt du PCC).</w:t>
      </w:r>
    </w:p>
    <w:p>
      <w:pPr>
        <w:pStyle w:val="ListBullet"/>
      </w:pPr>
      <w:r>
        <w:t>Le TP (temps de prothrombine) et le TCA se corrigent.</w:t>
      </w:r>
    </w:p>
    <w:p>
      <w:pPr>
        <w:pStyle w:val="ListBullet"/>
      </w:pPr>
      <w:r>
        <w:t>Surveillance INR à 30 min, 1 h, 4 h, 24 h post-PCC.</w:t>
      </w:r>
    </w:p>
    <w:p>
      <w:pPr>
        <w:pStyle w:val="Heading3"/>
      </w:pPr>
      <w:r>
        <w:t>Sous-section 4 — Profil pharmacologique : indications, contre-indications, effets indésirables</w:t>
      </w:r>
    </w:p>
    <w:p>
      <w:pPr>
        <w:pStyle w:val="Heading4"/>
      </w:pPr>
      <w:r>
        <w:t>Indications validées (RCP)</w:t>
      </w:r>
    </w:p>
    <w:p>
      <w:pPr>
        <w:pStyle w:val="ListNumber"/>
      </w:pPr>
      <w:r/>
      <w:r>
        <w:rPr>
          <w:b/>
        </w:rPr>
        <w:t>Reversal urgent des AVK</w:t>
      </w:r>
      <w:r>
        <w:t xml:space="preserve"> (warfarine, acénocoumarol, fluindione) en cas d'hémorragie grave :</w:t>
      </w:r>
    </w:p>
    <w:p>
      <w:pPr>
        <w:pStyle w:val="ListBullet"/>
      </w:pPr>
      <w:r/>
      <w:r>
        <w:rPr>
          <w:b/>
        </w:rPr>
        <w:t>Hémorragie intracrânienne (HIC)</w:t>
      </w:r>
      <w:r>
        <w:t xml:space="preserve"> sous AVK (indication principale — gain de 30 minutes = 30 % de mortalité en moins).</w:t>
      </w:r>
    </w:p>
    <w:p>
      <w:pPr>
        <w:pStyle w:val="ListBullet"/>
      </w:pPr>
      <w:r/>
      <w:r>
        <w:rPr>
          <w:b/>
        </w:rPr>
        <w:t>Hémorragie digestive active</w:t>
      </w:r>
      <w:r>
        <w:t xml:space="preserve"> sous AVK.</w:t>
      </w:r>
    </w:p>
    <w:p>
      <w:pPr>
        <w:pStyle w:val="ListBullet"/>
      </w:pPr>
      <w:r/>
      <w:r>
        <w:rPr>
          <w:b/>
        </w:rPr>
        <w:t>Hémorragie rétropéritonéale</w:t>
      </w:r>
      <w:r>
        <w:t xml:space="preserve"> sous AVK.</w:t>
      </w:r>
    </w:p>
    <w:p>
      <w:pPr>
        <w:pStyle w:val="ListBullet"/>
      </w:pPr>
      <w:r/>
      <w:r>
        <w:rPr>
          <w:b/>
        </w:rPr>
        <w:t>Hémorragie peropératoire</w:t>
      </w:r>
      <w:r>
        <w:t xml:space="preserve"> sous AVK.</w:t>
      </w:r>
    </w:p>
    <w:p>
      <w:pPr>
        <w:pStyle w:val="ListNumber"/>
      </w:pPr>
      <w:r/>
      <w:r>
        <w:rPr>
          <w:b/>
        </w:rPr>
        <w:t>Reversal rapide pré-opératoire</w:t>
      </w:r>
      <w:r>
        <w:t xml:space="preserve"> sous AVK (lorsque la vitamine K1 ne permet pas un délai suffisamment court).</w:t>
      </w:r>
    </w:p>
    <w:p>
      <w:pPr>
        <w:pStyle w:val="ListNumber"/>
      </w:pPr>
      <w:r/>
      <w:r>
        <w:rPr>
          <w:b/>
        </w:rPr>
        <w:t>CIVD (coagulation intravasculaire disséminée)</w:t>
      </w:r>
      <w:r>
        <w:t xml:space="preserve"> avec effondrement des facteurs vitamine-K-dépendants.</w:t>
      </w:r>
    </w:p>
    <w:p>
      <w:pPr>
        <w:pStyle w:val="ListNumber"/>
      </w:pPr>
      <w:r/>
      <w:r>
        <w:rPr>
          <w:b/>
        </w:rPr>
        <w:t>Hémorragie massive</w:t>
      </w:r>
      <w:r>
        <w:t xml:space="preserve"> avec dilution des facteurs (transfusion massive &gt; 1 masse sanguine).</w:t>
      </w:r>
    </w:p>
    <w:p>
      <w:pPr>
        <w:pStyle w:val="ListNumber"/>
      </w:pPr>
      <w:r/>
      <w:r>
        <w:rPr>
          <w:b/>
        </w:rPr>
        <w:t>Insuffisance hépatique sévère</w:t>
      </w:r>
      <w:r>
        <w:t xml:space="preserve"> avec déficit en facteurs vitamine-K-dépendants (alternative au PFC).</w:t>
      </w:r>
    </w:p>
    <w:p>
      <w:pPr>
        <w:pStyle w:val="Heading4"/>
      </w:pPr>
      <w:r>
        <w:t>Contre-indications absolues</w:t>
      </w:r>
    </w:p>
    <w:p>
      <w:pPr>
        <w:pStyle w:val="ListNumber"/>
      </w:pPr>
      <w:r/>
      <w:r>
        <w:rPr>
          <w:b/>
        </w:rPr>
        <w:t>Hypersensibilité avérée</w:t>
      </w:r>
      <w:r>
        <w:t xml:space="preserve"> aux protéines humaines, à l'héparine, ou à l'un des excipients.</w:t>
      </w:r>
    </w:p>
    <w:p>
      <w:pPr>
        <w:pStyle w:val="ListNumber"/>
      </w:pPr>
      <w:r/>
      <w:r>
        <w:rPr>
          <w:b/>
        </w:rPr>
        <w:t>Thrombopénie induite à l'héparine (TIH)</w:t>
      </w:r>
      <w:r>
        <w:t xml:space="preserve"> — contre-indication absolue en raison de l'héparine ajoutée (~0,5-1 UI/mL).</w:t>
      </w:r>
    </w:p>
    <w:p>
      <w:pPr>
        <w:pStyle w:val="ListNumber"/>
      </w:pPr>
      <w:r/>
      <w:r>
        <w:rPr>
          <w:b/>
        </w:rPr>
        <w:t>Thrombose aiguë</w:t>
      </w:r>
      <w:r>
        <w:t xml:space="preserve"> (TVP, EP, AVC ischémique, infarctus du myocarde en phase aiguë &lt; 3 mois).</w:t>
      </w:r>
    </w:p>
    <w:p>
      <w:pPr>
        <w:pStyle w:val="ListNumber"/>
      </w:pPr>
      <w:r/>
      <w:r>
        <w:rPr>
          <w:b/>
        </w:rPr>
        <w:t>CIVD non contrôlée</w:t>
      </w:r>
      <w:r>
        <w:t xml:space="preserve"> avec activation majeure de la coagulation.</w:t>
      </w:r>
    </w:p>
    <w:p>
      <w:pPr>
        <w:pStyle w:val="ListNumber"/>
      </w:pPr>
      <w:r/>
      <w:r>
        <w:rPr>
          <w:b/>
        </w:rPr>
        <w:t>Patients IgA-déficients avec anticorps anti-IgA</w:t>
      </w:r>
      <w:r>
        <w:t xml:space="preserve"> — risque majeur d'anaphylaxie.</w:t>
      </w:r>
    </w:p>
    <w:p>
      <w:pPr>
        <w:pStyle w:val="Heading4"/>
      </w:pPr>
      <w:r>
        <w:t>Contre-indications relatives</w:t>
      </w:r>
    </w:p>
    <w:p>
      <w:pPr>
        <w:pStyle w:val="ListNumber"/>
      </w:pPr>
      <w:r/>
      <w:r>
        <w:rPr>
          <w:b/>
        </w:rPr>
        <w:t>Syndrome des antiphospholipides</w:t>
      </w:r>
      <w:r>
        <w:t xml:space="preserve"> — risque thrombotique accru.</w:t>
      </w:r>
    </w:p>
    <w:p>
      <w:pPr>
        <w:pStyle w:val="ListNumber"/>
      </w:pPr>
      <w:r/>
      <w:r>
        <w:rPr>
          <w:b/>
        </w:rPr>
        <w:t>Cancer actif</w:t>
      </w:r>
      <w:r>
        <w:t xml:space="preserve"> avec thrombophilie.</w:t>
      </w:r>
    </w:p>
    <w:p>
      <w:pPr>
        <w:pStyle w:val="ListNumber"/>
      </w:pPr>
      <w:r/>
      <w:r>
        <w:rPr>
          <w:b/>
        </w:rPr>
        <w:t>Post-partum</w:t>
      </w:r>
      <w:r>
        <w:t xml:space="preserve"> (&lt; 6 semaines) — risque thrombotique majoré.</w:t>
      </w:r>
    </w:p>
    <w:p>
      <w:pPr>
        <w:pStyle w:val="ListNumber"/>
      </w:pPr>
      <w:r/>
      <w:r>
        <w:rPr>
          <w:b/>
        </w:rPr>
        <w:t>Patients sous AOD (apixaban, rivaroxaban, dabigatran, edoxaban)</w:t>
      </w:r>
      <w:r>
        <w:t xml:space="preserve"> : PCC moins efficace (les AOD ne ciblent pas tous les facteurs vitamine-K-dépendants) — préférer l'</w:t>
      </w:r>
      <w:r>
        <w:rPr>
          <w:b/>
        </w:rPr>
        <w:t>andexanet alfa</w:t>
      </w:r>
      <w:r>
        <w:t xml:space="preserve"> (antidote spécifique des anti-Xa) ou l'</w:t>
      </w:r>
      <w:r>
        <w:rPr>
          <w:b/>
        </w:rPr>
        <w:t>idarucizumab</w:t>
      </w:r>
      <w:r>
        <w:t xml:space="preserve"> (antidote du dabigatran), non disponibles en Algérie.</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w:t>
      </w:r>
    </w:p>
    <w:p>
      <w:pPr>
        <w:pStyle w:val="ListBullet"/>
      </w:pPr>
      <w:r/>
      <w:r>
        <w:rPr>
          <w:b/>
        </w:rPr>
        <w:t>Hypotension transitoire</w:t>
      </w:r>
      <w:r>
        <w:t xml:space="preserve"> (lors de perfusion rapide).</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risque majoré chez les patients IgA-déficients.</w:t>
      </w:r>
    </w:p>
    <w:p>
      <w:pPr>
        <w:pStyle w:val="ListBullet"/>
      </w:pPr>
      <w:r/>
      <w:r>
        <w:rPr>
          <w:b/>
        </w:rPr>
        <w:t>Thrombose veineuse profonde (TVP)</w:t>
      </w:r>
      <w:r>
        <w:t xml:space="preserve"> et </w:t>
      </w:r>
      <w:r>
        <w:rPr>
          <w:b/>
        </w:rPr>
        <w:t>embolie pulmonaire (EP)</w:t>
      </w:r>
      <w:r>
        <w:t xml:space="preserve"> — ~3-7 % des patients recevant PCC pour reversal AVK.</w:t>
      </w:r>
    </w:p>
    <w:p>
      <w:pPr>
        <w:pStyle w:val="ListBullet"/>
      </w:pPr>
      <w:r/>
      <w:r>
        <w:rPr>
          <w:b/>
        </w:rPr>
        <w:t>Thrombopénie induite à l'héparine (TIH)</w:t>
      </w:r>
      <w:r>
        <w:t xml:space="preserve"> — pour le PROTHROMPLEX TOTAL (contient héparine).</w:t>
      </w:r>
    </w:p>
    <w:p>
      <w:pPr>
        <w:pStyle w:val="ListBullet"/>
      </w:pPr>
      <w:r/>
      <w:r>
        <w:rPr>
          <w:b/>
        </w:rPr>
        <w:t>Nausées, vomissements</w:t>
      </w:r>
      <w:r>
        <w:t>.</w:t>
      </w:r>
    </w:p>
    <w:p>
      <w:r/>
      <w:r>
        <w:rPr>
          <w:b/>
        </w:rPr>
        <w:t>Effets indésirables rares (≥ 1/10 000)</w:t>
      </w:r>
      <w:r>
        <w:t xml:space="preserve"> :</w:t>
      </w:r>
    </w:p>
    <w:p>
      <w:pPr>
        <w:pStyle w:val="ListBullet"/>
      </w:pPr>
      <w:r/>
      <w:r>
        <w:rPr>
          <w:b/>
        </w:rPr>
        <w:t>Accident vasculaire cérébral ischémique</w:t>
      </w:r>
      <w:r>
        <w:t xml:space="preserve"> — ~1-2 %.</w:t>
      </w:r>
    </w:p>
    <w:p>
      <w:pPr>
        <w:pStyle w:val="ListBullet"/>
      </w:pPr>
      <w:r/>
      <w:r>
        <w:rPr>
          <w:b/>
        </w:rPr>
        <w:t>Infarctus du myocarde</w:t>
      </w:r>
      <w:r>
        <w:t xml:space="preserve"> — ~1-2 %.</w:t>
      </w:r>
    </w:p>
    <w:p>
      <w:pPr>
        <w:pStyle w:val="ListBullet"/>
      </w:pPr>
      <w:r/>
      <w:r>
        <w:rPr>
          <w:b/>
        </w:rPr>
        <w:t>CIVD</w:t>
      </w:r>
      <w:r>
        <w:t xml:space="preserve"> — rare mais grave (sur-consommation des facteurs par activation excessive).</w:t>
      </w:r>
    </w:p>
    <w:p>
      <w:pPr>
        <w:pStyle w:val="ListBullet"/>
      </w:pPr>
      <w:r/>
      <w:r>
        <w:rPr>
          <w:b/>
        </w:rPr>
        <w:t>Réaction d'hypersensibilité retardée</w:t>
      </w:r>
      <w:r>
        <w:t xml:space="preserve"> (maladie sérique).</w:t>
      </w:r>
    </w:p>
    <w:p>
      <w:pPr>
        <w:pStyle w:val="ListBullet"/>
      </w:pPr>
      <w:r/>
      <w:r>
        <w:rPr>
          <w:b/>
        </w:rPr>
        <w:t>Hémolyse</w:t>
      </w:r>
      <w:r>
        <w:t xml:space="preserve"> (chez les patients de groupe sanguin A, B, AB — PCC contient des isohémagglutinines anti-A et anti-B résiduelles).</w:t>
      </w:r>
    </w:p>
    <w:p>
      <w:r/>
      <w:r>
        <w:rPr>
          <w:b/>
        </w:rPr>
        <w:t>Effets indésirables très rares</w:t>
      </w:r>
      <w:r>
        <w:t xml:space="preserve"> :</w:t>
      </w:r>
    </w:p>
    <w:p>
      <w:pPr>
        <w:pStyle w:val="ListBullet"/>
      </w:pPr>
      <w:r/>
      <w:r>
        <w:rPr>
          <w:b/>
        </w:rPr>
        <w:t>Transmission d'agents infectieux</w:t>
      </w:r>
      <w:r>
        <w:t xml:space="preserve"> (VIH, VHB, VHC — risque résiduel théorique nul depuis les étapes d'inactivation virale systématiques ; Parvovirus B19 — risque résiduel réel mais très faible).</w:t>
      </w:r>
    </w:p>
    <w:p>
      <w:pPr>
        <w:pStyle w:val="ListBullet"/>
      </w:pPr>
      <w:r/>
      <w:r>
        <w:rPr>
          <w:b/>
        </w:rPr>
        <w:t>Transmission de prions</w:t>
      </w:r>
      <w:r>
        <w:t xml:space="preserve"> (variant de Creutzfeldt-Jakob) — risque théorique non documenté.</w:t>
      </w:r>
    </w:p>
    <w:p>
      <w:pPr>
        <w:pStyle w:val="Heading3"/>
      </w:pPr>
      <w:r>
        <w:t>Sous-section 5 — Prévention et gestion des effets indésirables</w:t>
      </w:r>
    </w:p>
    <w:p>
      <w:pPr>
        <w:pStyle w:val="Heading4"/>
      </w:pPr>
      <w:r>
        <w:t>Prévention des complications thrombotiques</w:t>
      </w:r>
    </w:p>
    <w:p>
      <w:r>
        <w:t>C'est la principale complication du PCC :</w:t>
      </w:r>
    </w:p>
    <w:p>
      <w:pPr>
        <w:pStyle w:val="ListBullet"/>
      </w:pPr>
      <w:r/>
      <w:r>
        <w:rPr>
          <w:b/>
        </w:rPr>
        <w:t>Évaluation du risque thrombotique</w:t>
      </w:r>
      <w:r>
        <w:t xml:space="preserve"> préalable : antécédents thrombotiques, cancer actif, post-opératoire, post-partum, syndrome des antiphospholipides, âge &gt; 75 ans.</w:t>
      </w:r>
    </w:p>
    <w:p>
      <w:pPr>
        <w:pStyle w:val="ListBullet"/>
      </w:pPr>
      <w:r/>
      <w:r>
        <w:rPr>
          <w:b/>
        </w:rPr>
        <w:t>Respect des doses maximales</w:t>
      </w:r>
      <w:r>
        <w:t xml:space="preserve"> : 50 UI/kg ou 3 000 UI adulte — au-delà, risque thrombotique majeur.</w:t>
      </w:r>
    </w:p>
    <w:p>
      <w:pPr>
        <w:pStyle w:val="ListBullet"/>
      </w:pPr>
      <w:r/>
      <w:r>
        <w:rPr>
          <w:b/>
        </w:rPr>
        <w:t>Surveillance clinique</w:t>
      </w:r>
      <w:r>
        <w:t xml:space="preserve"> : douleur mollo-jambière, dyspnée, céphalées brutales, douleur thoracique.</w:t>
      </w:r>
    </w:p>
    <w:p>
      <w:pPr>
        <w:pStyle w:val="ListBullet"/>
      </w:pPr>
      <w:r/>
      <w:r>
        <w:rPr>
          <w:b/>
        </w:rPr>
        <w:t>Surveillance biologique</w:t>
      </w:r>
      <w:r>
        <w:t xml:space="preserve"> : D-dimères, fibrinogène, NFS-plaquettes à H+1, H+4, H+24.</w:t>
      </w:r>
    </w:p>
    <w:p>
      <w:pPr>
        <w:pStyle w:val="ListBullet"/>
      </w:pPr>
      <w:r/>
      <w:r>
        <w:rPr>
          <w:b/>
        </w:rPr>
        <w:t>Prophylaxie thromboembolique</w:t>
      </w:r>
      <w:r>
        <w:t xml:space="preserve"> précoce (HBPM à dose préventive à H+24, sauf CI) chez le patient à risque thrombotique.</w:t>
      </w:r>
    </w:p>
    <w:p>
      <w:pPr>
        <w:pStyle w:val="Heading4"/>
      </w:pPr>
      <w:r>
        <w:t>Prévention de la thrombopénie induite à l'héparine (TIH)</w:t>
      </w:r>
    </w:p>
    <w:p>
      <w:pPr>
        <w:pStyle w:val="ListBullet"/>
      </w:pPr>
      <w:r>
        <w:t>Le PROTHROMPLEX TOTAL contient de l'héparine (~0,5-1 UI/mL).</w:t>
      </w:r>
    </w:p>
    <w:p>
      <w:pPr>
        <w:pStyle w:val="ListBullet"/>
      </w:pPr>
      <w:r/>
      <w:r>
        <w:rPr>
          <w:b/>
        </w:rPr>
        <w:t>Surveillance plaquettaire</w:t>
      </w:r>
      <w:r>
        <w:t xml:space="preserve"> systématique : NFS-plaquettes J0, J3, J5, J7, J14 (recherche TIH).</w:t>
      </w:r>
    </w:p>
    <w:p>
      <w:pPr>
        <w:pStyle w:val="ListBullet"/>
      </w:pPr>
      <w:r/>
      <w:r>
        <w:rPr>
          <w:b/>
        </w:rPr>
        <w:t>Diagnostic TIH</w:t>
      </w:r>
      <w:r>
        <w:t xml:space="preserve"> : chute des plaquettes &gt; 50 % ou &lt; 100 G/L entre J5 et J14 post-exposition, confirmée par test ELISA anti-PF4/héparine et test d'agrégation plaquettaire.</w:t>
      </w:r>
    </w:p>
    <w:p>
      <w:pPr>
        <w:pStyle w:val="ListBullet"/>
      </w:pPr>
      <w:r/>
      <w:r>
        <w:rPr>
          <w:b/>
        </w:rPr>
        <w:t>Conduite à tenir en cas de TIH</w:t>
      </w:r>
      <w:r>
        <w:t xml:space="preserve"> : arrêt immédiat du PCC (et de toute héparine), relais par anticoagulant non-héparinique (danaparoïde, argatroban, fondaparinux).</w:t>
      </w:r>
    </w:p>
    <w:p>
      <w:pPr>
        <w:pStyle w:val="Heading4"/>
      </w:pPr>
      <w:r>
        <w:t>Prévention des réactions d'hypersensibilité</w:t>
      </w:r>
    </w:p>
    <w:p>
      <w:pPr>
        <w:pStyle w:val="ListBullet"/>
      </w:pPr>
      <w:r/>
      <w:r>
        <w:rPr>
          <w:b/>
        </w:rPr>
        <w:t>Interrogatoire allergologique</w:t>
      </w:r>
      <w:r>
        <w:t xml:space="preserve"> préalable : antécédents d'allergie aux protéines humaines, déficit en IgA, antécédents de réaction à un PSS.</w:t>
      </w:r>
    </w:p>
    <w:p>
      <w:pPr>
        <w:pStyle w:val="ListBullet"/>
      </w:pPr>
      <w:r/>
      <w:r>
        <w:rPr>
          <w:b/>
        </w:rPr>
        <w:t>Dosage pondéral IgA</w:t>
      </w:r>
      <w:r>
        <w:t xml:space="preserve"> systématique avant la première administration.</w:t>
      </w:r>
    </w:p>
    <w:p>
      <w:pPr>
        <w:pStyle w:val="ListBullet"/>
      </w:pPr>
      <w:r/>
      <w:r>
        <w:rPr>
          <w:b/>
        </w:rPr>
        <w:t>Disponibilité du matériel de réanimation anaphylactique</w:t>
      </w:r>
      <w:r>
        <w:t xml:space="preserve"> à proximité (adrénaline IM 0,5 mg, antihistaminique IV, corticoïde IV, oxygène, intubation).</w:t>
      </w:r>
    </w:p>
    <w:p>
      <w:pPr>
        <w:pStyle w:val="ListBullet"/>
      </w:pPr>
      <w:r/>
      <w:r>
        <w:rPr>
          <w:b/>
        </w:rPr>
        <w:t>Perfusion lente</w:t>
      </w:r>
      <w:r>
        <w:t xml:space="preserve"> (≤ 3 mL/min pour la première dose, surveillance 30-60 min après la première administration chez tout patient naïf).</w:t>
      </w:r>
    </w:p>
    <w:p>
      <w:pPr>
        <w:pStyle w:val="Heading4"/>
      </w:pPr>
      <w:r>
        <w:t>Prévention de la transmission virale</w:t>
      </w:r>
    </w:p>
    <w:p>
      <w:pPr>
        <w:pStyle w:val="ListBullet"/>
      </w:pPr>
      <w:r/>
      <w:r>
        <w:rPr>
          <w:b/>
        </w:rPr>
        <w:t>Vaccination hépatite A et B</w:t>
      </w:r>
      <w:r>
        <w:t xml:space="preserve"> systématique chez tout patient pouvant nécessiter un PCC à répétition.</w:t>
      </w:r>
    </w:p>
    <w:p>
      <w:pPr>
        <w:pStyle w:val="ListBullet"/>
      </w:pPr>
      <w:r/>
      <w:r>
        <w:rPr>
          <w:b/>
        </w:rPr>
        <w:t>Dépistage viral</w:t>
      </w:r>
      <w:r>
        <w:t xml:space="preserve"> systématique avant la première administration puis annuel.</w:t>
      </w:r>
    </w:p>
    <w:p>
      <w:pPr>
        <w:pStyle w:val="ListBullet"/>
      </w:pPr>
      <w:r/>
      <w:r>
        <w:rPr>
          <w:b/>
        </w:rPr>
        <w:t>Pharmacovigilance</w:t>
      </w:r>
      <w:r>
        <w:t xml:space="preserve"> : notification de toute infection virale survenant dans les 6 mois suivant l'administration de PCC.</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w:t>
      </w:r>
    </w:p>
    <w:p>
      <w:pPr>
        <w:pStyle w:val="ListBullet"/>
      </w:pPr>
      <w:r/>
      <w:r>
        <w:rPr>
          <w:b/>
        </w:rPr>
        <w:t>Surcharge volémique</w:t>
      </w:r>
      <w:r>
        <w:t xml:space="preserve"> : ralentir le débit, surveillance (particulièrement chez le patient cardiaque ou âgé).</w:t>
      </w:r>
    </w:p>
    <w:p>
      <w:pPr>
        <w:pStyle w:val="ListBullet"/>
      </w:pPr>
      <w:r/>
      <w:r>
        <w:rPr>
          <w:b/>
        </w:rPr>
        <w:t>Thrombose aiguë</w:t>
      </w:r>
      <w:r>
        <w:t xml:space="preserve"> : arrêt du PCC, héparine à dose curative (sauf TIH — danaparoïde), bilan étiologique.</w:t>
      </w:r>
    </w:p>
    <w:p>
      <w:pPr>
        <w:pStyle w:val="ListBullet"/>
      </w:pPr>
      <w:r/>
      <w:r>
        <w:rPr>
          <w:b/>
        </w:rPr>
        <w:t>TIH</w:t>
      </w:r>
      <w:r>
        <w:t xml:space="preserve"> : arrêt immédiat, surveillance plaquettaire, relais par anticoagulant non-héparinique.</w:t>
      </w:r>
    </w:p>
    <w:p>
      <w:pPr>
        <w:pStyle w:val="ListBullet"/>
      </w:pPr>
      <w:r/>
      <w:r>
        <w:rPr>
          <w:b/>
        </w:rPr>
        <w:t>CIVD</w:t>
      </w:r>
      <w:r>
        <w:t xml:space="preserve"> : arrêt du PCC, gestion multidisciplinaire (héparine à dose curative, transfusion plaquettaire, PFC, antifibrinolytique).</w:t>
      </w:r>
    </w:p>
    <w:p>
      <w:pPr>
        <w:pStyle w:val="Heading3"/>
      </w:pPr>
      <w:r>
        <w:t>Sous-section 6 — Interactions médicamenteuses</w:t>
      </w:r>
    </w:p>
    <w:p>
      <w:pPr>
        <w:pStyle w:val="Heading4"/>
      </w:pPr>
      <w:r>
        <w:t>Interactions pharmacodynamiques</w:t>
      </w:r>
    </w:p>
    <w:p>
      <w:pPr>
        <w:pStyle w:val="ListBullet"/>
      </w:pPr>
      <w:r/>
      <w:r>
        <w:rPr>
          <w:b/>
        </w:rPr>
        <w:t>Antivitamines K (AVK)</w:t>
      </w:r>
      <w:r>
        <w:t xml:space="preserve"> : indication principale (reversal). Le PCC antagonise l'effet des AVK en apportant directement les facteurs vitamine-K-dépendants.</w:t>
      </w:r>
    </w:p>
    <w:p>
      <w:pPr>
        <w:pStyle w:val="ListBullet"/>
      </w:pPr>
      <w:r/>
      <w:r>
        <w:rPr>
          <w:b/>
        </w:rPr>
        <w:t>Anticoagulants oraux directs (AOD)</w:t>
      </w:r>
      <w:r>
        <w:t xml:space="preserve"> : apixaban, rivaroxaban (anti-Xa), dabigatran (anti-IIa direct), edoxaban (anti-Xa). Le PCC est moins efficace sur les AOD (les AOD ne ciblent pas tous les facteurs vitamine-K-dépendants) — préférer l'</w:t>
      </w:r>
      <w:r>
        <w:rPr>
          <w:b/>
        </w:rPr>
        <w:t>andexanet alfa</w:t>
      </w:r>
      <w:r>
        <w:t xml:space="preserve"> (antidote des anti-Xa, non disponible en Algérie) ou l'</w:t>
      </w:r>
      <w:r>
        <w:rPr>
          <w:b/>
        </w:rPr>
        <w:t>idarucizumab</w:t>
      </w:r>
      <w:r>
        <w:t xml:space="preserve"> (antidote du dabigatran, non disponible en Algérie). En Algérie, en l'absence d'antidote spécifique, le PCC reste utilisé en urgence pour les AOD à la dose de 50 UI/kg.</w:t>
      </w:r>
    </w:p>
    <w:p>
      <w:pPr>
        <w:pStyle w:val="ListBullet"/>
      </w:pPr>
      <w:r/>
      <w:r>
        <w:rPr>
          <w:b/>
        </w:rPr>
        <w:t>Acide tranexamique</w:t>
      </w:r>
      <w:r>
        <w:t xml:space="preserve"> (antifibrinolytique) : synergie bénéfique en cas de saignement aigu, association recommandée en cas d'hémorragie massive.</w:t>
      </w:r>
    </w:p>
    <w:p>
      <w:pPr>
        <w:pStyle w:val="ListBullet"/>
      </w:pPr>
      <w:r/>
      <w:r>
        <w:rPr>
          <w:b/>
        </w:rPr>
        <w:t>Héparine</w:t>
      </w:r>
      <w:r>
        <w:t xml:space="preserve"> (HBPM, HNF) : risque hémorragique majeur — à éviter en association avec PCC sauf indication vitale (TIH, prophylaxie thromboembolique précoce à H+24 à dose préventive uniquement).</w:t>
      </w:r>
    </w:p>
    <w:p>
      <w:pPr>
        <w:pStyle w:val="ListBullet"/>
      </w:pPr>
      <w:r/>
      <w:r>
        <w:rPr>
          <w:b/>
        </w:rPr>
        <w:t>Antiagrégants plaquettaires</w:t>
      </w:r>
      <w:r>
        <w:t xml:space="preserve"> (aspirine, clopidogrel) : association utile en cas de saignement sous bi-thérapie antiplaquettaire + AVK, mais surveillance du risque thrombotique.</w:t>
      </w:r>
    </w:p>
    <w:p>
      <w:pPr>
        <w:pStyle w:val="ListBullet"/>
      </w:pPr>
      <w:r/>
      <w:r>
        <w:rPr>
          <w:b/>
        </w:rPr>
        <w:t>Autres PSS</w:t>
      </w:r>
      <w:r>
        <w:t xml:space="preserve"> (FVIII, FIX, fibrinogène) : association possible en cas d'hémorragie massive avec déplétion multifactorielle, surveillance du risque thrombotique.</w:t>
      </w:r>
    </w:p>
    <w:p>
      <w:pPr>
        <w:pStyle w:val="Heading4"/>
      </w:pPr>
      <w:r>
        <w:t>Interactions pharmacocinétiques</w:t>
      </w:r>
    </w:p>
    <w:p>
      <w:pPr>
        <w:pStyle w:val="ListBullet"/>
      </w:pPr>
      <w:r>
        <w:t>Aucune interaction significative rapportée (les facteurs sont dégradés par protéolyse endogène).</w:t>
      </w:r>
    </w:p>
    <w:p>
      <w:pPr>
        <w:pStyle w:val="ListBullet"/>
      </w:pPr>
      <w:r/>
      <w:r>
        <w:rPr>
          <w:b/>
        </w:rPr>
        <w:t>Héparine</w:t>
      </w:r>
      <w:r>
        <w:t xml:space="preserve"> contenue dans le PROTHROMPLEX TOTAL — interaction avec les anticoagulants oraux potentiels et surveillance plaquettaire (TIH).</w:t>
      </w:r>
    </w:p>
    <w:p>
      <w:pPr>
        <w:pStyle w:val="Heading4"/>
      </w:pPr>
      <w:r>
        <w:t>Incompatibilités physiques</w:t>
      </w:r>
    </w:p>
    <w:p>
      <w:pPr>
        <w:pStyle w:val="ListBullet"/>
      </w:pPr>
      <w:r>
        <w:t>Ne jamais mélanger le PCC avec d'autres médicaments dans la même tubulure.</w:t>
      </w:r>
    </w:p>
    <w:p>
      <w:pPr>
        <w:pStyle w:val="ListBullet"/>
      </w:pPr>
      <w:r>
        <w:t>Utiliser uniquement le solvant fourni (EPPI)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Les facteurs vitamine-K-dépendants (FII, FVII, FIX, FX — poids moléculaire ~50-70 kDa) pourraient théoriquement traverser la barrière placentaire (les protéines &lt; 100 kDa passent plus facilement), mais les données cliniques sont rassurantes. Aucun effet tératogène documenté. Le risque thrombotique maternel (post-partum) est majoré — surveillance accrue.</w:t>
      </w:r>
    </w:p>
    <w:p>
      <w:pPr>
        <w:pStyle w:val="ListBullet"/>
      </w:pPr>
      <w:r/>
      <w:r>
        <w:rPr>
          <w:b/>
        </w:rPr>
        <w:t>Allaitement</w:t>
      </w:r>
      <w:r>
        <w:t xml:space="preserve"> : </w:t>
      </w:r>
      <w:r>
        <w:rPr>
          <w:b/>
        </w:rPr>
        <w:t>compatible</w:t>
      </w:r>
      <w:r>
        <w:t xml:space="preserve"> (CRAT). Les facteurs passent en quantité négligeable dans le lait maternel ; digestion protéique néonatale.</w:t>
      </w:r>
    </w:p>
    <w:p>
      <w:pPr>
        <w:pStyle w:val="Heading4"/>
      </w:pPr>
      <w:r>
        <w:t>Indications chez la femme enceinte</w:t>
      </w:r>
    </w:p>
    <w:p>
      <w:pPr>
        <w:pStyle w:val="ListBullet"/>
      </w:pPr>
      <w:r/>
      <w:r>
        <w:rPr>
          <w:b/>
        </w:rPr>
        <w:t>Reversal urgent des AVK</w:t>
      </w:r>
      <w:r>
        <w:t xml:space="preserve"> en cas d'hémorragie grave (HIC, hémorragie digestive, hémorragie peropératoire).</w:t>
      </w:r>
    </w:p>
    <w:p>
      <w:pPr>
        <w:pStyle w:val="ListBullet"/>
      </w:pPr>
      <w:r/>
      <w:r>
        <w:rPr>
          <w:b/>
        </w:rPr>
        <w:t>Reversal pré-opératoire</w:t>
      </w:r>
      <w:r>
        <w:t xml:space="preserve"> en cas de césarienne urgente sous AVK.</w:t>
      </w:r>
    </w:p>
    <w:p>
      <w:pPr>
        <w:pStyle w:val="ListBullet"/>
      </w:pPr>
      <w:r/>
      <w:r>
        <w:rPr>
          <w:b/>
        </w:rPr>
        <w:t>Particularité</w:t>
      </w:r>
      <w:r>
        <w:t xml:space="preserve"> : éviter le PCC pendant le 1er trimestre (risque théorique tératogène non documenté mais principe de précaution), préférer le PFC + vitamine K1.</w:t>
      </w:r>
    </w:p>
    <w:p>
      <w:pPr>
        <w:pStyle w:val="Heading4"/>
      </w:pPr>
      <w:r>
        <w:t>Posologie chez la femme enceinte</w:t>
      </w:r>
    </w:p>
    <w:p>
      <w:pPr>
        <w:pStyle w:val="ListBullet"/>
      </w:pPr>
      <w:r>
        <w:t>Dose identique à l'adulte non enceinte : 25-50 UI/kg selon INR initial.</w:t>
      </w:r>
    </w:p>
    <w:p>
      <w:pPr>
        <w:pStyle w:val="ListBullet"/>
      </w:pPr>
      <w:r>
        <w:t>Association systématique avec vitamine K1 (10 mg IV lent).</w:t>
      </w:r>
    </w:p>
    <w:p>
      <w:pPr>
        <w:pStyle w:val="ListBullet"/>
      </w:pPr>
      <w:r>
        <w:t>Surveillance INR à 30 min, 1 h, 4 h, 24 h post-PCC.</w:t>
      </w:r>
    </w:p>
    <w:p>
      <w:pPr>
        <w:pStyle w:val="ListBullet"/>
      </w:pPr>
      <w:r>
        <w:t>Surveillance clinique du risque thrombotique en post-partum (prophylaxie HBPM précoce à H+24, sauf CI).</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PCC (en UI) est calculée selon la formule :</w:t>
      </w:r>
    </w:p>
    <w:p>
      <w:pPr>
        <w:ind w:left="567"/>
      </w:pPr>
      <w:r>
        <w:rPr>
          <w:i/>
          <w:color w:val="606060"/>
        </w:rPr>
        <w:t>**Dose (UI) = Poids (kg) × Dose unitaire (UI/kg)**</w:t>
      </w:r>
    </w:p>
    <w:p>
      <w:r>
        <w:t xml:space="preserve">où la </w:t>
      </w:r>
      <w:r>
        <w:rPr>
          <w:b/>
        </w:rPr>
        <w:t>Dose unitaire</w:t>
      </w:r>
      <w:r>
        <w:t xml:space="preserve"> dépend de l'INR initial :</w:t>
      </w:r>
    </w:p>
    <w:p>
      <w:pPr>
        <w:pStyle w:val="ListBullet"/>
      </w:pPr>
      <w:r>
        <w:t>INR 2,0-3,9 : 25 UI/kg.</w:t>
      </w:r>
    </w:p>
    <w:p>
      <w:pPr>
        <w:pStyle w:val="ListBullet"/>
      </w:pPr>
      <w:r>
        <w:t>INR 4,0-5,9 : 35 UI/kg.</w:t>
      </w:r>
    </w:p>
    <w:p>
      <w:pPr>
        <w:pStyle w:val="ListBullet"/>
      </w:pPr>
      <w:r>
        <w:t>INR ≥ 6,0 : 50 UI/kg.</w:t>
      </w:r>
    </w:p>
    <w:p>
      <w:pPr>
        <w:pStyle w:val="ListBullet"/>
      </w:pPr>
      <w:r>
        <w:t>INR inconnu ou non disponible en urgence : 50 UI/kg (dose maximale).</w:t>
      </w:r>
    </w:p>
    <w:p>
      <w:r/>
      <w:r>
        <w:rPr>
          <w:b/>
        </w:rPr>
        <w:t>Dose maximale</w:t>
      </w:r>
      <w:r>
        <w:t xml:space="preserve"> : 50 UI/kg ou 3 000 UI adulte — au-delà, risque thrombotique majeur.</w:t>
      </w:r>
    </w:p>
    <w:p>
      <w:r/>
      <w:r>
        <w:rPr>
          <w:b/>
        </w:rPr>
        <w:t>Exemple clinique</w:t>
      </w:r>
      <w:r>
        <w:t xml:space="preserve"> :</w:t>
      </w:r>
    </w:p>
    <w:p>
      <w:pPr>
        <w:pStyle w:val="ListBullet"/>
      </w:pPr>
      <w:r>
        <w:t>Patient de 80 kg sous warfarine (INR = 7,5) présentant une hémorragie intracrânienne.</w:t>
      </w:r>
    </w:p>
    <w:p>
      <w:pPr>
        <w:pStyle w:val="ListBullet"/>
      </w:pPr>
      <w:r>
        <w:t xml:space="preserve">Dose = 80 × 50 = </w:t>
      </w:r>
      <w:r>
        <w:rPr>
          <w:b/>
        </w:rPr>
        <w:t>4 000 UI</w:t>
      </w:r>
      <w:r>
        <w:t xml:space="preserve"> → plafonner à 3 000 UI adulte.</w:t>
      </w:r>
    </w:p>
    <w:p>
      <w:pPr>
        <w:pStyle w:val="ListBullet"/>
      </w:pPr>
      <w:r>
        <w:t>Ré-injection de 25 UI/kg à 1 h si INR reste &gt; 1,5.</w:t>
      </w:r>
    </w:p>
    <w:p>
      <w:pPr>
        <w:pStyle w:val="ListBullet"/>
      </w:pPr>
      <w:r>
        <w:t>Association systématique : vitamine K1 (phytoménadione) 10 mg IV lent (sur 10 min, dilué dans 50 mL NaCl 0,9 %).</w:t>
      </w:r>
    </w:p>
    <w:p>
      <w:pPr>
        <w:pStyle w:val="ListBullet"/>
      </w:pPr>
      <w:r>
        <w:t>Surveillance INR à 30 min, 1 h, 4 h, 24 h.</w:t>
      </w:r>
    </w:p>
    <w:p>
      <w:pPr>
        <w:pStyle w:val="Heading4"/>
      </w:pPr>
      <w:r>
        <w:t>Posologie selon l'indication</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Indication</w:t>
            </w:r>
          </w:p>
        </w:tc>
        <w:tc>
          <w:tcPr>
            <w:tcW w:type="dxa" w:w="2078"/>
            <w:shd w:val="clear" w:color="auto" w:fill="F2F2F2"/>
          </w:tcPr>
          <w:p>
            <w:r>
              <w:rPr>
                <w:rFonts w:ascii="Times New Roman" w:hAnsi="Times New Roman"/>
                <w:b/>
                <w:sz w:val="20"/>
              </w:rPr>
              <w:t>Dose initiale (UI/kg)</w:t>
            </w:r>
          </w:p>
        </w:tc>
        <w:tc>
          <w:tcPr>
            <w:tcW w:type="dxa" w:w="2078"/>
            <w:shd w:val="clear" w:color="auto" w:fill="F2F2F2"/>
          </w:tcPr>
          <w:p>
            <w:r>
              <w:rPr>
                <w:rFonts w:ascii="Times New Roman" w:hAnsi="Times New Roman"/>
                <w:b/>
                <w:sz w:val="20"/>
              </w:rPr>
              <w:t>Dose maximale</w:t>
            </w:r>
          </w:p>
        </w:tc>
        <w:tc>
          <w:tcPr>
            <w:tcW w:type="dxa" w:w="2078"/>
            <w:shd w:val="clear" w:color="auto" w:fill="F2F2F2"/>
          </w:tcPr>
          <w:p>
            <w:r>
              <w:rPr>
                <w:rFonts w:ascii="Times New Roman" w:hAnsi="Times New Roman"/>
                <w:b/>
                <w:sz w:val="20"/>
              </w:rPr>
              <w:t>Surveillance INR</w:t>
            </w:r>
          </w:p>
        </w:tc>
      </w:tr>
      <w:tr>
        <w:tc>
          <w:tcPr>
            <w:tcW w:type="dxa" w:w="2078"/>
          </w:tcPr>
          <w:p>
            <w:r>
              <w:rPr>
                <w:rFonts w:ascii="Times New Roman" w:hAnsi="Times New Roman"/>
                <w:sz w:val="20"/>
              </w:rPr>
              <w:t>Hémorragie intracrânienne sous AVK</w:t>
            </w:r>
          </w:p>
        </w:tc>
        <w:tc>
          <w:tcPr>
            <w:tcW w:type="dxa" w:w="2078"/>
          </w:tcPr>
          <w:p>
            <w:r>
              <w:rPr>
                <w:rFonts w:ascii="Times New Roman" w:hAnsi="Times New Roman"/>
                <w:sz w:val="20"/>
              </w:rPr>
              <w:t>30-50 UI/kg</w:t>
            </w:r>
          </w:p>
        </w:tc>
        <w:tc>
          <w:tcPr>
            <w:tcW w:type="dxa" w:w="2078"/>
          </w:tcPr>
          <w:p>
            <w:r>
              <w:rPr>
                <w:rFonts w:ascii="Times New Roman" w:hAnsi="Times New Roman"/>
                <w:sz w:val="20"/>
              </w:rPr>
              <w:t>3 000 UI</w:t>
            </w:r>
          </w:p>
        </w:tc>
        <w:tc>
          <w:tcPr>
            <w:tcW w:type="dxa" w:w="2078"/>
          </w:tcPr>
          <w:p>
            <w:r>
              <w:rPr>
                <w:rFonts w:ascii="Times New Roman" w:hAnsi="Times New Roman"/>
                <w:sz w:val="20"/>
              </w:rPr>
              <w:t>H+30 min, H+1 h, H+4 h, H+24 h</w:t>
            </w:r>
          </w:p>
        </w:tc>
      </w:tr>
      <w:tr>
        <w:tc>
          <w:tcPr>
            <w:tcW w:type="dxa" w:w="2078"/>
          </w:tcPr>
          <w:p>
            <w:r>
              <w:rPr>
                <w:rFonts w:ascii="Times New Roman" w:hAnsi="Times New Roman"/>
                <w:sz w:val="20"/>
              </w:rPr>
              <w:t>Hémorragie digestive active sous AVK</w:t>
            </w:r>
          </w:p>
        </w:tc>
        <w:tc>
          <w:tcPr>
            <w:tcW w:type="dxa" w:w="2078"/>
          </w:tcPr>
          <w:p>
            <w:r>
              <w:rPr>
                <w:rFonts w:ascii="Times New Roman" w:hAnsi="Times New Roman"/>
                <w:sz w:val="20"/>
              </w:rPr>
              <w:t>25-50 UI/kg</w:t>
            </w:r>
          </w:p>
        </w:tc>
        <w:tc>
          <w:tcPr>
            <w:tcW w:type="dxa" w:w="2078"/>
          </w:tcPr>
          <w:p>
            <w:r>
              <w:rPr>
                <w:rFonts w:ascii="Times New Roman" w:hAnsi="Times New Roman"/>
                <w:sz w:val="20"/>
              </w:rPr>
              <w:t>3 000 UI</w:t>
            </w:r>
          </w:p>
        </w:tc>
        <w:tc>
          <w:tcPr>
            <w:tcW w:type="dxa" w:w="2078"/>
          </w:tcPr>
          <w:p>
            <w:r>
              <w:rPr>
                <w:rFonts w:ascii="Times New Roman" w:hAnsi="Times New Roman"/>
                <w:sz w:val="20"/>
              </w:rPr>
              <w:t>H+30 min, H+1 h, H+4 h</w:t>
            </w:r>
          </w:p>
        </w:tc>
      </w:tr>
      <w:tr>
        <w:tc>
          <w:tcPr>
            <w:tcW w:type="dxa" w:w="2078"/>
          </w:tcPr>
          <w:p>
            <w:r>
              <w:rPr>
                <w:rFonts w:ascii="Times New Roman" w:hAnsi="Times New Roman"/>
                <w:sz w:val="20"/>
              </w:rPr>
              <w:t>Chirurgie urgente sous AVK</w:t>
            </w:r>
          </w:p>
        </w:tc>
        <w:tc>
          <w:tcPr>
            <w:tcW w:type="dxa" w:w="2078"/>
          </w:tcPr>
          <w:p>
            <w:r>
              <w:rPr>
                <w:rFonts w:ascii="Times New Roman" w:hAnsi="Times New Roman"/>
                <w:sz w:val="20"/>
              </w:rPr>
              <w:t>25-50 UI/kg</w:t>
            </w:r>
          </w:p>
        </w:tc>
        <w:tc>
          <w:tcPr>
            <w:tcW w:type="dxa" w:w="2078"/>
          </w:tcPr>
          <w:p>
            <w:r>
              <w:rPr>
                <w:rFonts w:ascii="Times New Roman" w:hAnsi="Times New Roman"/>
                <w:sz w:val="20"/>
              </w:rPr>
              <w:t>3 000 UI</w:t>
            </w:r>
          </w:p>
        </w:tc>
        <w:tc>
          <w:tcPr>
            <w:tcW w:type="dxa" w:w="2078"/>
          </w:tcPr>
          <w:p>
            <w:r>
              <w:rPr>
                <w:rFonts w:ascii="Times New Roman" w:hAnsi="Times New Roman"/>
                <w:sz w:val="20"/>
              </w:rPr>
              <w:t>H+30 min, H+1 h, H+4 h</w:t>
            </w:r>
          </w:p>
        </w:tc>
      </w:tr>
      <w:tr>
        <w:tc>
          <w:tcPr>
            <w:tcW w:type="dxa" w:w="2078"/>
          </w:tcPr>
          <w:p>
            <w:r>
              <w:rPr>
                <w:rFonts w:ascii="Times New Roman" w:hAnsi="Times New Roman"/>
                <w:sz w:val="20"/>
              </w:rPr>
              <w:t>CIVD</w:t>
            </w:r>
          </w:p>
        </w:tc>
        <w:tc>
          <w:tcPr>
            <w:tcW w:type="dxa" w:w="2078"/>
          </w:tcPr>
          <w:p>
            <w:r>
              <w:rPr>
                <w:rFonts w:ascii="Times New Roman" w:hAnsi="Times New Roman"/>
                <w:sz w:val="20"/>
              </w:rPr>
              <w:t>25-50 UI/kg</w:t>
            </w:r>
          </w:p>
        </w:tc>
        <w:tc>
          <w:tcPr>
            <w:tcW w:type="dxa" w:w="2078"/>
          </w:tcPr>
          <w:p>
            <w:r>
              <w:rPr>
                <w:rFonts w:ascii="Times New Roman" w:hAnsi="Times New Roman"/>
                <w:sz w:val="20"/>
              </w:rPr>
              <w:t>3 000 UI</w:t>
            </w:r>
          </w:p>
        </w:tc>
        <w:tc>
          <w:tcPr>
            <w:tcW w:type="dxa" w:w="2078"/>
          </w:tcPr>
          <w:p>
            <w:r>
              <w:rPr>
                <w:rFonts w:ascii="Times New Roman" w:hAnsi="Times New Roman"/>
                <w:sz w:val="20"/>
              </w:rPr>
              <w:t>H+30 min, H+1 h, H+4 h</w:t>
            </w:r>
          </w:p>
        </w:tc>
      </w:tr>
      <w:tr>
        <w:tc>
          <w:tcPr>
            <w:tcW w:type="dxa" w:w="2078"/>
          </w:tcPr>
          <w:p>
            <w:r>
              <w:rPr>
                <w:rFonts w:ascii="Times New Roman" w:hAnsi="Times New Roman"/>
                <w:sz w:val="20"/>
              </w:rPr>
              <w:t>Hémorragie massive (transfusion &gt; 1 masse sanguine)</w:t>
            </w:r>
          </w:p>
        </w:tc>
        <w:tc>
          <w:tcPr>
            <w:tcW w:type="dxa" w:w="2078"/>
          </w:tcPr>
          <w:p>
            <w:r>
              <w:rPr>
                <w:rFonts w:ascii="Times New Roman" w:hAnsi="Times New Roman"/>
                <w:sz w:val="20"/>
              </w:rPr>
              <w:t>25-50 UI/kg</w:t>
            </w:r>
          </w:p>
        </w:tc>
        <w:tc>
          <w:tcPr>
            <w:tcW w:type="dxa" w:w="2078"/>
          </w:tcPr>
          <w:p>
            <w:r>
              <w:rPr>
                <w:rFonts w:ascii="Times New Roman" w:hAnsi="Times New Roman"/>
                <w:sz w:val="20"/>
              </w:rPr>
              <w:t>3 000 UI</w:t>
            </w:r>
          </w:p>
        </w:tc>
        <w:tc>
          <w:tcPr>
            <w:tcW w:type="dxa" w:w="2078"/>
          </w:tcPr>
          <w:p>
            <w:r>
              <w:rPr>
                <w:rFonts w:ascii="Times New Roman" w:hAnsi="Times New Roman"/>
                <w:sz w:val="20"/>
              </w:rPr>
              <w:t>H+30 min, H+1 h, H+4 h</w:t>
            </w:r>
          </w:p>
        </w:tc>
      </w:tr>
    </w:tbl>
    <w:p/>
    <w:p>
      <w:pPr>
        <w:pStyle w:val="Heading4"/>
      </w:pPr>
      <w:r>
        <w:t>Mode d'administration</w:t>
      </w:r>
    </w:p>
    <w:p>
      <w:pPr>
        <w:pStyle w:val="ListBullet"/>
      </w:pPr>
      <w:r/>
      <w:r>
        <w:rPr>
          <w:b/>
        </w:rPr>
        <w:t>Voie IV stricte</w:t>
      </w:r>
      <w:r>
        <w:t xml:space="preserve"> (jamais IM ni SC).</w:t>
      </w:r>
    </w:p>
    <w:p>
      <w:pPr>
        <w:pStyle w:val="ListBullet"/>
      </w:pPr>
      <w:r/>
      <w:r>
        <w:rPr>
          <w:b/>
        </w:rPr>
        <w:t>Reconstitution</w:t>
      </w:r>
      <w:r>
        <w:t xml:space="preserve"> : utiliser le solvant fourni (EPPI), éviter de toucher le bouchon avec une aiguille non stérile, mouvement rotatif doux (ne pas agiter vigoureusement).</w:t>
      </w:r>
    </w:p>
    <w:p>
      <w:pPr>
        <w:pStyle w:val="ListBullet"/>
      </w:pPr>
      <w:r/>
      <w:r>
        <w:rPr>
          <w:b/>
        </w:rPr>
        <w:t>Température</w:t>
      </w:r>
      <w:r>
        <w:t xml:space="preserve"> : la solution reconstituée doit être à température ambiante (≤ 25 °C) avant administration.</w:t>
      </w:r>
    </w:p>
    <w:p>
      <w:pPr>
        <w:pStyle w:val="ListBullet"/>
      </w:pPr>
      <w:r/>
      <w:r>
        <w:rPr>
          <w:b/>
        </w:rPr>
        <w:t>Débit de perfusion</w:t>
      </w:r>
      <w:r>
        <w:t xml:space="preserve"> : ≤ 3 mL/min chez l'adulte (1 mL/min chez l'enfant &lt; 20 kg), sauf urgence vitale (HIC, arrêt cardiaque) où la perfusion peut être accélérée (5 mL/min).</w:t>
      </w:r>
    </w:p>
    <w:p>
      <w:pPr>
        <w:pStyle w:val="ListBullet"/>
      </w:pPr>
      <w:r/>
      <w:r>
        <w:rPr>
          <w:b/>
        </w:rPr>
        <w:t>Surveillance</w:t>
      </w:r>
      <w:r>
        <w:t xml:space="preserve"> : observation 30-60 min après la première administration chez tout patient naïf. Surveillance INR à 30 min post-perfusion.</w:t>
      </w:r>
    </w:p>
    <w:p>
      <w:pPr>
        <w:pStyle w:val="ListBullet"/>
      </w:pPr>
      <w:r/>
      <w:r>
        <w:rPr>
          <w:b/>
        </w:rPr>
        <w:t>Association systématique</w:t>
      </w:r>
      <w:r>
        <w:t xml:space="preserve"> : vitamine K1 (phytoménadione) 10 mg IV lent (sur 10 min, dilué dans 50 mL NaCl 0,9 %) — pour assurer une correction durable après l'effet transitoire du PCC (6-8 h).</w:t>
      </w:r>
    </w:p>
    <w:p>
      <w:pPr>
        <w:pStyle w:val="Heading4"/>
      </w:pPr>
      <w:r>
        <w:t>Surveillance post-PCC</w:t>
      </w:r>
    </w:p>
    <w:p>
      <w:pPr>
        <w:pStyle w:val="ListBullet"/>
      </w:pPr>
      <w:r/>
      <w:r>
        <w:rPr>
          <w:b/>
        </w:rPr>
        <w:t>INR</w:t>
      </w:r>
      <w:r>
        <w:t xml:space="preserve"> à 30 min, 1 h, 4 h, 24 h post-PCC (objectif INR &lt; 1,5).</w:t>
      </w:r>
    </w:p>
    <w:p>
      <w:pPr>
        <w:pStyle w:val="ListBullet"/>
      </w:pPr>
      <w:r/>
      <w:r>
        <w:rPr>
          <w:b/>
        </w:rPr>
        <w:t>NFS-plaquettes</w:t>
      </w:r>
      <w:r>
        <w:t xml:space="preserve"> à H+1, H+24 (recherche thrombopénie, TIH).</w:t>
      </w:r>
    </w:p>
    <w:p>
      <w:pPr>
        <w:pStyle w:val="ListBullet"/>
      </w:pPr>
      <w:r/>
      <w:r>
        <w:rPr>
          <w:b/>
        </w:rPr>
        <w:t>D-dimères, fibrinogène</w:t>
      </w:r>
      <w:r>
        <w:t xml:space="preserve"> à H+1, H+4, H+24 (surveillance du risque thrombotique).</w:t>
      </w:r>
    </w:p>
    <w:p>
      <w:pPr>
        <w:pStyle w:val="ListBullet"/>
      </w:pPr>
      <w:r/>
      <w:r>
        <w:rPr>
          <w:b/>
        </w:rPr>
        <w:t>Clinique</w:t>
      </w:r>
      <w:r>
        <w:t xml:space="preserve"> : douleur mollo-jambière, dyspnée, céphalées brutales, douleur thoracique (signes de thrombose).</w:t>
      </w:r>
    </w:p>
    <w:p>
      <w:pPr>
        <w:pStyle w:val="ListBullet"/>
      </w:pPr>
      <w:r/>
      <w:r>
        <w:rPr>
          <w:b/>
        </w:rPr>
        <w:t>Prophylaxie thromboembolique</w:t>
      </w:r>
      <w:r>
        <w:t xml:space="preserve"> précoce (HBPM à dose préventive à H+24, sauf CI) chez le patient à risque thrombotique.</w:t>
      </w:r>
    </w:p>
    <w:p>
      <w:pPr>
        <w:pStyle w:val="Heading3"/>
      </w:pPr>
      <w:r>
        <w:t>Sous-section 9 — Arbitrage et bénéfices des formes galéniques</w:t>
      </w:r>
    </w:p>
    <w:p>
      <w:pPr>
        <w:pStyle w:val="Heading4"/>
      </w:pPr>
      <w:r>
        <w:t>PCC 4 facteurs (PROTHROMPLEX TOTAL) vs PCC 3 facteurs (PROTHROMPLEX IMMUNO)</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PCC 4 facteurs (PROTHROMPLEX TOTAL)</w:t>
            </w:r>
          </w:p>
        </w:tc>
        <w:tc>
          <w:tcPr>
            <w:tcW w:type="dxa" w:w="2771"/>
            <w:shd w:val="clear" w:color="auto" w:fill="F2F2F2"/>
          </w:tcPr>
          <w:p>
            <w:r>
              <w:rPr>
                <w:rFonts w:ascii="Times New Roman" w:hAnsi="Times New Roman"/>
                <w:b/>
                <w:sz w:val="20"/>
              </w:rPr>
              <w:t>PCC 3 facteurs (PROTHROMPLEX IMMUNO)</w:t>
            </w:r>
          </w:p>
        </w:tc>
      </w:tr>
      <w:tr>
        <w:tc>
          <w:tcPr>
            <w:tcW w:type="dxa" w:w="2771"/>
          </w:tcPr>
          <w:p>
            <w:r>
              <w:rPr>
                <w:rFonts w:ascii="Times New Roman" w:hAnsi="Times New Roman"/>
                <w:sz w:val="20"/>
              </w:rPr>
              <w:t>Composition</w:t>
            </w:r>
          </w:p>
        </w:tc>
        <w:tc>
          <w:tcPr>
            <w:tcW w:type="dxa" w:w="2771"/>
          </w:tcPr>
          <w:p>
            <w:r>
              <w:rPr>
                <w:rFonts w:ascii="Times New Roman" w:hAnsi="Times New Roman"/>
                <w:sz w:val="20"/>
              </w:rPr>
              <w:t>FII + FVII + FIX + FX</w:t>
            </w:r>
          </w:p>
        </w:tc>
        <w:tc>
          <w:tcPr>
            <w:tcW w:type="dxa" w:w="2771"/>
          </w:tcPr>
          <w:p>
            <w:r>
              <w:rPr>
                <w:rFonts w:ascii="Times New Roman" w:hAnsi="Times New Roman"/>
                <w:sz w:val="20"/>
              </w:rPr>
              <w:t>FII + FIX + FX (sans FVII)</w:t>
            </w:r>
          </w:p>
        </w:tc>
      </w:tr>
      <w:tr>
        <w:tc>
          <w:tcPr>
            <w:tcW w:type="dxa" w:w="2771"/>
          </w:tcPr>
          <w:p>
            <w:r>
              <w:rPr>
                <w:rFonts w:ascii="Times New Roman" w:hAnsi="Times New Roman"/>
                <w:sz w:val="20"/>
              </w:rPr>
              <w:t>Correction INR</w:t>
            </w:r>
          </w:p>
        </w:tc>
        <w:tc>
          <w:tcPr>
            <w:tcW w:type="dxa" w:w="2771"/>
          </w:tcPr>
          <w:p>
            <w:r>
              <w:rPr>
                <w:rFonts w:ascii="Times New Roman" w:hAnsi="Times New Roman"/>
                <w:sz w:val="20"/>
              </w:rPr>
              <w:t>Complète</w:t>
            </w:r>
          </w:p>
        </w:tc>
        <w:tc>
          <w:tcPr>
            <w:tcW w:type="dxa" w:w="2771"/>
          </w:tcPr>
          <w:p>
            <w:r>
              <w:rPr>
                <w:rFonts w:ascii="Times New Roman" w:hAnsi="Times New Roman"/>
                <w:sz w:val="20"/>
              </w:rPr>
              <w:t>Partielle (FVII limitant)</w:t>
            </w:r>
          </w:p>
        </w:tc>
      </w:tr>
      <w:tr>
        <w:tc>
          <w:tcPr>
            <w:tcW w:type="dxa" w:w="2771"/>
          </w:tcPr>
          <w:p>
            <w:r>
              <w:rPr>
                <w:rFonts w:ascii="Times New Roman" w:hAnsi="Times New Roman"/>
                <w:sz w:val="20"/>
              </w:rPr>
              <w:t>Dose standard adulte</w:t>
            </w:r>
          </w:p>
        </w:tc>
        <w:tc>
          <w:tcPr>
            <w:tcW w:type="dxa" w:w="2771"/>
          </w:tcPr>
          <w:p>
            <w:r>
              <w:rPr>
                <w:rFonts w:ascii="Times New Roman" w:hAnsi="Times New Roman"/>
                <w:sz w:val="20"/>
              </w:rPr>
              <w:t>25-50 UI/kg</w:t>
            </w:r>
          </w:p>
        </w:tc>
        <w:tc>
          <w:tcPr>
            <w:tcW w:type="dxa" w:w="2771"/>
          </w:tcPr>
          <w:p>
            <w:r>
              <w:rPr>
                <w:rFonts w:ascii="Times New Roman" w:hAnsi="Times New Roman"/>
                <w:sz w:val="20"/>
              </w:rPr>
              <w:t>50-100 UI/kg</w:t>
            </w:r>
          </w:p>
        </w:tc>
      </w:tr>
      <w:tr>
        <w:tc>
          <w:tcPr>
            <w:tcW w:type="dxa" w:w="2771"/>
          </w:tcPr>
          <w:p>
            <w:r>
              <w:rPr>
                <w:rFonts w:ascii="Times New Roman" w:hAnsi="Times New Roman"/>
                <w:sz w:val="20"/>
              </w:rPr>
              <w:t>Recommandations internationales</w:t>
            </w:r>
          </w:p>
        </w:tc>
        <w:tc>
          <w:tcPr>
            <w:tcW w:type="dxa" w:w="2771"/>
          </w:tcPr>
          <w:p>
            <w:r>
              <w:rPr>
                <w:rFonts w:ascii="Times New Roman" w:hAnsi="Times New Roman"/>
                <w:sz w:val="20"/>
              </w:rPr>
              <w:t>1re intention (HAS 2008, SFAR 2015, ACCP 2012)</w:t>
            </w:r>
          </w:p>
        </w:tc>
        <w:tc>
          <w:tcPr>
            <w:tcW w:type="dxa" w:w="2771"/>
          </w:tcPr>
          <w:p>
            <w:r>
              <w:rPr>
                <w:rFonts w:ascii="Times New Roman" w:hAnsi="Times New Roman"/>
                <w:sz w:val="20"/>
              </w:rPr>
              <w:t>2e intention (si PCC 4F non disponible)</w:t>
            </w:r>
          </w:p>
        </w:tc>
      </w:tr>
      <w:tr>
        <w:tc>
          <w:tcPr>
            <w:tcW w:type="dxa" w:w="2771"/>
          </w:tcPr>
          <w:p>
            <w:r>
              <w:rPr>
                <w:rFonts w:ascii="Times New Roman" w:hAnsi="Times New Roman"/>
                <w:sz w:val="20"/>
              </w:rPr>
              <w:t>Statut Algérie</w:t>
            </w:r>
          </w:p>
        </w:tc>
        <w:tc>
          <w:tcPr>
            <w:tcW w:type="dxa" w:w="2771"/>
          </w:tcPr>
          <w:p>
            <w:r>
              <w:rPr>
                <w:rFonts w:ascii="Times New Roman" w:hAnsi="Times New Roman"/>
                <w:sz w:val="20"/>
              </w:rPr>
              <w:t>RETRAIT</w:t>
            </w:r>
          </w:p>
        </w:tc>
        <w:tc>
          <w:tcPr>
            <w:tcW w:type="dxa" w:w="2771"/>
          </w:tcPr>
          <w:p>
            <w:r>
              <w:rPr>
                <w:rFonts w:ascii="Times New Roman" w:hAnsi="Times New Roman"/>
                <w:sz w:val="20"/>
              </w:rPr>
              <w:t>Non disponible</w:t>
            </w:r>
          </w:p>
        </w:tc>
      </w:tr>
    </w:tbl>
    <w:p/>
    <w:p>
      <w:r/>
      <w:r>
        <w:rPr>
          <w:b/>
        </w:rPr>
        <w:t>Arbitrage clinique</w:t>
      </w:r>
      <w:r>
        <w:t xml:space="preserve"> :</w:t>
      </w:r>
    </w:p>
    <w:p>
      <w:pPr>
        <w:pStyle w:val="ListBullet"/>
      </w:pPr>
      <w:r>
        <w:t xml:space="preserve">Le PCC 4 facteurs est le </w:t>
      </w:r>
      <w:r>
        <w:rPr>
          <w:b/>
        </w:rPr>
        <w:t>traitement de référence</w:t>
      </w:r>
      <w:r>
        <w:t xml:space="preserve"> pour le reversal urgent des AVK.</w:t>
      </w:r>
    </w:p>
    <w:p>
      <w:pPr>
        <w:pStyle w:val="ListBullet"/>
      </w:pPr>
      <w:r>
        <w:t>En Algérie, en l'absence de PCC 4 facteurs disponible (PROTHROMPLEX TOTAL RETIRÉ), les alternatives sont :</w:t>
      </w:r>
    </w:p>
    <w:p>
      <w:pPr>
        <w:pStyle w:val="ListBullet"/>
      </w:pPr>
      <w:r/>
      <w:r>
        <w:rPr>
          <w:b/>
        </w:rPr>
        <w:t>Plasma Frais Congelé (PFC)</w:t>
      </w:r>
      <w:r>
        <w:t xml:space="preserve"> — 15 mL/kg IV (soit ~1 000-1 500 mL adulte), action en 4-6 h.</w:t>
      </w:r>
    </w:p>
    <w:p>
      <w:pPr>
        <w:pStyle w:val="ListBullet"/>
      </w:pPr>
      <w:r/>
      <w:r>
        <w:rPr>
          <w:b/>
        </w:rPr>
        <w:t>Vitamine K1 (phytoménadione)</w:t>
      </w:r>
      <w:r>
        <w:t xml:space="preserve"> — 10 mg IV lent, action en 6-12 h, durable.</w:t>
      </w:r>
    </w:p>
    <w:p>
      <w:pPr>
        <w:pStyle w:val="ListBullet"/>
      </w:pPr>
      <w:r/>
      <w:r>
        <w:rPr>
          <w:b/>
        </w:rPr>
        <w:t>Importation exceptionnelle ATU nominative</w:t>
      </w:r>
      <w:r>
        <w:t xml:space="preserve"> de OCTAPLEX (Octapharma) ou BERIPLEX/KCENTRA (CSL Behring) pour les centres hospitaliers équipés.</w:t>
      </w:r>
    </w:p>
    <w:p>
      <w:pPr>
        <w:pStyle w:val="Heading4"/>
      </w:pPr>
      <w:r>
        <w:t>PCC vs Plasma Frais Congelé (PFC)</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PCC 4 facteurs</w:t>
            </w:r>
          </w:p>
        </w:tc>
        <w:tc>
          <w:tcPr>
            <w:tcW w:type="dxa" w:w="2771"/>
            <w:shd w:val="clear" w:color="auto" w:fill="F2F2F2"/>
          </w:tcPr>
          <w:p>
            <w:r>
              <w:rPr>
                <w:rFonts w:ascii="Times New Roman" w:hAnsi="Times New Roman"/>
                <w:b/>
                <w:sz w:val="20"/>
              </w:rPr>
              <w:t>PFC</w:t>
            </w:r>
          </w:p>
        </w:tc>
      </w:tr>
      <w:tr>
        <w:tc>
          <w:tcPr>
            <w:tcW w:type="dxa" w:w="2771"/>
          </w:tcPr>
          <w:p>
            <w:r>
              <w:rPr>
                <w:rFonts w:ascii="Times New Roman" w:hAnsi="Times New Roman"/>
                <w:sz w:val="20"/>
              </w:rPr>
              <w:t>Origine</w:t>
            </w:r>
          </w:p>
        </w:tc>
        <w:tc>
          <w:tcPr>
            <w:tcW w:type="dxa" w:w="2771"/>
          </w:tcPr>
          <w:p>
            <w:r>
              <w:rPr>
                <w:rFonts w:ascii="Times New Roman" w:hAnsi="Times New Roman"/>
                <w:sz w:val="20"/>
              </w:rPr>
              <w:t>PSS (produit stable)</w:t>
            </w:r>
          </w:p>
        </w:tc>
        <w:tc>
          <w:tcPr>
            <w:tcW w:type="dxa" w:w="2771"/>
          </w:tcPr>
          <w:p>
            <w:r>
              <w:rPr>
                <w:rFonts w:ascii="Times New Roman" w:hAnsi="Times New Roman"/>
                <w:sz w:val="20"/>
              </w:rPr>
              <w:t>PSL (produit sanguin labile)</w:t>
            </w:r>
          </w:p>
        </w:tc>
      </w:tr>
      <w:tr>
        <w:tc>
          <w:tcPr>
            <w:tcW w:type="dxa" w:w="2771"/>
          </w:tcPr>
          <w:p>
            <w:r>
              <w:rPr>
                <w:rFonts w:ascii="Times New Roman" w:hAnsi="Times New Roman"/>
                <w:sz w:val="20"/>
              </w:rPr>
              <w:t>Composition standardisée</w:t>
            </w:r>
          </w:p>
        </w:tc>
        <w:tc>
          <w:tcPr>
            <w:tcW w:type="dxa" w:w="2771"/>
          </w:tcPr>
          <w:p>
            <w:r>
              <w:rPr>
                <w:rFonts w:ascii="Times New Roman" w:hAnsi="Times New Roman"/>
                <w:sz w:val="20"/>
              </w:rPr>
              <w:t>Oui (FII/FVII/FIX/FX dosés)</w:t>
            </w:r>
          </w:p>
        </w:tc>
        <w:tc>
          <w:tcPr>
            <w:tcW w:type="dxa" w:w="2771"/>
          </w:tcPr>
          <w:p>
            <w:r>
              <w:rPr>
                <w:rFonts w:ascii="Times New Roman" w:hAnsi="Times New Roman"/>
                <w:sz w:val="20"/>
              </w:rPr>
              <w:t>Variable (selon donneur)</w:t>
            </w:r>
          </w:p>
        </w:tc>
      </w:tr>
      <w:tr>
        <w:tc>
          <w:tcPr>
            <w:tcW w:type="dxa" w:w="2771"/>
          </w:tcPr>
          <w:p>
            <w:r>
              <w:rPr>
                <w:rFonts w:ascii="Times New Roman" w:hAnsi="Times New Roman"/>
                <w:sz w:val="20"/>
              </w:rPr>
              <w:t>Action</w:t>
            </w:r>
          </w:p>
        </w:tc>
        <w:tc>
          <w:tcPr>
            <w:tcW w:type="dxa" w:w="2771"/>
          </w:tcPr>
          <w:p>
            <w:r>
              <w:rPr>
                <w:rFonts w:ascii="Times New Roman" w:hAnsi="Times New Roman"/>
                <w:sz w:val="20"/>
              </w:rPr>
              <w:t>15-30 min</w:t>
            </w:r>
          </w:p>
        </w:tc>
        <w:tc>
          <w:tcPr>
            <w:tcW w:type="dxa" w:w="2771"/>
          </w:tcPr>
          <w:p>
            <w:r>
              <w:rPr>
                <w:rFonts w:ascii="Times New Roman" w:hAnsi="Times New Roman"/>
                <w:sz w:val="20"/>
              </w:rPr>
              <w:t>4-6 h</w:t>
            </w:r>
          </w:p>
        </w:tc>
      </w:tr>
      <w:tr>
        <w:tc>
          <w:tcPr>
            <w:tcW w:type="dxa" w:w="2771"/>
          </w:tcPr>
          <w:p>
            <w:r>
              <w:rPr>
                <w:rFonts w:ascii="Times New Roman" w:hAnsi="Times New Roman"/>
                <w:sz w:val="20"/>
              </w:rPr>
              <w:t>Volume</w:t>
            </w:r>
          </w:p>
        </w:tc>
        <w:tc>
          <w:tcPr>
            <w:tcW w:type="dxa" w:w="2771"/>
          </w:tcPr>
          <w:p>
            <w:r>
              <w:rPr>
                <w:rFonts w:ascii="Times New Roman" w:hAnsi="Times New Roman"/>
                <w:sz w:val="20"/>
              </w:rPr>
              <w:t>20-40 mL</w:t>
            </w:r>
          </w:p>
        </w:tc>
        <w:tc>
          <w:tcPr>
            <w:tcW w:type="dxa" w:w="2771"/>
          </w:tcPr>
          <w:p>
            <w:r>
              <w:rPr>
                <w:rFonts w:ascii="Times New Roman" w:hAnsi="Times New Roman"/>
                <w:sz w:val="20"/>
              </w:rPr>
              <w:t>1 000-1 500 mL adulte</w:t>
            </w:r>
          </w:p>
        </w:tc>
      </w:tr>
      <w:tr>
        <w:tc>
          <w:tcPr>
            <w:tcW w:type="dxa" w:w="2771"/>
          </w:tcPr>
          <w:p>
            <w:r>
              <w:rPr>
                <w:rFonts w:ascii="Times New Roman" w:hAnsi="Times New Roman"/>
                <w:sz w:val="20"/>
              </w:rPr>
              <w:t>Sécurité virale</w:t>
            </w:r>
          </w:p>
        </w:tc>
        <w:tc>
          <w:tcPr>
            <w:tcW w:type="dxa" w:w="2771"/>
          </w:tcPr>
          <w:p>
            <w:r>
              <w:rPr>
                <w:rFonts w:ascii="Times New Roman" w:hAnsi="Times New Roman"/>
                <w:sz w:val="20"/>
              </w:rPr>
              <w:t>Optimale (inactivé)</w:t>
            </w:r>
          </w:p>
        </w:tc>
        <w:tc>
          <w:tcPr>
            <w:tcW w:type="dxa" w:w="2771"/>
          </w:tcPr>
          <w:p>
            <w:r>
              <w:rPr>
                <w:rFonts w:ascii="Times New Roman" w:hAnsi="Times New Roman"/>
                <w:sz w:val="20"/>
              </w:rPr>
              <w:t>Bonne (non inactivée, dépistage viral)</w:t>
            </w:r>
          </w:p>
        </w:tc>
      </w:tr>
      <w:tr>
        <w:tc>
          <w:tcPr>
            <w:tcW w:type="dxa" w:w="2771"/>
          </w:tcPr>
          <w:p>
            <w:r>
              <w:rPr>
                <w:rFonts w:ascii="Times New Roman" w:hAnsi="Times New Roman"/>
                <w:sz w:val="20"/>
              </w:rPr>
              <w:t>Disponibilité</w:t>
            </w:r>
          </w:p>
        </w:tc>
        <w:tc>
          <w:tcPr>
            <w:tcW w:type="dxa" w:w="2771"/>
          </w:tcPr>
          <w:p>
            <w:r>
              <w:rPr>
                <w:rFonts w:ascii="Times New Roman" w:hAnsi="Times New Roman"/>
                <w:sz w:val="20"/>
              </w:rPr>
              <w:t>Stock PUI</w:t>
            </w:r>
          </w:p>
        </w:tc>
        <w:tc>
          <w:tcPr>
            <w:tcW w:type="dxa" w:w="2771"/>
          </w:tcPr>
          <w:p>
            <w:r>
              <w:rPr>
                <w:rFonts w:ascii="Times New Roman" w:hAnsi="Times New Roman"/>
                <w:sz w:val="20"/>
              </w:rPr>
              <w:t>Banque de sang (CNTS)</w:t>
            </w:r>
          </w:p>
        </w:tc>
      </w:tr>
      <w:tr>
        <w:tc>
          <w:tcPr>
            <w:tcW w:type="dxa" w:w="2771"/>
          </w:tcPr>
          <w:p>
            <w:r>
              <w:rPr>
                <w:rFonts w:ascii="Times New Roman" w:hAnsi="Times New Roman"/>
                <w:sz w:val="20"/>
              </w:rPr>
              <w:t>Risque TRALI (transfusion-related acute lung injury)</w:t>
            </w:r>
          </w:p>
        </w:tc>
        <w:tc>
          <w:tcPr>
            <w:tcW w:type="dxa" w:w="2771"/>
          </w:tcPr>
          <w:p>
            <w:r>
              <w:rPr>
                <w:rFonts w:ascii="Times New Roman" w:hAnsi="Times New Roman"/>
                <w:sz w:val="20"/>
              </w:rPr>
              <w:t>Nul (PSS)</w:t>
            </w:r>
          </w:p>
        </w:tc>
        <w:tc>
          <w:tcPr>
            <w:tcW w:type="dxa" w:w="2771"/>
          </w:tcPr>
          <w:p>
            <w:r>
              <w:rPr>
                <w:rFonts w:ascii="Times New Roman" w:hAnsi="Times New Roman"/>
                <w:sz w:val="20"/>
              </w:rPr>
              <w:t>Possible (PSL)</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 (~200-400 €/flacon)</w:t>
            </w:r>
          </w:p>
        </w:tc>
        <w:tc>
          <w:tcPr>
            <w:tcW w:type="dxa" w:w="2771"/>
          </w:tcPr>
          <w:p>
            <w:r>
              <w:rPr>
                <w:rFonts w:ascii="Times New Roman" w:hAnsi="Times New Roman"/>
                <w:sz w:val="20"/>
              </w:rPr>
              <w:t>Modéré (~150-200 €/unité)</w:t>
            </w:r>
          </w:p>
        </w:tc>
      </w:tr>
      <w:tr>
        <w:tc>
          <w:tcPr>
            <w:tcW w:type="dxa" w:w="2771"/>
          </w:tcPr>
          <w:p>
            <w:r>
              <w:rPr>
                <w:rFonts w:ascii="Times New Roman" w:hAnsi="Times New Roman"/>
                <w:sz w:val="20"/>
              </w:rPr>
              <w:t>Statut Algérie</w:t>
            </w:r>
          </w:p>
        </w:tc>
        <w:tc>
          <w:tcPr>
            <w:tcW w:type="dxa" w:w="2771"/>
          </w:tcPr>
          <w:p>
            <w:r>
              <w:rPr>
                <w:rFonts w:ascii="Times New Roman" w:hAnsi="Times New Roman"/>
                <w:sz w:val="20"/>
              </w:rPr>
              <w:t>RETRAIT (PROTHROMPLEX)</w:t>
            </w:r>
          </w:p>
        </w:tc>
        <w:tc>
          <w:tcPr>
            <w:tcW w:type="dxa" w:w="2771"/>
          </w:tcPr>
          <w:p>
            <w:r>
              <w:rPr>
                <w:rFonts w:ascii="Times New Roman" w:hAnsi="Times New Roman"/>
                <w:sz w:val="20"/>
              </w:rPr>
              <w:t>Disponible (CNTS)</w:t>
            </w:r>
          </w:p>
        </w:tc>
      </w:tr>
    </w:tbl>
    <w:p/>
    <w:p>
      <w:r/>
      <w:r>
        <w:rPr>
          <w:b/>
        </w:rPr>
        <w:t>Arbitrage clinique</w:t>
      </w:r>
      <w:r>
        <w:t xml:space="preserve"> :</w:t>
      </w:r>
    </w:p>
    <w:p>
      <w:pPr>
        <w:pStyle w:val="ListBullet"/>
      </w:pPr>
      <w:r/>
      <w:r>
        <w:rPr>
          <w:b/>
        </w:rPr>
        <w:t>Préférer le PCC 4 facteurs</w:t>
      </w:r>
      <w:r>
        <w:t xml:space="preserve"> en cas d'urgence vitale (HIC, hémorragie massive) pour sa rapidité d'action et son faible volume.</w:t>
      </w:r>
    </w:p>
    <w:p>
      <w:pPr>
        <w:pStyle w:val="ListBullet"/>
      </w:pPr>
      <w:r/>
      <w:r>
        <w:rPr>
          <w:b/>
        </w:rPr>
        <w:t>Préférer le PFC</w:t>
      </w:r>
      <w:r>
        <w:t xml:space="preserve"> en cas d'indisponibilité du PCC (situation actuelle en Algérie depuis le retrait de PROTHROMPLEX TOTAL), ou en cas d'insuffisance hépatique sévère (apport de tous les facteurs de coagulation, pas seulement vitamine-K-dépendants).</w:t>
      </w:r>
    </w:p>
    <w:p>
      <w:pPr>
        <w:pStyle w:val="ListBullet"/>
      </w:pPr>
      <w:r/>
      <w:r>
        <w:rPr>
          <w:b/>
        </w:rPr>
        <w:t>Combinaison</w:t>
      </w:r>
      <w:r>
        <w:t xml:space="preserve"> : PFC + vitamine K1 + plaquettes en cas d'hémorragie massive avec déplétion multifactorielle.</w:t>
      </w:r>
    </w:p>
    <w:p>
      <w:pPr>
        <w:pStyle w:val="Heading4"/>
      </w:pPr>
      <w:r>
        <w:t>PCC vs Andexanet alfa (antidote spécifique des AOD anti-Xa)</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PCC 4 facteurs</w:t>
            </w:r>
          </w:p>
        </w:tc>
        <w:tc>
          <w:tcPr>
            <w:tcW w:type="dxa" w:w="2771"/>
            <w:shd w:val="clear" w:color="auto" w:fill="F2F2F2"/>
          </w:tcPr>
          <w:p>
            <w:r>
              <w:rPr>
                <w:rFonts w:ascii="Times New Roman" w:hAnsi="Times New Roman"/>
                <w:b/>
                <w:sz w:val="20"/>
              </w:rPr>
              <w:t>Andexanet alfa</w:t>
            </w:r>
          </w:p>
        </w:tc>
      </w:tr>
      <w:tr>
        <w:tc>
          <w:tcPr>
            <w:tcW w:type="dxa" w:w="2771"/>
          </w:tcPr>
          <w:p>
            <w:r>
              <w:rPr>
                <w:rFonts w:ascii="Times New Roman" w:hAnsi="Times New Roman"/>
                <w:sz w:val="20"/>
              </w:rPr>
              <w:t>Indication</w:t>
            </w:r>
          </w:p>
        </w:tc>
        <w:tc>
          <w:tcPr>
            <w:tcW w:type="dxa" w:w="2771"/>
          </w:tcPr>
          <w:p>
            <w:r>
              <w:rPr>
                <w:rFonts w:ascii="Times New Roman" w:hAnsi="Times New Roman"/>
                <w:sz w:val="20"/>
              </w:rPr>
              <w:t>Reversal AVK + AOD (efficacité partielle sur AOD)</w:t>
            </w:r>
          </w:p>
        </w:tc>
        <w:tc>
          <w:tcPr>
            <w:tcW w:type="dxa" w:w="2771"/>
          </w:tcPr>
          <w:p>
            <w:r>
              <w:rPr>
                <w:rFonts w:ascii="Times New Roman" w:hAnsi="Times New Roman"/>
                <w:sz w:val="20"/>
              </w:rPr>
              <w:t>Reversal AOD anti-Xa (apixaban, rivaroxaban, edoxaban)</w:t>
            </w:r>
          </w:p>
        </w:tc>
      </w:tr>
      <w:tr>
        <w:tc>
          <w:tcPr>
            <w:tcW w:type="dxa" w:w="2771"/>
          </w:tcPr>
          <w:p>
            <w:r>
              <w:rPr>
                <w:rFonts w:ascii="Times New Roman" w:hAnsi="Times New Roman"/>
                <w:sz w:val="20"/>
              </w:rPr>
              <w:t>Mécanisme</w:t>
            </w:r>
          </w:p>
        </w:tc>
        <w:tc>
          <w:tcPr>
            <w:tcW w:type="dxa" w:w="2771"/>
          </w:tcPr>
          <w:p>
            <w:r>
              <w:rPr>
                <w:rFonts w:ascii="Times New Roman" w:hAnsi="Times New Roman"/>
                <w:sz w:val="20"/>
              </w:rPr>
              <w:t>Apport direct des facteurs</w:t>
            </w:r>
          </w:p>
        </w:tc>
        <w:tc>
          <w:tcPr>
            <w:tcW w:type="dxa" w:w="2771"/>
          </w:tcPr>
          <w:p>
            <w:r>
              <w:rPr>
                <w:rFonts w:ascii="Times New Roman" w:hAnsi="Times New Roman"/>
                <w:sz w:val="20"/>
              </w:rPr>
              <w:t>Antagoniste spécifique (decoy receptor)</w:t>
            </w:r>
          </w:p>
        </w:tc>
      </w:tr>
      <w:tr>
        <w:tc>
          <w:tcPr>
            <w:tcW w:type="dxa" w:w="2771"/>
          </w:tcPr>
          <w:p>
            <w:r>
              <w:rPr>
                <w:rFonts w:ascii="Times New Roman" w:hAnsi="Times New Roman"/>
                <w:sz w:val="20"/>
              </w:rPr>
              <w:t>Efficacité sur AOD</w:t>
            </w:r>
          </w:p>
        </w:tc>
        <w:tc>
          <w:tcPr>
            <w:tcW w:type="dxa" w:w="2771"/>
          </w:tcPr>
          <w:p>
            <w:r>
              <w:rPr>
                <w:rFonts w:ascii="Times New Roman" w:hAnsi="Times New Roman"/>
                <w:sz w:val="20"/>
              </w:rPr>
              <w:t>Partielle (~50-70 %)</w:t>
            </w:r>
          </w:p>
        </w:tc>
        <w:tc>
          <w:tcPr>
            <w:tcW w:type="dxa" w:w="2771"/>
          </w:tcPr>
          <w:p>
            <w:r>
              <w:rPr>
                <w:rFonts w:ascii="Times New Roman" w:hAnsi="Times New Roman"/>
                <w:sz w:val="20"/>
              </w:rPr>
              <w:t>Excellente (~90 %)</w:t>
            </w:r>
          </w:p>
        </w:tc>
      </w:tr>
      <w:tr>
        <w:tc>
          <w:tcPr>
            <w:tcW w:type="dxa" w:w="2771"/>
          </w:tcPr>
          <w:p>
            <w:r>
              <w:rPr>
                <w:rFonts w:ascii="Times New Roman" w:hAnsi="Times New Roman"/>
                <w:sz w:val="20"/>
              </w:rPr>
              <w:t>Demi-vie d'action</w:t>
            </w:r>
          </w:p>
        </w:tc>
        <w:tc>
          <w:tcPr>
            <w:tcW w:type="dxa" w:w="2771"/>
          </w:tcPr>
          <w:p>
            <w:r>
              <w:rPr>
                <w:rFonts w:ascii="Times New Roman" w:hAnsi="Times New Roman"/>
                <w:sz w:val="20"/>
              </w:rPr>
              <w:t>6-8 h</w:t>
            </w:r>
          </w:p>
        </w:tc>
        <w:tc>
          <w:tcPr>
            <w:tcW w:type="dxa" w:w="2771"/>
          </w:tcPr>
          <w:p>
            <w:r>
              <w:rPr>
                <w:rFonts w:ascii="Times New Roman" w:hAnsi="Times New Roman"/>
                <w:sz w:val="20"/>
              </w:rPr>
              <w:t>1-2 h (dose répétée nécessaire)</w:t>
            </w:r>
          </w:p>
        </w:tc>
      </w:tr>
      <w:tr>
        <w:tc>
          <w:tcPr>
            <w:tcW w:type="dxa" w:w="2771"/>
          </w:tcPr>
          <w:p>
            <w:r>
              <w:rPr>
                <w:rFonts w:ascii="Times New Roman" w:hAnsi="Times New Roman"/>
                <w:sz w:val="20"/>
              </w:rPr>
              <w:t>Coût</w:t>
            </w:r>
          </w:p>
        </w:tc>
        <w:tc>
          <w:tcPr>
            <w:tcW w:type="dxa" w:w="2771"/>
          </w:tcPr>
          <w:p>
            <w:r>
              <w:rPr>
                <w:rFonts w:ascii="Times New Roman" w:hAnsi="Times New Roman"/>
                <w:sz w:val="20"/>
              </w:rPr>
              <w:t>200-400 €/flacon</w:t>
            </w:r>
          </w:p>
        </w:tc>
        <w:tc>
          <w:tcPr>
            <w:tcW w:type="dxa" w:w="2771"/>
          </w:tcPr>
          <w:p>
            <w:r>
              <w:rPr>
                <w:rFonts w:ascii="Times New Roman" w:hAnsi="Times New Roman"/>
                <w:sz w:val="20"/>
              </w:rPr>
              <w:t>20 000-30 000 €/dose adulte</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RETRAIT</w:t>
            </w:r>
          </w:p>
        </w:tc>
        <w:tc>
          <w:tcPr>
            <w:tcW w:type="dxa" w:w="2771"/>
          </w:tcPr>
          <w:p>
            <w:r>
              <w:rPr>
                <w:rFonts w:ascii="Times New Roman" w:hAnsi="Times New Roman"/>
                <w:sz w:val="20"/>
              </w:rPr>
              <w:t>Non disponible</w:t>
            </w:r>
          </w:p>
        </w:tc>
      </w:tr>
    </w:tbl>
    <w:p/>
    <w:p>
      <w:r/>
      <w:r>
        <w:rPr>
          <w:b/>
        </w:rPr>
        <w:t>Arbitrage clinique</w:t>
      </w:r>
      <w:r>
        <w:t xml:space="preserve"> :</w:t>
      </w:r>
    </w:p>
    <w:p>
      <w:pPr>
        <w:pStyle w:val="ListBullet"/>
      </w:pPr>
      <w:r>
        <w:t>L'andexanet alfa est le traitement de référence pour le reversal des AOD anti-Xa (apixaban, rivaroxaban), mais n'est pas disponible en Algérie.</w:t>
      </w:r>
    </w:p>
    <w:p>
      <w:pPr>
        <w:pStyle w:val="ListBullet"/>
      </w:pPr>
      <w:r>
        <w:t>En Algérie, le PCC (lorsqu'il sera à nouveau disponible) ou le PFC restent utilisés en urgence pour les AOD à la dose de 50 UI/kg.</w:t>
      </w:r>
    </w:p>
    <w:p>
      <w:pPr>
        <w:pStyle w:val="ListBullet"/>
      </w:pPr>
      <w:r>
        <w:t>L'</w:t>
      </w:r>
      <w:r>
        <w:rPr>
          <w:b/>
        </w:rPr>
        <w:t>idarucizumab</w:t>
      </w:r>
      <w:r>
        <w:t xml:space="preserve"> (antidote du dabigatran, Praxbind, Boehringer Ingelheim) est disponible dans certains pays étrangers mais pas en Algérie.</w:t>
      </w:r>
    </w:p>
    <w:p>
      <w:pPr>
        <w:pStyle w:val="Heading3"/>
      </w:pPr>
      <w:r>
        <w:t>Sous-section 10 — Instructions et conseils au patient</w:t>
      </w:r>
    </w:p>
    <w:p>
      <w:pPr>
        <w:pStyle w:val="Heading4"/>
      </w:pPr>
      <w:r>
        <w:t>Information patient</w:t>
      </w:r>
    </w:p>
    <w:p>
      <w:pPr>
        <w:pStyle w:val="ListBullet"/>
      </w:pPr>
      <w:r>
        <w:t xml:space="preserve">Le PCC est un médicament </w:t>
      </w:r>
      <w:r>
        <w:rPr>
          <w:b/>
        </w:rPr>
        <w:t>hospitalier</w:t>
      </w:r>
      <w:r>
        <w:t xml:space="preserve"> administré en urgence par voie IV, exclusivement en milieu de réanimation, bloc opératoire ou service d'urgences. Le patient n'a pas à l'auto-administrer.</w:t>
      </w:r>
    </w:p>
    <w:p>
      <w:pPr>
        <w:pStyle w:val="ListBullet"/>
      </w:pPr>
      <w:r>
        <w:t>Le patient doit être informé de la nécessité du traitement (reversal urgent des AVK en cas d'hémorragie), des risques (thrombose, hypersensibilité) et de la surveillance post-administration.</w:t>
      </w:r>
    </w:p>
    <w:p>
      <w:pPr>
        <w:pStyle w:val="Heading4"/>
      </w:pPr>
      <w:r>
        <w:t>Suivi post-PCC</w:t>
      </w:r>
    </w:p>
    <w:p>
      <w:pPr>
        <w:pStyle w:val="ListBullet"/>
      </w:pPr>
      <w:r>
        <w:t>Surveillance INR à 30 min, 1 h, 4 h, 24 h post-PCC.</w:t>
      </w:r>
    </w:p>
    <w:p>
      <w:pPr>
        <w:pStyle w:val="ListBullet"/>
      </w:pPr>
      <w:r>
        <w:t>Surveillance clinique et biologique (D-dimères, fibrinogène, NFS-plaquettes) à H+1, H+4, H+24.</w:t>
      </w:r>
    </w:p>
    <w:p>
      <w:pPr>
        <w:pStyle w:val="ListBullet"/>
      </w:pPr>
      <w:r>
        <w:t>Surveillance prolongée en milieu de réanimation (au moins 24 h).</w:t>
      </w:r>
    </w:p>
    <w:p>
      <w:pPr>
        <w:pStyle w:val="ListBullet"/>
      </w:pPr>
      <w:r>
        <w:t>Prophylaxie thromboembolique précoce (HBPM à dose préventive à H+24, sauf CI) chez le patient à risque thrombotique.</w:t>
      </w:r>
    </w:p>
    <w:p>
      <w:pPr>
        <w:pStyle w:val="ListBullet"/>
      </w:pPr>
      <w:r/>
      <w:r>
        <w:rPr>
          <w:b/>
        </w:rPr>
        <w:t>Reprise d'un anticoagulant</w:t>
      </w:r>
      <w:r>
        <w:t xml:space="preserve"> : à discuter avec le cardiologue ou l'hématologue référent en fonction de l'indication initiale (FA, TVP, EP, prothèse valvulaire). Le délai de reprise dépend du type d'hémorragie (court pour HIC mineure, long pour HIC grave avec hématome volumineux).</w:t>
      </w:r>
    </w:p>
    <w:p>
      <w:pPr>
        <w:pStyle w:val="Heading4"/>
      </w:pPr>
      <w:r>
        <w:t>Vaccinations</w:t>
      </w:r>
    </w:p>
    <w:p>
      <w:pPr>
        <w:pStyle w:val="ListBullet"/>
      </w:pPr>
      <w:r>
        <w:t>Vaccination hépatite A et B systématique chez tout patient pouvant nécessiter un PCC à répétition (en particulier les patients sous AVK au long cours avec antécédent d'hémorragie).</w:t>
      </w:r>
    </w:p>
    <w:p>
      <w:pPr>
        <w:pStyle w:val="Heading4"/>
      </w:pPr>
      <w:r>
        <w:t>Carte de patient</w:t>
      </w:r>
    </w:p>
    <w:p>
      <w:pPr>
        <w:pStyle w:val="ListBullet"/>
      </w:pPr>
      <w:r>
        <w:t xml:space="preserve">Tout patient recevant un PCC doit avoir sur soi une </w:t>
      </w:r>
      <w:r>
        <w:rPr>
          <w:b/>
        </w:rPr>
        <w:t>carte d'information</w:t>
      </w:r>
      <w:r>
        <w:t xml:space="preserve"> précisant :</w:t>
      </w:r>
    </w:p>
    <w:p>
      <w:pPr>
        <w:pStyle w:val="ListBullet"/>
      </w:pPr>
      <w:r>
        <w:t>Type de traitement (PCC 4 facteurs).</w:t>
      </w:r>
    </w:p>
    <w:p>
      <w:pPr>
        <w:pStyle w:val="ListBullet"/>
      </w:pPr>
      <w:r>
        <w:t>Date et dose de la dernière administration.</w:t>
      </w:r>
    </w:p>
    <w:p>
      <w:pPr>
        <w:pStyle w:val="ListBullet"/>
      </w:pPr>
      <w:r>
        <w:t>Anticoagulant en cours (warfarine, acénocoumarol, fluindione, AOD).</w:t>
      </w:r>
    </w:p>
    <w:p>
      <w:pPr>
        <w:pStyle w:val="ListBullet"/>
      </w:pPr>
      <w:r>
        <w:t>Centre de référence (hématologue, cardiologue).</w:t>
      </w:r>
    </w:p>
    <w:p>
      <w:pPr>
        <w:pStyle w:val="ListBullet"/>
      </w:pPr>
      <w:r>
        <w:t>Contact du patient (nom, téléphone).</w:t>
      </w:r>
    </w:p>
    <w:p>
      <w:pPr>
        <w:pStyle w:val="ListBullet"/>
      </w:pPr>
      <w:r>
        <w:t>Statut vaccinal (hépatite A, B).</w:t>
      </w:r>
    </w:p>
    <w:p>
      <w:pPr>
        <w:pStyle w:val="Heading3"/>
      </w:pPr>
      <w:r>
        <w:t>Sous-section 11 — Notes, règles d'or et pièges au comptoir</w:t>
      </w:r>
    </w:p>
    <w:p>
      <w:pPr>
        <w:pStyle w:val="ListNumber"/>
      </w:pPr>
      <w:r/>
      <w:r>
        <w:rPr>
          <w:b/>
        </w:rPr>
        <w:t>PROTHROMPLEX TOTAL (Baxter) est RETIRÉ du marché algérien depuis avril 2026</w:t>
      </w:r>
      <w:r>
        <w:t>. Les alternatives en Algérie sont :</w:t>
      </w:r>
    </w:p>
    <w:p>
      <w:pPr>
        <w:pStyle w:val="ListBullet"/>
      </w:pPr>
      <w:r/>
      <w:r>
        <w:rPr>
          <w:b/>
        </w:rPr>
        <w:t>Plasma Frais Congelé (PFC)</w:t>
      </w:r>
      <w:r>
        <w:t xml:space="preserve"> : 15 mL/kg IV, action en 4-6 h.</w:t>
      </w:r>
    </w:p>
    <w:p>
      <w:pPr>
        <w:pStyle w:val="ListBullet"/>
      </w:pPr>
      <w:r/>
      <w:r>
        <w:rPr>
          <w:b/>
        </w:rPr>
        <w:t>Vitamine K1 (phytoménadione)</w:t>
      </w:r>
      <w:r>
        <w:t xml:space="preserve"> : 10 mg IV lent, action en 6-12 h, durable 7-14 jours.</w:t>
      </w:r>
    </w:p>
    <w:p>
      <w:pPr>
        <w:pStyle w:val="ListBullet"/>
      </w:pPr>
      <w:r/>
      <w:r>
        <w:rPr>
          <w:b/>
        </w:rPr>
        <w:t>Importation exceptionnelle ATU nominative</w:t>
      </w:r>
      <w:r>
        <w:t xml:space="preserve"> de OCTAPLEX (Octapharma) ou BERIPLEX/KCENTRA (CSL Behring) pour les centres hospitaliers équipés.</w:t>
      </w:r>
    </w:p>
    <w:p>
      <w:pPr>
        <w:pStyle w:val="ListNumber"/>
      </w:pPr>
      <w:r/>
      <w:r>
        <w:rPr>
          <w:b/>
        </w:rPr>
        <w:t>Le PCC est le traitement de référence pour le reversal urgent des AVK</w:t>
      </w:r>
      <w:r>
        <w:t xml:space="preserve"> en cas d'hémorragie grave (HIC, hémorragie digestive, chirurgie urgente). Rapidité d'action 15-30 minutes vs 4-6 h pour le PFC.</w:t>
      </w:r>
    </w:p>
    <w:p>
      <w:pPr>
        <w:pStyle w:val="ListNumber"/>
      </w:pPr>
      <w:r/>
      <w:r>
        <w:rPr>
          <w:b/>
        </w:rPr>
        <w:t>Dose maximale de PCC</w:t>
      </w:r>
      <w:r>
        <w:t xml:space="preserve"> : 50 UI/kg ou 3 000 UI adulte — au-delà, risque thrombotique majeur.</w:t>
      </w:r>
    </w:p>
    <w:p>
      <w:pPr>
        <w:pStyle w:val="ListNumber"/>
      </w:pPr>
      <w:r/>
      <w:r>
        <w:rPr>
          <w:b/>
        </w:rPr>
        <w:t>Association systématique avec vitamine K1</w:t>
      </w:r>
      <w:r>
        <w:t xml:space="preserve"> (10 mg IV lent) — pour assurer une correction durable après l'effet transitoire du PCC (6-8 h).</w:t>
      </w:r>
    </w:p>
    <w:p>
      <w:pPr>
        <w:pStyle w:val="ListNumber"/>
      </w:pPr>
      <w:r/>
      <w:r>
        <w:rPr>
          <w:b/>
        </w:rPr>
        <w:t>Surveillance INR à 30 min, 1 h, 4 h, 24 h post-PCC</w:t>
      </w:r>
      <w:r>
        <w:t xml:space="preserve"> (objectif INR &lt; 1,5). Si INR reste &gt; 1,5 à H+1, ré-injection de 25 UI/kg.</w:t>
      </w:r>
    </w:p>
    <w:p>
      <w:pPr>
        <w:pStyle w:val="ListNumber"/>
      </w:pPr>
      <w:r/>
      <w:r>
        <w:rPr>
          <w:b/>
        </w:rPr>
        <w:t>Risque thrombotique majeur</w:t>
      </w:r>
      <w:r>
        <w:t xml:space="preserve"> (TVP, EP, AVC ischémique, infarctus) — surveillance clinique (douleur mollo-jambière, dyspnée, céphalées brutales, douleur thoracique) et biologique (D-dimères, fibrinogène, NFS-plaquettes).</w:t>
      </w:r>
    </w:p>
    <w:p>
      <w:pPr>
        <w:pStyle w:val="ListNumber"/>
      </w:pPr>
      <w:r/>
      <w:r>
        <w:rPr>
          <w:b/>
        </w:rPr>
        <w:t>PROTHROMPLEX TOTAL contient de l'héparine</w:t>
      </w:r>
      <w:r>
        <w:t xml:space="preserve"> (~0,5-1 UI/mL) — contre-indication absolue en cas de TIH (thrombopénie induite à l'héparine). Surveillance plaquettaire systématique (NFS-plaquettes J0, J3, J5, J7, J14).</w:t>
      </w:r>
    </w:p>
    <w:p>
      <w:pPr>
        <w:pStyle w:val="ListNumber"/>
      </w:pPr>
      <w:r/>
      <w:r>
        <w:rPr>
          <w:b/>
        </w:rPr>
        <w:t>Patients IgA-déficients avec anti-IgA</w:t>
      </w:r>
      <w:r>
        <w:t xml:space="preserve"> : risque majeur d'anaphylaxie. Dosage pondéral IgA systématique avant la première administration.</w:t>
      </w:r>
    </w:p>
    <w:p>
      <w:pPr>
        <w:pStyle w:val="ListNumber"/>
      </w:pPr>
      <w:r/>
      <w:r>
        <w:rPr>
          <w:b/>
        </w:rPr>
        <w:t>Hémolyse chez les patients de groupe A, B, AB</w:t>
      </w:r>
      <w:r>
        <w:t xml:space="preserve"> : PCC contient des isohémagglutinines anti-A et anti-B résiduelles. Surveillance clinique et biologique.</w:t>
      </w:r>
    </w:p>
    <w:p>
      <w:pPr>
        <w:pStyle w:val="ListNumber"/>
      </w:pPr>
      <w:r/>
      <w:r>
        <w:rPr>
          <w:b/>
        </w:rPr>
        <w:t>Vaccination hépatite A et B</w:t>
      </w:r>
      <w:r>
        <w:t xml:space="preserve"> systématique chez tout patient pouvant nécessiter un PCC à répétition.</w:t>
      </w:r>
    </w:p>
    <w:p>
      <w:pPr>
        <w:pStyle w:val="ListNumber"/>
      </w:pPr>
      <w:r/>
      <w:r>
        <w:rPr>
          <w:b/>
        </w:rPr>
        <w:t>Le PCC est moins efficace sur les AOD (apixaban, rivaroxaban, dabigatran)</w:t>
      </w:r>
      <w:r>
        <w:t xml:space="preserve"> que sur les AVK — en Algérie, en l'absence d'andexanet alfa et d'idarucizumab, le PCC (lorsqu'il sera à nouveau disponible) ou le PFC reste utilisé en urgence pour les AOD à la dose de 50 UI/kg.</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PCC utilisable (CRAT), mais surveillance accrue en post-partum (risque thrombotique majoré).</w:t>
      </w:r>
    </w:p>
    <w:p>
      <w:pPr>
        <w:pStyle w:val="ListNumber"/>
      </w:pPr>
      <w:r/>
      <w:r>
        <w:rPr>
          <w:b/>
        </w:rPr>
        <w:t>Reprise d'un anticoagulant après PCC</w:t>
      </w:r>
      <w:r>
        <w:t xml:space="preserve"> : à discuter avec le cardiologue ou l'hématologue référent. Le délai de reprise dépend du type d'hémorragie et du risque thrombotique sous-jacent.</w:t>
      </w:r>
    </w:p>
    <w:p>
      <w:pPr>
        <w:pStyle w:val="ListNumber"/>
      </w:pPr>
      <w:r/>
      <w:r>
        <w:rPr>
          <w:b/>
        </w:rPr>
        <w:t>Pharmacovigilance virale</w:t>
      </w:r>
      <w:r>
        <w:t xml:space="preserve"> : tout épisode viral dans les 6 mois suivant l'administration de PCC doit être notifié au CNPV. Sérologies virales annuelles obligatoires (VIH, VHB, VHC, Parvovirus B19).</w:t>
      </w:r>
    </w:p>
    <w:p>
      <w:pPr>
        <w:pStyle w:val="ListNumber"/>
      </w:pPr>
      <w:r/>
      <w:r>
        <w:rPr>
          <w:b/>
        </w:rPr>
        <w:t>Information patient</w:t>
      </w:r>
      <w:r>
        <w:t xml:space="preserve"> : carte d'information, carnet de suivi patient, numéro d'urgence 24/7 du centre de référence.</w:t>
      </w:r>
    </w:p>
    <w:p>
      <w:pPr>
        <w:pStyle w:val="Heading3"/>
      </w:pPr>
      <w:r>
        <w:t>Sous-section 12 — Tableau comparatif de sous-classe (PCC disponibles internationalement)</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Spécialité</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Composition</w:t>
            </w:r>
          </w:p>
        </w:tc>
        <w:tc>
          <w:tcPr>
            <w:tcW w:type="dxa" w:w="1385"/>
            <w:shd w:val="clear" w:color="auto" w:fill="F2F2F2"/>
          </w:tcPr>
          <w:p>
            <w:r>
              <w:rPr>
                <w:rFonts w:ascii="Times New Roman" w:hAnsi="Times New Roman"/>
                <w:b/>
                <w:sz w:val="20"/>
              </w:rPr>
              <w:t>Dose standard</w:t>
            </w:r>
          </w:p>
        </w:tc>
        <w:tc>
          <w:tcPr>
            <w:tcW w:type="dxa" w:w="1385"/>
            <w:shd w:val="clear" w:color="auto" w:fill="F2F2F2"/>
          </w:tcPr>
          <w:p>
            <w:r>
              <w:rPr>
                <w:rFonts w:ascii="Times New Roman" w:hAnsi="Times New Roman"/>
                <w:b/>
                <w:sz w:val="20"/>
              </w:rPr>
              <w:t>Statut Algérie</w:t>
            </w:r>
          </w:p>
        </w:tc>
        <w:tc>
          <w:tcPr>
            <w:tcW w:type="dxa" w:w="1385"/>
            <w:shd w:val="clear" w:color="auto" w:fill="F2F2F2"/>
          </w:tcPr>
          <w:p>
            <w:r>
              <w:rPr>
                <w:rFonts w:ascii="Times New Roman" w:hAnsi="Times New Roman"/>
                <w:b/>
                <w:sz w:val="20"/>
              </w:rPr>
              <w:t>Statut International</w:t>
            </w:r>
          </w:p>
        </w:tc>
      </w:tr>
      <w:tr>
        <w:tc>
          <w:tcPr>
            <w:tcW w:type="dxa" w:w="1385"/>
          </w:tcPr>
          <w:p>
            <w:r>
              <w:rPr>
                <w:rFonts w:ascii="Times New Roman" w:hAnsi="Times New Roman"/>
                <w:sz w:val="20"/>
              </w:rPr>
              <w:t>PROTHROMPLEX TOTAL S-TIM 4-600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FII + FVII + FIX + FX (4 facteurs) + héparine</w:t>
            </w:r>
          </w:p>
        </w:tc>
        <w:tc>
          <w:tcPr>
            <w:tcW w:type="dxa" w:w="1385"/>
          </w:tcPr>
          <w:p>
            <w:r>
              <w:rPr>
                <w:rFonts w:ascii="Times New Roman" w:hAnsi="Times New Roman"/>
                <w:sz w:val="20"/>
              </w:rPr>
              <w:t>25-50 UI/kg</w:t>
            </w:r>
          </w:p>
        </w:tc>
        <w:tc>
          <w:tcPr>
            <w:tcW w:type="dxa" w:w="1385"/>
          </w:tcPr>
          <w:p>
            <w:r>
              <w:rPr>
                <w:rFonts w:ascii="Times New Roman" w:hAnsi="Times New Roman"/>
                <w:sz w:val="20"/>
              </w:rPr>
              <w:t>**RETRAIT**</w:t>
            </w:r>
          </w:p>
        </w:tc>
        <w:tc>
          <w:tcPr>
            <w:tcW w:type="dxa" w:w="1385"/>
          </w:tcPr>
          <w:p>
            <w:r>
              <w:rPr>
                <w:rFonts w:ascii="Times New Roman" w:hAnsi="Times New Roman"/>
                <w:sz w:val="20"/>
              </w:rPr>
              <w:t>Disponible (Europe)</w:t>
            </w:r>
          </w:p>
        </w:tc>
      </w:tr>
      <w:tr>
        <w:tc>
          <w:tcPr>
            <w:tcW w:type="dxa" w:w="1385"/>
          </w:tcPr>
          <w:p>
            <w:r>
              <w:rPr>
                <w:rFonts w:ascii="Times New Roman" w:hAnsi="Times New Roman"/>
                <w:sz w:val="20"/>
              </w:rPr>
              <w:t>OCTAPLEX</w:t>
            </w:r>
          </w:p>
        </w:tc>
        <w:tc>
          <w:tcPr>
            <w:tcW w:type="dxa" w:w="1385"/>
          </w:tcPr>
          <w:p>
            <w:r>
              <w:rPr>
                <w:rFonts w:ascii="Times New Roman" w:hAnsi="Times New Roman"/>
                <w:sz w:val="20"/>
              </w:rPr>
              <w:t>Octapharma (Allemagne)</w:t>
            </w:r>
          </w:p>
        </w:tc>
        <w:tc>
          <w:tcPr>
            <w:tcW w:type="dxa" w:w="1385"/>
          </w:tcPr>
          <w:p>
            <w:r>
              <w:rPr>
                <w:rFonts w:ascii="Times New Roman" w:hAnsi="Times New Roman"/>
                <w:sz w:val="20"/>
              </w:rPr>
              <w:t>FII + FVII + FIX + FX (4 facteurs) + héparine</w:t>
            </w:r>
          </w:p>
        </w:tc>
        <w:tc>
          <w:tcPr>
            <w:tcW w:type="dxa" w:w="1385"/>
          </w:tcPr>
          <w:p>
            <w:r>
              <w:rPr>
                <w:rFonts w:ascii="Times New Roman" w:hAnsi="Times New Roman"/>
                <w:sz w:val="20"/>
              </w:rPr>
              <w:t>25-50 UI/kg</w:t>
            </w:r>
          </w:p>
        </w:tc>
        <w:tc>
          <w:tcPr>
            <w:tcW w:type="dxa" w:w="1385"/>
          </w:tcPr>
          <w:p>
            <w:r>
              <w:rPr>
                <w:rFonts w:ascii="Times New Roman" w:hAnsi="Times New Roman"/>
                <w:sz w:val="20"/>
              </w:rPr>
              <w:t>Non disponible</w:t>
            </w:r>
          </w:p>
        </w:tc>
        <w:tc>
          <w:tcPr>
            <w:tcW w:type="dxa" w:w="1385"/>
          </w:tcPr>
          <w:p>
            <w:r>
              <w:rPr>
                <w:rFonts w:ascii="Times New Roman" w:hAnsi="Times New Roman"/>
                <w:sz w:val="20"/>
              </w:rPr>
              <w:t>Disponible (Europe, Canada)</w:t>
            </w:r>
          </w:p>
        </w:tc>
      </w:tr>
      <w:tr>
        <w:tc>
          <w:tcPr>
            <w:tcW w:type="dxa" w:w="1385"/>
          </w:tcPr>
          <w:p>
            <w:r>
              <w:rPr>
                <w:rFonts w:ascii="Times New Roman" w:hAnsi="Times New Roman"/>
                <w:sz w:val="20"/>
              </w:rPr>
              <w:t>BERIPLEX / KCENTRA</w:t>
            </w:r>
          </w:p>
        </w:tc>
        <w:tc>
          <w:tcPr>
            <w:tcW w:type="dxa" w:w="1385"/>
          </w:tcPr>
          <w:p>
            <w:r>
              <w:rPr>
                <w:rFonts w:ascii="Times New Roman" w:hAnsi="Times New Roman"/>
                <w:sz w:val="20"/>
              </w:rPr>
              <w:t>CSL Behring (Allemagne)</w:t>
            </w:r>
          </w:p>
        </w:tc>
        <w:tc>
          <w:tcPr>
            <w:tcW w:type="dxa" w:w="1385"/>
          </w:tcPr>
          <w:p>
            <w:r>
              <w:rPr>
                <w:rFonts w:ascii="Times New Roman" w:hAnsi="Times New Roman"/>
                <w:sz w:val="20"/>
              </w:rPr>
              <w:t>FII + FVII + FIX + FX (4 facteurs) + héparine + antithrombine + protéines C/S</w:t>
            </w:r>
          </w:p>
        </w:tc>
        <w:tc>
          <w:tcPr>
            <w:tcW w:type="dxa" w:w="1385"/>
          </w:tcPr>
          <w:p>
            <w:r>
              <w:rPr>
                <w:rFonts w:ascii="Times New Roman" w:hAnsi="Times New Roman"/>
                <w:sz w:val="20"/>
              </w:rPr>
              <w:t>25-50 UI/kg</w:t>
            </w:r>
          </w:p>
        </w:tc>
        <w:tc>
          <w:tcPr>
            <w:tcW w:type="dxa" w:w="1385"/>
          </w:tcPr>
          <w:p>
            <w:r>
              <w:rPr>
                <w:rFonts w:ascii="Times New Roman" w:hAnsi="Times New Roman"/>
                <w:sz w:val="20"/>
              </w:rPr>
              <w:t>Non disponible</w:t>
            </w:r>
          </w:p>
        </w:tc>
        <w:tc>
          <w:tcPr>
            <w:tcW w:type="dxa" w:w="1385"/>
          </w:tcPr>
          <w:p>
            <w:r>
              <w:rPr>
                <w:rFonts w:ascii="Times New Roman" w:hAnsi="Times New Roman"/>
                <w:sz w:val="20"/>
              </w:rPr>
              <w:t>Disponible (Europe, USA)</w:t>
            </w:r>
          </w:p>
        </w:tc>
      </w:tr>
      <w:tr>
        <w:tc>
          <w:tcPr>
            <w:tcW w:type="dxa" w:w="1385"/>
          </w:tcPr>
          <w:p>
            <w:r>
              <w:rPr>
                <w:rFonts w:ascii="Times New Roman" w:hAnsi="Times New Roman"/>
                <w:sz w:val="20"/>
              </w:rPr>
              <w:t>PROTHROMPLEX IMMUNO 600</w:t>
            </w:r>
          </w:p>
        </w:tc>
        <w:tc>
          <w:tcPr>
            <w:tcW w:type="dxa" w:w="1385"/>
          </w:tcPr>
          <w:p>
            <w:r>
              <w:rPr>
                <w:rFonts w:ascii="Times New Roman" w:hAnsi="Times New Roman"/>
                <w:sz w:val="20"/>
              </w:rPr>
              <w:t>Baxter AG (Autriche)</w:t>
            </w:r>
          </w:p>
        </w:tc>
        <w:tc>
          <w:tcPr>
            <w:tcW w:type="dxa" w:w="1385"/>
          </w:tcPr>
          <w:p>
            <w:r>
              <w:rPr>
                <w:rFonts w:ascii="Times New Roman" w:hAnsi="Times New Roman"/>
                <w:sz w:val="20"/>
              </w:rPr>
              <w:t>FII + FIX + FX (3 facteurs, sans FVII)</w:t>
            </w:r>
          </w:p>
        </w:tc>
        <w:tc>
          <w:tcPr>
            <w:tcW w:type="dxa" w:w="1385"/>
          </w:tcPr>
          <w:p>
            <w:r>
              <w:rPr>
                <w:rFonts w:ascii="Times New Roman" w:hAnsi="Times New Roman"/>
                <w:sz w:val="20"/>
              </w:rPr>
              <w:t>50-100 UI/kg</w:t>
            </w:r>
          </w:p>
        </w:tc>
        <w:tc>
          <w:tcPr>
            <w:tcW w:type="dxa" w:w="1385"/>
          </w:tcPr>
          <w:p>
            <w:r>
              <w:rPr>
                <w:rFonts w:ascii="Times New Roman" w:hAnsi="Times New Roman"/>
                <w:sz w:val="20"/>
              </w:rPr>
              <w:t>Non disponible</w:t>
            </w:r>
          </w:p>
        </w:tc>
        <w:tc>
          <w:tcPr>
            <w:tcW w:type="dxa" w:w="1385"/>
          </w:tcPr>
          <w:p>
            <w:r>
              <w:rPr>
                <w:rFonts w:ascii="Times New Roman" w:hAnsi="Times New Roman"/>
                <w:sz w:val="20"/>
              </w:rPr>
              <w:t>Disponible (Europe, restriction)</w:t>
            </w:r>
          </w:p>
        </w:tc>
      </w:tr>
      <w:tr>
        <w:tc>
          <w:tcPr>
            <w:tcW w:type="dxa" w:w="1385"/>
          </w:tcPr>
          <w:p>
            <w:r>
              <w:rPr>
                <w:rFonts w:ascii="Times New Roman" w:hAnsi="Times New Roman"/>
                <w:sz w:val="20"/>
              </w:rPr>
              <w:t>FEIBA</w:t>
            </w:r>
          </w:p>
        </w:tc>
        <w:tc>
          <w:tcPr>
            <w:tcW w:type="dxa" w:w="1385"/>
          </w:tcPr>
          <w:p>
            <w:r>
              <w:rPr>
                <w:rFonts w:ascii="Times New Roman" w:hAnsi="Times New Roman"/>
                <w:sz w:val="20"/>
              </w:rPr>
              <w:t>Takeda (Autriche)</w:t>
            </w:r>
          </w:p>
        </w:tc>
        <w:tc>
          <w:tcPr>
            <w:tcW w:type="dxa" w:w="1385"/>
          </w:tcPr>
          <w:p>
            <w:r>
              <w:rPr>
                <w:rFonts w:ascii="Times New Roman" w:hAnsi="Times New Roman"/>
                <w:sz w:val="20"/>
              </w:rPr>
              <w:t>FIIa + FIXa + FXa + VII activés (PCC activé)</w:t>
            </w:r>
          </w:p>
        </w:tc>
        <w:tc>
          <w:tcPr>
            <w:tcW w:type="dxa" w:w="1385"/>
          </w:tcPr>
          <w:p>
            <w:r>
              <w:rPr>
                <w:rFonts w:ascii="Times New Roman" w:hAnsi="Times New Roman"/>
                <w:sz w:val="20"/>
              </w:rPr>
              <w:t>50-100 U°/kg</w:t>
            </w:r>
          </w:p>
        </w:tc>
        <w:tc>
          <w:tcPr>
            <w:tcW w:type="dxa" w:w="1385"/>
          </w:tcPr>
          <w:p>
            <w:r>
              <w:rPr>
                <w:rFonts w:ascii="Times New Roman" w:hAnsi="Times New Roman"/>
                <w:sz w:val="20"/>
              </w:rPr>
              <w:t>Disponible (FEIBA 1000)</w:t>
            </w:r>
          </w:p>
        </w:tc>
        <w:tc>
          <w:tcPr>
            <w:tcW w:type="dxa" w:w="1385"/>
          </w:tcPr>
          <w:p>
            <w:r>
              <w:rPr>
                <w:rFonts w:ascii="Times New Roman" w:hAnsi="Times New Roman"/>
                <w:sz w:val="20"/>
              </w:rPr>
              <w:t>Disponible (Europe, USA)</w:t>
            </w:r>
          </w:p>
        </w:tc>
      </w:tr>
      <w:tr>
        <w:tc>
          <w:tcPr>
            <w:tcW w:type="dxa" w:w="1385"/>
          </w:tcPr>
          <w:p>
            <w:r>
              <w:rPr>
                <w:rFonts w:ascii="Times New Roman" w:hAnsi="Times New Roman"/>
                <w:sz w:val="20"/>
              </w:rPr>
              <w:t>Plasma Frais Congelé (PFC)</w:t>
            </w:r>
          </w:p>
        </w:tc>
        <w:tc>
          <w:tcPr>
            <w:tcW w:type="dxa" w:w="1385"/>
          </w:tcPr>
          <w:p>
            <w:r>
              <w:rPr>
                <w:rFonts w:ascii="Times New Roman" w:hAnsi="Times New Roman"/>
                <w:sz w:val="20"/>
              </w:rPr>
              <w:t>CNTS (Algérie)</w:t>
            </w:r>
          </w:p>
        </w:tc>
        <w:tc>
          <w:tcPr>
            <w:tcW w:type="dxa" w:w="1385"/>
          </w:tcPr>
          <w:p>
            <w:r>
              <w:rPr>
                <w:rFonts w:ascii="Times New Roman" w:hAnsi="Times New Roman"/>
                <w:sz w:val="20"/>
              </w:rPr>
              <w:t>Tous facteurs plasmatiques (variables)</w:t>
            </w:r>
          </w:p>
        </w:tc>
        <w:tc>
          <w:tcPr>
            <w:tcW w:type="dxa" w:w="1385"/>
          </w:tcPr>
          <w:p>
            <w:r>
              <w:rPr>
                <w:rFonts w:ascii="Times New Roman" w:hAnsi="Times New Roman"/>
                <w:sz w:val="20"/>
              </w:rPr>
              <w:t>15 mL/kg</w:t>
            </w:r>
          </w:p>
        </w:tc>
        <w:tc>
          <w:tcPr>
            <w:tcW w:type="dxa" w:w="1385"/>
          </w:tcPr>
          <w:p>
            <w:r>
              <w:rPr>
                <w:rFonts w:ascii="Times New Roman" w:hAnsi="Times New Roman"/>
                <w:sz w:val="20"/>
              </w:rPr>
              <w:t>Disponible (CNTS)</w:t>
            </w:r>
          </w:p>
        </w:tc>
        <w:tc>
          <w:tcPr>
            <w:tcW w:type="dxa" w:w="1385"/>
          </w:tcPr>
          <w:p>
            <w:r>
              <w:rPr>
                <w:rFonts w:ascii="Times New Roman" w:hAnsi="Times New Roman"/>
                <w:sz w:val="20"/>
              </w:rPr>
              <w:t>Disponible (international)</w:t>
            </w:r>
          </w:p>
        </w:tc>
      </w:tr>
    </w:tbl>
    <w:p/>
    <w:p>
      <w:pPr>
        <w:pStyle w:val="Heading2"/>
      </w:pPr>
      <w:r>
        <w:t>235.2. Tableau comparatif international des PCC disponibles</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w:t>
            </w:r>
          </w:p>
        </w:tc>
        <w:tc>
          <w:tcPr>
            <w:tcW w:type="dxa" w:w="1187"/>
            <w:shd w:val="clear" w:color="auto" w:fill="F2F2F2"/>
          </w:tcPr>
          <w:p>
            <w:r>
              <w:rPr>
                <w:rFonts w:ascii="Times New Roman" w:hAnsi="Times New Roman"/>
                <w:b/>
                <w:sz w:val="20"/>
              </w:rPr>
              <w:t>Spécialité</w:t>
            </w:r>
          </w:p>
        </w:tc>
        <w:tc>
          <w:tcPr>
            <w:tcW w:type="dxa" w:w="1187"/>
            <w:shd w:val="clear" w:color="auto" w:fill="F2F2F2"/>
          </w:tcPr>
          <w:p>
            <w:r>
              <w:rPr>
                <w:rFonts w:ascii="Times New Roman" w:hAnsi="Times New Roman"/>
                <w:b/>
                <w:sz w:val="20"/>
              </w:rPr>
              <w:t>Laboratoire</w:t>
            </w:r>
          </w:p>
        </w:tc>
        <w:tc>
          <w:tcPr>
            <w:tcW w:type="dxa" w:w="1187"/>
            <w:shd w:val="clear" w:color="auto" w:fill="F2F2F2"/>
          </w:tcPr>
          <w:p>
            <w:r>
              <w:rPr>
                <w:rFonts w:ascii="Times New Roman" w:hAnsi="Times New Roman"/>
                <w:b/>
                <w:sz w:val="20"/>
              </w:rPr>
              <w:t>Composition</w:t>
            </w:r>
          </w:p>
        </w:tc>
        <w:tc>
          <w:tcPr>
            <w:tcW w:type="dxa" w:w="1187"/>
            <w:shd w:val="clear" w:color="auto" w:fill="F2F2F2"/>
          </w:tcPr>
          <w:p>
            <w:r>
              <w:rPr>
                <w:rFonts w:ascii="Times New Roman" w:hAnsi="Times New Roman"/>
                <w:b/>
                <w:sz w:val="20"/>
              </w:rPr>
              <w:t>Dose standard adulte</w:t>
            </w:r>
          </w:p>
        </w:tc>
        <w:tc>
          <w:tcPr>
            <w:tcW w:type="dxa" w:w="1187"/>
            <w:shd w:val="clear" w:color="auto" w:fill="F2F2F2"/>
          </w:tcPr>
          <w:p>
            <w:r>
              <w:rPr>
                <w:rFonts w:ascii="Times New Roman" w:hAnsi="Times New Roman"/>
                <w:b/>
                <w:sz w:val="20"/>
              </w:rPr>
              <w:t>Statut Algérie</w:t>
            </w:r>
          </w:p>
        </w:tc>
        <w:tc>
          <w:tcPr>
            <w:tcW w:type="dxa" w:w="1187"/>
            <w:shd w:val="clear" w:color="auto" w:fill="F2F2F2"/>
          </w:tcPr>
          <w:p>
            <w:r>
              <w:rPr>
                <w:rFonts w:ascii="Times New Roman" w:hAnsi="Times New Roman"/>
                <w:b/>
                <w:sz w:val="20"/>
              </w:rPr>
              <w:t>Code ATC</w:t>
            </w:r>
          </w:p>
        </w:tc>
      </w:tr>
      <w:tr>
        <w:tc>
          <w:tcPr>
            <w:tcW w:type="dxa" w:w="1187"/>
          </w:tcPr>
          <w:p>
            <w:r>
              <w:rPr>
                <w:rFonts w:ascii="Times New Roman" w:hAnsi="Times New Roman"/>
                <w:sz w:val="20"/>
              </w:rPr>
              <w:t>1</w:t>
            </w:r>
          </w:p>
        </w:tc>
        <w:tc>
          <w:tcPr>
            <w:tcW w:type="dxa" w:w="1187"/>
          </w:tcPr>
          <w:p>
            <w:r>
              <w:rPr>
                <w:rFonts w:ascii="Times New Roman" w:hAnsi="Times New Roman"/>
                <w:sz w:val="20"/>
              </w:rPr>
              <w:t>PROTHROMPLEX TOTAL S-TIM 4-600</w:t>
            </w:r>
          </w:p>
        </w:tc>
        <w:tc>
          <w:tcPr>
            <w:tcW w:type="dxa" w:w="1187"/>
          </w:tcPr>
          <w:p>
            <w:r>
              <w:rPr>
                <w:rFonts w:ascii="Times New Roman" w:hAnsi="Times New Roman"/>
                <w:sz w:val="20"/>
              </w:rPr>
              <w:t>Baxter AG (Autriche)</w:t>
            </w:r>
          </w:p>
        </w:tc>
        <w:tc>
          <w:tcPr>
            <w:tcW w:type="dxa" w:w="1187"/>
          </w:tcPr>
          <w:p>
            <w:r>
              <w:rPr>
                <w:rFonts w:ascii="Times New Roman" w:hAnsi="Times New Roman"/>
                <w:sz w:val="20"/>
              </w:rPr>
              <w:t>FII + FVII + FIX + FX (4F) + héparine + AT</w:t>
            </w:r>
          </w:p>
        </w:tc>
        <w:tc>
          <w:tcPr>
            <w:tcW w:type="dxa" w:w="1187"/>
          </w:tcPr>
          <w:p>
            <w:r>
              <w:rPr>
                <w:rFonts w:ascii="Times New Roman" w:hAnsi="Times New Roman"/>
                <w:sz w:val="20"/>
              </w:rPr>
              <w:t>25-50 UI/kg</w:t>
            </w:r>
          </w:p>
        </w:tc>
        <w:tc>
          <w:tcPr>
            <w:tcW w:type="dxa" w:w="1187"/>
          </w:tcPr>
          <w:p>
            <w:r>
              <w:rPr>
                <w:rFonts w:ascii="Times New Roman" w:hAnsi="Times New Roman"/>
                <w:sz w:val="20"/>
              </w:rPr>
              <w:t>**RETRAIT**</w:t>
            </w:r>
          </w:p>
        </w:tc>
        <w:tc>
          <w:tcPr>
            <w:tcW w:type="dxa" w:w="1187"/>
          </w:tcPr>
          <w:p>
            <w:r>
              <w:rPr>
                <w:rFonts w:ascii="Times New Roman" w:hAnsi="Times New Roman"/>
                <w:sz w:val="20"/>
              </w:rPr>
              <w:t>B02BD02</w:t>
            </w:r>
          </w:p>
        </w:tc>
      </w:tr>
      <w:tr>
        <w:tc>
          <w:tcPr>
            <w:tcW w:type="dxa" w:w="1187"/>
          </w:tcPr>
          <w:p>
            <w:r>
              <w:rPr>
                <w:rFonts w:ascii="Times New Roman" w:hAnsi="Times New Roman"/>
                <w:sz w:val="20"/>
              </w:rPr>
              <w:t>2</w:t>
            </w:r>
          </w:p>
        </w:tc>
        <w:tc>
          <w:tcPr>
            <w:tcW w:type="dxa" w:w="1187"/>
          </w:tcPr>
          <w:p>
            <w:r>
              <w:rPr>
                <w:rFonts w:ascii="Times New Roman" w:hAnsi="Times New Roman"/>
                <w:sz w:val="20"/>
              </w:rPr>
              <w:t>OCTAPLEX</w:t>
            </w:r>
          </w:p>
        </w:tc>
        <w:tc>
          <w:tcPr>
            <w:tcW w:type="dxa" w:w="1187"/>
          </w:tcPr>
          <w:p>
            <w:r>
              <w:rPr>
                <w:rFonts w:ascii="Times New Roman" w:hAnsi="Times New Roman"/>
                <w:sz w:val="20"/>
              </w:rPr>
              <w:t>Octapharma (Allemagne)</w:t>
            </w:r>
          </w:p>
        </w:tc>
        <w:tc>
          <w:tcPr>
            <w:tcW w:type="dxa" w:w="1187"/>
          </w:tcPr>
          <w:p>
            <w:r>
              <w:rPr>
                <w:rFonts w:ascii="Times New Roman" w:hAnsi="Times New Roman"/>
                <w:sz w:val="20"/>
              </w:rPr>
              <w:t>FII + FVII + FIX + FX (4F) + héparine + AT + PC/PS</w:t>
            </w:r>
          </w:p>
        </w:tc>
        <w:tc>
          <w:tcPr>
            <w:tcW w:type="dxa" w:w="1187"/>
          </w:tcPr>
          <w:p>
            <w:r>
              <w:rPr>
                <w:rFonts w:ascii="Times New Roman" w:hAnsi="Times New Roman"/>
                <w:sz w:val="20"/>
              </w:rPr>
              <w:t>25-50 UI/kg</w:t>
            </w:r>
          </w:p>
        </w:tc>
        <w:tc>
          <w:tcPr>
            <w:tcW w:type="dxa" w:w="1187"/>
          </w:tcPr>
          <w:p>
            <w:r>
              <w:rPr>
                <w:rFonts w:ascii="Times New Roman" w:hAnsi="Times New Roman"/>
                <w:sz w:val="20"/>
              </w:rPr>
              <w:t>Non disponible</w:t>
            </w:r>
          </w:p>
        </w:tc>
        <w:tc>
          <w:tcPr>
            <w:tcW w:type="dxa" w:w="1187"/>
          </w:tcPr>
          <w:p>
            <w:r>
              <w:rPr>
                <w:rFonts w:ascii="Times New Roman" w:hAnsi="Times New Roman"/>
                <w:sz w:val="20"/>
              </w:rPr>
              <w:t>B02BD02</w:t>
            </w:r>
          </w:p>
        </w:tc>
      </w:tr>
      <w:tr>
        <w:tc>
          <w:tcPr>
            <w:tcW w:type="dxa" w:w="1187"/>
          </w:tcPr>
          <w:p>
            <w:r>
              <w:rPr>
                <w:rFonts w:ascii="Times New Roman" w:hAnsi="Times New Roman"/>
                <w:sz w:val="20"/>
              </w:rPr>
              <w:t>3</w:t>
            </w:r>
          </w:p>
        </w:tc>
        <w:tc>
          <w:tcPr>
            <w:tcW w:type="dxa" w:w="1187"/>
          </w:tcPr>
          <w:p>
            <w:r>
              <w:rPr>
                <w:rFonts w:ascii="Times New Roman" w:hAnsi="Times New Roman"/>
                <w:sz w:val="20"/>
              </w:rPr>
              <w:t>BERIPLEX / KCENTRA</w:t>
            </w:r>
          </w:p>
        </w:tc>
        <w:tc>
          <w:tcPr>
            <w:tcW w:type="dxa" w:w="1187"/>
          </w:tcPr>
          <w:p>
            <w:r>
              <w:rPr>
                <w:rFonts w:ascii="Times New Roman" w:hAnsi="Times New Roman"/>
                <w:sz w:val="20"/>
              </w:rPr>
              <w:t>CSL Behring (Allemagne)</w:t>
            </w:r>
          </w:p>
        </w:tc>
        <w:tc>
          <w:tcPr>
            <w:tcW w:type="dxa" w:w="1187"/>
          </w:tcPr>
          <w:p>
            <w:r>
              <w:rPr>
                <w:rFonts w:ascii="Times New Roman" w:hAnsi="Times New Roman"/>
                <w:sz w:val="20"/>
              </w:rPr>
              <w:t>FII + FVII + FIX + FX (4F) + héparine + AT + PC/PS</w:t>
            </w:r>
          </w:p>
        </w:tc>
        <w:tc>
          <w:tcPr>
            <w:tcW w:type="dxa" w:w="1187"/>
          </w:tcPr>
          <w:p>
            <w:r>
              <w:rPr>
                <w:rFonts w:ascii="Times New Roman" w:hAnsi="Times New Roman"/>
                <w:sz w:val="20"/>
              </w:rPr>
              <w:t>25-50 UI/kg</w:t>
            </w:r>
          </w:p>
        </w:tc>
        <w:tc>
          <w:tcPr>
            <w:tcW w:type="dxa" w:w="1187"/>
          </w:tcPr>
          <w:p>
            <w:r>
              <w:rPr>
                <w:rFonts w:ascii="Times New Roman" w:hAnsi="Times New Roman"/>
                <w:sz w:val="20"/>
              </w:rPr>
              <w:t>Non disponible</w:t>
            </w:r>
          </w:p>
        </w:tc>
        <w:tc>
          <w:tcPr>
            <w:tcW w:type="dxa" w:w="1187"/>
          </w:tcPr>
          <w:p>
            <w:r>
              <w:rPr>
                <w:rFonts w:ascii="Times New Roman" w:hAnsi="Times New Roman"/>
                <w:sz w:val="20"/>
              </w:rPr>
              <w:t>B02BD02</w:t>
            </w:r>
          </w:p>
        </w:tc>
      </w:tr>
      <w:tr>
        <w:tc>
          <w:tcPr>
            <w:tcW w:type="dxa" w:w="1187"/>
          </w:tcPr>
          <w:p>
            <w:r>
              <w:rPr>
                <w:rFonts w:ascii="Times New Roman" w:hAnsi="Times New Roman"/>
                <w:sz w:val="20"/>
              </w:rPr>
              <w:t>4</w:t>
            </w:r>
          </w:p>
        </w:tc>
        <w:tc>
          <w:tcPr>
            <w:tcW w:type="dxa" w:w="1187"/>
          </w:tcPr>
          <w:p>
            <w:r>
              <w:rPr>
                <w:rFonts w:ascii="Times New Roman" w:hAnsi="Times New Roman"/>
                <w:sz w:val="20"/>
              </w:rPr>
              <w:t>PROTHROMPLEX IMMUNO 600</w:t>
            </w:r>
          </w:p>
        </w:tc>
        <w:tc>
          <w:tcPr>
            <w:tcW w:type="dxa" w:w="1187"/>
          </w:tcPr>
          <w:p>
            <w:r>
              <w:rPr>
                <w:rFonts w:ascii="Times New Roman" w:hAnsi="Times New Roman"/>
                <w:sz w:val="20"/>
              </w:rPr>
              <w:t>Baxter AG (Autriche)</w:t>
            </w:r>
          </w:p>
        </w:tc>
        <w:tc>
          <w:tcPr>
            <w:tcW w:type="dxa" w:w="1187"/>
          </w:tcPr>
          <w:p>
            <w:r>
              <w:rPr>
                <w:rFonts w:ascii="Times New Roman" w:hAnsi="Times New Roman"/>
                <w:sz w:val="20"/>
              </w:rPr>
              <w:t>FII + FIX + FX (3F, sans FVII)</w:t>
            </w:r>
          </w:p>
        </w:tc>
        <w:tc>
          <w:tcPr>
            <w:tcW w:type="dxa" w:w="1187"/>
          </w:tcPr>
          <w:p>
            <w:r>
              <w:rPr>
                <w:rFonts w:ascii="Times New Roman" w:hAnsi="Times New Roman"/>
                <w:sz w:val="20"/>
              </w:rPr>
              <w:t>50-100 UI/kg</w:t>
            </w:r>
          </w:p>
        </w:tc>
        <w:tc>
          <w:tcPr>
            <w:tcW w:type="dxa" w:w="1187"/>
          </w:tcPr>
          <w:p>
            <w:r>
              <w:rPr>
                <w:rFonts w:ascii="Times New Roman" w:hAnsi="Times New Roman"/>
                <w:sz w:val="20"/>
              </w:rPr>
              <w:t>Non disponible</w:t>
            </w:r>
          </w:p>
        </w:tc>
        <w:tc>
          <w:tcPr>
            <w:tcW w:type="dxa" w:w="1187"/>
          </w:tcPr>
          <w:p>
            <w:r>
              <w:rPr>
                <w:rFonts w:ascii="Times New Roman" w:hAnsi="Times New Roman"/>
                <w:sz w:val="20"/>
              </w:rPr>
              <w:t>B02BD02</w:t>
            </w:r>
          </w:p>
        </w:tc>
      </w:tr>
      <w:tr>
        <w:tc>
          <w:tcPr>
            <w:tcW w:type="dxa" w:w="1187"/>
          </w:tcPr>
          <w:p>
            <w:r>
              <w:rPr>
                <w:rFonts w:ascii="Times New Roman" w:hAnsi="Times New Roman"/>
                <w:sz w:val="20"/>
              </w:rPr>
              <w:t>5</w:t>
            </w:r>
          </w:p>
        </w:tc>
        <w:tc>
          <w:tcPr>
            <w:tcW w:type="dxa" w:w="1187"/>
          </w:tcPr>
          <w:p>
            <w:r>
              <w:rPr>
                <w:rFonts w:ascii="Times New Roman" w:hAnsi="Times New Roman"/>
                <w:sz w:val="20"/>
              </w:rPr>
              <w:t>FEIBA</w:t>
            </w:r>
          </w:p>
        </w:tc>
        <w:tc>
          <w:tcPr>
            <w:tcW w:type="dxa" w:w="1187"/>
          </w:tcPr>
          <w:p>
            <w:r>
              <w:rPr>
                <w:rFonts w:ascii="Times New Roman" w:hAnsi="Times New Roman"/>
                <w:sz w:val="20"/>
              </w:rPr>
              <w:t>Takeda (Autriche)</w:t>
            </w:r>
          </w:p>
        </w:tc>
        <w:tc>
          <w:tcPr>
            <w:tcW w:type="dxa" w:w="1187"/>
          </w:tcPr>
          <w:p>
            <w:r>
              <w:rPr>
                <w:rFonts w:ascii="Times New Roman" w:hAnsi="Times New Roman"/>
                <w:sz w:val="20"/>
              </w:rPr>
              <w:t>FIIa + FIXa + FXa + VII activés (PCC activé)</w:t>
            </w:r>
          </w:p>
        </w:tc>
        <w:tc>
          <w:tcPr>
            <w:tcW w:type="dxa" w:w="1187"/>
          </w:tcPr>
          <w:p>
            <w:r>
              <w:rPr>
                <w:rFonts w:ascii="Times New Roman" w:hAnsi="Times New Roman"/>
                <w:sz w:val="20"/>
              </w:rPr>
              <w:t>50-100 U°/kg</w:t>
            </w:r>
          </w:p>
        </w:tc>
        <w:tc>
          <w:tcPr>
            <w:tcW w:type="dxa" w:w="1187"/>
          </w:tcPr>
          <w:p>
            <w:r>
              <w:rPr>
                <w:rFonts w:ascii="Times New Roman" w:hAnsi="Times New Roman"/>
                <w:sz w:val="20"/>
              </w:rPr>
              <w:t>Disponible (FEIBA 1000)</w:t>
            </w:r>
          </w:p>
        </w:tc>
        <w:tc>
          <w:tcPr>
            <w:tcW w:type="dxa" w:w="1187"/>
          </w:tcPr>
          <w:p>
            <w:r>
              <w:rPr>
                <w:rFonts w:ascii="Times New Roman" w:hAnsi="Times New Roman"/>
                <w:sz w:val="20"/>
              </w:rPr>
              <w:t>B02BD30</w:t>
            </w:r>
          </w:p>
        </w:tc>
      </w:tr>
      <w:tr>
        <w:tc>
          <w:tcPr>
            <w:tcW w:type="dxa" w:w="1187"/>
          </w:tcPr>
          <w:p>
            <w:r>
              <w:rPr>
                <w:rFonts w:ascii="Times New Roman" w:hAnsi="Times New Roman"/>
                <w:sz w:val="20"/>
              </w:rPr>
              <w:t>6</w:t>
            </w:r>
          </w:p>
        </w:tc>
        <w:tc>
          <w:tcPr>
            <w:tcW w:type="dxa" w:w="1187"/>
          </w:tcPr>
          <w:p>
            <w:r>
              <w:rPr>
                <w:rFonts w:ascii="Times New Roman" w:hAnsi="Times New Roman"/>
                <w:sz w:val="20"/>
              </w:rPr>
              <w:t>Plasma Frais Congelé (PFC)</w:t>
            </w:r>
          </w:p>
        </w:tc>
        <w:tc>
          <w:tcPr>
            <w:tcW w:type="dxa" w:w="1187"/>
          </w:tcPr>
          <w:p>
            <w:r>
              <w:rPr>
                <w:rFonts w:ascii="Times New Roman" w:hAnsi="Times New Roman"/>
                <w:sz w:val="20"/>
              </w:rPr>
              <w:t>CNTS (Algérie)</w:t>
            </w:r>
          </w:p>
        </w:tc>
        <w:tc>
          <w:tcPr>
            <w:tcW w:type="dxa" w:w="1187"/>
          </w:tcPr>
          <w:p>
            <w:r>
              <w:rPr>
                <w:rFonts w:ascii="Times New Roman" w:hAnsi="Times New Roman"/>
                <w:sz w:val="20"/>
              </w:rPr>
              <w:t>Tous facteurs plasmatiques (variables)</w:t>
            </w:r>
          </w:p>
        </w:tc>
        <w:tc>
          <w:tcPr>
            <w:tcW w:type="dxa" w:w="1187"/>
          </w:tcPr>
          <w:p>
            <w:r>
              <w:rPr>
                <w:rFonts w:ascii="Times New Roman" w:hAnsi="Times New Roman"/>
                <w:sz w:val="20"/>
              </w:rPr>
              <w:t>15 mL/kg</w:t>
            </w:r>
          </w:p>
        </w:tc>
        <w:tc>
          <w:tcPr>
            <w:tcW w:type="dxa" w:w="1187"/>
          </w:tcPr>
          <w:p>
            <w:r>
              <w:rPr>
                <w:rFonts w:ascii="Times New Roman" w:hAnsi="Times New Roman"/>
                <w:sz w:val="20"/>
              </w:rPr>
              <w:t>Disponible (CNTS)</w:t>
            </w:r>
          </w:p>
        </w:tc>
        <w:tc>
          <w:tcPr>
            <w:tcW w:type="dxa" w:w="1187"/>
          </w:tcPr>
          <w:p>
            <w:r>
              <w:rPr>
                <w:rFonts w:ascii="Times New Roman" w:hAnsi="Times New Roman"/>
                <w:sz w:val="20"/>
              </w:rPr>
              <w:t>N/A (PSL)</w:t>
            </w:r>
          </w:p>
        </w:tc>
      </w:tr>
    </w:tbl>
    <w:p/>
    <w:p>
      <w:pPr>
        <w:pStyle w:val="Heading2"/>
      </w:pPr>
      <w:r>
        <w:t>235.3. Synthèse pédagogique et particularités algériennes</w:t>
      </w:r>
    </w:p>
    <w:p>
      <w:pPr>
        <w:pStyle w:val="Heading3"/>
      </w:pPr>
      <w:r>
        <w:t>Messages-clés pour la pratique</w:t>
      </w:r>
    </w:p>
    <w:p>
      <w:pPr>
        <w:pStyle w:val="ListNumber"/>
      </w:pPr>
      <w:r/>
      <w:r>
        <w:rPr>
          <w:b/>
        </w:rPr>
        <w:t>PROTHROMPLEX TOTAL (Baxter) est RETIRÉ du marché algérien depuis avril 2026</w:t>
      </w:r>
      <w:r>
        <w:t>. Les patients algériens nécessitant un reversal urgent des AVK doivent être pris en charge par alternatives : PFC, vitamine K1, ou importation exceptionnelle ATU nominative de OCTAPLEX ou BERIPLEX.</w:t>
      </w:r>
    </w:p>
    <w:p>
      <w:pPr>
        <w:pStyle w:val="ListNumber"/>
      </w:pPr>
      <w:r/>
      <w:r>
        <w:rPr>
          <w:b/>
        </w:rPr>
        <w:t>Le PCC 4 facteurs est le traitement de référence pour le reversal urgent des AVK</w:t>
      </w:r>
      <w:r>
        <w:t xml:space="preserve"> en cas d'hémorragie grave (HIC, hémorragie digestive, chirurgie urgente). Rapidité d'action 15-30 minutes vs 4-6 h pour le PFC.</w:t>
      </w:r>
    </w:p>
    <w:p>
      <w:pPr>
        <w:pStyle w:val="ListNumber"/>
      </w:pPr>
      <w:r/>
      <w:r>
        <w:rPr>
          <w:b/>
        </w:rPr>
        <w:t>Dose standard adulte</w:t>
      </w:r>
      <w:r>
        <w:t xml:space="preserve"> : 25-50 UI/kg selon INR initial. </w:t>
      </w:r>
      <w:r>
        <w:rPr>
          <w:b/>
        </w:rPr>
        <w:t>Dose maximale</w:t>
      </w:r>
      <w:r>
        <w:t xml:space="preserve"> : 50 UI/kg ou 3 000 UI adulte.</w:t>
      </w:r>
    </w:p>
    <w:p>
      <w:pPr>
        <w:pStyle w:val="ListNumber"/>
      </w:pPr>
      <w:r/>
      <w:r>
        <w:rPr>
          <w:b/>
        </w:rPr>
        <w:t>Association systématique avec vitamine K1</w:t>
      </w:r>
      <w:r>
        <w:t xml:space="preserve"> (10 mg IV lent) — pour assurer une correction durable après l'effet transitoire du PCC (6-8 h).</w:t>
      </w:r>
    </w:p>
    <w:p>
      <w:pPr>
        <w:pStyle w:val="ListNumber"/>
      </w:pPr>
      <w:r/>
      <w:r>
        <w:rPr>
          <w:b/>
        </w:rPr>
        <w:t>Surveillance INR à 30 min, 1 h, 4 h, 24 h post-PCC</w:t>
      </w:r>
      <w:r>
        <w:t xml:space="preserve"> (objectif INR &lt; 1,5). Si INR reste &gt; 1,5 à H+1, ré-injection de 25 UI/kg.</w:t>
      </w:r>
    </w:p>
    <w:p>
      <w:pPr>
        <w:pStyle w:val="ListNumber"/>
      </w:pPr>
      <w:r/>
      <w:r>
        <w:rPr>
          <w:b/>
        </w:rPr>
        <w:t>Risque thrombotique majeur</w:t>
      </w:r>
      <w:r>
        <w:t xml:space="preserve"> (TVP, EP, AVC ischémique, infarctus) — surveillance clinique et biologique.</w:t>
      </w:r>
    </w:p>
    <w:p>
      <w:pPr>
        <w:pStyle w:val="ListNumber"/>
      </w:pPr>
      <w:r/>
      <w:r>
        <w:rPr>
          <w:b/>
        </w:rPr>
        <w:t>PROTHROMPLEX TOTAL contient de l'héparine</w:t>
      </w:r>
      <w:r>
        <w:t xml:space="preserve"> — contre-indication absolue en cas de TIH (thrombopénie induite à l'héparine). Surveillance plaquettaire systématique (NFS-plaquettes J0, J3, J5, J7, J14).</w:t>
      </w:r>
    </w:p>
    <w:p>
      <w:pPr>
        <w:pStyle w:val="ListNumber"/>
      </w:pPr>
      <w:r/>
      <w:r>
        <w:rPr>
          <w:b/>
        </w:rPr>
        <w:t>Patients IgA-déficients avec anti-IgA</w:t>
      </w:r>
      <w:r>
        <w:t xml:space="preserve"> : risque majeur d'anaphylaxie. Dosage pondéral IgA systématique avant la première administration.</w:t>
      </w:r>
    </w:p>
    <w:p>
      <w:pPr>
        <w:pStyle w:val="ListNumber"/>
      </w:pPr>
      <w:r/>
      <w:r>
        <w:rPr>
          <w:b/>
        </w:rPr>
        <w:t>Hémolyse chez les patients de groupe A, B, AB</w:t>
      </w:r>
      <w:r>
        <w:t xml:space="preserve"> : PCC contient des isohémagglutinines anti-A et anti-B résiduelles. Surveillance clinique et biologique.</w:t>
      </w:r>
    </w:p>
    <w:p>
      <w:pPr>
        <w:pStyle w:val="ListNumber"/>
      </w:pPr>
      <w:r/>
      <w:r>
        <w:rPr>
          <w:b/>
        </w:rPr>
        <w:t>Vaccination hépatite A et B</w:t>
      </w:r>
      <w:r>
        <w:t xml:space="preserve"> systématique chez tout patient pouvant nécessiter un PCC à répétition.</w:t>
      </w:r>
    </w:p>
    <w:p>
      <w:pPr>
        <w:pStyle w:val="ListNumber"/>
      </w:pPr>
      <w:r/>
      <w:r>
        <w:rPr>
          <w:b/>
        </w:rPr>
        <w:t>Le PCC est moins efficace sur les AOD (apixaban, rivaroxaban, dabigatran)</w:t>
      </w:r>
      <w:r>
        <w:t xml:space="preserve"> — en Algérie, en l'absence d'andexanet alfa et d'idarucizumab, le PCC (lorsqu'il sera à nouveau disponible) ou le PFC reste utilisé en urgence pour les AOD à la dose de 50 UI/kg.</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PCC utilisable (CRAT), mais surveillance accrue en post-partum (risque thrombotique majoré).</w:t>
      </w:r>
    </w:p>
    <w:p>
      <w:pPr>
        <w:pStyle w:val="ListNumber"/>
      </w:pPr>
      <w:r/>
      <w:r>
        <w:rPr>
          <w:b/>
        </w:rPr>
        <w:t>Reprise d'un anticoagulant après PCC</w:t>
      </w:r>
      <w:r>
        <w:t xml:space="preserve"> : à discuter avec le cardiologue ou l'hématologue référent en fonction de l'indication initiale et du risque thrombotique sous-jacent.</w:t>
      </w:r>
    </w:p>
    <w:p>
      <w:pPr>
        <w:pStyle w:val="ListNumber"/>
      </w:pPr>
      <w:r/>
      <w:r>
        <w:rPr>
          <w:b/>
        </w:rPr>
        <w:t>Pharmacovigilance virale</w:t>
      </w:r>
      <w:r>
        <w:t xml:space="preserve"> : tout épisode viral dans les 6 mois suivant l'administration de PCC doit être notifié au CNPV.</w:t>
      </w:r>
    </w:p>
    <w:p>
      <w:pPr>
        <w:pStyle w:val="Heading3"/>
      </w:pPr>
      <w:r>
        <w:t>Particularités algériennes</w:t>
      </w:r>
    </w:p>
    <w:p>
      <w:pPr>
        <w:pStyle w:val="ListBullet"/>
      </w:pPr>
      <w:r/>
      <w:r>
        <w:rPr>
          <w:b/>
        </w:rPr>
        <w:t>Retrait de PROTHROMPLEX TOTAL (Baxter) en avril 2026</w:t>
      </w:r>
      <w:r>
        <w:t xml:space="preserve"> — rupture d'approvisionnement en PCC 4 facteurs en Algérie.</w:t>
      </w:r>
    </w:p>
    <w:p>
      <w:pPr>
        <w:pStyle w:val="ListBullet"/>
      </w:pPr>
      <w:r/>
      <w:r>
        <w:rPr>
          <w:b/>
        </w:rPr>
        <w:t>Alternatives algériennes</w:t>
      </w:r>
      <w:r>
        <w:t xml:space="preserve"> :</w:t>
      </w:r>
    </w:p>
    <w:p>
      <w:pPr>
        <w:pStyle w:val="ListBullet"/>
      </w:pPr>
      <w:r/>
      <w:r>
        <w:rPr>
          <w:b/>
        </w:rPr>
        <w:t>Plasma Frais Congelé (PFC)</w:t>
      </w:r>
      <w:r>
        <w:t xml:space="preserve"> produit localement par le CNTS (Centre National de Transfusion Sanguine) — disponible en stock permanent.</w:t>
      </w:r>
    </w:p>
    <w:p>
      <w:pPr>
        <w:pStyle w:val="ListBullet"/>
      </w:pPr>
      <w:r/>
      <w:r>
        <w:rPr>
          <w:b/>
        </w:rPr>
        <w:t>Vitamine K1 (phytoménadione)</w:t>
      </w:r>
      <w:r>
        <w:t xml:space="preserve"> disponible en Algérie (sous la marque MÉPHYTON — Merck, ou génériques).</w:t>
      </w:r>
    </w:p>
    <w:p>
      <w:pPr>
        <w:pStyle w:val="ListBullet"/>
      </w:pPr>
      <w:r/>
      <w:r>
        <w:rPr>
          <w:b/>
        </w:rPr>
        <w:t>Importation exceptionnelle ATU nominative</w:t>
      </w:r>
      <w:r>
        <w:t xml:space="preserve"> de OCTAPLEX (Octapharma) ou BERIPLEX/KCENTRA (CSL Behring) pour les centres hospitaliers équipés (CHU Mustapha Alger, CHU Oran, CHU Constantine).</w:t>
      </w:r>
    </w:p>
    <w:p>
      <w:pPr>
        <w:pStyle w:val="ListBullet"/>
      </w:pPr>
      <w:r/>
      <w:r>
        <w:rPr>
          <w:b/>
        </w:rPr>
        <w:t>Stratégie algérienne actuelle</w:t>
      </w:r>
      <w:r>
        <w:t xml:space="preserve"> : association PFC (15 mL/kg IV) + vitamine K1 (10 mg IV lent) en cas d'hémorragie grave sous AVK, avec surveillance INR à 6 h (correction retardée vs PCC).</w:t>
      </w:r>
    </w:p>
    <w:p>
      <w:pPr>
        <w:pStyle w:val="ListBullet"/>
      </w:pPr>
      <w:r/>
      <w:r>
        <w:rPr>
          <w:b/>
        </w:rPr>
        <w:t>Recommandations SAHT</w:t>
      </w:r>
      <w:r>
        <w:t xml:space="preserve"> (Société Algérienne d'Hémostase et de Thrombose) — protocole national de prise en charge des hémorragies sous AVK, en cours de révision pour intégrer les alternatives au PCC.</w:t>
      </w:r>
    </w:p>
    <w:p>
      <w:pPr>
        <w:pStyle w:val="Heading3"/>
      </w:pPr>
      <w:r>
        <w:t>Références bibliographiques spécifiques</w:t>
      </w:r>
    </w:p>
    <w:p>
      <w:pPr>
        <w:pStyle w:val="ListNumber"/>
      </w:pPr>
      <w:r>
        <w:t>HAS — Recommandations « Prise en charge des surdosages en antivitamines K » (2008, mises à jour 2017).</w:t>
      </w:r>
    </w:p>
    <w:p>
      <w:pPr>
        <w:pStyle w:val="ListNumber"/>
      </w:pPr>
      <w:r>
        <w:t>SFAR — Recommandations « Prise en charge de l'hémorragie massive » (2015, mises à jour 2022).</w:t>
      </w:r>
    </w:p>
    <w:p>
      <w:pPr>
        <w:pStyle w:val="ListNumber"/>
      </w:pPr>
      <w:r>
        <w:t>ACCP (American College of Chest Physicians) — Antithrombotic Therapy 10th edition (2012, mise à jour 2021).</w:t>
      </w:r>
    </w:p>
    <w:p>
      <w:pPr>
        <w:pStyle w:val="ListNumber"/>
      </w:pPr>
      <w:r>
        <w:t>ESC (European Society of Cardiology) — Guidelines 2024 sur la fibrillation auriculaire.</w:t>
      </w:r>
    </w:p>
    <w:p>
      <w:pPr>
        <w:pStyle w:val="ListNumber"/>
      </w:pPr>
      <w:r>
        <w:t>Neurocritical Care Society — Guidelines 2016 sur le reversal des AVK en cas d'HIC.</w:t>
      </w:r>
    </w:p>
    <w:p>
      <w:pPr>
        <w:pStyle w:val="ListNumber"/>
      </w:pPr>
      <w:r>
        <w:t>EMA — EPAR PROTHROMPLEX TOTAL, OCTAPLEX, BERIPLEX/KCENTRA.</w:t>
      </w:r>
    </w:p>
    <w:p>
      <w:pPr>
        <w:pStyle w:val="ListNumber"/>
      </w:pPr>
      <w:r>
        <w:t>ANSM — RCP français de chaque spécialité.</w:t>
      </w:r>
    </w:p>
    <w:p>
      <w:pPr>
        <w:pStyle w:val="ListNumber"/>
      </w:pPr>
      <w:r>
        <w:t>Steiner T et al. — « Prothrombin complex concentrate versus fresh frozen plasma in patients with intracerebral haemorrhage related to oral anticoagulant therapy (INCH): a randomised trial » (Lancet Neurol 2016 — INCH trial).</w:t>
      </w:r>
    </w:p>
    <w:p>
      <w:pPr>
        <w:pStyle w:val="ListNumber"/>
      </w:pPr>
      <w:r>
        <w:t>Sarode N et al. — « Efficacy and safety of a 4-factor prothrombin complex concentrate in patients on vitamin K antagonists presenting with major bleeding » (Circulation 2014 — pivotal trial BERIPLEX/KCENTRA).</w:t>
      </w:r>
    </w:p>
    <w:p>
      <w:pPr>
        <w:pStyle w:val="ListNumber"/>
      </w:pPr>
      <w:r>
        <w:t>CRAT — Fiches « PCC », « Vitamine K1 », « Warfarine », « Acénocoumarol ».</w:t>
      </w:r>
    </w:p>
    <w:p>
      <w:pPr>
        <w:pStyle w:val="ListNumber"/>
      </w:pPr>
      <w:r>
        <w:t>Keeling D et al. — « Peri-operative management of anticoagulation in patients on vitamin K antagonists » (Br J Haematol 2016 — BCSH guidelines).</w:t>
      </w:r>
    </w:p>
    <w:p>
      <w:pPr>
        <w:pStyle w:val="ListNumber"/>
      </w:pPr>
      <w:r>
        <w:t>SAHT (Société Algérienne d'Hémostase et de Thrombose) — Recommandations nationales.</w:t>
      </w:r>
    </w:p>
    <w:p>
      <w:pPr>
        <w:pStyle w:val="Heading1"/>
      </w:pPr>
      <w:r>
        <w:t>Fascicule XXIII — Chapitre 236</w:t>
      </w:r>
    </w:p>
    <w:p>
      <w:pPr>
        <w:pStyle w:val="Heading2"/>
      </w:pPr>
      <w:r>
        <w:t>Fibrinogène humain et colles biologiques</w:t>
      </w:r>
    </w:p>
    <w:p>
      <w:pPr>
        <w:pStyle w:val="Heading2"/>
      </w:pPr>
      <w:r>
        <w:t>Sommaire du chapitre 236</w:t>
      </w:r>
    </w:p>
    <w:p>
      <w:pPr>
        <w:pStyle w:val="ListBullet"/>
      </w:pPr>
      <w:r>
        <w:t>236.0. Introduction : place du fibrinogène et des colles biologiques en hémostase péri-opératoire et en réanimation</w:t>
      </w:r>
    </w:p>
    <w:p>
      <w:pPr>
        <w:pStyle w:val="ListBullet"/>
      </w:pPr>
      <w:r>
        <w:t>236.1. DCI : Fibrinogène humain — HEAMOCOMPLETTAN P, CLOTTAFACT</w:t>
      </w:r>
    </w:p>
    <w:p>
      <w:pPr>
        <w:pStyle w:val="ListBullet"/>
      </w:pPr>
      <w:r>
        <w:t>236.2. DCI : Colle biologique (Fibrinogène + Thrombine) — TISSEEL LYO</w:t>
      </w:r>
    </w:p>
    <w:p>
      <w:pPr>
        <w:pStyle w:val="ListBullet"/>
      </w:pPr>
      <w:r>
        <w:t>236.3. Tableau comparatif de sous-classe (Fibrinogène humain vs Colle biologique)</w:t>
      </w:r>
    </w:p>
    <w:p>
      <w:pPr>
        <w:pStyle w:val="ListBullet"/>
      </w:pPr>
      <w:r>
        <w:t>236.4. Synthèse pédagogique et particularités algériennes</w:t>
      </w:r>
    </w:p>
    <w:p>
      <w:pPr>
        <w:pStyle w:val="Heading2"/>
      </w:pPr>
      <w:r>
        <w:t>236.0. Introduction : place du fibrinogène et des colles biologiques en hémostase péri-opératoire et en réanimation</w:t>
      </w:r>
    </w:p>
    <w:p>
      <w:pPr>
        <w:pStyle w:val="Heading3"/>
      </w:pPr>
      <w:r>
        <w:t>1. Le fibrinogène en physiologie</w:t>
      </w:r>
    </w:p>
    <w:p>
      <w:r>
        <w:t xml:space="preserve">Le </w:t>
      </w:r>
      <w:r>
        <w:rPr>
          <w:b/>
        </w:rPr>
        <w:t>fibrinogène (Facteur I, FI)</w:t>
      </w:r>
      <w:r>
        <w:t xml:space="preserve"> est une glycoprotéine plasmatique de </w:t>
      </w:r>
      <w:r>
        <w:rPr>
          <w:b/>
        </w:rPr>
        <w:t>340 kDa</w:t>
      </w:r>
      <w:r>
        <w:t xml:space="preserve">, synthétisée par les </w:t>
      </w:r>
      <w:r>
        <w:rPr>
          <w:b/>
        </w:rPr>
        <w:t>hépatocytes</w:t>
      </w:r>
      <w:r>
        <w:t xml:space="preserve"> (pôle sinusoidal) au rythme de </w:t>
      </w:r>
      <w:r>
        <w:rPr>
          <w:b/>
        </w:rPr>
        <w:t>2-5 g/jour</w:t>
      </w:r>
      <w:r>
        <w:t xml:space="preserve"> chez l'adulte sain. Sa concentration plasmatique physiologique est de </w:t>
      </w:r>
      <w:r>
        <w:rPr>
          <w:b/>
        </w:rPr>
        <w:t>2-4 g/L</w:t>
      </w:r>
      <w:r>
        <w:t xml:space="preserve">. Sa demi-vie plasmatique est de </w:t>
      </w:r>
      <w:r>
        <w:rPr>
          <w:b/>
        </w:rPr>
        <w:t>3-5 jours</w:t>
      </w:r>
      <w:r>
        <w:t>, ce qui en fait le facteur de coagulation à la demi-vie la plus longue et à la concentration la plus élevée (les autres facteurs étant à ~100-200 ng/mL).</w:t>
      </w:r>
    </w:p>
    <w:p>
      <w:r>
        <w:t xml:space="preserve">Le fibrinogène est le substrat final de la cascade de coagulation : il est </w:t>
      </w:r>
      <w:r>
        <w:rPr>
          <w:b/>
        </w:rPr>
        <w:t>clivé par la thrombine (FIIa)</w:t>
      </w:r>
      <w:r>
        <w:t xml:space="preserve"> en </w:t>
      </w:r>
      <w:r>
        <w:rPr>
          <w:b/>
        </w:rPr>
        <w:t>fibrine (FIa)</w:t>
      </w:r>
      <w:r>
        <w:t xml:space="preserve">, qui polymérise pour former le réseau de fibrine stabilisé par le </w:t>
      </w:r>
      <w:r>
        <w:rPr>
          <w:b/>
        </w:rPr>
        <w:t>Facteur XIII activé (FXIIIa)</w:t>
      </w:r>
      <w:r>
        <w:t xml:space="preserve"> (ponts covalents entre les chaînes γ et α). C'est le composant majeur du caillot définitif, et le premier facteur à devenir critique en cas d'hémorragie massive (seuil critique = </w:t>
      </w:r>
      <w:r>
        <w:rPr>
          <w:b/>
        </w:rPr>
        <w:t>fibrinogène &lt; 1,5 g/L</w:t>
      </w:r>
      <w:r>
        <w:t>).</w:t>
      </w:r>
    </w:p>
    <w:p>
      <w:r>
        <w:t>Le fibrinogène joue également un rôle dans :</w:t>
      </w:r>
    </w:p>
    <w:p>
      <w:pPr>
        <w:pStyle w:val="ListBullet"/>
      </w:pPr>
      <w:r/>
      <w:r>
        <w:rPr>
          <w:b/>
        </w:rPr>
        <w:t>L'agrégation plaquettaire</w:t>
      </w:r>
      <w:r>
        <w:t xml:space="preserve"> (le fibrinogène se lie au récepteur GPIIb-IIIa plaquettaire, pontage inter-plaquettaire).</w:t>
      </w:r>
    </w:p>
    <w:p>
      <w:pPr>
        <w:pStyle w:val="ListBullet"/>
      </w:pPr>
      <w:r/>
      <w:r>
        <w:rPr>
          <w:b/>
        </w:rPr>
        <w:t>La rhéologie sanguine</w:t>
      </w:r>
      <w:r>
        <w:t xml:space="preserve"> (le fibrinogène est la principale protéine déterminant la viscosité plasmatique).</w:t>
      </w:r>
    </w:p>
    <w:p>
      <w:pPr>
        <w:pStyle w:val="ListBullet"/>
      </w:pPr>
      <w:r/>
      <w:r>
        <w:rPr>
          <w:b/>
        </w:rPr>
        <w:t>L'inflammation</w:t>
      </w:r>
      <w:r>
        <w:t xml:space="preserve"> (le fibrinogène est une protéine de phase aiguë, augmentant en cas d'inflammation).</w:t>
      </w:r>
    </w:p>
    <w:p>
      <w:pPr>
        <w:pStyle w:val="Heading3"/>
      </w:pPr>
      <w:r>
        <w:t>2. Hypofibrinogénémie : causes et conséquences</w:t>
      </w:r>
    </w:p>
    <w:p>
      <w:r>
        <w:t>Une hypofibrinogénémie (fibrinogène &lt; 1,5 g/L) expose à un risque hémorragique majeur. Les causes principales sont :</w:t>
      </w:r>
    </w:p>
    <w:p>
      <w:pPr>
        <w:pStyle w:val="ListNumber"/>
      </w:pPr>
      <w:r/>
      <w:r>
        <w:rPr>
          <w:b/>
        </w:rPr>
        <w:t>CIVD (coagulation intravasculaire disséminée)</w:t>
      </w:r>
      <w:r>
        <w:t xml:space="preserve"> — consommation massive du fibrinogène par activation excessive de la coagulation (sepsis, traumatisme grave, complications obstétricales, leucémies aiguës, cancers métastatiques).</w:t>
      </w:r>
    </w:p>
    <w:p>
      <w:pPr>
        <w:pStyle w:val="ListNumber"/>
      </w:pPr>
      <w:r/>
      <w:r>
        <w:rPr>
          <w:b/>
        </w:rPr>
        <w:t>Hémorragie massive</w:t>
      </w:r>
      <w:r>
        <w:t xml:space="preserve"> avec dilution par cristalloïdes/culloïdes (transfusion &gt; 1 masse sanguine, ratio CGR:PFC:plaquettes déséquilibré).</w:t>
      </w:r>
    </w:p>
    <w:p>
      <w:pPr>
        <w:pStyle w:val="ListNumber"/>
      </w:pPr>
      <w:r/>
      <w:r>
        <w:rPr>
          <w:b/>
        </w:rPr>
        <w:t>Chirurgie cardiovasculaire sous CEC (circulation extra-corporelle)</w:t>
      </w:r>
      <w:r>
        <w:t xml:space="preserve"> — dégradation du fibrinogène par contact avec les surfaces artificielles.</w:t>
      </w:r>
    </w:p>
    <w:p>
      <w:pPr>
        <w:pStyle w:val="ListNumber"/>
      </w:pPr>
      <w:r/>
      <w:r>
        <w:rPr>
          <w:b/>
        </w:rPr>
        <w:t>Insuffisance hépatique sévère</w:t>
      </w:r>
      <w:r>
        <w:t xml:space="preserve"> — défaut de synthèse.</w:t>
      </w:r>
    </w:p>
    <w:p>
      <w:pPr>
        <w:pStyle w:val="ListNumber"/>
      </w:pPr>
      <w:r/>
      <w:r>
        <w:rPr>
          <w:b/>
        </w:rPr>
        <w:t>Afibrinogénémie congénitale</w:t>
      </w:r>
      <w:r>
        <w:t xml:space="preserve"> (maladie très rare, ~1/1 000 000, transmission autosomique récessive) — saignements sévères dès la naissance (céphalhématome, cordon ombilical).</w:t>
      </w:r>
    </w:p>
    <w:p>
      <w:pPr>
        <w:pStyle w:val="ListNumber"/>
      </w:pPr>
      <w:r/>
      <w:r>
        <w:rPr>
          <w:b/>
        </w:rPr>
        <w:t>Hypofibrinogénémie congénitale</w:t>
      </w:r>
      <w:r>
        <w:t xml:space="preserve"> — formes modérées (0,5-1,5 g/L).</w:t>
      </w:r>
    </w:p>
    <w:p>
      <w:pPr>
        <w:pStyle w:val="ListNumber"/>
      </w:pPr>
      <w:r/>
      <w:r>
        <w:rPr>
          <w:b/>
        </w:rPr>
        <w:t>Dysfibrinogénémies congénitales</w:t>
      </w:r>
      <w:r>
        <w:t xml:space="preserve"> — fibrinogène qualitativement anormal (mutation de la molécule).</w:t>
      </w:r>
    </w:p>
    <w:p>
      <w:pPr>
        <w:pStyle w:val="ListNumber"/>
      </w:pPr>
      <w:r/>
      <w:r>
        <w:rPr>
          <w:b/>
        </w:rPr>
        <w:t>Surdosage en altéplase (rt-PA)</w:t>
      </w:r>
      <w:r>
        <w:t xml:space="preserve"> — lyse excessive du fibrinogène.</w:t>
      </w:r>
    </w:p>
    <w:p>
      <w:pPr>
        <w:pStyle w:val="ListNumber"/>
      </w:pPr>
      <w:r/>
      <w:r>
        <w:rPr>
          <w:b/>
        </w:rPr>
        <w:t>Surdosage en asparaginase</w:t>
      </w:r>
      <w:r>
        <w:t xml:space="preserve"> (chimiothérapie leucémies aiguës) — inhibition de la synthèse hépatique.</w:t>
      </w:r>
    </w:p>
    <w:p>
      <w:pPr>
        <w:pStyle w:val="Heading3"/>
      </w:pPr>
      <w:r>
        <w:t>3. Indications du concentré de fibrinogène humain</w:t>
      </w:r>
    </w:p>
    <w:p>
      <w:pPr>
        <w:pStyle w:val="ListNumber"/>
      </w:pPr>
      <w:r/>
      <w:r>
        <w:rPr>
          <w:b/>
        </w:rPr>
        <w:t>Hémorragie massive</w:t>
      </w:r>
      <w:r>
        <w:t xml:space="preserve"> avec fibrinogène &lt; 1,5 g/L (recommandations SFAR 2022, European guideline on management of major bleeding 2019).</w:t>
      </w:r>
    </w:p>
    <w:p>
      <w:pPr>
        <w:pStyle w:val="ListNumber"/>
      </w:pPr>
      <w:r/>
      <w:r>
        <w:rPr>
          <w:b/>
        </w:rPr>
        <w:t>CIVD</w:t>
      </w:r>
      <w:r>
        <w:t xml:space="preserve"> avec effondrement du fibrinogène (&lt; 1,5 g/L).</w:t>
      </w:r>
    </w:p>
    <w:p>
      <w:pPr>
        <w:pStyle w:val="ListNumber"/>
      </w:pPr>
      <w:r/>
      <w:r>
        <w:rPr>
          <w:b/>
        </w:rPr>
        <w:t>Chirurgie cardiovasculaire sous CEC</w:t>
      </w:r>
      <w:r>
        <w:t xml:space="preserve"> avec fibrinogène &lt; 1,5-2,0 g/L post-CEC.</w:t>
      </w:r>
    </w:p>
    <w:p>
      <w:pPr>
        <w:pStyle w:val="ListNumber"/>
      </w:pPr>
      <w:r/>
      <w:r>
        <w:rPr>
          <w:b/>
        </w:rPr>
        <w:t>Afibrinogénémie congénitale</w:t>
      </w:r>
      <w:r>
        <w:t xml:space="preserve"> — prophylaxie primaire lifelong (dose 30-50 mg/kg 1-2x/semaine).</w:t>
      </w:r>
    </w:p>
    <w:p>
      <w:pPr>
        <w:pStyle w:val="ListNumber"/>
      </w:pPr>
      <w:r/>
      <w:r>
        <w:rPr>
          <w:b/>
        </w:rPr>
        <w:t>Hypofibrinogénémie congénitale</w:t>
      </w:r>
      <w:r>
        <w:t xml:space="preserve"> symptomatique — traitement à la demande et prophylaxie.</w:t>
      </w:r>
    </w:p>
    <w:p>
      <w:pPr>
        <w:pStyle w:val="ListNumber"/>
      </w:pPr>
      <w:r/>
      <w:r>
        <w:rPr>
          <w:b/>
        </w:rPr>
        <w:t>Hémorragie du post-partum (HPP)</w:t>
      </w:r>
      <w:r>
        <w:t xml:space="preserve"> avec fibrinogène &lt; 2,0 g/L (seuil plus élevé en obstétrique car la fibrinogène est physiologiquement augmentée en fin de grossesse ~4-6 g/L).</w:t>
      </w:r>
    </w:p>
    <w:p>
      <w:pPr>
        <w:pStyle w:val="ListNumber"/>
      </w:pPr>
      <w:r/>
      <w:r>
        <w:rPr>
          <w:b/>
        </w:rPr>
        <w:t>Surdosage en altéplase (rt-PA)</w:t>
      </w:r>
      <w:r>
        <w:t xml:space="preserve"> ou </w:t>
      </w:r>
      <w:r>
        <w:rPr>
          <w:b/>
        </w:rPr>
        <w:t>surdosage en asparaginase</w:t>
      </w:r>
      <w:r>
        <w:t>.</w:t>
      </w:r>
    </w:p>
    <w:p>
      <w:pPr>
        <w:pStyle w:val="Heading3"/>
      </w:pPr>
      <w:r>
        <w:t>4. Colles biologiques (fibrin sealants)</w:t>
      </w:r>
    </w:p>
    <w:p>
      <w:r>
        <w:t xml:space="preserve">Les colles biologiques sont des </w:t>
      </w:r>
      <w:r>
        <w:rPr>
          <w:b/>
        </w:rPr>
        <w:t>hémostatiques locaux</w:t>
      </w:r>
      <w:r>
        <w:t xml:space="preserve"> à base de </w:t>
      </w:r>
      <w:r>
        <w:rPr>
          <w:b/>
        </w:rPr>
        <w:t>fibrinogène + thrombine</w:t>
      </w:r>
      <w:r>
        <w:t xml:space="preserve"> (et souvent </w:t>
      </w:r>
      <w:r>
        <w:rPr>
          <w:b/>
        </w:rPr>
        <w:t>aprotinine</w:t>
      </w:r>
      <w:r>
        <w:t xml:space="preserve"> pour stabiliser le caillot) appliqués directement sur la zone hémorragique pendant la chirurgie. Elles reproduisent la dernière étape de la cascade de coagulation (conversion du fibrinogène en fibrine par la thrombine).</w:t>
      </w:r>
    </w:p>
    <w:p>
      <w:r>
        <w:t>Leur usage a révolutionné la chirurgie hémostatique :</w:t>
      </w:r>
    </w:p>
    <w:p>
      <w:pPr>
        <w:pStyle w:val="ListBullet"/>
      </w:pPr>
      <w:r/>
      <w:r>
        <w:rPr>
          <w:b/>
        </w:rPr>
        <w:t>Chirurgie cardiaque</w:t>
      </w:r>
      <w:r>
        <w:t xml:space="preserve"> (sutures, anastomoses, hémostase des surfaces cardiaques et vasculaires).</w:t>
      </w:r>
    </w:p>
    <w:p>
      <w:pPr>
        <w:pStyle w:val="ListBullet"/>
      </w:pPr>
      <w:r/>
      <w:r>
        <w:rPr>
          <w:b/>
        </w:rPr>
        <w:t>Chirurgie vasculaire</w:t>
      </w:r>
      <w:r>
        <w:t xml:space="preserve"> (anastomoses, pontages).</w:t>
      </w:r>
    </w:p>
    <w:p>
      <w:pPr>
        <w:pStyle w:val="ListBullet"/>
      </w:pPr>
      <w:r/>
      <w:r>
        <w:rPr>
          <w:b/>
        </w:rPr>
        <w:t>Neurochirurgie</w:t>
      </w:r>
      <w:r>
        <w:t xml:space="preserve"> (hémostase des berges durales, sutures méningées).</w:t>
      </w:r>
    </w:p>
    <w:p>
      <w:pPr>
        <w:pStyle w:val="ListBullet"/>
      </w:pPr>
      <w:r/>
      <w:r>
        <w:rPr>
          <w:b/>
        </w:rPr>
        <w:t>Chirurgie hépatique</w:t>
      </w:r>
      <w:r>
        <w:t xml:space="preserve"> (hémostase de la tranche de section hépatique).</w:t>
      </w:r>
    </w:p>
    <w:p>
      <w:pPr>
        <w:pStyle w:val="ListBullet"/>
      </w:pPr>
      <w:r/>
      <w:r>
        <w:rPr>
          <w:b/>
        </w:rPr>
        <w:t>Chirurgie ORL</w:t>
      </w:r>
      <w:r>
        <w:t xml:space="preserve"> (sutures des tissus mous, sinus).</w:t>
      </w:r>
    </w:p>
    <w:p>
      <w:pPr>
        <w:pStyle w:val="ListBullet"/>
      </w:pPr>
      <w:r/>
      <w:r>
        <w:rPr>
          <w:b/>
        </w:rPr>
        <w:t>Chirurgie orthopédique</w:t>
      </w:r>
      <w:r>
        <w:t xml:space="preserve"> (arthroplasties, hémostase osseuse).</w:t>
      </w:r>
    </w:p>
    <w:p>
      <w:pPr>
        <w:pStyle w:val="ListBullet"/>
      </w:pPr>
      <w:r/>
      <w:r>
        <w:rPr>
          <w:b/>
        </w:rPr>
        <w:t>Chirurgie digestive</w:t>
      </w:r>
      <w:r>
        <w:t xml:space="preserve"> (anastomoses, fistules).</w:t>
      </w:r>
    </w:p>
    <w:p>
      <w:pPr>
        <w:pStyle w:val="ListBullet"/>
      </w:pPr>
      <w:r/>
      <w:r>
        <w:rPr>
          <w:b/>
        </w:rPr>
        <w:t>Chirurgie urologique</w:t>
      </w:r>
      <w:r>
        <w:t xml:space="preserve"> (néphrectomie partielle, hémostase rénale).</w:t>
      </w:r>
    </w:p>
    <w:p>
      <w:pPr>
        <w:pStyle w:val="ListBullet"/>
      </w:pPr>
      <w:r/>
      <w:r>
        <w:rPr>
          <w:b/>
        </w:rPr>
        <w:t>Chirurgie gynécologique</w:t>
      </w:r>
      <w:r>
        <w:t xml:space="preserve"> (césarienne, myomectomie).</w:t>
      </w:r>
    </w:p>
    <w:p>
      <w:pPr>
        <w:pStyle w:val="Heading3"/>
      </w:pPr>
      <w:r>
        <w:t>5. Place dans la stratégie thérapeutique</w:t>
      </w:r>
    </w:p>
    <w:p>
      <w:r>
        <w:t xml:space="preserve">Le fibrinogène humain (concentré IV) et la colle biologique (topique) sont </w:t>
      </w:r>
      <w:r>
        <w:rPr>
          <w:b/>
        </w:rPr>
        <w:t>complémentaires</w:t>
      </w:r>
      <w:r>
        <w:t xml:space="preserve"> :</w:t>
      </w:r>
    </w:p>
    <w:p>
      <w:pPr>
        <w:pStyle w:val="ListBullet"/>
      </w:pPr>
      <w:r>
        <w:t xml:space="preserve">Le </w:t>
      </w:r>
      <w:r>
        <w:rPr>
          <w:b/>
        </w:rPr>
        <w:t>fibrinogène humain IV</w:t>
      </w:r>
      <w:r>
        <w:t xml:space="preserve"> traite l'hypofibrinogénémie </w:t>
      </w:r>
      <w:r>
        <w:rPr>
          <w:b/>
        </w:rPr>
        <w:t>systémique</w:t>
      </w:r>
      <w:r>
        <w:t xml:space="preserve"> (CIVD, hémorragie massive, afibrinogénémie congénitale).</w:t>
      </w:r>
    </w:p>
    <w:p>
      <w:pPr>
        <w:pStyle w:val="ListBullet"/>
      </w:pPr>
      <w:r>
        <w:t xml:space="preserve">La </w:t>
      </w:r>
      <w:r>
        <w:rPr>
          <w:b/>
        </w:rPr>
        <w:t>colle biologique</w:t>
      </w:r>
      <w:r>
        <w:t xml:space="preserve"> traite le saignement </w:t>
      </w:r>
      <w:r>
        <w:rPr>
          <w:b/>
        </w:rPr>
        <w:t>local</w:t>
      </w:r>
      <w:r>
        <w:t xml:space="preserve"> (chirurgicale, traumatique) en complément des techniques mécaniques (compressions, sutures, électrocoagulation).</w:t>
      </w:r>
    </w:p>
    <w:p>
      <w:pPr>
        <w:pStyle w:val="Heading2"/>
      </w:pPr>
      <w:r>
        <w:t>236.1. DCI : Fibrinogène humain</w:t>
      </w:r>
    </w:p>
    <w:p>
      <w:pPr>
        <w:pStyle w:val="Heading3"/>
      </w:pPr>
      <w:r>
        <w:t>Sous-section 1 — Liste des catégories thérapeutiques</w:t>
      </w:r>
    </w:p>
    <w:p>
      <w:pPr>
        <w:pStyle w:val="ListBullet"/>
      </w:pPr>
      <w:r/>
      <w:r>
        <w:rPr>
          <w:b/>
        </w:rPr>
        <w:t>Code ATC</w:t>
      </w:r>
      <w:r>
        <w:t xml:space="preserve"> : </w:t>
      </w:r>
      <w:r>
        <w:rPr>
          <w:b/>
        </w:rPr>
        <w:t>B02BB01</w:t>
      </w:r>
      <w:r>
        <w:t xml:space="preserve"> — Fibrinogène humain (fraction plasmatique).</w:t>
      </w:r>
    </w:p>
    <w:p>
      <w:pPr>
        <w:pStyle w:val="ListBullet"/>
      </w:pPr>
      <w:r/>
      <w:r>
        <w:rPr>
          <w:b/>
        </w:rPr>
        <w:t>Classe pharmacologique</w:t>
      </w:r>
      <w:r>
        <w:t xml:space="preserve"> : facteur de coagulation humain d'origine plasmatique (concentré de fibrinogène purifié, pdFI).</w:t>
      </w:r>
    </w:p>
    <w:p>
      <w:pPr>
        <w:pStyle w:val="ListBullet"/>
      </w:pPr>
      <w:r/>
      <w:r>
        <w:rPr>
          <w:b/>
        </w:rPr>
        <w:t>Statut réglementaire Algérie</w:t>
      </w:r>
      <w:r>
        <w:t xml:space="preserve"> : Liste I (substance vénéneuse), prescription réservée aux médecins spécialistes en hématologie, anesthésie-réanimation, chirurgie cardiovasculaire ou gynéco-obstétrique, délivrance hospitalière (PUI).</w:t>
      </w:r>
    </w:p>
    <w:p>
      <w:pPr>
        <w:pStyle w:val="ListBullet"/>
      </w:pPr>
      <w:r/>
      <w:r>
        <w:rPr>
          <w:b/>
        </w:rPr>
        <w:t>Statut OMS</w:t>
      </w:r>
      <w:r>
        <w:t xml:space="preserve"> : médicament essentiel (Model List of Essential Medicines 22nd edition, 2021, section « Antihemorrhagic medicines — Fibrinogen »).</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deux spécialités actives — HEAMOCOMPLETTAN P (CSL Behring GmbH, Allemagne) et CLOTTAFACT (SARL Accentis Pharma Algérie).</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HEAMOCOMPLETTAN P</w:t>
            </w:r>
          </w:p>
        </w:tc>
        <w:tc>
          <w:tcPr>
            <w:tcW w:type="dxa" w:w="1385"/>
          </w:tcPr>
          <w:p>
            <w:r>
              <w:rPr>
                <w:rFonts w:ascii="Times New Roman" w:hAnsi="Times New Roman"/>
                <w:sz w:val="20"/>
              </w:rPr>
              <w:t>CSL Behring GmbH (Allemagne)</w:t>
            </w:r>
          </w:p>
        </w:tc>
        <w:tc>
          <w:tcPr>
            <w:tcW w:type="dxa" w:w="1385"/>
          </w:tcPr>
          <w:p>
            <w:r>
              <w:rPr>
                <w:rFonts w:ascii="Times New Roman" w:hAnsi="Times New Roman"/>
                <w:sz w:val="20"/>
              </w:rPr>
              <w:t>Poudre pour solution injectable ou pour perfusion, **1 g/flacon**</w:t>
            </w:r>
          </w:p>
        </w:tc>
        <w:tc>
          <w:tcPr>
            <w:tcW w:type="dxa" w:w="1385"/>
          </w:tcPr>
          <w:p>
            <w:r>
              <w:rPr>
                <w:rFonts w:ascii="Times New Roman" w:hAnsi="Times New Roman"/>
                <w:sz w:val="20"/>
              </w:rPr>
              <w:t>Boîte de 1 flacon de 1 g</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CLOTTAFACT</w:t>
            </w:r>
          </w:p>
        </w:tc>
        <w:tc>
          <w:tcPr>
            <w:tcW w:type="dxa" w:w="1385"/>
          </w:tcPr>
          <w:p>
            <w:r>
              <w:rPr>
                <w:rFonts w:ascii="Times New Roman" w:hAnsi="Times New Roman"/>
                <w:sz w:val="20"/>
              </w:rPr>
              <w:t>SARL Accentis Pharma Algérie (Algérie) — distribution</w:t>
            </w:r>
          </w:p>
        </w:tc>
        <w:tc>
          <w:tcPr>
            <w:tcW w:type="dxa" w:w="1385"/>
          </w:tcPr>
          <w:p>
            <w:r>
              <w:rPr>
                <w:rFonts w:ascii="Times New Roman" w:hAnsi="Times New Roman"/>
                <w:sz w:val="20"/>
              </w:rPr>
              <w:t>Poudre et solvant pour solution injectable IV, **1,5 g/100 mL**</w:t>
            </w:r>
          </w:p>
        </w:tc>
        <w:tc>
          <w:tcPr>
            <w:tcW w:type="dxa" w:w="1385"/>
          </w:tcPr>
          <w:p>
            <w:r>
              <w:rPr>
                <w:rFonts w:ascii="Times New Roman" w:hAnsi="Times New Roman"/>
                <w:sz w:val="20"/>
              </w:rPr>
              <w:t>Boîte de 1 flacon de poudre + 1 flacon de solvant 100 mL + système de transfert muni d'un event à filtre stérilisant</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des dosages</w:t>
      </w:r>
      <w:r>
        <w:t xml:space="preserve"> :</w:t>
      </w:r>
    </w:p>
    <w:p>
      <w:pPr>
        <w:pStyle w:val="ListBullet"/>
      </w:pPr>
      <w:r>
        <w:t>HEAMOCOMPLETTAN P : 1 g/flacon (reconstitution avec 50 mL EPPI → 20 mg/mL).</w:t>
      </w:r>
    </w:p>
    <w:p>
      <w:pPr>
        <w:pStyle w:val="ListBullet"/>
      </w:pPr>
      <w:r>
        <w:t>CLOTTAFACT : 1,5 g/flacon (reconstitution avec 100 mL EPPI → 15 mg/mL).</w:t>
      </w:r>
    </w:p>
    <w:p>
      <w:pPr>
        <w:pStyle w:val="ListBullet"/>
      </w:pPr>
      <w:r>
        <w:t xml:space="preserve">La dose adulte typique est de </w:t>
      </w:r>
      <w:r>
        <w:rPr>
          <w:b/>
        </w:rPr>
        <w:t>2-4 g</w:t>
      </w:r>
      <w:r>
        <w:t xml:space="preserve"> (soit 30-60 mg/kg), nécessitant 2-4 flacons de HEAMOCOMPLETTAN P ou 1-3 flacons de CLOTTAFACT.</w:t>
      </w:r>
    </w:p>
    <w:p>
      <w:pPr>
        <w:pStyle w:val="Heading3"/>
      </w:pPr>
      <w:r>
        <w:t>Sous-section 3 — Sous-classe et mécanisme d'action moléculaire</w:t>
      </w:r>
    </w:p>
    <w:p>
      <w:r/>
      <w:r>
        <w:rPr>
          <w:b/>
        </w:rPr>
        <w:t>Sous-classe pharmacologique</w:t>
      </w:r>
      <w:r>
        <w:t xml:space="preserve"> : B02BB01 — Fibrinogène humain (fraction plasmatique). À ne pas confondre avec B02BC01 (colle biologique, fibrinogène topique).</w:t>
      </w:r>
    </w:p>
    <w:p>
      <w:r/>
      <w:r>
        <w:rPr>
          <w:b/>
        </w:rPr>
        <w:t>Structure moléculaire</w:t>
      </w:r>
      <w:r>
        <w:t xml:space="preserve"> :</w:t>
      </w:r>
    </w:p>
    <w:p>
      <w:pPr>
        <w:pStyle w:val="ListBullet"/>
      </w:pPr>
      <w:r>
        <w:t>Le fibrinogène humain thérapeutique est obtenu par fractionnement plasmatique industriel à partir de plasma humain poolé. Le fractionnement utilise la méthode Cohn-Oncley modifiée avec étapes spécifiques pour le fibrinogène (fraction I de Cohn).</w:t>
      </w:r>
    </w:p>
    <w:p>
      <w:pPr>
        <w:pStyle w:val="ListBullet"/>
      </w:pPr>
      <w:r/>
      <w:r>
        <w:rPr>
          <w:b/>
        </w:rPr>
        <w:t>Composition</w:t>
      </w:r>
      <w:r>
        <w:t xml:space="preserve"> : fibrinogène humain purifié (~900-950 mg/g de poudre lyophilisée) + traces de protéines plasmatiques (fibronectine, plasminogène, α2-antiplasmine, facteur XIII — variables selon spécialité).</w:t>
      </w:r>
    </w:p>
    <w:p>
      <w:pPr>
        <w:pStyle w:val="ListBullet"/>
      </w:pPr>
      <w:r/>
      <w:r>
        <w:rPr>
          <w:b/>
        </w:rPr>
        <w:t>Stabilisateurs</w:t>
      </w:r>
      <w:r>
        <w:t xml:space="preserve"> : arginine, chlorure de sodium, citrate de sodium.</w:t>
      </w:r>
    </w:p>
    <w:p>
      <w:pPr>
        <w:pStyle w:val="ListBullet"/>
      </w:pPr>
      <w:r/>
      <w:r>
        <w:rPr>
          <w:b/>
        </w:rPr>
        <w:t>Sécurité virale</w:t>
      </w:r>
      <w:r>
        <w:t xml:space="preserve"> : double inactivation virale :</w:t>
      </w:r>
    </w:p>
    <w:p>
      <w:pPr>
        <w:pStyle w:val="ListBullet"/>
      </w:pPr>
      <w:r/>
      <w:r>
        <w:rPr>
          <w:b/>
        </w:rPr>
        <w:t>HEAMOCOMPLETTAN P</w:t>
      </w:r>
      <w:r>
        <w:t xml:space="preserve"> : pasteurisation 60 °C pendant 10 h en solution liquide (inactivation virus enveloppés + Parvovirus B19 partiellement).</w:t>
      </w:r>
    </w:p>
    <w:p>
      <w:pPr>
        <w:pStyle w:val="ListBullet"/>
      </w:pPr>
      <w:r/>
      <w:r>
        <w:rPr>
          <w:b/>
        </w:rPr>
        <w:t>CLOTTAFACT</w:t>
      </w:r>
      <w:r>
        <w:t xml:space="preserve"> : solvant-détergent (SD) + nanofiltration (élimination virus non enveloppés par taille, ~20 nm).</w:t>
      </w:r>
    </w:p>
    <w:p>
      <w:r/>
      <w:r>
        <w:rPr>
          <w:b/>
        </w:rPr>
        <w:t>Mécanisme d'action</w:t>
      </w:r>
      <w:r>
        <w:t xml:space="preserve"> :</w:t>
      </w:r>
    </w:p>
    <w:p>
      <w:pPr>
        <w:pStyle w:val="ListBullet"/>
      </w:pPr>
      <w:r>
        <w:t>Le fibrinogène humain administré par voie IV se comporte comme le fibrinogène endogène.</w:t>
      </w:r>
    </w:p>
    <w:p>
      <w:pPr>
        <w:pStyle w:val="ListBullet"/>
      </w:pPr>
      <w:r>
        <w:t xml:space="preserve">Il est </w:t>
      </w:r>
      <w:r>
        <w:rPr>
          <w:b/>
        </w:rPr>
        <w:t>clivé par la thrombine (FIIa)</w:t>
      </w:r>
      <w:r>
        <w:t xml:space="preserve"> en </w:t>
      </w:r>
      <w:r>
        <w:rPr>
          <w:b/>
        </w:rPr>
        <w:t>fibrine (FIa)</w:t>
      </w:r>
      <w:r>
        <w:t xml:space="preserve">, qui polymérise pour former le réseau de fibrine stabilisé par le </w:t>
      </w:r>
      <w:r>
        <w:rPr>
          <w:b/>
        </w:rPr>
        <w:t>Facteur XIII activé (FXIIIa)</w:t>
      </w:r>
      <w:r>
        <w:t xml:space="preserve"> (ponts covalents entre les chaînes γ et α).</w:t>
      </w:r>
    </w:p>
    <w:p>
      <w:pPr>
        <w:pStyle w:val="ListBullet"/>
      </w:pPr>
      <w:r>
        <w:t>C'est le substrat final de la cascade de coagulation.</w:t>
      </w:r>
    </w:p>
    <w:p>
      <w:pPr>
        <w:pStyle w:val="ListBullet"/>
      </w:pPr>
      <w:r>
        <w:t>Le fibrinogène participe également à l'agrégation plaquettaire (liaison au récepteur GPIIb-IIIa plaquettaire, pontage inter-plaquettaire).</w:t>
      </w:r>
    </w:p>
    <w:p>
      <w:r/>
      <w:r>
        <w:rPr>
          <w:b/>
        </w:rPr>
        <w:t>Effet pharmacodynamique</w:t>
      </w:r>
      <w:r>
        <w:t xml:space="preserve"> :</w:t>
      </w:r>
    </w:p>
    <w:p>
      <w:pPr>
        <w:pStyle w:val="ListBullet"/>
      </w:pPr>
      <w:r>
        <w:t xml:space="preserve">L'administration IV de 1 g de fibrinogène humain augmente la fibrinogénémie d'environ </w:t>
      </w:r>
      <w:r>
        <w:rPr>
          <w:b/>
        </w:rPr>
        <w:t>0,5-1,0 g/L</w:t>
      </w:r>
      <w:r>
        <w:t xml:space="preserve"> (selon le poids du patient et la dilution).</w:t>
      </w:r>
    </w:p>
    <w:p>
      <w:pPr>
        <w:pStyle w:val="ListBullet"/>
      </w:pPr>
      <w:r>
        <w:t xml:space="preserve">La </w:t>
      </w:r>
      <w:r>
        <w:rPr>
          <w:b/>
        </w:rPr>
        <w:t>demi-vie plasmatique</w:t>
      </w:r>
      <w:r>
        <w:t xml:space="preserve"> est de </w:t>
      </w:r>
      <w:r>
        <w:rPr>
          <w:b/>
        </w:rPr>
        <w:t>3-5 jours</w:t>
      </w:r>
      <w:r>
        <w:t xml:space="preserve"> (demi-vie la plus longue des facteurs de coagulation).</w:t>
      </w:r>
    </w:p>
    <w:p>
      <w:pPr>
        <w:pStyle w:val="ListBullet"/>
      </w:pPr>
      <w:r>
        <w:t xml:space="preserve">Le </w:t>
      </w:r>
      <w:r>
        <w:rPr>
          <w:b/>
        </w:rPr>
        <w:t>temps de Quick (TP)</w:t>
      </w:r>
      <w:r>
        <w:t xml:space="preserve"> se corrige (le fibrinogène est mesuré dans le TP).</w:t>
      </w:r>
    </w:p>
    <w:p>
      <w:pPr>
        <w:pStyle w:val="ListBullet"/>
      </w:pPr>
      <w:r>
        <w:t xml:space="preserve">Le </w:t>
      </w:r>
      <w:r>
        <w:rPr>
          <w:b/>
        </w:rPr>
        <w:t>temps de thrombine (TT)</w:t>
      </w:r>
      <w:r>
        <w:t xml:space="preserve"> et le </w:t>
      </w:r>
      <w:r>
        <w:rPr>
          <w:b/>
        </w:rPr>
        <w:t>temps de céphaline activée (TCA)</w:t>
      </w:r>
      <w:r>
        <w:t xml:space="preserve"> se corrigent également.</w:t>
      </w:r>
    </w:p>
    <w:p>
      <w:r/>
      <w:r>
        <w:rPr>
          <w:b/>
        </w:rPr>
        <w:t>Particularité pharmacocinétique</w:t>
      </w:r>
      <w:r>
        <w:t xml:space="preserve"> :</w:t>
      </w:r>
    </w:p>
    <w:p>
      <w:pPr>
        <w:pStyle w:val="ListBullet"/>
      </w:pPr>
      <w:r>
        <w:t xml:space="preserve">La correction de la fibrinogénémie est </w:t>
      </w:r>
      <w:r>
        <w:rPr>
          <w:b/>
        </w:rPr>
        <w:t>immédiate</w:t>
      </w:r>
      <w:r>
        <w:t xml:space="preserve"> après perfusion (pic à 30 min).</w:t>
      </w:r>
    </w:p>
    <w:p>
      <w:pPr>
        <w:pStyle w:val="ListBullet"/>
      </w:pPr>
      <w:r>
        <w:t>La décroissance est lente (demi-vie 3-5 jours) — pas besoin de ré-injections rapprochées.</w:t>
      </w:r>
    </w:p>
    <w:p>
      <w:pPr>
        <w:pStyle w:val="ListBullet"/>
      </w:pPr>
      <w:r>
        <w:t>La concentration résiduelle dépend de la cause sous-jacente (CIVD : consommation rapide ; hémorragie massive : dilution persistante ; afibrinogénémie congénitale : demi-vie physiologique).</w:t>
      </w:r>
    </w:p>
    <w:p>
      <w:pPr>
        <w:pStyle w:val="Heading3"/>
      </w:pPr>
      <w:r>
        <w:t>Sous-section 4 — Profil pharmacologique : indications, contre-indications, effets indésirables</w:t>
      </w:r>
    </w:p>
    <w:p>
      <w:pPr>
        <w:pStyle w:val="Heading4"/>
      </w:pPr>
      <w:r>
        <w:t>Indications validées (RCP)</w:t>
      </w:r>
    </w:p>
    <w:p>
      <w:pPr>
        <w:pStyle w:val="ListNumber"/>
      </w:pPr>
      <w:r/>
      <w:r>
        <w:rPr>
          <w:b/>
        </w:rPr>
        <w:t>Hémorragie massive</w:t>
      </w:r>
      <w:r>
        <w:t xml:space="preserve"> avec fibrinogène &lt; 1,5 g/L (recommandations SFAR 2022, European guideline on management of major bleeding 2019). Dose : 3-4 g ou 30-60 mg/kg IV.</w:t>
      </w:r>
    </w:p>
    <w:p>
      <w:pPr>
        <w:pStyle w:val="ListNumber"/>
      </w:pPr>
      <w:r/>
      <w:r>
        <w:rPr>
          <w:b/>
        </w:rPr>
        <w:t>CIVD (coagulation intravasculaire disséminée)</w:t>
      </w:r>
      <w:r>
        <w:t xml:space="preserve"> avec effondrement du fibrinogène (&lt; 1,5 g/L), en association avec PFC, plaquettes, héparine à dose curative.</w:t>
      </w:r>
    </w:p>
    <w:p>
      <w:pPr>
        <w:pStyle w:val="ListNumber"/>
      </w:pPr>
      <w:r/>
      <w:r>
        <w:rPr>
          <w:b/>
        </w:rPr>
        <w:t>Chirurgie cardiovasculaire sous CEC</w:t>
      </w:r>
      <w:r>
        <w:t xml:space="preserve"> avec fibrinogène &lt; 1,5-2,0 g/L post-CEC (en complément de l'acide tranexamique).</w:t>
      </w:r>
    </w:p>
    <w:p>
      <w:pPr>
        <w:pStyle w:val="ListNumber"/>
      </w:pPr>
      <w:r/>
      <w:r>
        <w:rPr>
          <w:b/>
        </w:rPr>
        <w:t>Afibrinogénémie congénitale</w:t>
      </w:r>
      <w:r>
        <w:t xml:space="preserve"> — prophylaxie primaire lifelong (30-50 mg/kg 1-2x/semaine) et traitement des saignements aigus.</w:t>
      </w:r>
    </w:p>
    <w:p>
      <w:pPr>
        <w:pStyle w:val="ListNumber"/>
      </w:pPr>
      <w:r/>
      <w:r>
        <w:rPr>
          <w:b/>
        </w:rPr>
        <w:t>Hypofibrinogénémie congénitale</w:t>
      </w:r>
      <w:r>
        <w:t xml:space="preserve"> symptomatique — traitement à la demande et prophylaxie.</w:t>
      </w:r>
    </w:p>
    <w:p>
      <w:pPr>
        <w:pStyle w:val="ListNumber"/>
      </w:pPr>
      <w:r/>
      <w:r>
        <w:rPr>
          <w:b/>
        </w:rPr>
        <w:t>Hémorragie du post-partum (HPP)</w:t>
      </w:r>
      <w:r>
        <w:t xml:space="preserve"> avec fibrinogène &lt; 2,0 g/L (seuil plus élevé en obstétrique car la fibrinogène est physiologiquement augmentée en fin de grossesse ~4-6 g/L).</w:t>
      </w:r>
    </w:p>
    <w:p>
      <w:pPr>
        <w:pStyle w:val="ListNumber"/>
      </w:pPr>
      <w:r/>
      <w:r>
        <w:rPr>
          <w:b/>
        </w:rPr>
        <w:t>Surdosage en altéplase (rt-PA)</w:t>
      </w:r>
      <w:r>
        <w:t xml:space="preserve"> ou </w:t>
      </w:r>
      <w:r>
        <w:rPr>
          <w:b/>
        </w:rPr>
        <w:t>surdosage en asparaginase</w:t>
      </w:r>
      <w:r>
        <w:t>.</w:t>
      </w:r>
    </w:p>
    <w:p>
      <w:pPr>
        <w:pStyle w:val="ListNumber"/>
      </w:pPr>
      <w:r/>
      <w:r>
        <w:rPr>
          <w:b/>
        </w:rPr>
        <w:t>Traumatisme grave</w:t>
      </w:r>
      <w:r>
        <w:t xml:space="preserve"> avec fibrinogène &lt; 1,5-2,0 g/L (recommandations European guideline on management of major bleeding 2019).</w:t>
      </w:r>
    </w:p>
    <w:p>
      <w:pPr>
        <w:pStyle w:val="Heading4"/>
      </w:pPr>
      <w:r>
        <w:t>Contre-indications absolues</w:t>
      </w:r>
    </w:p>
    <w:p>
      <w:pPr>
        <w:pStyle w:val="ListNumber"/>
      </w:pPr>
      <w:r/>
      <w:r>
        <w:rPr>
          <w:b/>
        </w:rPr>
        <w:t>Hypersensibilité avérée</w:t>
      </w:r>
      <w:r>
        <w:t xml:space="preserve"> au fibrinogène humain, à l'un des excipients, ou antécédent d'anaphylaxie à un PSS.</w:t>
      </w:r>
    </w:p>
    <w:p>
      <w:pPr>
        <w:pStyle w:val="ListNumber"/>
      </w:pPr>
      <w:r/>
      <w:r>
        <w:rPr>
          <w:b/>
        </w:rPr>
        <w:t>Thrombose aiguë</w:t>
      </w:r>
      <w:r>
        <w:t xml:space="preserve"> (TVP, EP, AVC ischémique, infarctus du myocarde en phase aiguë &lt; 3 mois) — le fibrinogène est procoagulant majeur.</w:t>
      </w:r>
    </w:p>
    <w:p>
      <w:pPr>
        <w:pStyle w:val="ListNumber"/>
      </w:pPr>
      <w:r/>
      <w:r>
        <w:rPr>
          <w:b/>
        </w:rPr>
        <w:t>Patients IgA-déficients avec anticorps anti-IgA</w:t>
      </w:r>
      <w:r>
        <w:t xml:space="preserve"> — risque majeur d'anaphylaxie.</w:t>
      </w:r>
    </w:p>
    <w:p>
      <w:pPr>
        <w:pStyle w:val="Heading4"/>
      </w:pPr>
      <w:r>
        <w:t>Contre-indications relatives</w:t>
      </w:r>
    </w:p>
    <w:p>
      <w:pPr>
        <w:pStyle w:val="ListNumber"/>
      </w:pPr>
      <w:r/>
      <w:r>
        <w:rPr>
          <w:b/>
        </w:rPr>
        <w:t>Syndrome des antiphospholipides</w:t>
      </w:r>
      <w:r>
        <w:t xml:space="preserve"> — risque thrombotique accru.</w:t>
      </w:r>
    </w:p>
    <w:p>
      <w:pPr>
        <w:pStyle w:val="ListNumber"/>
      </w:pPr>
      <w:r/>
      <w:r>
        <w:rPr>
          <w:b/>
        </w:rPr>
        <w:t>Cancer actif</w:t>
      </w:r>
      <w:r>
        <w:t xml:space="preserve"> avec thrombophilie.</w:t>
      </w:r>
    </w:p>
    <w:p>
      <w:pPr>
        <w:pStyle w:val="ListNumber"/>
      </w:pPr>
      <w:r/>
      <w:r>
        <w:rPr>
          <w:b/>
        </w:rPr>
        <w:t>Post-partum</w:t>
      </w:r>
      <w:r>
        <w:t xml:space="preserve"> (&lt; 6 semaines) — risque thrombotique majoré.</w:t>
      </w:r>
    </w:p>
    <w:p>
      <w:pPr>
        <w:pStyle w:val="ListNumber"/>
      </w:pPr>
      <w:r/>
      <w:r>
        <w:rPr>
          <w:b/>
        </w:rPr>
        <w:t>Patients sous AOD</w:t>
      </w:r>
      <w:r>
        <w:t xml:space="preserve"> (apixaban, rivaroxaban, dabigatran, edoxaban) — le fibrinogène ne corrige pas l'effet des AOD, mais peut être utile en association avec d'autres PSS en cas d'hémorragie massive.</w:t>
      </w:r>
    </w:p>
    <w:p>
      <w:pPr>
        <w:pStyle w:val="Heading4"/>
      </w:pPr>
      <w:r>
        <w:t>Effets indésirables</w:t>
      </w:r>
    </w:p>
    <w:p>
      <w:r/>
      <w:r>
        <w:rPr>
          <w:b/>
        </w:rPr>
        <w:t>Effets indésirables fréquents (≥ 1/100)</w:t>
      </w:r>
      <w:r>
        <w:t xml:space="preserve"> :</w:t>
      </w:r>
    </w:p>
    <w:p>
      <w:pPr>
        <w:pStyle w:val="ListBullet"/>
      </w:pPr>
      <w:r/>
      <w:r>
        <w:rPr>
          <w:b/>
        </w:rPr>
        <w:t>Réactions d'hypersensibilité</w:t>
      </w:r>
      <w:r>
        <w:t xml:space="preserve"> : urticaire, rash, prurit, flush facial, frissons, fièvre.</w:t>
      </w:r>
    </w:p>
    <w:p>
      <w:pPr>
        <w:pStyle w:val="ListBullet"/>
      </w:pPr>
      <w:r/>
      <w:r>
        <w:rPr>
          <w:b/>
        </w:rPr>
        <w:t>Réactions au site d'injection</w:t>
      </w:r>
      <w:r>
        <w:t xml:space="preserve"> : douleur, rougeur, inflammation.</w:t>
      </w:r>
    </w:p>
    <w:p>
      <w:pPr>
        <w:pStyle w:val="ListBullet"/>
      </w:pPr>
      <w:r/>
      <w:r>
        <w:rPr>
          <w:b/>
        </w:rPr>
        <w:t>Céphalées</w:t>
      </w:r>
      <w:r>
        <w:t xml:space="preserve"> transitoires.</w:t>
      </w:r>
    </w:p>
    <w:p>
      <w:r/>
      <w:r>
        <w:rPr>
          <w:b/>
        </w:rPr>
        <w:t>Effets indésirables peu fréquents (≥ 1/1000)</w:t>
      </w:r>
      <w:r>
        <w:t xml:space="preserve"> :</w:t>
      </w:r>
    </w:p>
    <w:p>
      <w:pPr>
        <w:pStyle w:val="ListBullet"/>
      </w:pPr>
      <w:r/>
      <w:r>
        <w:rPr>
          <w:b/>
        </w:rPr>
        <w:t>Réactions anaphylactiques</w:t>
      </w:r>
      <w:r>
        <w:t xml:space="preserve"> (bronchospasme, hypotension, choc) — risque majoré chez les patients IgA-déficients et chez les patients avec afibrinogénémie congénitale (anticorps anti-fibrinogène).</w:t>
      </w:r>
    </w:p>
    <w:p>
      <w:pPr>
        <w:pStyle w:val="ListBullet"/>
      </w:pPr>
      <w:r/>
      <w:r>
        <w:rPr>
          <w:b/>
        </w:rPr>
        <w:t>Hypotension transitoire</w:t>
      </w:r>
      <w:r>
        <w:t xml:space="preserve"> (lors de perfusion rapide).</w:t>
      </w:r>
    </w:p>
    <w:p>
      <w:pPr>
        <w:pStyle w:val="ListBullet"/>
      </w:pPr>
      <w:r/>
      <w:r>
        <w:rPr>
          <w:b/>
        </w:rPr>
        <w:t>Nausées, vomissements</w:t>
      </w:r>
      <w:r>
        <w:t>.</w:t>
      </w:r>
    </w:p>
    <w:p>
      <w:pPr>
        <w:pStyle w:val="ListBullet"/>
      </w:pPr>
      <w:r/>
      <w:r>
        <w:rPr>
          <w:b/>
        </w:rPr>
        <w:t>Thrombose</w:t>
      </w:r>
      <w:r>
        <w:t xml:space="preserve"> (en particulier à doses cumulées &gt; 8 g/24 h ou chez les patients à risque thrombotique).</w:t>
      </w:r>
    </w:p>
    <w:p>
      <w:r/>
      <w:r>
        <w:rPr>
          <w:b/>
        </w:rPr>
        <w:t>Effets indésirables rares (≥ 1/10 000)</w:t>
      </w:r>
      <w:r>
        <w:t xml:space="preserve"> :</w:t>
      </w:r>
    </w:p>
    <w:p>
      <w:pPr>
        <w:pStyle w:val="ListBullet"/>
      </w:pPr>
      <w:r/>
      <w:r>
        <w:rPr>
          <w:b/>
        </w:rPr>
        <w:t>Thrombose veineuse profonde (TVP)</w:t>
      </w:r>
      <w:r>
        <w:t xml:space="preserve">, </w:t>
      </w:r>
      <w:r>
        <w:rPr>
          <w:b/>
        </w:rPr>
        <w:t>embolie pulmonaire (EP)</w:t>
      </w:r>
      <w:r>
        <w:t xml:space="preserve">, </w:t>
      </w:r>
      <w:r>
        <w:rPr>
          <w:b/>
        </w:rPr>
        <w:t>accident vasculaire cérébral ischémique</w:t>
      </w:r>
      <w:r>
        <w:t xml:space="preserve">, </w:t>
      </w:r>
      <w:r>
        <w:rPr>
          <w:b/>
        </w:rPr>
        <w:t>infarctus du myocarde</w:t>
      </w:r>
      <w:r>
        <w:t xml:space="preserve"> — à doses cumulées élevées.</w:t>
      </w:r>
    </w:p>
    <w:p>
      <w:pPr>
        <w:pStyle w:val="ListBullet"/>
      </w:pPr>
      <w:r/>
      <w:r>
        <w:rPr>
          <w:b/>
        </w:rPr>
        <w:t>Réaction d'hypersensibilité retardée</w:t>
      </w:r>
      <w:r>
        <w:t xml:space="preserve"> (maladie sérique).</w:t>
      </w:r>
    </w:p>
    <w:p>
      <w:pPr>
        <w:pStyle w:val="ListBullet"/>
      </w:pPr>
      <w:r/>
      <w:r>
        <w:rPr>
          <w:b/>
        </w:rPr>
        <w:t>Hémolyse</w:t>
      </w:r>
      <w:r>
        <w:t xml:space="preserve"> (chez les patients de groupe sanguin A, B, AB — le fibrinogène contient des isohémagglutinines anti-A et anti-B résiduelles).</w:t>
      </w:r>
    </w:p>
    <w:p>
      <w:pPr>
        <w:pStyle w:val="ListBullet"/>
      </w:pPr>
      <w:r/>
      <w:r>
        <w:rPr>
          <w:b/>
        </w:rPr>
        <w:t>Anticorps anti-fibrinogène</w:t>
      </w:r>
      <w:r>
        <w:t xml:space="preserve"> (rare, dans l'afibrinogénémie congénitale multitransfusée — inefficacité secondaire).</w:t>
      </w:r>
    </w:p>
    <w:p>
      <w:r/>
      <w:r>
        <w:rPr>
          <w:b/>
        </w:rPr>
        <w:t>Effets indésirables très rares</w:t>
      </w:r>
      <w:r>
        <w:t xml:space="preserve"> :</w:t>
      </w:r>
    </w:p>
    <w:p>
      <w:pPr>
        <w:pStyle w:val="ListBullet"/>
      </w:pPr>
      <w:r/>
      <w:r>
        <w:rPr>
          <w:b/>
        </w:rPr>
        <w:t>Transmission d'agents infectieux</w:t>
      </w:r>
      <w:r>
        <w:t xml:space="preserve"> (VIH, VHB, VHC — risque résiduel théorique nul depuis les étapes d'inactivation virale systématiques ; Parvovirus B19 — risque résiduel réel mais très faible).</w:t>
      </w:r>
    </w:p>
    <w:p>
      <w:pPr>
        <w:pStyle w:val="ListBullet"/>
      </w:pPr>
      <w:r/>
      <w:r>
        <w:rPr>
          <w:b/>
        </w:rPr>
        <w:t>Transmission de prions</w:t>
      </w:r>
      <w:r>
        <w:t xml:space="preserve"> (variant de Creutzfeldt-Jakob) — risque théorique non documenté.</w:t>
      </w:r>
    </w:p>
    <w:p>
      <w:pPr>
        <w:pStyle w:val="Heading3"/>
      </w:pPr>
      <w:r>
        <w:t>Sous-section 5 — Prévention et gestion des effets indésirables</w:t>
      </w:r>
    </w:p>
    <w:p>
      <w:pPr>
        <w:pStyle w:val="Heading4"/>
      </w:pPr>
      <w:r>
        <w:t>Prévention des complications thrombotiques</w:t>
      </w:r>
    </w:p>
    <w:p>
      <w:pPr>
        <w:pStyle w:val="ListBullet"/>
      </w:pPr>
      <w:r/>
      <w:r>
        <w:rPr>
          <w:b/>
        </w:rPr>
        <w:t>Évaluation du risque thrombotique</w:t>
      </w:r>
      <w:r>
        <w:t xml:space="preserve"> préalable : antécédents thrombotiques, cancer actif, post-opératoire, post-partum, syndrome des antiphospholipides, âge &gt; 75 ans.</w:t>
      </w:r>
    </w:p>
    <w:p>
      <w:pPr>
        <w:pStyle w:val="ListBullet"/>
      </w:pPr>
      <w:r/>
      <w:r>
        <w:rPr>
          <w:b/>
        </w:rPr>
        <w:t>Respect des doses maximales</w:t>
      </w:r>
      <w:r>
        <w:t xml:space="preserve"> : 4-6 g adulte ou 50-60 mg/kg — au-delà, risque thrombotique majeur.</w:t>
      </w:r>
    </w:p>
    <w:p>
      <w:pPr>
        <w:pStyle w:val="ListBullet"/>
      </w:pPr>
      <w:r/>
      <w:r>
        <w:rPr>
          <w:b/>
        </w:rPr>
        <w:t>Surveillance clinique</w:t>
      </w:r>
      <w:r>
        <w:t xml:space="preserve"> : douleur mollo-jambière, dyspnée, céphalées brutales, douleur thoracique.</w:t>
      </w:r>
    </w:p>
    <w:p>
      <w:pPr>
        <w:pStyle w:val="ListBullet"/>
      </w:pPr>
      <w:r/>
      <w:r>
        <w:rPr>
          <w:b/>
        </w:rPr>
        <w:t>Surveillance biologique</w:t>
      </w:r>
      <w:r>
        <w:t xml:space="preserve"> : D-dimères, fibrinogène, NFS-plaquettes à H+1, H+4, H+24.</w:t>
      </w:r>
    </w:p>
    <w:p>
      <w:pPr>
        <w:pStyle w:val="ListBullet"/>
      </w:pPr>
      <w:r/>
      <w:r>
        <w:rPr>
          <w:b/>
        </w:rPr>
        <w:t>Prophylaxie thromboembolique</w:t>
      </w:r>
      <w:r>
        <w:t xml:space="preserve"> précoce (HBPM à dose préventive à H+24, sauf CI) chez le patient à risque thrombotique.</w:t>
      </w:r>
    </w:p>
    <w:p>
      <w:pPr>
        <w:pStyle w:val="Heading4"/>
      </w:pPr>
      <w:r>
        <w:t>Prévention des réactions d'hypersensibilité</w:t>
      </w:r>
    </w:p>
    <w:p>
      <w:pPr>
        <w:pStyle w:val="ListBullet"/>
      </w:pPr>
      <w:r/>
      <w:r>
        <w:rPr>
          <w:b/>
        </w:rPr>
        <w:t>Interrogatoire allergologique</w:t>
      </w:r>
      <w:r>
        <w:t xml:space="preserve"> préalable : antécédents d'allergie aux protéines humaines, déficit en IgA, antécédents de réaction à un PSS.</w:t>
      </w:r>
    </w:p>
    <w:p>
      <w:pPr>
        <w:pStyle w:val="ListBullet"/>
      </w:pPr>
      <w:r/>
      <w:r>
        <w:rPr>
          <w:b/>
        </w:rPr>
        <w:t>Dosage pondéral IgA</w:t>
      </w:r>
      <w:r>
        <w:t xml:space="preserve"> systématique avant la première administration.</w:t>
      </w:r>
    </w:p>
    <w:p>
      <w:pPr>
        <w:pStyle w:val="ListBullet"/>
      </w:pPr>
      <w:r/>
      <w:r>
        <w:rPr>
          <w:b/>
        </w:rPr>
        <w:t>Disponibilité du matériel de réanimation anaphylactique</w:t>
      </w:r>
      <w:r>
        <w:t xml:space="preserve"> à proximité (adrénaline IM 0,5 mg, antihistaminique IV, corticoïde IV, oxygène, intubation).</w:t>
      </w:r>
    </w:p>
    <w:p>
      <w:pPr>
        <w:pStyle w:val="ListBullet"/>
      </w:pPr>
      <w:r/>
      <w:r>
        <w:rPr>
          <w:b/>
        </w:rPr>
        <w:t>Perfusion lente</w:t>
      </w:r>
      <w:r>
        <w:t xml:space="preserve"> (≤ 5 mL/min pour la première dose, surveillance 30-60 min après la première administration chez tout patient naïf).</w:t>
      </w:r>
    </w:p>
    <w:p>
      <w:pPr>
        <w:pStyle w:val="ListBullet"/>
      </w:pPr>
      <w:r/>
      <w:r>
        <w:rPr>
          <w:b/>
        </w:rPr>
        <w:t>Particularité afibrinogénémie congénitale</w:t>
      </w:r>
      <w:r>
        <w:t xml:space="preserve"> : risque d'anticorps anti-fibrinogène après multitransfusions, à surveiller par test immunologique.</w:t>
      </w:r>
    </w:p>
    <w:p>
      <w:pPr>
        <w:pStyle w:val="Heading4"/>
      </w:pPr>
      <w:r>
        <w:t>Prévention de la transmission virale</w:t>
      </w:r>
    </w:p>
    <w:p>
      <w:pPr>
        <w:pStyle w:val="ListBullet"/>
      </w:pPr>
      <w:r/>
      <w:r>
        <w:rPr>
          <w:b/>
        </w:rPr>
        <w:t>Vaccination hépatite A et B</w:t>
      </w:r>
      <w:r>
        <w:t xml:space="preserve"> systématique chez tout patient pouvant nécessiter un fibrinogène à répétition (en particulier afibrinogénémie congénitale).</w:t>
      </w:r>
    </w:p>
    <w:p>
      <w:pPr>
        <w:pStyle w:val="ListBullet"/>
      </w:pPr>
      <w:r/>
      <w:r>
        <w:rPr>
          <w:b/>
        </w:rPr>
        <w:t>Dépistage viral</w:t>
      </w:r>
      <w:r>
        <w:t xml:space="preserve"> systématique avant la première administration puis annuel.</w:t>
      </w:r>
    </w:p>
    <w:p>
      <w:pPr>
        <w:pStyle w:val="ListBullet"/>
      </w:pPr>
      <w:r/>
      <w:r>
        <w:rPr>
          <w:b/>
        </w:rPr>
        <w:t>Pharmacovigilance</w:t>
      </w:r>
      <w:r>
        <w:t xml:space="preserve"> : notification de toute infection virale survenant dans les 6 mois suivant l'administration de fibrinogène humain.</w:t>
      </w:r>
    </w:p>
    <w:p>
      <w:pPr>
        <w:pStyle w:val="Heading4"/>
      </w:pPr>
      <w:r>
        <w:t>Gestion des EI aigus</w:t>
      </w:r>
    </w:p>
    <w:p>
      <w:pPr>
        <w:pStyle w:val="ListBullet"/>
      </w:pPr>
      <w:r/>
      <w:r>
        <w:rPr>
          <w:b/>
        </w:rPr>
        <w:t>Choc anaphylactique</w:t>
      </w:r>
      <w:r>
        <w:t xml:space="preserve"> : arrêt immédiat de la perfusion, adrénaline IM 0,5 mg, antihistaminique IV, corticoïde IV, oxygénothérapie, appel réanimateur.</w:t>
      </w:r>
    </w:p>
    <w:p>
      <w:pPr>
        <w:pStyle w:val="ListBullet"/>
      </w:pPr>
      <w:r/>
      <w:r>
        <w:rPr>
          <w:b/>
        </w:rPr>
        <w:t>Surcharge volémique</w:t>
      </w:r>
      <w:r>
        <w:t xml:space="preserve"> : ralentir le débit, surveillance (particulièrement chez le patient cardiaque ou âgé).</w:t>
      </w:r>
    </w:p>
    <w:p>
      <w:pPr>
        <w:pStyle w:val="ListBullet"/>
      </w:pPr>
      <w:r/>
      <w:r>
        <w:rPr>
          <w:b/>
        </w:rPr>
        <w:t>Thrombose aiguë</w:t>
      </w:r>
      <w:r>
        <w:t xml:space="preserve"> : arrêt du fibrinogène, héparine à dose curative, bilan étiologique.</w:t>
      </w:r>
    </w:p>
    <w:p>
      <w:pPr>
        <w:pStyle w:val="ListBullet"/>
      </w:pPr>
      <w:r/>
      <w:r>
        <w:rPr>
          <w:b/>
        </w:rPr>
        <w:t>Anticorps anti-fibrinogène</w:t>
      </w:r>
      <w:r>
        <w:t xml:space="preserve"> (afibrinogénémie congénitale) : arrêt du fibrinogène, by-passing agents (rFVIIa, FEIBA).</w:t>
      </w:r>
    </w:p>
    <w:p>
      <w:pPr>
        <w:pStyle w:val="Heading3"/>
      </w:pPr>
      <w:r>
        <w:t>Sous-section 6 — Interactions médicamenteuses</w:t>
      </w:r>
    </w:p>
    <w:p>
      <w:pPr>
        <w:pStyle w:val="Heading4"/>
      </w:pPr>
      <w:r>
        <w:t>Interactions pharmacodynamiques</w:t>
      </w:r>
    </w:p>
    <w:p>
      <w:pPr>
        <w:pStyle w:val="ListBullet"/>
      </w:pPr>
      <w:r/>
      <w:r>
        <w:rPr>
          <w:b/>
        </w:rPr>
        <w:t>Acide tranexamique</w:t>
      </w:r>
      <w:r>
        <w:t xml:space="preserve"> (antifibrinolytique) : synergie bénéfique en cas de saignement aigu, association recommandée en cas d'hémorragie massive (acide tranexamique 1 g IV puis 1 g/8 h × 24 h + fibrinogène humain 3-4 g).</w:t>
      </w:r>
    </w:p>
    <w:p>
      <w:pPr>
        <w:pStyle w:val="ListBullet"/>
      </w:pPr>
      <w:r/>
      <w:r>
        <w:rPr>
          <w:b/>
        </w:rPr>
        <w:t>Héparine</w:t>
      </w:r>
      <w:r>
        <w:t xml:space="preserve"> (HBPM, HNF) : antagonisme pharmacodynamique — à éviter en association sauf indication vitale (prophylaxie thromboembolique précoce à H+24 à dose préventive uniquement).</w:t>
      </w:r>
    </w:p>
    <w:p>
      <w:pPr>
        <w:pStyle w:val="ListBullet"/>
      </w:pPr>
      <w:r/>
      <w:r>
        <w:rPr>
          <w:b/>
        </w:rPr>
        <w:t>Antiagrégants plaquettaires</w:t>
      </w:r>
      <w:r>
        <w:t xml:space="preserve"> (aspirine, clopidogrel) : association utile en cas de saignement sous bi-thérapie antiplaquettaire, mais surveillance du risque thrombotique.</w:t>
      </w:r>
    </w:p>
    <w:p>
      <w:pPr>
        <w:pStyle w:val="ListBullet"/>
      </w:pPr>
      <w:r/>
      <w:r>
        <w:rPr>
          <w:b/>
        </w:rPr>
        <w:t>Anticoagulants oraux</w:t>
      </w:r>
      <w:r>
        <w:t xml:space="preserve"> (AVK, AOD) : le fibrinogène ne corrige pas l'effet des AOD (apixaban, rivaroxaban, dabigatran, edoxaban), mais peut être utile en association avec d'autres PSS (PCC, PFC) en cas d'hémorragie massive.</w:t>
      </w:r>
    </w:p>
    <w:p>
      <w:pPr>
        <w:pStyle w:val="ListBullet"/>
      </w:pPr>
      <w:r/>
      <w:r>
        <w:rPr>
          <w:b/>
        </w:rPr>
        <w:t>Autres PSS</w:t>
      </w:r>
      <w:r>
        <w:t xml:space="preserve"> (PCC, FEIBA, rFVIIa, FVIII, FIX) : association possible en cas d'hémorragie massive avec déplétion multifactorielle, surveillance du risque thrombotique.</w:t>
      </w:r>
    </w:p>
    <w:p>
      <w:pPr>
        <w:pStyle w:val="Heading4"/>
      </w:pPr>
      <w:r>
        <w:t>Interactions pharmacocinétiques</w:t>
      </w:r>
    </w:p>
    <w:p>
      <w:pPr>
        <w:pStyle w:val="ListBullet"/>
      </w:pPr>
      <w:r>
        <w:t>Aucune interaction significative rapportée (le fibrinogène est dégradé par la plasmine via la fibrinolyse).</w:t>
      </w:r>
    </w:p>
    <w:p>
      <w:pPr>
        <w:pStyle w:val="Heading4"/>
      </w:pPr>
      <w:r>
        <w:t>Incompatibilités physiques</w:t>
      </w:r>
    </w:p>
    <w:p>
      <w:pPr>
        <w:pStyle w:val="ListBullet"/>
      </w:pPr>
      <w:r>
        <w:t>Ne jamais mélanger le fibrinogène humain avec d'autres médicaments dans la même tubulure.</w:t>
      </w:r>
    </w:p>
    <w:p>
      <w:pPr>
        <w:pStyle w:val="ListBullet"/>
      </w:pPr>
      <w:r>
        <w:t>Utiliser uniquement le solvant fourni (EPPI) pour la reconstitution.</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Le fibrinogène (340 kDa) ne traverse pas significativement la barrière placentaire. Aucun effet tératogène documenté. Le fibrinogène humain est le traitement de référence de l'</w:t>
      </w:r>
      <w:r>
        <w:rPr>
          <w:b/>
        </w:rPr>
        <w:t>HPP (hémorragie du post-partum)</w:t>
      </w:r>
      <w:r>
        <w:t xml:space="preserve"> avec fibrinogène &lt; 2,0 g/L.</w:t>
      </w:r>
    </w:p>
    <w:p>
      <w:pPr>
        <w:pStyle w:val="ListBullet"/>
      </w:pPr>
      <w:r/>
      <w:r>
        <w:rPr>
          <w:b/>
        </w:rPr>
        <w:t>Allaitement</w:t>
      </w:r>
      <w:r>
        <w:t xml:space="preserve"> : </w:t>
      </w:r>
      <w:r>
        <w:rPr>
          <w:b/>
        </w:rPr>
        <w:t>compatible</w:t>
      </w:r>
      <w:r>
        <w:t xml:space="preserve"> (CRAT). Le fibrinogène passe en quantité négligeable dans le lait maternel ; digestion protéique néonatale.</w:t>
      </w:r>
    </w:p>
    <w:p>
      <w:pPr>
        <w:pStyle w:val="Heading4"/>
      </w:pPr>
      <w:r>
        <w:t>Indications chez la femme enceinte</w:t>
      </w:r>
    </w:p>
    <w:p>
      <w:pPr>
        <w:pStyle w:val="ListBullet"/>
      </w:pPr>
      <w:r/>
      <w:r>
        <w:rPr>
          <w:b/>
        </w:rPr>
        <w:t>HPP avec fibrinogène &lt; 2,0 g/L</w:t>
      </w:r>
      <w:r>
        <w:t xml:space="preserve"> — indication principale (seuil plus élevé en obstétrique car la fibrinogène est physiologiquement augmentée en fin de grossesse ~4-6 g/L).</w:t>
      </w:r>
    </w:p>
    <w:p>
      <w:pPr>
        <w:pStyle w:val="ListBullet"/>
      </w:pPr>
      <w:r/>
      <w:r>
        <w:rPr>
          <w:b/>
        </w:rPr>
        <w:t>CIVD obstétricale</w:t>
      </w:r>
      <w:r>
        <w:t xml:space="preserve"> (hématome rétroplacentaire, éclampsie, embolie amniotique) avec effondrement du fibrinogène.</w:t>
      </w:r>
    </w:p>
    <w:p>
      <w:pPr>
        <w:pStyle w:val="ListBullet"/>
      </w:pPr>
      <w:r/>
      <w:r>
        <w:rPr>
          <w:b/>
        </w:rPr>
        <w:t>Afibrinogénémie congénitale</w:t>
      </w:r>
      <w:r>
        <w:t xml:space="preserve"> symptomatique pendant la grossesse — prophylaxie stricte (30-50 mg/kg 1-2x/semaine) pendant le travail et 7-14 jours post-partum.</w:t>
      </w:r>
    </w:p>
    <w:p>
      <w:pPr>
        <w:pStyle w:val="Heading4"/>
      </w:pPr>
      <w:r>
        <w:t>Posologie chez la femme enceinte</w:t>
      </w:r>
    </w:p>
    <w:p>
      <w:pPr>
        <w:pStyle w:val="ListBullet"/>
      </w:pPr>
      <w:r/>
      <w:r>
        <w:rPr>
          <w:b/>
        </w:rPr>
        <w:t>HPP</w:t>
      </w:r>
      <w:r>
        <w:t xml:space="preserve"> : 3-4 g IV en bolus (ou 30-60 mg/kg), surveillance fibrinogénémie à H+30 min, H+1 h, H+4 h.</w:t>
      </w:r>
    </w:p>
    <w:p>
      <w:pPr>
        <w:pStyle w:val="ListBullet"/>
      </w:pPr>
      <w:r/>
      <w:r>
        <w:rPr>
          <w:b/>
        </w:rPr>
        <w:t>Afibrinogénémie congénitale</w:t>
      </w:r>
      <w:r>
        <w:t xml:space="preserve"> : 30-50 mg/kg IV en bolus avant le travail, puis 30-50 mg/kg toutes les 48-72 h pendant 7-14 jours post-partum.</w:t>
      </w:r>
    </w:p>
    <w:p>
      <w:pPr>
        <w:pStyle w:val="ListBullet"/>
      </w:pPr>
      <w:r>
        <w:t>Surveillance fibrinogénémie : objectif &gt; 2,0 g/L (HPP) ou &gt; 1,0 g/L (afibrinogénémie congénitale).</w:t>
      </w:r>
    </w:p>
    <w:p>
      <w:pPr>
        <w:pStyle w:val="Heading4"/>
      </w:pPr>
      <w:r>
        <w:t>Allaitement</w:t>
      </w:r>
    </w:p>
    <w:p>
      <w:pPr>
        <w:pStyle w:val="ListBullet"/>
      </w:pPr>
      <w:r>
        <w:t>Compatible, sans restriction.</w:t>
      </w:r>
    </w:p>
    <w:p>
      <w:pPr>
        <w:pStyle w:val="ListBullet"/>
      </w:pPr>
      <w:r>
        <w:t>Surveillance de l'enfant allaité : aucun effet indésirable rapporté.</w:t>
      </w:r>
    </w:p>
    <w:p>
      <w:pPr>
        <w:pStyle w:val="Heading3"/>
      </w:pPr>
      <w:r>
        <w:t>Sous-section 8 — Posologie et mode d'administration</w:t>
      </w:r>
    </w:p>
    <w:p>
      <w:pPr>
        <w:pStyle w:val="Heading4"/>
      </w:pPr>
      <w:r>
        <w:t>Calcul de la dose (formule classique)</w:t>
      </w:r>
    </w:p>
    <w:p>
      <w:r>
        <w:t>La dose de fibrinogène humain (en g) est calculée selon la formule :</w:t>
      </w:r>
    </w:p>
    <w:p>
      <w:pPr>
        <w:ind w:left="567"/>
      </w:pPr>
      <w:r>
        <w:rPr>
          <w:i/>
          <w:color w:val="606060"/>
        </w:rPr>
        <w:t>**Dose (g) = Poids (kg) × ΔFibrinogène souhaité (g/L) × 0,07**</w:t>
      </w:r>
    </w:p>
    <w:p>
      <w:r>
        <w:t xml:space="preserve">Le facteur </w:t>
      </w:r>
      <w:r>
        <w:rPr>
          <w:b/>
        </w:rPr>
        <w:t>0,07</w:t>
      </w:r>
      <w:r>
        <w:t xml:space="preserve"> reflète le volume de distribution (~0,07 L/kg, proche du volume plasmatique) et le récovery (~70-80 %).</w:t>
      </w:r>
    </w:p>
    <w:p>
      <w:r/>
      <w:r>
        <w:rPr>
          <w:b/>
        </w:rPr>
        <w:t>Exemple clinique</w:t>
      </w:r>
      <w:r>
        <w:t xml:space="preserve"> :</w:t>
      </w:r>
    </w:p>
    <w:p>
      <w:pPr>
        <w:pStyle w:val="ListBullet"/>
      </w:pPr>
      <w:r>
        <w:t>Patient de 80 kg en hémorragie massive avec fibrinogène = 1,0 g/L.</w:t>
      </w:r>
    </w:p>
    <w:p>
      <w:pPr>
        <w:pStyle w:val="ListBullet"/>
      </w:pPr>
      <w:r>
        <w:t>Objectif : fibrinogène ≥ 2,0 g/L (seuil hemostatique recommandé).</w:t>
      </w:r>
    </w:p>
    <w:p>
      <w:pPr>
        <w:pStyle w:val="ListBullet"/>
      </w:pPr>
      <w:r>
        <w:t xml:space="preserve">Dose = 80 × (2,0-1,0) × 0,07 = </w:t>
      </w:r>
      <w:r>
        <w:rPr>
          <w:b/>
        </w:rPr>
        <w:t>5,6 g</w:t>
      </w:r>
      <w:r>
        <w:t xml:space="preserve"> → utiliser 6 g (soit 6 flacons de HEAMOCOMPLETTAN P 1 g ou 4 flacons de CLOTTAFACT 1,5 g).</w:t>
      </w:r>
    </w:p>
    <w:p>
      <w:pPr>
        <w:pStyle w:val="ListBullet"/>
      </w:pPr>
      <w:r>
        <w:t>Ré-injection à 4-6 h si besoin selon surveillance fibrinogénémie.</w:t>
      </w:r>
    </w:p>
    <w:p>
      <w:pPr>
        <w:pStyle w:val="Heading4"/>
      </w:pPr>
      <w:r>
        <w:t>Posologie selon l'indication</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Indication</w:t>
            </w:r>
          </w:p>
        </w:tc>
        <w:tc>
          <w:tcPr>
            <w:tcW w:type="dxa" w:w="2078"/>
            <w:shd w:val="clear" w:color="auto" w:fill="F2F2F2"/>
          </w:tcPr>
          <w:p>
            <w:r>
              <w:rPr>
                <w:rFonts w:ascii="Times New Roman" w:hAnsi="Times New Roman"/>
                <w:b/>
                <w:sz w:val="20"/>
              </w:rPr>
              <w:t>Dose initiale</w:t>
            </w:r>
          </w:p>
        </w:tc>
        <w:tc>
          <w:tcPr>
            <w:tcW w:type="dxa" w:w="2078"/>
            <w:shd w:val="clear" w:color="auto" w:fill="F2F2F2"/>
          </w:tcPr>
          <w:p>
            <w:r>
              <w:rPr>
                <w:rFonts w:ascii="Times New Roman" w:hAnsi="Times New Roman"/>
                <w:b/>
                <w:sz w:val="20"/>
              </w:rPr>
              <w:t>Dose maximale / 24 h</w:t>
            </w:r>
          </w:p>
        </w:tc>
        <w:tc>
          <w:tcPr>
            <w:tcW w:type="dxa" w:w="2078"/>
            <w:shd w:val="clear" w:color="auto" w:fill="F2F2F2"/>
          </w:tcPr>
          <w:p>
            <w:r>
              <w:rPr>
                <w:rFonts w:ascii="Times New Roman" w:hAnsi="Times New Roman"/>
                <w:b/>
                <w:sz w:val="20"/>
              </w:rPr>
              <w:t>Surveillance</w:t>
            </w:r>
          </w:p>
        </w:tc>
      </w:tr>
      <w:tr>
        <w:tc>
          <w:tcPr>
            <w:tcW w:type="dxa" w:w="2078"/>
          </w:tcPr>
          <w:p>
            <w:r>
              <w:rPr>
                <w:rFonts w:ascii="Times New Roman" w:hAnsi="Times New Roman"/>
                <w:sz w:val="20"/>
              </w:rPr>
              <w:t>Hémorragie massive (fibrinogène &lt; 1,5 g/L)</w:t>
            </w:r>
          </w:p>
        </w:tc>
        <w:tc>
          <w:tcPr>
            <w:tcW w:type="dxa" w:w="2078"/>
          </w:tcPr>
          <w:p>
            <w:r>
              <w:rPr>
                <w:rFonts w:ascii="Times New Roman" w:hAnsi="Times New Roman"/>
                <w:sz w:val="20"/>
              </w:rPr>
              <w:t>3-4 g ou 30-60 mg/kg</w:t>
            </w:r>
          </w:p>
        </w:tc>
        <w:tc>
          <w:tcPr>
            <w:tcW w:type="dxa" w:w="2078"/>
          </w:tcPr>
          <w:p>
            <w:r>
              <w:rPr>
                <w:rFonts w:ascii="Times New Roman" w:hAnsi="Times New Roman"/>
                <w:sz w:val="20"/>
              </w:rPr>
              <w:t>8-10 g</w:t>
            </w:r>
          </w:p>
        </w:tc>
        <w:tc>
          <w:tcPr>
            <w:tcW w:type="dxa" w:w="2078"/>
          </w:tcPr>
          <w:p>
            <w:r>
              <w:rPr>
                <w:rFonts w:ascii="Times New Roman" w:hAnsi="Times New Roman"/>
                <w:sz w:val="20"/>
              </w:rPr>
              <w:t>Fibrinogénémie H+30 min, H+1 h, H+4 h</w:t>
            </w:r>
          </w:p>
        </w:tc>
      </w:tr>
      <w:tr>
        <w:tc>
          <w:tcPr>
            <w:tcW w:type="dxa" w:w="2078"/>
          </w:tcPr>
          <w:p>
            <w:r>
              <w:rPr>
                <w:rFonts w:ascii="Times New Roman" w:hAnsi="Times New Roman"/>
                <w:sz w:val="20"/>
              </w:rPr>
              <w:t>CIVD (fibrinogène &lt; 1,5 g/L)</w:t>
            </w:r>
          </w:p>
        </w:tc>
        <w:tc>
          <w:tcPr>
            <w:tcW w:type="dxa" w:w="2078"/>
          </w:tcPr>
          <w:p>
            <w:r>
              <w:rPr>
                <w:rFonts w:ascii="Times New Roman" w:hAnsi="Times New Roman"/>
                <w:sz w:val="20"/>
              </w:rPr>
              <w:t>3-4 g ou 30-60 mg/kg</w:t>
            </w:r>
          </w:p>
        </w:tc>
        <w:tc>
          <w:tcPr>
            <w:tcW w:type="dxa" w:w="2078"/>
          </w:tcPr>
          <w:p>
            <w:r>
              <w:rPr>
                <w:rFonts w:ascii="Times New Roman" w:hAnsi="Times New Roman"/>
                <w:sz w:val="20"/>
              </w:rPr>
              <w:t>8-10 g</w:t>
            </w:r>
          </w:p>
        </w:tc>
        <w:tc>
          <w:tcPr>
            <w:tcW w:type="dxa" w:w="2078"/>
          </w:tcPr>
          <w:p>
            <w:r>
              <w:rPr>
                <w:rFonts w:ascii="Times New Roman" w:hAnsi="Times New Roman"/>
                <w:sz w:val="20"/>
              </w:rPr>
              <w:t>Fibrinogénémie H+30 min, H+1 h, H+4 h</w:t>
            </w:r>
          </w:p>
        </w:tc>
      </w:tr>
      <w:tr>
        <w:tc>
          <w:tcPr>
            <w:tcW w:type="dxa" w:w="2078"/>
          </w:tcPr>
          <w:p>
            <w:r>
              <w:rPr>
                <w:rFonts w:ascii="Times New Roman" w:hAnsi="Times New Roman"/>
                <w:sz w:val="20"/>
              </w:rPr>
              <w:t>Chirurgie CEC (fibrinogène &lt; 1,5-2,0 g/L)</w:t>
            </w:r>
          </w:p>
        </w:tc>
        <w:tc>
          <w:tcPr>
            <w:tcW w:type="dxa" w:w="2078"/>
          </w:tcPr>
          <w:p>
            <w:r>
              <w:rPr>
                <w:rFonts w:ascii="Times New Roman" w:hAnsi="Times New Roman"/>
                <w:sz w:val="20"/>
              </w:rPr>
              <w:t>2-4 g</w:t>
            </w:r>
          </w:p>
        </w:tc>
        <w:tc>
          <w:tcPr>
            <w:tcW w:type="dxa" w:w="2078"/>
          </w:tcPr>
          <w:p>
            <w:r>
              <w:rPr>
                <w:rFonts w:ascii="Times New Roman" w:hAnsi="Times New Roman"/>
                <w:sz w:val="20"/>
              </w:rPr>
              <w:t>6-8 g</w:t>
            </w:r>
          </w:p>
        </w:tc>
        <w:tc>
          <w:tcPr>
            <w:tcW w:type="dxa" w:w="2078"/>
          </w:tcPr>
          <w:p>
            <w:r>
              <w:rPr>
                <w:rFonts w:ascii="Times New Roman" w:hAnsi="Times New Roman"/>
                <w:sz w:val="20"/>
              </w:rPr>
              <w:t>Fibrinogénémie post-CEC, H+4 h</w:t>
            </w:r>
          </w:p>
        </w:tc>
      </w:tr>
      <w:tr>
        <w:tc>
          <w:tcPr>
            <w:tcW w:type="dxa" w:w="2078"/>
          </w:tcPr>
          <w:p>
            <w:r>
              <w:rPr>
                <w:rFonts w:ascii="Times New Roman" w:hAnsi="Times New Roman"/>
                <w:sz w:val="20"/>
              </w:rPr>
              <w:t>Afibrinogénémie congénitale (prophylaxie)</w:t>
            </w:r>
          </w:p>
        </w:tc>
        <w:tc>
          <w:tcPr>
            <w:tcW w:type="dxa" w:w="2078"/>
          </w:tcPr>
          <w:p>
            <w:r>
              <w:rPr>
                <w:rFonts w:ascii="Times New Roman" w:hAnsi="Times New Roman"/>
                <w:sz w:val="20"/>
              </w:rPr>
              <w:t>30-50 mg/kg 1-2x/semaine</w:t>
            </w:r>
          </w:p>
        </w:tc>
        <w:tc>
          <w:tcPr>
            <w:tcW w:type="dxa" w:w="2078"/>
          </w:tcPr>
          <w:p>
            <w:r>
              <w:rPr>
                <w:rFonts w:ascii="Times New Roman" w:hAnsi="Times New Roman"/>
                <w:sz w:val="20"/>
              </w:rPr>
              <w:t>100 mg/kg/semaine</w:t>
            </w:r>
          </w:p>
        </w:tc>
        <w:tc>
          <w:tcPr>
            <w:tcW w:type="dxa" w:w="2078"/>
          </w:tcPr>
          <w:p>
            <w:r>
              <w:rPr>
                <w:rFonts w:ascii="Times New Roman" w:hAnsi="Times New Roman"/>
                <w:sz w:val="20"/>
              </w:rPr>
              <w:t>Fibrinogénémie hebdomadaire</w:t>
            </w:r>
          </w:p>
        </w:tc>
      </w:tr>
      <w:tr>
        <w:tc>
          <w:tcPr>
            <w:tcW w:type="dxa" w:w="2078"/>
          </w:tcPr>
          <w:p>
            <w:r>
              <w:rPr>
                <w:rFonts w:ascii="Times New Roman" w:hAnsi="Times New Roman"/>
                <w:sz w:val="20"/>
              </w:rPr>
              <w:t>Afibrinogénémie congénitale (saignement aigu)</w:t>
            </w:r>
          </w:p>
        </w:tc>
        <w:tc>
          <w:tcPr>
            <w:tcW w:type="dxa" w:w="2078"/>
          </w:tcPr>
          <w:p>
            <w:r>
              <w:rPr>
                <w:rFonts w:ascii="Times New Roman" w:hAnsi="Times New Roman"/>
                <w:sz w:val="20"/>
              </w:rPr>
              <w:t>50-100 mg/kg</w:t>
            </w:r>
          </w:p>
        </w:tc>
        <w:tc>
          <w:tcPr>
            <w:tcW w:type="dxa" w:w="2078"/>
          </w:tcPr>
          <w:p>
            <w:r>
              <w:rPr>
                <w:rFonts w:ascii="Times New Roman" w:hAnsi="Times New Roman"/>
                <w:sz w:val="20"/>
              </w:rPr>
              <w:t>200 mg/kg/24 h</w:t>
            </w:r>
          </w:p>
        </w:tc>
        <w:tc>
          <w:tcPr>
            <w:tcW w:type="dxa" w:w="2078"/>
          </w:tcPr>
          <w:p>
            <w:r>
              <w:rPr>
                <w:rFonts w:ascii="Times New Roman" w:hAnsi="Times New Roman"/>
                <w:sz w:val="20"/>
              </w:rPr>
              <w:t>Fibrinogénémie quotidienne</w:t>
            </w:r>
          </w:p>
        </w:tc>
      </w:tr>
      <w:tr>
        <w:tc>
          <w:tcPr>
            <w:tcW w:type="dxa" w:w="2078"/>
          </w:tcPr>
          <w:p>
            <w:r>
              <w:rPr>
                <w:rFonts w:ascii="Times New Roman" w:hAnsi="Times New Roman"/>
                <w:sz w:val="20"/>
              </w:rPr>
              <w:t>HPP (fibrinogène &lt; 2,0 g/L)</w:t>
            </w:r>
          </w:p>
        </w:tc>
        <w:tc>
          <w:tcPr>
            <w:tcW w:type="dxa" w:w="2078"/>
          </w:tcPr>
          <w:p>
            <w:r>
              <w:rPr>
                <w:rFonts w:ascii="Times New Roman" w:hAnsi="Times New Roman"/>
                <w:sz w:val="20"/>
              </w:rPr>
              <w:t>3-4 g IV bolus</w:t>
            </w:r>
          </w:p>
        </w:tc>
        <w:tc>
          <w:tcPr>
            <w:tcW w:type="dxa" w:w="2078"/>
          </w:tcPr>
          <w:p>
            <w:r>
              <w:rPr>
                <w:rFonts w:ascii="Times New Roman" w:hAnsi="Times New Roman"/>
                <w:sz w:val="20"/>
              </w:rPr>
              <w:t>8-10 g</w:t>
            </w:r>
          </w:p>
        </w:tc>
        <w:tc>
          <w:tcPr>
            <w:tcW w:type="dxa" w:w="2078"/>
          </w:tcPr>
          <w:p>
            <w:r>
              <w:rPr>
                <w:rFonts w:ascii="Times New Roman" w:hAnsi="Times New Roman"/>
                <w:sz w:val="20"/>
              </w:rPr>
              <w:t>Fibrinogénémie H+30 min, H+1 h, H+4 h</w:t>
            </w:r>
          </w:p>
        </w:tc>
      </w:tr>
      <w:tr>
        <w:tc>
          <w:tcPr>
            <w:tcW w:type="dxa" w:w="2078"/>
          </w:tcPr>
          <w:p>
            <w:r>
              <w:rPr>
                <w:rFonts w:ascii="Times New Roman" w:hAnsi="Times New Roman"/>
                <w:sz w:val="20"/>
              </w:rPr>
              <w:t>Traumatisme grave (fibrinogène &lt; 1,5-2,0 g/L)</w:t>
            </w:r>
          </w:p>
        </w:tc>
        <w:tc>
          <w:tcPr>
            <w:tcW w:type="dxa" w:w="2078"/>
          </w:tcPr>
          <w:p>
            <w:r>
              <w:rPr>
                <w:rFonts w:ascii="Times New Roman" w:hAnsi="Times New Roman"/>
                <w:sz w:val="20"/>
              </w:rPr>
              <w:t>3-4 g ou 30-60 mg/kg</w:t>
            </w:r>
          </w:p>
        </w:tc>
        <w:tc>
          <w:tcPr>
            <w:tcW w:type="dxa" w:w="2078"/>
          </w:tcPr>
          <w:p>
            <w:r>
              <w:rPr>
                <w:rFonts w:ascii="Times New Roman" w:hAnsi="Times New Roman"/>
                <w:sz w:val="20"/>
              </w:rPr>
              <w:t>8-10 g</w:t>
            </w:r>
          </w:p>
        </w:tc>
        <w:tc>
          <w:tcPr>
            <w:tcW w:type="dxa" w:w="2078"/>
          </w:tcPr>
          <w:p>
            <w:r>
              <w:rPr>
                <w:rFonts w:ascii="Times New Roman" w:hAnsi="Times New Roman"/>
                <w:sz w:val="20"/>
              </w:rPr>
              <w:t>Fibrinogénémie H+30 min, H+1 h, H+4 h</w:t>
            </w:r>
          </w:p>
        </w:tc>
      </w:tr>
    </w:tbl>
    <w:p/>
    <w:p>
      <w:pPr>
        <w:pStyle w:val="Heading4"/>
      </w:pPr>
      <w:r>
        <w:t>Mode d'administration</w:t>
      </w:r>
    </w:p>
    <w:p>
      <w:pPr>
        <w:pStyle w:val="ListBullet"/>
      </w:pPr>
      <w:r/>
      <w:r>
        <w:rPr>
          <w:b/>
        </w:rPr>
        <w:t>Voie IV stricte</w:t>
      </w:r>
      <w:r>
        <w:t xml:space="preserve"> (jamais IM ni SC).</w:t>
      </w:r>
    </w:p>
    <w:p>
      <w:pPr>
        <w:pStyle w:val="ListBullet"/>
      </w:pPr>
      <w:r/>
      <w:r>
        <w:rPr>
          <w:b/>
        </w:rPr>
        <w:t>Reconstitution</w:t>
      </w:r>
      <w:r>
        <w:t xml:space="preserve"> :</w:t>
      </w:r>
    </w:p>
    <w:p>
      <w:pPr>
        <w:pStyle w:val="ListBullet"/>
      </w:pPr>
      <w:r>
        <w:t>HEAMOCOMPLETTAN P : reconstituer 1 g de poudre avec 50 mL EPPI (concentration finale = 20 mg/mL).</w:t>
      </w:r>
    </w:p>
    <w:p>
      <w:pPr>
        <w:pStyle w:val="ListBullet"/>
      </w:pPr>
      <w:r>
        <w:t>CLOTTAFACT : reconstituer 1,5 g de poudre avec 100 mL EPPI (concentration finale = 15 mg/mL).</w:t>
      </w:r>
    </w:p>
    <w:p>
      <w:pPr>
        <w:pStyle w:val="ListBullet"/>
      </w:pPr>
      <w:r>
        <w:t>Mouvement rotatif doux (ne pas agiter vigoureusement — formation de mousse = dénaturation protéique).</w:t>
      </w:r>
    </w:p>
    <w:p>
      <w:pPr>
        <w:pStyle w:val="ListBullet"/>
      </w:pPr>
      <w:r/>
      <w:r>
        <w:rPr>
          <w:b/>
        </w:rPr>
        <w:t>Température</w:t>
      </w:r>
      <w:r>
        <w:t xml:space="preserve"> : la solution reconstituée doit être à température ambiante (≤ 25 °C) avant administration.</w:t>
      </w:r>
    </w:p>
    <w:p>
      <w:pPr>
        <w:pStyle w:val="ListBullet"/>
      </w:pPr>
      <w:r/>
      <w:r>
        <w:rPr>
          <w:b/>
        </w:rPr>
        <w:t>Débit de perfusion</w:t>
      </w:r>
      <w:r>
        <w:t xml:space="preserve"> : ≤ 5 mL/min chez l'adulte (2 mL/min chez l'enfant &lt; 20 kg), sauf urgence vitale (hémorragie massive, HPP) où la perfusion peut être accélérée (10-20 mL/min).</w:t>
      </w:r>
    </w:p>
    <w:p>
      <w:pPr>
        <w:pStyle w:val="ListBullet"/>
      </w:pPr>
      <w:r/>
      <w:r>
        <w:rPr>
          <w:b/>
        </w:rPr>
        <w:t>Surveillance</w:t>
      </w:r>
      <w:r>
        <w:t xml:space="preserve"> : observation 30-60 min après la première administration chez tout patient naïf. Surveillance fibrinogénémie à H+30 min, H+1 h, H+4 h.</w:t>
      </w:r>
    </w:p>
    <w:p>
      <w:pPr>
        <w:pStyle w:val="ListBullet"/>
      </w:pPr>
      <w:r/>
      <w:r>
        <w:rPr>
          <w:b/>
        </w:rPr>
        <w:t>Particularité</w:t>
      </w:r>
      <w:r>
        <w:t xml:space="preserve"> : le fibrinogène humain est souvent administré en association avec l'acide tranexamique (1 g IV bolus puis 1 g/8 h × 24 h) pour prévenir la fibrinolyse.</w:t>
      </w:r>
    </w:p>
    <w:p>
      <w:pPr>
        <w:pStyle w:val="Heading4"/>
      </w:pPr>
      <w:r>
        <w:t>Surveillance post-fibrinogène</w:t>
      </w:r>
    </w:p>
    <w:p>
      <w:pPr>
        <w:pStyle w:val="ListBullet"/>
      </w:pPr>
      <w:r/>
      <w:r>
        <w:rPr>
          <w:b/>
        </w:rPr>
        <w:t>Fibrinogénémie</w:t>
      </w:r>
      <w:r>
        <w:t xml:space="preserve"> (méthode Clauss) à H+30 min, H+1 h, H+4 h (objectif &gt; 1,5 g/L en hémorragie massive ; &gt; 2,0 g/L en HPP).</w:t>
      </w:r>
    </w:p>
    <w:p>
      <w:pPr>
        <w:pStyle w:val="ListBullet"/>
      </w:pPr>
      <w:r/>
      <w:r>
        <w:rPr>
          <w:b/>
        </w:rPr>
        <w:t>TP, TCA, TT</w:t>
      </w:r>
      <w:r>
        <w:t xml:space="preserve"> : corrigés après administration.</w:t>
      </w:r>
    </w:p>
    <w:p>
      <w:pPr>
        <w:pStyle w:val="ListBullet"/>
      </w:pPr>
      <w:r/>
      <w:r>
        <w:rPr>
          <w:b/>
        </w:rPr>
        <w:t>NFS-plaquettes</w:t>
      </w:r>
      <w:r>
        <w:t xml:space="preserve"> : surveillance du risque thrombotique.</w:t>
      </w:r>
    </w:p>
    <w:p>
      <w:pPr>
        <w:pStyle w:val="ListBullet"/>
      </w:pPr>
      <w:r/>
      <w:r>
        <w:rPr>
          <w:b/>
        </w:rPr>
        <w:t>D-dimères</w:t>
      </w:r>
      <w:r>
        <w:t xml:space="preserve"> : surveillance du risque thrombotique (élévation physiologique post-fibrinogène, ne pas surinterpréter).</w:t>
      </w:r>
    </w:p>
    <w:p>
      <w:pPr>
        <w:pStyle w:val="ListBullet"/>
      </w:pPr>
      <w:r/>
      <w:r>
        <w:rPr>
          <w:b/>
        </w:rPr>
        <w:t>Clinique</w:t>
      </w:r>
      <w:r>
        <w:t xml:space="preserve"> : douleur mollo-jambière, dyspnée, céphalées brutales, douleur thoracique (signes de thrombose).</w:t>
      </w:r>
    </w:p>
    <w:p>
      <w:pPr>
        <w:pStyle w:val="ListBullet"/>
      </w:pPr>
      <w:r/>
      <w:r>
        <w:rPr>
          <w:b/>
        </w:rPr>
        <w:t>Prophylaxie thromboembolique</w:t>
      </w:r>
      <w:r>
        <w:t xml:space="preserve"> précoce (HBPM à dose préventive à H+24, sauf CI) chez le patient à risque thrombotique.</w:t>
      </w:r>
    </w:p>
    <w:p>
      <w:pPr>
        <w:pStyle w:val="Heading3"/>
      </w:pPr>
      <w:r>
        <w:t>Sous-section 9 — Arbitrage et bénéfaces des formes galéniques</w:t>
      </w:r>
    </w:p>
    <w:p>
      <w:pPr>
        <w:pStyle w:val="Heading4"/>
      </w:pPr>
      <w:r>
        <w:t>Fibrinogène humain IV (concentré) vs Plasma Frais Congelé (PFC)</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Fibrinogène humain IV</w:t>
            </w:r>
          </w:p>
        </w:tc>
        <w:tc>
          <w:tcPr>
            <w:tcW w:type="dxa" w:w="2771"/>
            <w:shd w:val="clear" w:color="auto" w:fill="F2F2F2"/>
          </w:tcPr>
          <w:p>
            <w:r>
              <w:rPr>
                <w:rFonts w:ascii="Times New Roman" w:hAnsi="Times New Roman"/>
                <w:b/>
                <w:sz w:val="20"/>
              </w:rPr>
              <w:t>PFC</w:t>
            </w:r>
          </w:p>
        </w:tc>
      </w:tr>
      <w:tr>
        <w:tc>
          <w:tcPr>
            <w:tcW w:type="dxa" w:w="2771"/>
          </w:tcPr>
          <w:p>
            <w:r>
              <w:rPr>
                <w:rFonts w:ascii="Times New Roman" w:hAnsi="Times New Roman"/>
                <w:sz w:val="20"/>
              </w:rPr>
              <w:t>Origine</w:t>
            </w:r>
          </w:p>
        </w:tc>
        <w:tc>
          <w:tcPr>
            <w:tcW w:type="dxa" w:w="2771"/>
          </w:tcPr>
          <w:p>
            <w:r>
              <w:rPr>
                <w:rFonts w:ascii="Times New Roman" w:hAnsi="Times New Roman"/>
                <w:sz w:val="20"/>
              </w:rPr>
              <w:t>PSS (produit stable)</w:t>
            </w:r>
          </w:p>
        </w:tc>
        <w:tc>
          <w:tcPr>
            <w:tcW w:type="dxa" w:w="2771"/>
          </w:tcPr>
          <w:p>
            <w:r>
              <w:rPr>
                <w:rFonts w:ascii="Times New Roman" w:hAnsi="Times New Roman"/>
                <w:sz w:val="20"/>
              </w:rPr>
              <w:t>PSL (produit sanguin labile)</w:t>
            </w:r>
          </w:p>
        </w:tc>
      </w:tr>
      <w:tr>
        <w:tc>
          <w:tcPr>
            <w:tcW w:type="dxa" w:w="2771"/>
          </w:tcPr>
          <w:p>
            <w:r>
              <w:rPr>
                <w:rFonts w:ascii="Times New Roman" w:hAnsi="Times New Roman"/>
                <w:sz w:val="20"/>
              </w:rPr>
              <w:t>Composition standardisée</w:t>
            </w:r>
          </w:p>
        </w:tc>
        <w:tc>
          <w:tcPr>
            <w:tcW w:type="dxa" w:w="2771"/>
          </w:tcPr>
          <w:p>
            <w:r>
              <w:rPr>
                <w:rFonts w:ascii="Times New Roman" w:hAnsi="Times New Roman"/>
                <w:sz w:val="20"/>
              </w:rPr>
              <w:t>Oui (1 ou 1,5 g/flacon)</w:t>
            </w:r>
          </w:p>
        </w:tc>
        <w:tc>
          <w:tcPr>
            <w:tcW w:type="dxa" w:w="2771"/>
          </w:tcPr>
          <w:p>
            <w:r>
              <w:rPr>
                <w:rFonts w:ascii="Times New Roman" w:hAnsi="Times New Roman"/>
                <w:sz w:val="20"/>
              </w:rPr>
              <w:t>Variable (1,5-3 g/unité)</w:t>
            </w:r>
          </w:p>
        </w:tc>
      </w:tr>
      <w:tr>
        <w:tc>
          <w:tcPr>
            <w:tcW w:type="dxa" w:w="2771"/>
          </w:tcPr>
          <w:p>
            <w:r>
              <w:rPr>
                <w:rFonts w:ascii="Times New Roman" w:hAnsi="Times New Roman"/>
                <w:sz w:val="20"/>
              </w:rPr>
              <w:t>Action</w:t>
            </w:r>
          </w:p>
        </w:tc>
        <w:tc>
          <w:tcPr>
            <w:tcW w:type="dxa" w:w="2771"/>
          </w:tcPr>
          <w:p>
            <w:r>
              <w:rPr>
                <w:rFonts w:ascii="Times New Roman" w:hAnsi="Times New Roman"/>
                <w:sz w:val="20"/>
              </w:rPr>
              <w:t>15-30 min</w:t>
            </w:r>
          </w:p>
        </w:tc>
        <w:tc>
          <w:tcPr>
            <w:tcW w:type="dxa" w:w="2771"/>
          </w:tcPr>
          <w:p>
            <w:r>
              <w:rPr>
                <w:rFonts w:ascii="Times New Roman" w:hAnsi="Times New Roman"/>
                <w:sz w:val="20"/>
              </w:rPr>
              <w:t>4-6 h</w:t>
            </w:r>
          </w:p>
        </w:tc>
      </w:tr>
      <w:tr>
        <w:tc>
          <w:tcPr>
            <w:tcW w:type="dxa" w:w="2771"/>
          </w:tcPr>
          <w:p>
            <w:r>
              <w:rPr>
                <w:rFonts w:ascii="Times New Roman" w:hAnsi="Times New Roman"/>
                <w:sz w:val="20"/>
              </w:rPr>
              <w:t>Volume</w:t>
            </w:r>
          </w:p>
        </w:tc>
        <w:tc>
          <w:tcPr>
            <w:tcW w:type="dxa" w:w="2771"/>
          </w:tcPr>
          <w:p>
            <w:r>
              <w:rPr>
                <w:rFonts w:ascii="Times New Roman" w:hAnsi="Times New Roman"/>
                <w:sz w:val="20"/>
              </w:rPr>
              <w:t>50-100 mL/flacon</w:t>
            </w:r>
          </w:p>
        </w:tc>
        <w:tc>
          <w:tcPr>
            <w:tcW w:type="dxa" w:w="2771"/>
          </w:tcPr>
          <w:p>
            <w:r>
              <w:rPr>
                <w:rFonts w:ascii="Times New Roman" w:hAnsi="Times New Roman"/>
                <w:sz w:val="20"/>
              </w:rPr>
              <w:t>200-250 mL/unité (4-6 unités pour 6-12 g)</w:t>
            </w:r>
          </w:p>
        </w:tc>
      </w:tr>
      <w:tr>
        <w:tc>
          <w:tcPr>
            <w:tcW w:type="dxa" w:w="2771"/>
          </w:tcPr>
          <w:p>
            <w:r>
              <w:rPr>
                <w:rFonts w:ascii="Times New Roman" w:hAnsi="Times New Roman"/>
                <w:sz w:val="20"/>
              </w:rPr>
              <w:t>Sécurité virale</w:t>
            </w:r>
          </w:p>
        </w:tc>
        <w:tc>
          <w:tcPr>
            <w:tcW w:type="dxa" w:w="2771"/>
          </w:tcPr>
          <w:p>
            <w:r>
              <w:rPr>
                <w:rFonts w:ascii="Times New Roman" w:hAnsi="Times New Roman"/>
                <w:sz w:val="20"/>
              </w:rPr>
              <w:t>Optimale (inactivé)</w:t>
            </w:r>
          </w:p>
        </w:tc>
        <w:tc>
          <w:tcPr>
            <w:tcW w:type="dxa" w:w="2771"/>
          </w:tcPr>
          <w:p>
            <w:r>
              <w:rPr>
                <w:rFonts w:ascii="Times New Roman" w:hAnsi="Times New Roman"/>
                <w:sz w:val="20"/>
              </w:rPr>
              <w:t>Bonne (non inactivée)</w:t>
            </w:r>
          </w:p>
        </w:tc>
      </w:tr>
      <w:tr>
        <w:tc>
          <w:tcPr>
            <w:tcW w:type="dxa" w:w="2771"/>
          </w:tcPr>
          <w:p>
            <w:r>
              <w:rPr>
                <w:rFonts w:ascii="Times New Roman" w:hAnsi="Times New Roman"/>
                <w:sz w:val="20"/>
              </w:rPr>
              <w:t>Disponibilité</w:t>
            </w:r>
          </w:p>
        </w:tc>
        <w:tc>
          <w:tcPr>
            <w:tcW w:type="dxa" w:w="2771"/>
          </w:tcPr>
          <w:p>
            <w:r>
              <w:rPr>
                <w:rFonts w:ascii="Times New Roman" w:hAnsi="Times New Roman"/>
                <w:sz w:val="20"/>
              </w:rPr>
              <w:t>Stock PUI</w:t>
            </w:r>
          </w:p>
        </w:tc>
        <w:tc>
          <w:tcPr>
            <w:tcW w:type="dxa" w:w="2771"/>
          </w:tcPr>
          <w:p>
            <w:r>
              <w:rPr>
                <w:rFonts w:ascii="Times New Roman" w:hAnsi="Times New Roman"/>
                <w:sz w:val="20"/>
              </w:rPr>
              <w:t>Banque de sang (CNTS)</w:t>
            </w:r>
          </w:p>
        </w:tc>
      </w:tr>
      <w:tr>
        <w:tc>
          <w:tcPr>
            <w:tcW w:type="dxa" w:w="2771"/>
          </w:tcPr>
          <w:p>
            <w:r>
              <w:rPr>
                <w:rFonts w:ascii="Times New Roman" w:hAnsi="Times New Roman"/>
                <w:sz w:val="20"/>
              </w:rPr>
              <w:t>Risque TRALI</w:t>
            </w:r>
          </w:p>
        </w:tc>
        <w:tc>
          <w:tcPr>
            <w:tcW w:type="dxa" w:w="2771"/>
          </w:tcPr>
          <w:p>
            <w:r>
              <w:rPr>
                <w:rFonts w:ascii="Times New Roman" w:hAnsi="Times New Roman"/>
                <w:sz w:val="20"/>
              </w:rPr>
              <w:t>Nul (PSS)</w:t>
            </w:r>
          </w:p>
        </w:tc>
        <w:tc>
          <w:tcPr>
            <w:tcW w:type="dxa" w:w="2771"/>
          </w:tcPr>
          <w:p>
            <w:r>
              <w:rPr>
                <w:rFonts w:ascii="Times New Roman" w:hAnsi="Times New Roman"/>
                <w:sz w:val="20"/>
              </w:rPr>
              <w:t>Possible (PSL)</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 (~150-250 €/g)</w:t>
            </w:r>
          </w:p>
        </w:tc>
        <w:tc>
          <w:tcPr>
            <w:tcW w:type="dxa" w:w="2771"/>
          </w:tcPr>
          <w:p>
            <w:r>
              <w:rPr>
                <w:rFonts w:ascii="Times New Roman" w:hAnsi="Times New Roman"/>
                <w:sz w:val="20"/>
              </w:rPr>
              <w:t>Modéré (~150-200 €/unité)</w:t>
            </w:r>
          </w:p>
        </w:tc>
      </w:tr>
      <w:tr>
        <w:tc>
          <w:tcPr>
            <w:tcW w:type="dxa" w:w="2771"/>
          </w:tcPr>
          <w:p>
            <w:r>
              <w:rPr>
                <w:rFonts w:ascii="Times New Roman" w:hAnsi="Times New Roman"/>
                <w:sz w:val="20"/>
              </w:rPr>
              <w:t>Statut Algérie</w:t>
            </w:r>
          </w:p>
        </w:tc>
        <w:tc>
          <w:tcPr>
            <w:tcW w:type="dxa" w:w="2771"/>
          </w:tcPr>
          <w:p>
            <w:r>
              <w:rPr>
                <w:rFonts w:ascii="Times New Roman" w:hAnsi="Times New Roman"/>
                <w:sz w:val="20"/>
              </w:rPr>
              <w:t>Disponible</w:t>
            </w:r>
          </w:p>
        </w:tc>
        <w:tc>
          <w:tcPr>
            <w:tcW w:type="dxa" w:w="2771"/>
          </w:tcPr>
          <w:p>
            <w:r>
              <w:rPr>
                <w:rFonts w:ascii="Times New Roman" w:hAnsi="Times New Roman"/>
                <w:sz w:val="20"/>
              </w:rPr>
              <w:t>Disponible (CNTS)</w:t>
            </w:r>
          </w:p>
        </w:tc>
      </w:tr>
    </w:tbl>
    <w:p/>
    <w:p>
      <w:r/>
      <w:r>
        <w:rPr>
          <w:b/>
        </w:rPr>
        <w:t>Arbitrage clinique</w:t>
      </w:r>
      <w:r>
        <w:t xml:space="preserve"> :</w:t>
      </w:r>
    </w:p>
    <w:p>
      <w:pPr>
        <w:pStyle w:val="ListBullet"/>
      </w:pPr>
      <w:r/>
      <w:r>
        <w:rPr>
          <w:b/>
        </w:rPr>
        <w:t>Préférer le fibrinogène humain IV</w:t>
      </w:r>
      <w:r>
        <w:t xml:space="preserve"> en cas d'hypofibrinogénémie isolée (fibrinogène &lt; 1,5 g/L) en urgence, pour sa rapidité d'action et son faible volume.</w:t>
      </w:r>
    </w:p>
    <w:p>
      <w:pPr>
        <w:pStyle w:val="ListBullet"/>
      </w:pPr>
      <w:r/>
      <w:r>
        <w:rPr>
          <w:b/>
        </w:rPr>
        <w:t>Préférer le PFC</w:t>
      </w:r>
      <w:r>
        <w:t xml:space="preserve"> en cas d'insuffisance hépatique sévère (apport de tous les facteurs de coagulation) ou en cas d'indisponibilité du fibrinogène humain.</w:t>
      </w:r>
    </w:p>
    <w:p>
      <w:pPr>
        <w:pStyle w:val="ListBullet"/>
      </w:pPr>
      <w:r/>
      <w:r>
        <w:rPr>
          <w:b/>
        </w:rPr>
        <w:t>Combinaison</w:t>
      </w:r>
      <w:r>
        <w:t xml:space="preserve"> : PFC + fibrinogène humain + plaquettes en cas d'hémorragie massive avec déplétion multifactorielle.</w:t>
      </w:r>
    </w:p>
    <w:p>
      <w:pPr>
        <w:pStyle w:val="Heading4"/>
      </w:pPr>
      <w:r>
        <w:t>HEAMOCOMPLETTAN P vs CLOTTAFACT</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HEAMOCOMPLETTAN P</w:t>
            </w:r>
          </w:p>
        </w:tc>
        <w:tc>
          <w:tcPr>
            <w:tcW w:type="dxa" w:w="2771"/>
            <w:shd w:val="clear" w:color="auto" w:fill="F2F2F2"/>
          </w:tcPr>
          <w:p>
            <w:r>
              <w:rPr>
                <w:rFonts w:ascii="Times New Roman" w:hAnsi="Times New Roman"/>
                <w:b/>
                <w:sz w:val="20"/>
              </w:rPr>
              <w:t>CLOTTAFACT</w:t>
            </w:r>
          </w:p>
        </w:tc>
      </w:tr>
      <w:tr>
        <w:tc>
          <w:tcPr>
            <w:tcW w:type="dxa" w:w="2771"/>
          </w:tcPr>
          <w:p>
            <w:r>
              <w:rPr>
                <w:rFonts w:ascii="Times New Roman" w:hAnsi="Times New Roman"/>
                <w:sz w:val="20"/>
              </w:rPr>
              <w:t>Laboratoire</w:t>
            </w:r>
          </w:p>
        </w:tc>
        <w:tc>
          <w:tcPr>
            <w:tcW w:type="dxa" w:w="2771"/>
          </w:tcPr>
          <w:p>
            <w:r>
              <w:rPr>
                <w:rFonts w:ascii="Times New Roman" w:hAnsi="Times New Roman"/>
                <w:sz w:val="20"/>
              </w:rPr>
              <w:t>CSL Behring GmbH (Allemagne)</w:t>
            </w:r>
          </w:p>
        </w:tc>
        <w:tc>
          <w:tcPr>
            <w:tcW w:type="dxa" w:w="2771"/>
          </w:tcPr>
          <w:p>
            <w:r>
              <w:rPr>
                <w:rFonts w:ascii="Times New Roman" w:hAnsi="Times New Roman"/>
                <w:sz w:val="20"/>
              </w:rPr>
              <w:t>Accentis Pharma Algérie (distribution)</w:t>
            </w:r>
          </w:p>
        </w:tc>
      </w:tr>
      <w:tr>
        <w:tc>
          <w:tcPr>
            <w:tcW w:type="dxa" w:w="2771"/>
          </w:tcPr>
          <w:p>
            <w:r>
              <w:rPr>
                <w:rFonts w:ascii="Times New Roman" w:hAnsi="Times New Roman"/>
                <w:sz w:val="20"/>
              </w:rPr>
              <w:t>Dosage</w:t>
            </w:r>
          </w:p>
        </w:tc>
        <w:tc>
          <w:tcPr>
            <w:tcW w:type="dxa" w:w="2771"/>
          </w:tcPr>
          <w:p>
            <w:r>
              <w:rPr>
                <w:rFonts w:ascii="Times New Roman" w:hAnsi="Times New Roman"/>
                <w:sz w:val="20"/>
              </w:rPr>
              <w:t>1 g/flacon</w:t>
            </w:r>
          </w:p>
        </w:tc>
        <w:tc>
          <w:tcPr>
            <w:tcW w:type="dxa" w:w="2771"/>
          </w:tcPr>
          <w:p>
            <w:r>
              <w:rPr>
                <w:rFonts w:ascii="Times New Roman" w:hAnsi="Times New Roman"/>
                <w:sz w:val="20"/>
              </w:rPr>
              <w:t>1,5 g/flacon</w:t>
            </w:r>
          </w:p>
        </w:tc>
      </w:tr>
      <w:tr>
        <w:tc>
          <w:tcPr>
            <w:tcW w:type="dxa" w:w="2771"/>
          </w:tcPr>
          <w:p>
            <w:r>
              <w:rPr>
                <w:rFonts w:ascii="Times New Roman" w:hAnsi="Times New Roman"/>
                <w:sz w:val="20"/>
              </w:rPr>
              <w:t>Volume reconstitution</w:t>
            </w:r>
          </w:p>
        </w:tc>
        <w:tc>
          <w:tcPr>
            <w:tcW w:type="dxa" w:w="2771"/>
          </w:tcPr>
          <w:p>
            <w:r>
              <w:rPr>
                <w:rFonts w:ascii="Times New Roman" w:hAnsi="Times New Roman"/>
                <w:sz w:val="20"/>
              </w:rPr>
              <w:t>50 mL EPPI</w:t>
            </w:r>
          </w:p>
        </w:tc>
        <w:tc>
          <w:tcPr>
            <w:tcW w:type="dxa" w:w="2771"/>
          </w:tcPr>
          <w:p>
            <w:r>
              <w:rPr>
                <w:rFonts w:ascii="Times New Roman" w:hAnsi="Times New Roman"/>
                <w:sz w:val="20"/>
              </w:rPr>
              <w:t>100 mL EPPI</w:t>
            </w:r>
          </w:p>
        </w:tc>
      </w:tr>
      <w:tr>
        <w:tc>
          <w:tcPr>
            <w:tcW w:type="dxa" w:w="2771"/>
          </w:tcPr>
          <w:p>
            <w:r>
              <w:rPr>
                <w:rFonts w:ascii="Times New Roman" w:hAnsi="Times New Roman"/>
                <w:sz w:val="20"/>
              </w:rPr>
              <w:t>Concentration finale</w:t>
            </w:r>
          </w:p>
        </w:tc>
        <w:tc>
          <w:tcPr>
            <w:tcW w:type="dxa" w:w="2771"/>
          </w:tcPr>
          <w:p>
            <w:r>
              <w:rPr>
                <w:rFonts w:ascii="Times New Roman" w:hAnsi="Times New Roman"/>
                <w:sz w:val="20"/>
              </w:rPr>
              <w:t>20 mg/mL</w:t>
            </w:r>
          </w:p>
        </w:tc>
        <w:tc>
          <w:tcPr>
            <w:tcW w:type="dxa" w:w="2771"/>
          </w:tcPr>
          <w:p>
            <w:r>
              <w:rPr>
                <w:rFonts w:ascii="Times New Roman" w:hAnsi="Times New Roman"/>
                <w:sz w:val="20"/>
              </w:rPr>
              <w:t>15 mg/mL</w:t>
            </w:r>
          </w:p>
        </w:tc>
      </w:tr>
      <w:tr>
        <w:tc>
          <w:tcPr>
            <w:tcW w:type="dxa" w:w="2771"/>
          </w:tcPr>
          <w:p>
            <w:r>
              <w:rPr>
                <w:rFonts w:ascii="Times New Roman" w:hAnsi="Times New Roman"/>
                <w:sz w:val="20"/>
              </w:rPr>
              <w:t>Inactivation virale</w:t>
            </w:r>
          </w:p>
        </w:tc>
        <w:tc>
          <w:tcPr>
            <w:tcW w:type="dxa" w:w="2771"/>
          </w:tcPr>
          <w:p>
            <w:r>
              <w:rPr>
                <w:rFonts w:ascii="Times New Roman" w:hAnsi="Times New Roman"/>
                <w:sz w:val="20"/>
              </w:rPr>
              <w:t>Pasteurisation 60 °C/10 h</w:t>
            </w:r>
          </w:p>
        </w:tc>
        <w:tc>
          <w:tcPr>
            <w:tcW w:type="dxa" w:w="2771"/>
          </w:tcPr>
          <w:p>
            <w:r>
              <w:rPr>
                <w:rFonts w:ascii="Times New Roman" w:hAnsi="Times New Roman"/>
                <w:sz w:val="20"/>
              </w:rPr>
              <w:t>SD + nanofiltration</w:t>
            </w:r>
          </w:p>
        </w:tc>
      </w:tr>
      <w:tr>
        <w:tc>
          <w:tcPr>
            <w:tcW w:type="dxa" w:w="2771"/>
          </w:tcPr>
          <w:p>
            <w:r>
              <w:rPr>
                <w:rFonts w:ascii="Times New Roman" w:hAnsi="Times New Roman"/>
                <w:sz w:val="20"/>
              </w:rPr>
              <w:t>Demi-vie</w:t>
            </w:r>
          </w:p>
        </w:tc>
        <w:tc>
          <w:tcPr>
            <w:tcW w:type="dxa" w:w="2771"/>
          </w:tcPr>
          <w:p>
            <w:r>
              <w:rPr>
                <w:rFonts w:ascii="Times New Roman" w:hAnsi="Times New Roman"/>
                <w:sz w:val="20"/>
              </w:rPr>
              <w:t>3-5 jours</w:t>
            </w:r>
          </w:p>
        </w:tc>
        <w:tc>
          <w:tcPr>
            <w:tcW w:type="dxa" w:w="2771"/>
          </w:tcPr>
          <w:p>
            <w:r>
              <w:rPr>
                <w:rFonts w:ascii="Times New Roman" w:hAnsi="Times New Roman"/>
                <w:sz w:val="20"/>
              </w:rPr>
              <w:t>3-5 jours</w:t>
            </w:r>
          </w:p>
        </w:tc>
      </w:tr>
      <w:tr>
        <w:tc>
          <w:tcPr>
            <w:tcW w:type="dxa" w:w="2771"/>
          </w:tcPr>
          <w:p>
            <w:r>
              <w:rPr>
                <w:rFonts w:ascii="Times New Roman" w:hAnsi="Times New Roman"/>
                <w:sz w:val="20"/>
              </w:rPr>
              <w:t>Récovery</w:t>
            </w:r>
          </w:p>
        </w:tc>
        <w:tc>
          <w:tcPr>
            <w:tcW w:type="dxa" w:w="2771"/>
          </w:tcPr>
          <w:p>
            <w:r>
              <w:rPr>
                <w:rFonts w:ascii="Times New Roman" w:hAnsi="Times New Roman"/>
                <w:sz w:val="20"/>
              </w:rPr>
              <w:t>0,7-0,8 g/L/g</w:t>
            </w:r>
          </w:p>
        </w:tc>
        <w:tc>
          <w:tcPr>
            <w:tcW w:type="dxa" w:w="2771"/>
          </w:tcPr>
          <w:p>
            <w:r>
              <w:rPr>
                <w:rFonts w:ascii="Times New Roman" w:hAnsi="Times New Roman"/>
                <w:sz w:val="20"/>
              </w:rPr>
              <w:t>0,7-0,8 g/L/g</w:t>
            </w:r>
          </w:p>
        </w:tc>
      </w:tr>
      <w:tr>
        <w:tc>
          <w:tcPr>
            <w:tcW w:type="dxa" w:w="2771"/>
          </w:tcPr>
          <w:p>
            <w:r>
              <w:rPr>
                <w:rFonts w:ascii="Times New Roman" w:hAnsi="Times New Roman"/>
                <w:sz w:val="20"/>
              </w:rPr>
              <w:t>Coût</w:t>
            </w:r>
          </w:p>
        </w:tc>
        <w:tc>
          <w:tcPr>
            <w:tcW w:type="dxa" w:w="2771"/>
          </w:tcPr>
          <w:p>
            <w:r>
              <w:rPr>
                <w:rFonts w:ascii="Times New Roman" w:hAnsi="Times New Roman"/>
                <w:sz w:val="20"/>
              </w:rPr>
              <w:t>Élevé</w:t>
            </w:r>
          </w:p>
        </w:tc>
        <w:tc>
          <w:tcPr>
            <w:tcW w:type="dxa" w:w="2771"/>
          </w:tcPr>
          <w:p>
            <w:r>
              <w:rPr>
                <w:rFonts w:ascii="Times New Roman" w:hAnsi="Times New Roman"/>
                <w:sz w:val="20"/>
              </w:rPr>
              <w:t>Modéré (distribution algérienne)</w:t>
            </w:r>
          </w:p>
        </w:tc>
      </w:tr>
      <w:tr>
        <w:tc>
          <w:tcPr>
            <w:tcW w:type="dxa" w:w="2771"/>
          </w:tcPr>
          <w:p>
            <w:r>
              <w:rPr>
                <w:rFonts w:ascii="Times New Roman" w:hAnsi="Times New Roman"/>
                <w:sz w:val="20"/>
              </w:rPr>
              <w:t>Disponibilité Algérie</w:t>
            </w:r>
          </w:p>
        </w:tc>
        <w:tc>
          <w:tcPr>
            <w:tcW w:type="dxa" w:w="2771"/>
          </w:tcPr>
          <w:p>
            <w:r>
              <w:rPr>
                <w:rFonts w:ascii="Times New Roman" w:hAnsi="Times New Roman"/>
                <w:sz w:val="20"/>
              </w:rPr>
              <w:t>1 dosage</w:t>
            </w:r>
          </w:p>
        </w:tc>
        <w:tc>
          <w:tcPr>
            <w:tcW w:type="dxa" w:w="2771"/>
          </w:tcPr>
          <w:p>
            <w:r>
              <w:rPr>
                <w:rFonts w:ascii="Times New Roman" w:hAnsi="Times New Roman"/>
                <w:sz w:val="20"/>
              </w:rPr>
              <w:t>1 dosage</w:t>
            </w:r>
          </w:p>
        </w:tc>
      </w:tr>
    </w:tbl>
    <w:p/>
    <w:p>
      <w:r/>
      <w:r>
        <w:rPr>
          <w:b/>
        </w:rPr>
        <w:t>Arbitrage clinique</w:t>
      </w:r>
      <w:r>
        <w:t xml:space="preserve"> :</w:t>
      </w:r>
    </w:p>
    <w:p>
      <w:pPr>
        <w:pStyle w:val="ListBullet"/>
      </w:pPr>
      <w:r>
        <w:t xml:space="preserve">Les deux spécialités sont </w:t>
      </w:r>
      <w:r>
        <w:rPr>
          <w:b/>
        </w:rPr>
        <w:t>équivalentes</w:t>
      </w:r>
      <w:r>
        <w:t xml:space="preserve"> en termes d'efficacité et de tolérance.</w:t>
      </w:r>
    </w:p>
    <w:p>
      <w:pPr>
        <w:pStyle w:val="ListBullet"/>
      </w:pPr>
      <w:r/>
      <w:r>
        <w:rPr>
          <w:b/>
        </w:rPr>
        <w:t>HEAMOCOMPLETTAN P</w:t>
      </w:r>
      <w:r>
        <w:t xml:space="preserve"> : dosage 1 g/flacon, plus pratique pour les faibles doses (afibrinogénémie congénitale pédiatrique, ajustement fin).</w:t>
      </w:r>
    </w:p>
    <w:p>
      <w:pPr>
        <w:pStyle w:val="ListBullet"/>
      </w:pPr>
      <w:r/>
      <w:r>
        <w:rPr>
          <w:b/>
        </w:rPr>
        <w:t>CLOTTAFACT</w:t>
      </w:r>
      <w:r>
        <w:t xml:space="preserve"> : dosage 1,5 g/flacon, plus pratique pour les fortes doses (hémorragie massive adulte, HPP).</w:t>
      </w:r>
    </w:p>
    <w:p>
      <w:pPr>
        <w:pStyle w:val="ListBullet"/>
      </w:pPr>
      <w:r/>
      <w:r>
        <w:rPr>
          <w:b/>
        </w:rPr>
        <w:t>Choix selon disponibilité</w:t>
      </w:r>
      <w:r>
        <w:t xml:space="preserve"> et coût local.</w:t>
      </w:r>
    </w:p>
    <w:p>
      <w:pPr>
        <w:pStyle w:val="Heading3"/>
      </w:pPr>
      <w:r>
        <w:t>Sous-section 10 — Instructions et conseils au patient</w:t>
      </w:r>
    </w:p>
    <w:p>
      <w:pPr>
        <w:pStyle w:val="Heading4"/>
      </w:pPr>
      <w:r>
        <w:t>Information patient</w:t>
      </w:r>
    </w:p>
    <w:p>
      <w:pPr>
        <w:pStyle w:val="ListBullet"/>
      </w:pPr>
      <w:r>
        <w:t xml:space="preserve">Le fibrinogène humain est un médicament </w:t>
      </w:r>
      <w:r>
        <w:rPr>
          <w:b/>
        </w:rPr>
        <w:t>hospitalier</w:t>
      </w:r>
      <w:r>
        <w:t xml:space="preserve"> administré en urgence par voie IV, exclusivement en milieu de réanimation, bloc opératoire ou service d'urgences.</w:t>
      </w:r>
    </w:p>
    <w:p>
      <w:pPr>
        <w:pStyle w:val="ListBullet"/>
      </w:pPr>
      <w:r>
        <w:t>Le patient doit être informé de la nécessité du traitement (hypofibrinogénémie en cas d'hémorragie massive, CIVD, HPP), des risques (thrombose, hypersensibilité) et de la surveillance post-administration.</w:t>
      </w:r>
    </w:p>
    <w:p>
      <w:pPr>
        <w:pStyle w:val="Heading4"/>
      </w:pPr>
      <w:r>
        <w:t>Suivi post-fibrinogène</w:t>
      </w:r>
    </w:p>
    <w:p>
      <w:pPr>
        <w:pStyle w:val="ListBullet"/>
      </w:pPr>
      <w:r>
        <w:t>Surveillance fibrinogénémie à H+30 min, H+1 h, H+4 h (objectif &gt; 1,5 g/L en hémorragie massive ; &gt; 2,0 g/L en HPP).</w:t>
      </w:r>
    </w:p>
    <w:p>
      <w:pPr>
        <w:pStyle w:val="ListBullet"/>
      </w:pPr>
      <w:r>
        <w:t>Surveillance clinique et biologique (D-dimères, NFS-plaquettes) à H+1, H+4, H+24.</w:t>
      </w:r>
    </w:p>
    <w:p>
      <w:pPr>
        <w:pStyle w:val="ListBullet"/>
      </w:pPr>
      <w:r>
        <w:t>Surveillance prolongée en milieu de réanimation (au moins 24 h).</w:t>
      </w:r>
    </w:p>
    <w:p>
      <w:pPr>
        <w:pStyle w:val="ListBullet"/>
      </w:pPr>
      <w:r>
        <w:t>Prophylaxie thromboembolique précoce (HBPM à dose préventive à H+24, sauf CI) chez le patient à risque thrombotique.</w:t>
      </w:r>
    </w:p>
    <w:p>
      <w:pPr>
        <w:pStyle w:val="Heading4"/>
      </w:pPr>
      <w:r>
        <w:t>Vaccinations</w:t>
      </w:r>
    </w:p>
    <w:p>
      <w:pPr>
        <w:pStyle w:val="ListBullet"/>
      </w:pPr>
      <w:r>
        <w:t>Vaccination hépatite A et B systématique chez tout patient pouvant nécessiter un fibrinogène à répétition (en particulier afibrinogénémie congénitale).</w:t>
      </w:r>
    </w:p>
    <w:p>
      <w:pPr>
        <w:pStyle w:val="Heading4"/>
      </w:pPr>
      <w:r>
        <w:t>Carte de patient</w:t>
      </w:r>
    </w:p>
    <w:p>
      <w:pPr>
        <w:pStyle w:val="ListBullet"/>
      </w:pPr>
      <w:r>
        <w:t xml:space="preserve">Tout patient recevant un fibrinogène humain doit avoir sur soi une </w:t>
      </w:r>
      <w:r>
        <w:rPr>
          <w:b/>
        </w:rPr>
        <w:t>carte d'information</w:t>
      </w:r>
      <w:r>
        <w:t xml:space="preserve"> précisant :</w:t>
      </w:r>
    </w:p>
    <w:p>
      <w:pPr>
        <w:pStyle w:val="ListBullet"/>
      </w:pPr>
      <w:r>
        <w:t>Type de traitement (fibrinogène humain).</w:t>
      </w:r>
    </w:p>
    <w:p>
      <w:pPr>
        <w:pStyle w:val="ListBullet"/>
      </w:pPr>
      <w:r>
        <w:t>Date et dose de la dernière administration.</w:t>
      </w:r>
    </w:p>
    <w:p>
      <w:pPr>
        <w:pStyle w:val="ListBullet"/>
      </w:pPr>
      <w:r>
        <w:t>Indication (HPP, CIVD, afibrinogénémie congénitale).</w:t>
      </w:r>
    </w:p>
    <w:p>
      <w:pPr>
        <w:pStyle w:val="ListBullet"/>
      </w:pPr>
      <w:r>
        <w:t>Centre de référence (hématologue, gynéco-obstétricien).</w:t>
      </w:r>
    </w:p>
    <w:p>
      <w:pPr>
        <w:pStyle w:val="ListBullet"/>
      </w:pPr>
      <w:r>
        <w:t>Contact du patient (nom, téléphone).</w:t>
      </w:r>
    </w:p>
    <w:p>
      <w:pPr>
        <w:pStyle w:val="ListBullet"/>
      </w:pPr>
      <w:r>
        <w:t>Statut vaccinal (hépatite A, B).</w:t>
      </w:r>
    </w:p>
    <w:p>
      <w:pPr>
        <w:pStyle w:val="Heading4"/>
      </w:pPr>
      <w:r>
        <w:t>Particularité afibrinogénémie congénitale</w:t>
      </w:r>
    </w:p>
    <w:p>
      <w:pPr>
        <w:pStyle w:val="ListBullet"/>
      </w:pPr>
      <w:r/>
      <w:r>
        <w:rPr>
          <w:b/>
        </w:rPr>
        <w:t>Prophylaxie lifelong</w:t>
      </w:r>
      <w:r>
        <w:t xml:space="preserve"> (30-50 mg/kg 1-2x/semaine) — démarrée dès le diagnostic (souvent à la naissance, après hémorragie du cordon ou céphalhématome).</w:t>
      </w:r>
    </w:p>
    <w:p>
      <w:pPr>
        <w:pStyle w:val="ListBullet"/>
      </w:pPr>
      <w:r/>
      <w:r>
        <w:rPr>
          <w:b/>
        </w:rPr>
        <w:t>Formation à l'auto-administration à domicile</w:t>
      </w:r>
      <w:r>
        <w:t xml:space="preserve"> : cf. fiche 232.1 (sous-section 10).</w:t>
      </w:r>
    </w:p>
    <w:p>
      <w:pPr>
        <w:pStyle w:val="ListBullet"/>
      </w:pPr>
      <w:r/>
      <w:r>
        <w:rPr>
          <w:b/>
        </w:rPr>
        <w:t>Chaîne du froid +2 °C à +8 °C</w:t>
      </w:r>
      <w:r>
        <w:t xml:space="preserve"> stricte.</w:t>
      </w:r>
    </w:p>
    <w:p>
      <w:pPr>
        <w:pStyle w:val="ListBullet"/>
      </w:pPr>
      <w:r/>
      <w:r>
        <w:rPr>
          <w:b/>
        </w:rPr>
        <w:t>Surveillance anticorps anti-fibrinogène</w:t>
      </w:r>
      <w:r>
        <w:t xml:space="preserve"> : annuel (risque d'inefficacité secondaire).</w:t>
      </w:r>
    </w:p>
    <w:p>
      <w:pPr>
        <w:pStyle w:val="ListBullet"/>
      </w:pPr>
      <w:r/>
      <w:r>
        <w:rPr>
          <w:b/>
        </w:rPr>
        <w:t>Suivi multidisciplinaire</w:t>
      </w:r>
      <w:r>
        <w:t xml:space="preserve"> : hématologue, médecin transfuseur, médecin traitant, gynéco-obstétricien (pour les femmes en âge de procréer).</w:t>
      </w:r>
    </w:p>
    <w:p>
      <w:pPr>
        <w:pStyle w:val="Heading3"/>
      </w:pPr>
      <w:r>
        <w:t>Sous-section 11 — Notes, règles d'or et pièges au comptoir</w:t>
      </w:r>
    </w:p>
    <w:p>
      <w:pPr>
        <w:pStyle w:val="ListNumber"/>
      </w:pPr>
      <w:r/>
      <w:r>
        <w:rPr>
          <w:b/>
        </w:rPr>
        <w:t>Le fibrinogène humain est le facteur de coagulation le plus critique en hémorragie massive</w:t>
      </w:r>
      <w:r>
        <w:t xml:space="preserve"> — c'est le premier facteur à devenir déficitaire (seuil &lt; 1,5 g/L). Correction prioritaire par rapport aux autres facteurs.</w:t>
      </w:r>
    </w:p>
    <w:p>
      <w:pPr>
        <w:pStyle w:val="ListNumber"/>
      </w:pPr>
      <w:r/>
      <w:r>
        <w:rPr>
          <w:b/>
        </w:rPr>
        <w:t>Dose standard adulte</w:t>
      </w:r>
      <w:r>
        <w:t xml:space="preserve"> : 3-4 g IV (ou 30-60 mg/kg). </w:t>
      </w:r>
      <w:r>
        <w:rPr>
          <w:b/>
        </w:rPr>
        <w:t>Dose maximale</w:t>
      </w:r>
      <w:r>
        <w:t xml:space="preserve"> : 8-10 g/24 h ou 100 mg/kg/24 h — au-delà, risque thrombotique majeur.</w:t>
      </w:r>
    </w:p>
    <w:p>
      <w:pPr>
        <w:pStyle w:val="ListNumber"/>
      </w:pPr>
      <w:r/>
      <w:r>
        <w:rPr>
          <w:b/>
        </w:rPr>
        <w:t>Seuil d'intervention plus élevé en obstétrique</w:t>
      </w:r>
      <w:r>
        <w:t xml:space="preserve"> : fibrinogène &lt; 2,0 g/L en HPP (car la fibrinogène est physiologiquement augmentée en fin de grossesse ~4-6 g/L, et un seuil &lt; 1,5 g/L est trop bas en contexte obstétrical).</w:t>
      </w:r>
    </w:p>
    <w:p>
      <w:pPr>
        <w:pStyle w:val="ListNumber"/>
      </w:pPr>
      <w:r/>
      <w:r>
        <w:rPr>
          <w:b/>
        </w:rPr>
        <w:t>Surveillance fibrinogénémie à H+30 min, H+1 h, H+4 h</w:t>
      </w:r>
      <w:r>
        <w:t xml:space="preserve"> post-administration (méthode Clauss, méthode immunologique plus fiable que la méthode chronométrique).</w:t>
      </w:r>
    </w:p>
    <w:p>
      <w:pPr>
        <w:pStyle w:val="ListNumber"/>
      </w:pPr>
      <w:r/>
      <w:r>
        <w:rPr>
          <w:b/>
        </w:rPr>
        <w:t>Association systématique avec acide tranexamique</w:t>
      </w:r>
      <w:r>
        <w:t xml:space="preserve"> (1 g IV bolus puis 1 g/8 h × 24 h) en cas d'hémorragie massive — pour prévenir la fibrinolyse et stabiliser le caillot.</w:t>
      </w:r>
    </w:p>
    <w:p>
      <w:pPr>
        <w:pStyle w:val="ListNumber"/>
      </w:pPr>
      <w:r/>
      <w:r>
        <w:rPr>
          <w:b/>
        </w:rPr>
        <w:t>Risque thrombotique majeur</w:t>
      </w:r>
      <w:r>
        <w:t xml:space="preserve"> (TVP, EP, AVC ischémique, infarctus) à doses cumulées &gt; 8 g/24 h ou chez les patients à risque thrombotique.</w:t>
      </w:r>
    </w:p>
    <w:p>
      <w:pPr>
        <w:pStyle w:val="ListNumber"/>
      </w:pPr>
      <w:r/>
      <w:r>
        <w:rPr>
          <w:b/>
        </w:rPr>
        <w:t>Patients IgA-déficients avec anti-IgA</w:t>
      </w:r>
      <w:r>
        <w:t xml:space="preserve"> : risque majeur d'anaphylaxie. Dosage pondéral IgA systématique avant la première administration.</w:t>
      </w:r>
    </w:p>
    <w:p>
      <w:pPr>
        <w:pStyle w:val="ListNumber"/>
      </w:pPr>
      <w:r/>
      <w:r>
        <w:rPr>
          <w:b/>
        </w:rPr>
        <w:t>Hémolyse chez les patients de groupe A, B, AB</w:t>
      </w:r>
      <w:r>
        <w:t xml:space="preserve"> : fibrinogène humain contient des isohémagglutinines anti-A et anti-B résiduelles. Surveillance clinique et biologique.</w:t>
      </w:r>
    </w:p>
    <w:p>
      <w:pPr>
        <w:pStyle w:val="ListNumber"/>
      </w:pPr>
      <w:r/>
      <w:r>
        <w:rPr>
          <w:b/>
        </w:rPr>
        <w:t>Vaccination hépatite A et B</w:t>
      </w:r>
      <w:r>
        <w:t xml:space="preserve"> systématique chez tout patient pouvant nécessiter un fibrinogène à répétition.</w:t>
      </w:r>
    </w:p>
    <w:p>
      <w:pPr>
        <w:pStyle w:val="ListNumber"/>
      </w:pPr>
      <w:r/>
      <w:r>
        <w:rPr>
          <w:b/>
        </w:rPr>
        <w:t>Chaîne du froid +2 °C à +8 °C</w:t>
      </w:r>
      <w:r>
        <w:t xml:space="preserve"> stricte ; reconstitution douce ; utilisation dans les 3 h après reconstitution.</w:t>
      </w:r>
    </w:p>
    <w:p>
      <w:pPr>
        <w:pStyle w:val="ListNumber"/>
      </w:pPr>
      <w:r/>
      <w:r>
        <w:rPr>
          <w:b/>
        </w:rPr>
        <w:t>Grossesse et allaitement</w:t>
      </w:r>
      <w:r>
        <w:t xml:space="preserve"> : fibrinogène humain utilisable (CRAT), traitement de référence de l'HPP avec fibrinogène &lt; 2,0 g/L.</w:t>
      </w:r>
    </w:p>
    <w:p>
      <w:pPr>
        <w:pStyle w:val="ListNumber"/>
      </w:pPr>
      <w:r/>
      <w:r>
        <w:rPr>
          <w:b/>
        </w:rPr>
        <w:t>Afibrinogénémie congénitale</w:t>
      </w:r>
      <w:r>
        <w:t xml:space="preserve"> : prophylaxie lifelong (30-50 mg/kg 1-2x/semaine), surveillance anticorps anti-fibrinogène annuel.</w:t>
      </w:r>
    </w:p>
    <w:p>
      <w:pPr>
        <w:pStyle w:val="ListNumber"/>
      </w:pPr>
      <w:r/>
      <w:r>
        <w:rPr>
          <w:b/>
        </w:rPr>
        <w:t>HEAMOCOMPLETTAN P vs CLOTTAFACT</w:t>
      </w:r>
      <w:r>
        <w:t xml:space="preserve"> : équivalents en termes d'efficacité. HEAMOCOMPLETTAN P (1 g/flacon) plus pratique pour les faibles doses ; CLOTTAFACT (1,5 g/flacon) plus pratique pour les fortes doses.</w:t>
      </w:r>
    </w:p>
    <w:p>
      <w:pPr>
        <w:pStyle w:val="ListNumber"/>
      </w:pPr>
      <w:r/>
      <w:r>
        <w:rPr>
          <w:b/>
        </w:rPr>
        <w:t>Fibrinogène humain IV vs PFC</w:t>
      </w:r>
      <w:r>
        <w:t xml:space="preserve"> : préférer le fibrinogène humain IV en cas d'hypofibrinogénémie isolée en urgence (rapidité d'action, faible volume) ; préférer le PFC en cas d'insuffisance hépatique sévère (apport de tous les facteurs).</w:t>
      </w:r>
    </w:p>
    <w:p>
      <w:pPr>
        <w:pStyle w:val="ListNumber"/>
      </w:pPr>
      <w:r/>
      <w:r>
        <w:rPr>
          <w:b/>
        </w:rPr>
        <w:t>Pharmacovigilance virale</w:t>
      </w:r>
      <w:r>
        <w:t xml:space="preserve"> : tout épisode viral dans les 6 mois suivant l'administration de fibrinogène humain doit être notifié au CNPV.</w:t>
      </w:r>
    </w:p>
    <w:p>
      <w:pPr>
        <w:pStyle w:val="ListNumber"/>
      </w:pPr>
      <w:r/>
      <w:r>
        <w:rPr>
          <w:b/>
        </w:rPr>
        <w:t>Information patient</w:t>
      </w:r>
      <w:r>
        <w:t xml:space="preserve"> : carte d'information, carnet de suivi patient, numéro d'urgence 24/7 du centre de référence.</w:t>
      </w:r>
    </w:p>
    <w:p>
      <w:pPr>
        <w:pStyle w:val="Heading3"/>
      </w:pPr>
      <w:r>
        <w:t>Sous-section 12 — Tableau comparatif de sous-classe (Fibrinogène humain)</w:t>
      </w:r>
    </w:p>
    <w:tbl>
      <w:tblPr>
        <w:tblStyle w:val="LightGrid-Accent1"/>
        <w:tblW w:type="auto" w:w="0"/>
        <w:tblLayout w:type="autofit"/>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shd w:val="clear" w:color="auto" w:fill="F2F2F2"/>
          </w:tcPr>
          <w:p>
            <w:r>
              <w:rPr>
                <w:rFonts w:ascii="Times New Roman" w:hAnsi="Times New Roman"/>
                <w:b/>
                <w:sz w:val="20"/>
              </w:rPr>
              <w:t>Spécialité</w:t>
            </w:r>
          </w:p>
        </w:tc>
        <w:tc>
          <w:tcPr>
            <w:tcW w:type="dxa" w:w="924"/>
            <w:shd w:val="clear" w:color="auto" w:fill="F2F2F2"/>
          </w:tcPr>
          <w:p>
            <w:r>
              <w:rPr>
                <w:rFonts w:ascii="Times New Roman" w:hAnsi="Times New Roman"/>
                <w:b/>
                <w:sz w:val="20"/>
              </w:rPr>
              <w:t>Laboratoire</w:t>
            </w:r>
          </w:p>
        </w:tc>
        <w:tc>
          <w:tcPr>
            <w:tcW w:type="dxa" w:w="924"/>
            <w:shd w:val="clear" w:color="auto" w:fill="F2F2F2"/>
          </w:tcPr>
          <w:p>
            <w:r>
              <w:rPr>
                <w:rFonts w:ascii="Times New Roman" w:hAnsi="Times New Roman"/>
                <w:b/>
                <w:sz w:val="20"/>
              </w:rPr>
              <w:t>Origine</w:t>
            </w:r>
          </w:p>
        </w:tc>
        <w:tc>
          <w:tcPr>
            <w:tcW w:type="dxa" w:w="924"/>
            <w:shd w:val="clear" w:color="auto" w:fill="F2F2F2"/>
          </w:tcPr>
          <w:p>
            <w:r>
              <w:rPr>
                <w:rFonts w:ascii="Times New Roman" w:hAnsi="Times New Roman"/>
                <w:b/>
                <w:sz w:val="20"/>
              </w:rPr>
              <w:t>Dosage</w:t>
            </w:r>
          </w:p>
        </w:tc>
        <w:tc>
          <w:tcPr>
            <w:tcW w:type="dxa" w:w="924"/>
            <w:shd w:val="clear" w:color="auto" w:fill="F2F2F2"/>
          </w:tcPr>
          <w:p>
            <w:r>
              <w:rPr>
                <w:rFonts w:ascii="Times New Roman" w:hAnsi="Times New Roman"/>
                <w:b/>
                <w:sz w:val="20"/>
              </w:rPr>
              <w:t>Volume reconstitution</w:t>
            </w:r>
          </w:p>
        </w:tc>
        <w:tc>
          <w:tcPr>
            <w:tcW w:type="dxa" w:w="924"/>
            <w:shd w:val="clear" w:color="auto" w:fill="F2F2F2"/>
          </w:tcPr>
          <w:p>
            <w:r>
              <w:rPr>
                <w:rFonts w:ascii="Times New Roman" w:hAnsi="Times New Roman"/>
                <w:b/>
                <w:sz w:val="20"/>
              </w:rPr>
              <w:t>Inactivation virale</w:t>
            </w:r>
          </w:p>
        </w:tc>
        <w:tc>
          <w:tcPr>
            <w:tcW w:type="dxa" w:w="924"/>
            <w:shd w:val="clear" w:color="auto" w:fill="F2F2F2"/>
          </w:tcPr>
          <w:p>
            <w:r>
              <w:rPr>
                <w:rFonts w:ascii="Times New Roman" w:hAnsi="Times New Roman"/>
                <w:b/>
                <w:sz w:val="20"/>
              </w:rPr>
              <w:t>Demi-vie</w:t>
            </w:r>
          </w:p>
        </w:tc>
        <w:tc>
          <w:tcPr>
            <w:tcW w:type="dxa" w:w="924"/>
            <w:shd w:val="clear" w:color="auto" w:fill="F2F2F2"/>
          </w:tcPr>
          <w:p>
            <w:r>
              <w:rPr>
                <w:rFonts w:ascii="Times New Roman" w:hAnsi="Times New Roman"/>
                <w:b/>
                <w:sz w:val="20"/>
              </w:rPr>
              <w:t>Statut Algérie</w:t>
            </w:r>
          </w:p>
        </w:tc>
        <w:tc>
          <w:tcPr>
            <w:tcW w:type="dxa" w:w="924"/>
            <w:shd w:val="clear" w:color="auto" w:fill="F2F2F2"/>
          </w:tcPr>
          <w:p>
            <w:r>
              <w:rPr>
                <w:rFonts w:ascii="Times New Roman" w:hAnsi="Times New Roman"/>
                <w:b/>
                <w:sz w:val="20"/>
              </w:rPr>
              <w:t>Code ATC</w:t>
            </w:r>
          </w:p>
        </w:tc>
      </w:tr>
      <w:tr>
        <w:tc>
          <w:tcPr>
            <w:tcW w:type="dxa" w:w="924"/>
          </w:tcPr>
          <w:p>
            <w:r>
              <w:rPr>
                <w:rFonts w:ascii="Times New Roman" w:hAnsi="Times New Roman"/>
                <w:sz w:val="20"/>
              </w:rPr>
              <w:t>HEAMOCOMPLETTAN P</w:t>
            </w:r>
          </w:p>
        </w:tc>
        <w:tc>
          <w:tcPr>
            <w:tcW w:type="dxa" w:w="924"/>
          </w:tcPr>
          <w:p>
            <w:r>
              <w:rPr>
                <w:rFonts w:ascii="Times New Roman" w:hAnsi="Times New Roman"/>
                <w:sz w:val="20"/>
              </w:rPr>
              <w:t>CSL Behring GmbH (Allemagne)</w:t>
            </w:r>
          </w:p>
        </w:tc>
        <w:tc>
          <w:tcPr>
            <w:tcW w:type="dxa" w:w="924"/>
          </w:tcPr>
          <w:p>
            <w:r>
              <w:rPr>
                <w:rFonts w:ascii="Times New Roman" w:hAnsi="Times New Roman"/>
                <w:sz w:val="20"/>
              </w:rPr>
              <w:t>Plasma humain</w:t>
            </w:r>
          </w:p>
        </w:tc>
        <w:tc>
          <w:tcPr>
            <w:tcW w:type="dxa" w:w="924"/>
          </w:tcPr>
          <w:p>
            <w:r>
              <w:rPr>
                <w:rFonts w:ascii="Times New Roman" w:hAnsi="Times New Roman"/>
                <w:sz w:val="20"/>
              </w:rPr>
              <w:t>1 g/flacon</w:t>
            </w:r>
          </w:p>
        </w:tc>
        <w:tc>
          <w:tcPr>
            <w:tcW w:type="dxa" w:w="924"/>
          </w:tcPr>
          <w:p>
            <w:r>
              <w:rPr>
                <w:rFonts w:ascii="Times New Roman" w:hAnsi="Times New Roman"/>
                <w:sz w:val="20"/>
              </w:rPr>
              <w:t>50 mL EPPI (20 mg/mL)</w:t>
            </w:r>
          </w:p>
        </w:tc>
        <w:tc>
          <w:tcPr>
            <w:tcW w:type="dxa" w:w="924"/>
          </w:tcPr>
          <w:p>
            <w:r>
              <w:rPr>
                <w:rFonts w:ascii="Times New Roman" w:hAnsi="Times New Roman"/>
                <w:sz w:val="20"/>
              </w:rPr>
              <w:t>Pasteurisation 60 °C/10 h</w:t>
            </w:r>
          </w:p>
        </w:tc>
        <w:tc>
          <w:tcPr>
            <w:tcW w:type="dxa" w:w="924"/>
          </w:tcPr>
          <w:p>
            <w:r>
              <w:rPr>
                <w:rFonts w:ascii="Times New Roman" w:hAnsi="Times New Roman"/>
                <w:sz w:val="20"/>
              </w:rPr>
              <w:t>3-5 jours</w:t>
            </w:r>
          </w:p>
        </w:tc>
        <w:tc>
          <w:tcPr>
            <w:tcW w:type="dxa" w:w="924"/>
          </w:tcPr>
          <w:p>
            <w:r>
              <w:rPr>
                <w:rFonts w:ascii="Times New Roman" w:hAnsi="Times New Roman"/>
                <w:sz w:val="20"/>
              </w:rPr>
              <w:t>Actif</w:t>
            </w:r>
          </w:p>
        </w:tc>
        <w:tc>
          <w:tcPr>
            <w:tcW w:type="dxa" w:w="924"/>
          </w:tcPr>
          <w:p>
            <w:r>
              <w:rPr>
                <w:rFonts w:ascii="Times New Roman" w:hAnsi="Times New Roman"/>
                <w:sz w:val="20"/>
              </w:rPr>
              <w:t>B02BB01</w:t>
            </w:r>
          </w:p>
        </w:tc>
      </w:tr>
      <w:tr>
        <w:tc>
          <w:tcPr>
            <w:tcW w:type="dxa" w:w="924"/>
          </w:tcPr>
          <w:p>
            <w:r>
              <w:rPr>
                <w:rFonts w:ascii="Times New Roman" w:hAnsi="Times New Roman"/>
                <w:sz w:val="20"/>
              </w:rPr>
              <w:t>CLOTTAFACT</w:t>
            </w:r>
          </w:p>
        </w:tc>
        <w:tc>
          <w:tcPr>
            <w:tcW w:type="dxa" w:w="924"/>
          </w:tcPr>
          <w:p>
            <w:r>
              <w:rPr>
                <w:rFonts w:ascii="Times New Roman" w:hAnsi="Times New Roman"/>
                <w:sz w:val="20"/>
              </w:rPr>
              <w:t>Accentis Pharma Algérie (distribution)</w:t>
            </w:r>
          </w:p>
        </w:tc>
        <w:tc>
          <w:tcPr>
            <w:tcW w:type="dxa" w:w="924"/>
          </w:tcPr>
          <w:p>
            <w:r>
              <w:rPr>
                <w:rFonts w:ascii="Times New Roman" w:hAnsi="Times New Roman"/>
                <w:sz w:val="20"/>
              </w:rPr>
              <w:t>Plasma humain</w:t>
            </w:r>
          </w:p>
        </w:tc>
        <w:tc>
          <w:tcPr>
            <w:tcW w:type="dxa" w:w="924"/>
          </w:tcPr>
          <w:p>
            <w:r>
              <w:rPr>
                <w:rFonts w:ascii="Times New Roman" w:hAnsi="Times New Roman"/>
                <w:sz w:val="20"/>
              </w:rPr>
              <w:t>1,5 g/100 mL</w:t>
            </w:r>
          </w:p>
        </w:tc>
        <w:tc>
          <w:tcPr>
            <w:tcW w:type="dxa" w:w="924"/>
          </w:tcPr>
          <w:p>
            <w:r>
              <w:rPr>
                <w:rFonts w:ascii="Times New Roman" w:hAnsi="Times New Roman"/>
                <w:sz w:val="20"/>
              </w:rPr>
              <w:t>100 mL EPPI (15 mg/mL)</w:t>
            </w:r>
          </w:p>
        </w:tc>
        <w:tc>
          <w:tcPr>
            <w:tcW w:type="dxa" w:w="924"/>
          </w:tcPr>
          <w:p>
            <w:r>
              <w:rPr>
                <w:rFonts w:ascii="Times New Roman" w:hAnsi="Times New Roman"/>
                <w:sz w:val="20"/>
              </w:rPr>
              <w:t>SD + nanofiltration</w:t>
            </w:r>
          </w:p>
        </w:tc>
        <w:tc>
          <w:tcPr>
            <w:tcW w:type="dxa" w:w="924"/>
          </w:tcPr>
          <w:p>
            <w:r>
              <w:rPr>
                <w:rFonts w:ascii="Times New Roman" w:hAnsi="Times New Roman"/>
                <w:sz w:val="20"/>
              </w:rPr>
              <w:t>3-5 jours</w:t>
            </w:r>
          </w:p>
        </w:tc>
        <w:tc>
          <w:tcPr>
            <w:tcW w:type="dxa" w:w="924"/>
          </w:tcPr>
          <w:p>
            <w:r>
              <w:rPr>
                <w:rFonts w:ascii="Times New Roman" w:hAnsi="Times New Roman"/>
                <w:sz w:val="20"/>
              </w:rPr>
              <w:t>Actif</w:t>
            </w:r>
          </w:p>
        </w:tc>
        <w:tc>
          <w:tcPr>
            <w:tcW w:type="dxa" w:w="924"/>
          </w:tcPr>
          <w:p>
            <w:r>
              <w:rPr>
                <w:rFonts w:ascii="Times New Roman" w:hAnsi="Times New Roman"/>
                <w:sz w:val="20"/>
              </w:rPr>
              <w:t>B02BB01</w:t>
            </w:r>
          </w:p>
        </w:tc>
      </w:tr>
    </w:tbl>
    <w:p/>
    <w:p>
      <w:pPr>
        <w:pStyle w:val="Heading2"/>
      </w:pPr>
      <w:r>
        <w:t>236.2. DCI : Colle biologique (Fibrinogène + Thrombine) — TISSEEL LYO</w:t>
      </w:r>
    </w:p>
    <w:p>
      <w:pPr>
        <w:pStyle w:val="Heading3"/>
      </w:pPr>
      <w:r>
        <w:t>Sous-section 1 — Liste des catégories thérapeutiques</w:t>
      </w:r>
    </w:p>
    <w:p>
      <w:pPr>
        <w:pStyle w:val="ListBullet"/>
      </w:pPr>
      <w:r/>
      <w:r>
        <w:rPr>
          <w:b/>
        </w:rPr>
        <w:t>Code ATC</w:t>
      </w:r>
      <w:r>
        <w:t xml:space="preserve"> : </w:t>
      </w:r>
      <w:r>
        <w:rPr>
          <w:b/>
        </w:rPr>
        <w:t>B02BC01</w:t>
      </w:r>
      <w:r>
        <w:t xml:space="preserve"> — Colle biologique (fibrin sealant, poudre pour colle).</w:t>
      </w:r>
    </w:p>
    <w:p>
      <w:pPr>
        <w:pStyle w:val="ListBullet"/>
      </w:pPr>
      <w:r/>
      <w:r>
        <w:rPr>
          <w:b/>
        </w:rPr>
        <w:t>Classe pharmacologique</w:t>
      </w:r>
      <w:r>
        <w:t xml:space="preserve"> : hémostatique local (colle biologique fibrine) composé de deux composants : (1) fibrinogène humain + aprotinine synthétique ; (2) thrombine humaine + chlorure de calcium.</w:t>
      </w:r>
    </w:p>
    <w:p>
      <w:pPr>
        <w:pStyle w:val="ListBullet"/>
      </w:pPr>
      <w:r/>
      <w:r>
        <w:rPr>
          <w:b/>
        </w:rPr>
        <w:t>Statut réglementaire Algérie</w:t>
      </w:r>
      <w:r>
        <w:t xml:space="preserve"> : Liste I (substance vénéneuse), prescription réservée aux médecins spécialistes en chirurgie (cardiaque, vasculaire, digestive, ORL, neurochirurgie, orthopédie, gynéco-obstétrique), délivrance hospitalière (PUI).</w:t>
      </w:r>
    </w:p>
    <w:p>
      <w:pPr>
        <w:pStyle w:val="ListBullet"/>
      </w:pPr>
      <w:r/>
      <w:r>
        <w:rPr>
          <w:b/>
        </w:rPr>
        <w:t>Statut OMS</w:t>
      </w:r>
      <w:r>
        <w:t xml:space="preserve"> : non listé dans la Model List of Essential Medicines (médicament de spécialité chirurgicale).</w:t>
      </w:r>
    </w:p>
    <w:p>
      <w:pPr>
        <w:pStyle w:val="ListBullet"/>
      </w:pPr>
      <w:r/>
      <w:r>
        <w:rPr>
          <w:b/>
        </w:rPr>
        <w:t>Délivrance</w:t>
      </w:r>
      <w:r>
        <w:t xml:space="preserve"> : hospitalière (PUI), traçabilité nominative obligatoire (registre CNTS).</w:t>
      </w:r>
    </w:p>
    <w:p>
      <w:pPr>
        <w:pStyle w:val="ListBullet"/>
      </w:pPr>
      <w:r/>
      <w:r>
        <w:rPr>
          <w:b/>
        </w:rPr>
        <w:t>Pharmacovigilance</w:t>
      </w:r>
      <w:r>
        <w:t xml:space="preserve"> : notification obligatoire des EI graves au CNPV + registre international des PSS.</w:t>
      </w:r>
    </w:p>
    <w:p>
      <w:pPr>
        <w:pStyle w:val="ListBullet"/>
      </w:pPr>
      <w:r/>
      <w:r>
        <w:rPr>
          <w:b/>
        </w:rPr>
        <w:t>Disponibilité en Algérie</w:t>
      </w:r>
      <w:r>
        <w:t xml:space="preserve"> : TISSEEL LYO (Baxter Medical Products GmbH, Allemagne) en 3 dosages (2 mL, 4 mL, 10 mL).</w:t>
      </w:r>
    </w:p>
    <w:p>
      <w:pPr>
        <w:pStyle w:val="Heading3"/>
      </w:pPr>
      <w:r>
        <w:t>Sous-section 2 —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TISSEEL LYO 2 mL</w:t>
            </w:r>
          </w:p>
        </w:tc>
        <w:tc>
          <w:tcPr>
            <w:tcW w:type="dxa" w:w="1385"/>
          </w:tcPr>
          <w:p>
            <w:r>
              <w:rPr>
                <w:rFonts w:ascii="Times New Roman" w:hAnsi="Times New Roman"/>
                <w:sz w:val="20"/>
              </w:rPr>
              <w:t>Baxter Medical Products GmbH (Allemagne)</w:t>
            </w:r>
          </w:p>
        </w:tc>
        <w:tc>
          <w:tcPr>
            <w:tcW w:type="dxa" w:w="1385"/>
          </w:tcPr>
          <w:p>
            <w:r>
              <w:rPr>
                <w:rFonts w:ascii="Times New Roman" w:hAnsi="Times New Roman"/>
                <w:sz w:val="20"/>
              </w:rPr>
              <w:t>Poudres et solvants pour colle, **Composant 1 : Fibrinogène humain (protéine coagulable) 45,5 mg/mL + Aprotinine synthétique 1500 KUI/mL** ; **Composant 2 : Thrombine humaine 250 UI/mL + Chlorure de sodium dihydrate 20 µmol/mL**</w:t>
            </w:r>
          </w:p>
        </w:tc>
        <w:tc>
          <w:tcPr>
            <w:tcW w:type="dxa" w:w="1385"/>
          </w:tcPr>
          <w:p>
            <w:r>
              <w:rPr>
                <w:rFonts w:ascii="Times New Roman" w:hAnsi="Times New Roman"/>
                <w:sz w:val="20"/>
              </w:rPr>
              <w:t>Boîte de 1×2 mL (1 mL + 1 mL) — pour surfaces hémorragiques &lt; 10 cm²</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TISSEEL LYO 4 mL</w:t>
            </w:r>
          </w:p>
        </w:tc>
        <w:tc>
          <w:tcPr>
            <w:tcW w:type="dxa" w:w="1385"/>
          </w:tcPr>
          <w:p>
            <w:r>
              <w:rPr>
                <w:rFonts w:ascii="Times New Roman" w:hAnsi="Times New Roman"/>
                <w:sz w:val="20"/>
              </w:rPr>
              <w:t>Baxter Medical Products GmbH (Allemagne)</w:t>
            </w:r>
          </w:p>
        </w:tc>
        <w:tc>
          <w:tcPr>
            <w:tcW w:type="dxa" w:w="1385"/>
          </w:tcPr>
          <w:p>
            <w:r>
              <w:rPr>
                <w:rFonts w:ascii="Times New Roman" w:hAnsi="Times New Roman"/>
                <w:sz w:val="20"/>
              </w:rPr>
              <w:t>Poudres et solvants pour colle, même composition</w:t>
            </w:r>
          </w:p>
        </w:tc>
        <w:tc>
          <w:tcPr>
            <w:tcW w:type="dxa" w:w="1385"/>
          </w:tcPr>
          <w:p>
            <w:r>
              <w:rPr>
                <w:rFonts w:ascii="Times New Roman" w:hAnsi="Times New Roman"/>
                <w:sz w:val="20"/>
              </w:rPr>
              <w:t>Boîte de 1×4 mL (2 mL + 2 mL) — pour surfaces hémorragiques 10-25 cm²</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TISSEEL LYO 10 mL</w:t>
            </w:r>
          </w:p>
        </w:tc>
        <w:tc>
          <w:tcPr>
            <w:tcW w:type="dxa" w:w="1385"/>
          </w:tcPr>
          <w:p>
            <w:r>
              <w:rPr>
                <w:rFonts w:ascii="Times New Roman" w:hAnsi="Times New Roman"/>
                <w:sz w:val="20"/>
              </w:rPr>
              <w:t>Baxter Medical Products GmbH (Allemagne)</w:t>
            </w:r>
          </w:p>
        </w:tc>
        <w:tc>
          <w:tcPr>
            <w:tcW w:type="dxa" w:w="1385"/>
          </w:tcPr>
          <w:p>
            <w:r>
              <w:rPr>
                <w:rFonts w:ascii="Times New Roman" w:hAnsi="Times New Roman"/>
                <w:sz w:val="20"/>
              </w:rPr>
              <w:t>Poudres et solvants pour colle, même composition</w:t>
            </w:r>
          </w:p>
        </w:tc>
        <w:tc>
          <w:tcPr>
            <w:tcW w:type="dxa" w:w="1385"/>
          </w:tcPr>
          <w:p>
            <w:r>
              <w:rPr>
                <w:rFonts w:ascii="Times New Roman" w:hAnsi="Times New Roman"/>
                <w:sz w:val="20"/>
              </w:rPr>
              <w:t>Boîte de 1×10 mL (5 mL + 5 mL) — pour surfaces hémorragiques 25-100 cm²</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w:t>
      </w:r>
      <w:r>
        <w:t xml:space="preserve"> : la colle biologique TISSEEL LYO se présente sous forme de </w:t>
      </w:r>
      <w:r>
        <w:rPr>
          <w:b/>
        </w:rPr>
        <w:t>deux flacons séparés</w:t>
      </w:r>
      <w:r>
        <w:t xml:space="preserve"> (Composant 1 = fibrinogène + aprotinine ; Composant 2 = thrombine + CaCl₂) qui sont mélangés au moment de l'application par l'intermédiaire d'un </w:t>
      </w:r>
      <w:r>
        <w:rPr>
          <w:b/>
        </w:rPr>
        <w:t>dispositif dual-syringe</w:t>
      </w:r>
      <w:r>
        <w:t xml:space="preserve"> (seringue double) ou d'un </w:t>
      </w:r>
      <w:r>
        <w:rPr>
          <w:b/>
        </w:rPr>
        <w:t>applicateur spray</w:t>
      </w:r>
      <w:r>
        <w:t>. Le mélange se fait en temps réel au contact de la zone hémorragique, reproduisant la dernière étape de la cascade de coagulation (conversion du fibrinogène en fibrine par la thrombine).</w:t>
      </w:r>
    </w:p>
    <w:p>
      <w:pPr>
        <w:pStyle w:val="Heading3"/>
      </w:pPr>
      <w:r>
        <w:t>Sous-section 3 — Sous-classe et mécanisme d'action moléculaire</w:t>
      </w:r>
    </w:p>
    <w:p>
      <w:r/>
      <w:r>
        <w:rPr>
          <w:b/>
        </w:rPr>
        <w:t>Sous-classe pharmacologique</w:t>
      </w:r>
      <w:r>
        <w:t xml:space="preserve"> : B02BC01 — Colle biologique (fibrin sealant). À ne pas confondre avec B02BB01 (fibrinogène humain IV) ou B02BD02 (PCC).</w:t>
      </w:r>
    </w:p>
    <w:p>
      <w:r/>
      <w:r>
        <w:rPr>
          <w:b/>
        </w:rPr>
        <w:t>Structure moléculaire</w:t>
      </w:r>
      <w:r>
        <w:t xml:space="preserve"> :</w:t>
      </w:r>
    </w:p>
    <w:p>
      <w:pPr>
        <w:pStyle w:val="ListBullet"/>
      </w:pPr>
      <w:r/>
      <w:r>
        <w:rPr>
          <w:b/>
        </w:rPr>
        <w:t>Composant 1</w:t>
      </w:r>
      <w:r>
        <w:t xml:space="preserve"> : fibrinogène humain purifié (45,5 mg/mL, soit ~91 mg/flacon de 2 mL) + aprotinine synthétique (1500 KUI/mL — inhibiteur de la fibrinolyse, prévient la dégradation prématurée du caillot par la plasmine) + excipients (chlorure de sodium, citrate de sodium, L-arginine).</w:t>
      </w:r>
    </w:p>
    <w:p>
      <w:pPr>
        <w:pStyle w:val="ListBullet"/>
      </w:pPr>
      <w:r/>
      <w:r>
        <w:rPr>
          <w:b/>
        </w:rPr>
        <w:t>Composant 2</w:t>
      </w:r>
      <w:r>
        <w:t xml:space="preserve"> : thrombine humaine purifiée (250 UI/mL, soit ~500 UI/flacon de 2 mL) + chlorure de calcium dihydrate (20 µmol/mL, cofacteur de la thrombine et de la polymérisation du fibrinogène) + excipients (chlorure de sodium, glycine).</w:t>
      </w:r>
    </w:p>
    <w:p>
      <w:pPr>
        <w:pStyle w:val="ListBullet"/>
      </w:pPr>
      <w:r/>
      <w:r>
        <w:rPr>
          <w:b/>
        </w:rPr>
        <w:t>Sécurité virale</w:t>
      </w:r>
      <w:r>
        <w:t xml:space="preserve"> : double inactivation virale pour chaque composant — solvant-détergent (SD, inactivation virus enveloppés VIH/VHB/VHC/HTLV) + </w:t>
      </w:r>
      <w:r>
        <w:rPr>
          <w:b/>
        </w:rPr>
        <w:t>chaleur vapeur (heat treatment à 100 °C pendant 30 min en solution lyophilisée)</w:t>
      </w:r>
      <w:r>
        <w:t xml:space="preserve"> pour le fibrinogène, et solvant-détergent + nanofiltration pour la thrombine.</w:t>
      </w:r>
    </w:p>
    <w:p>
      <w:r/>
      <w:r>
        <w:rPr>
          <w:b/>
        </w:rPr>
        <w:t>Mécanisme d'action</w:t>
      </w:r>
      <w:r>
        <w:t xml:space="preserve"> :</w:t>
      </w:r>
    </w:p>
    <w:p>
      <w:pPr>
        <w:pStyle w:val="ListBullet"/>
      </w:pPr>
      <w:r>
        <w:t>Le mélange du Composant 1 (fibrinogène + aprotinine) et du Composant 2 (thrombine + CaCl₂) au moment de l'application reproduit la dernière étape de la cascade de coagulation :</w:t>
      </w:r>
    </w:p>
    <w:p>
      <w:pPr>
        <w:pStyle w:val="ListNumber"/>
      </w:pPr>
      <w:r>
        <w:t xml:space="preserve">La </w:t>
      </w:r>
      <w:r>
        <w:rPr>
          <w:b/>
        </w:rPr>
        <w:t>thrombine (FIIa)</w:t>
      </w:r>
      <w:r>
        <w:t xml:space="preserve"> clive le </w:t>
      </w:r>
      <w:r>
        <w:rPr>
          <w:b/>
        </w:rPr>
        <w:t>fibrinogène (FI)</w:t>
      </w:r>
      <w:r>
        <w:t xml:space="preserve"> en </w:t>
      </w:r>
      <w:r>
        <w:rPr>
          <w:b/>
        </w:rPr>
        <w:t>fibrine (FIa)</w:t>
      </w:r>
      <w:r>
        <w:t xml:space="preserve"> (polymérisation).</w:t>
      </w:r>
    </w:p>
    <w:p>
      <w:pPr>
        <w:pStyle w:val="ListNumber"/>
      </w:pPr>
      <w:r>
        <w:t xml:space="preserve">Le </w:t>
      </w:r>
      <w:r>
        <w:rPr>
          <w:b/>
        </w:rPr>
        <w:t>CaCl₂</w:t>
      </w:r>
      <w:r>
        <w:t xml:space="preserve"> active le </w:t>
      </w:r>
      <w:r>
        <w:rPr>
          <w:b/>
        </w:rPr>
        <w:t>Facteur XIII</w:t>
      </w:r>
      <w:r>
        <w:t xml:space="preserve"> (présent en traces dans le fibrinogène purifié) en </w:t>
      </w:r>
      <w:r>
        <w:rPr>
          <w:b/>
        </w:rPr>
        <w:t>FXIIIa</w:t>
      </w:r>
      <w:r>
        <w:t>, qui stabilise le réseau de fibrine par ponts covalents entre les chaînes γ et α.</w:t>
      </w:r>
    </w:p>
    <w:p>
      <w:pPr>
        <w:pStyle w:val="ListNumber"/>
      </w:pPr>
      <w:r>
        <w:t>L'</w:t>
      </w:r>
      <w:r>
        <w:rPr>
          <w:b/>
        </w:rPr>
        <w:t>aprotinine</w:t>
      </w:r>
      <w:r>
        <w:t xml:space="preserve"> inhibe la </w:t>
      </w:r>
      <w:r>
        <w:rPr>
          <w:b/>
        </w:rPr>
        <w:t>plasmine</w:t>
      </w:r>
      <w:r>
        <w:t xml:space="preserve"> (protéase de la fibrinolyse), prévenant la dégradation prématurée du caillot.</w:t>
      </w:r>
    </w:p>
    <w:p>
      <w:pPr>
        <w:pStyle w:val="ListBullet"/>
      </w:pPr>
      <w:r>
        <w:t xml:space="preserve">Le caillot de fibrine se forme en </w:t>
      </w:r>
      <w:r>
        <w:rPr>
          <w:b/>
        </w:rPr>
        <w:t>10-30 secondes</w:t>
      </w:r>
      <w:r>
        <w:t xml:space="preserve"> après application (constance selon la concentration en thrombine).</w:t>
      </w:r>
    </w:p>
    <w:p>
      <w:pPr>
        <w:pStyle w:val="ListBullet"/>
      </w:pPr>
      <w:r>
        <w:t xml:space="preserve">Le caillot est </w:t>
      </w:r>
      <w:r>
        <w:rPr>
          <w:b/>
        </w:rPr>
        <w:t>ferme, adhérent à la zone hémorragique</w:t>
      </w:r>
      <w:r>
        <w:t>, et se dégrade lentement en 2-4 semaines (fibrinolyse physiologique).</w:t>
      </w:r>
    </w:p>
    <w:p>
      <w:r/>
      <w:r>
        <w:rPr>
          <w:b/>
        </w:rPr>
        <w:t>Effet pharmacodynamique</w:t>
      </w:r>
      <w:r>
        <w:t xml:space="preserve"> :</w:t>
      </w:r>
    </w:p>
    <w:p>
      <w:pPr>
        <w:pStyle w:val="ListBullet"/>
      </w:pPr>
      <w:r>
        <w:t>Hémostase locale immédiate en 10-30 secondes.</w:t>
      </w:r>
    </w:p>
    <w:p>
      <w:pPr>
        <w:pStyle w:val="ListBullet"/>
      </w:pPr>
      <w:r>
        <w:t>Adhérence ferme à la zone hémorragique.</w:t>
      </w:r>
    </w:p>
    <w:p>
      <w:pPr>
        <w:pStyle w:val="ListBullet"/>
      </w:pPr>
      <w:r>
        <w:t>Pas d'effet systémique (la colle reste locale, le fibrinogène et la thrombine ne passent pas dans la circulation systémique en quantité significative).</w:t>
      </w:r>
    </w:p>
    <w:p>
      <w:r/>
      <w:r>
        <w:rPr>
          <w:b/>
        </w:rPr>
        <w:t>Particularité pharmacocinétique</w:t>
      </w:r>
      <w:r>
        <w:t xml:space="preserve"> :</w:t>
      </w:r>
    </w:p>
    <w:p>
      <w:pPr>
        <w:pStyle w:val="ListBullet"/>
      </w:pPr>
      <w:r>
        <w:t>Aucune absorption systémique significative (la colle reste locale).</w:t>
      </w:r>
    </w:p>
    <w:p>
      <w:pPr>
        <w:pStyle w:val="ListBullet"/>
      </w:pPr>
      <w:r>
        <w:t>Dégradation lente par la plasmine physiologique en 2-4 semaines.</w:t>
      </w:r>
    </w:p>
    <w:p>
      <w:pPr>
        <w:pStyle w:val="ListBullet"/>
      </w:pPr>
      <w:r>
        <w:t>Les traces d'aprotinine absorbées (potentielles) sont éliminées par le rein.</w:t>
      </w:r>
    </w:p>
    <w:p>
      <w:pPr>
        <w:pStyle w:val="Heading3"/>
      </w:pPr>
      <w:r>
        <w:t>Sous-section 4 — Profil pharmacologique : indications, contre-indications, effets indésirables</w:t>
      </w:r>
    </w:p>
    <w:p>
      <w:pPr>
        <w:pStyle w:val="Heading4"/>
      </w:pPr>
      <w:r>
        <w:t>Indications validées (RCP)</w:t>
      </w:r>
    </w:p>
    <w:p>
      <w:pPr>
        <w:pStyle w:val="ListNumber"/>
      </w:pPr>
      <w:r/>
      <w:r>
        <w:rPr>
          <w:b/>
        </w:rPr>
        <w:t>Hémostase locale chirurgicale</w:t>
      </w:r>
      <w:r>
        <w:t xml:space="preserve"> en complément des techniques mécaniques (compressions, sutures, électrocoagulation) :</w:t>
      </w:r>
    </w:p>
    <w:p>
      <w:pPr>
        <w:pStyle w:val="ListBullet"/>
      </w:pPr>
      <w:r/>
      <w:r>
        <w:rPr>
          <w:b/>
        </w:rPr>
        <w:t>Chirurgie cardiaque</w:t>
      </w:r>
      <w:r>
        <w:t xml:space="preserve"> : sutures, anastomoses coronariennes, hémostase des surfaces cardiaques et vasculaires, fermeture des incisions péricardiques.</w:t>
      </w:r>
    </w:p>
    <w:p>
      <w:pPr>
        <w:pStyle w:val="ListBullet"/>
      </w:pPr>
      <w:r/>
      <w:r>
        <w:rPr>
          <w:b/>
        </w:rPr>
        <w:t>Chirurgie vasculaire</w:t>
      </w:r>
      <w:r>
        <w:t xml:space="preserve"> : anastomoses vasculaires, pontages, hémostase des sites de ponction.</w:t>
      </w:r>
    </w:p>
    <w:p>
      <w:pPr>
        <w:pStyle w:val="ListBullet"/>
      </w:pPr>
      <w:r/>
      <w:r>
        <w:rPr>
          <w:b/>
        </w:rPr>
        <w:t>Neurochirurgie</w:t>
      </w:r>
      <w:r>
        <w:t xml:space="preserve"> : hémostase des berges durales, sutures méningées, fermeture étanche des brèches durales.</w:t>
      </w:r>
    </w:p>
    <w:p>
      <w:pPr>
        <w:pStyle w:val="ListBullet"/>
      </w:pPr>
      <w:r/>
      <w:r>
        <w:rPr>
          <w:b/>
        </w:rPr>
        <w:t>Chirurgie hépatique</w:t>
      </w:r>
      <w:r>
        <w:t xml:space="preserve"> : hémostase de la tranche de section hépatique, fermeture des fuites biliaires.</w:t>
      </w:r>
    </w:p>
    <w:p>
      <w:pPr>
        <w:pStyle w:val="ListBullet"/>
      </w:pPr>
      <w:r/>
      <w:r>
        <w:rPr>
          <w:b/>
        </w:rPr>
        <w:t>Chirurgie ORL</w:t>
      </w:r>
      <w:r>
        <w:t xml:space="preserve"> : sutures des tissus mous, sinus, hémostase des cavités nasales.</w:t>
      </w:r>
    </w:p>
    <w:p>
      <w:pPr>
        <w:pStyle w:val="ListBullet"/>
      </w:pPr>
      <w:r/>
      <w:r>
        <w:rPr>
          <w:b/>
        </w:rPr>
        <w:t>Chirurgie orthopédique</w:t>
      </w:r>
      <w:r>
        <w:t xml:space="preserve"> : arthroplasties, hémostase osseuse, comblement des cavités osseuses.</w:t>
      </w:r>
    </w:p>
    <w:p>
      <w:pPr>
        <w:pStyle w:val="ListBullet"/>
      </w:pPr>
      <w:r/>
      <w:r>
        <w:rPr>
          <w:b/>
        </w:rPr>
        <w:t>Chirurgie digestive</w:t>
      </w:r>
      <w:r>
        <w:t xml:space="preserve"> : anastomoses, fistules, hémostase des surfaces de section.</w:t>
      </w:r>
    </w:p>
    <w:p>
      <w:pPr>
        <w:pStyle w:val="ListBullet"/>
      </w:pPr>
      <w:r/>
      <w:r>
        <w:rPr>
          <w:b/>
        </w:rPr>
        <w:t>Chirurgie urologique</w:t>
      </w:r>
      <w:r>
        <w:t xml:space="preserve"> : néphrectomie partielle, hémostase rénale, sutures vésicales.</w:t>
      </w:r>
    </w:p>
    <w:p>
      <w:pPr>
        <w:pStyle w:val="ListBullet"/>
      </w:pPr>
      <w:r/>
      <w:r>
        <w:rPr>
          <w:b/>
        </w:rPr>
        <w:t>Chirurgie gynécologique</w:t>
      </w:r>
      <w:r>
        <w:t xml:space="preserve"> : césarienne, myomectomie, hémostase des surfaces utérines.</w:t>
      </w:r>
    </w:p>
    <w:p>
      <w:pPr>
        <w:pStyle w:val="ListNumber"/>
      </w:pPr>
      <w:r/>
      <w:r>
        <w:rPr>
          <w:b/>
        </w:rPr>
        <w:t>Etanchéité</w:t>
      </w:r>
      <w:r>
        <w:t xml:space="preserve"> : fermeture étanche des brèches (fuites de LCR en neurochirurgie, fuites aériennes en chirurgie thoracique, fuites biliaires en chirurgie hépatique).</w:t>
      </w:r>
    </w:p>
    <w:p>
      <w:pPr>
        <w:pStyle w:val="ListNumber"/>
      </w:pPr>
      <w:r/>
      <w:r>
        <w:rPr>
          <w:b/>
        </w:rPr>
        <w:t>Adhérence</w:t>
      </w:r>
      <w:r>
        <w:t xml:space="preserve"> : adhérence des greffes cutanées, des greffes osseuses, des prothèses.</w:t>
      </w:r>
    </w:p>
    <w:p>
      <w:pPr>
        <w:pStyle w:val="ListNumber"/>
      </w:pPr>
      <w:r/>
      <w:r>
        <w:rPr>
          <w:b/>
        </w:rPr>
        <w:t>Hémostase peropératoire en cas de trouble de la coagulation</w:t>
      </w:r>
      <w:r>
        <w:t xml:space="preserve"> (patient sous AVK, AOD, antiplaquettaires, hémophile) — en complément du traitement systémique.</w:t>
      </w:r>
    </w:p>
    <w:p>
      <w:pPr>
        <w:pStyle w:val="Heading4"/>
      </w:pPr>
      <w:r>
        <w:t>Contre-indications absolues</w:t>
      </w:r>
    </w:p>
    <w:p>
      <w:pPr>
        <w:pStyle w:val="ListNumber"/>
      </w:pPr>
      <w:r/>
      <w:r>
        <w:rPr>
          <w:b/>
        </w:rPr>
        <w:t>Hypersensibilité avérée</w:t>
      </w:r>
      <w:r>
        <w:t xml:space="preserve"> au fibrinogène humain, à la thrombine humaine, à l'aprotinine, ou à l'un des excipients.</w:t>
      </w:r>
    </w:p>
    <w:p>
      <w:pPr>
        <w:pStyle w:val="ListNumber"/>
      </w:pPr>
      <w:r/>
      <w:r>
        <w:rPr>
          <w:b/>
        </w:rPr>
        <w:t>Injection intravasculaire</w:t>
      </w:r>
      <w:r>
        <w:t xml:space="preserve"> strictement contre-indiquée — risque de thrombose systémique massive (CIVD, embolie pulmonaire, infarctus).</w:t>
      </w:r>
    </w:p>
    <w:p>
      <w:pPr>
        <w:pStyle w:val="ListNumber"/>
      </w:pPr>
      <w:r/>
      <w:r>
        <w:rPr>
          <w:b/>
        </w:rPr>
        <w:t>Patients IgA-déficients avec anticorps anti-IgA</w:t>
      </w:r>
      <w:r>
        <w:t xml:space="preserve"> — risque majeur d'anaphylaxie.</w:t>
      </w:r>
    </w:p>
    <w:p>
      <w:pPr>
        <w:pStyle w:val="ListNumber"/>
      </w:pPr>
      <w:r/>
      <w:r>
        <w:rPr>
          <w:b/>
        </w:rPr>
        <w:t>Chirurgie où l'aprotinine est contre-indiquée</w:t>
      </w:r>
      <w:r>
        <w:t xml:space="preserve"> (antécédent d'anaphylaxie à l'aprotinine).</w:t>
      </w:r>
    </w:p>
    <w:p>
      <w:pPr>
        <w:pStyle w:val="Heading4"/>
      </w:pPr>
      <w:r>
        <w:t>Contre-indications relatives</w:t>
      </w:r>
    </w:p>
    <w:p>
      <w:pPr>
        <w:pStyle w:val="ListNumber"/>
      </w:pPr>
      <w:r/>
      <w:r>
        <w:rPr>
          <w:b/>
        </w:rPr>
        <w:t>Chirurgie où l'hémostate mécanique est suffisante</w:t>
      </w:r>
      <w:r>
        <w:t xml:space="preserve"> — ne pas utiliser systématiquement (coût élevé).</w:t>
      </w:r>
    </w:p>
    <w:p>
      <w:pPr>
        <w:pStyle w:val="ListNumber"/>
      </w:pPr>
      <w:r/>
      <w:r>
        <w:rPr>
          <w:b/>
        </w:rPr>
        <w:t>Infection locale active</w:t>
      </w:r>
      <w:r>
        <w:t xml:space="preserve"> — la colle peut encapsuler l'infection (abcès, péritonite).</w:t>
      </w:r>
    </w:p>
    <w:p>
      <w:pPr>
        <w:pStyle w:val="ListNumber"/>
      </w:pPr>
      <w:r/>
      <w:r>
        <w:rPr>
          <w:b/>
        </w:rPr>
        <w:t>Cancer local</w:t>
      </w:r>
      <w:r>
        <w:t xml:space="preserve"> — ne pas appliquer sur un cancer non réséqué (risque théorique de dissemination tumorale).</w:t>
      </w:r>
    </w:p>
    <w:p>
      <w:pPr>
        <w:pStyle w:val="Heading4"/>
      </w:pPr>
      <w:r>
        <w:t>Effets indésirables</w:t>
      </w:r>
    </w:p>
    <w:p>
      <w:r/>
      <w:r>
        <w:rPr>
          <w:b/>
        </w:rPr>
        <w:t>Effets indésirables fréquents (≥ 1/100)</w:t>
      </w:r>
      <w:r>
        <w:t xml:space="preserve"> :</w:t>
      </w:r>
    </w:p>
    <w:p>
      <w:pPr>
        <w:pStyle w:val="ListBullet"/>
      </w:pPr>
      <w:r/>
      <w:r>
        <w:rPr>
          <w:b/>
        </w:rPr>
        <w:t>Réactions d'hypersensibilité locale</w:t>
      </w:r>
      <w:r>
        <w:t xml:space="preserve"> : rougeur, prurit, urticaire au site d'application.</w:t>
      </w:r>
    </w:p>
    <w:p>
      <w:pPr>
        <w:pStyle w:val="ListBullet"/>
      </w:pPr>
      <w:r/>
      <w:r>
        <w:rPr>
          <w:b/>
        </w:rPr>
        <w:t>Céphalées</w:t>
      </w:r>
      <w:r>
        <w:t xml:space="preserve"> transitoires (en particulier en neurochirurgie).</w:t>
      </w:r>
    </w:p>
    <w:p>
      <w:pPr>
        <w:pStyle w:val="ListBullet"/>
      </w:pPr>
      <w:r/>
      <w:r>
        <w:rPr>
          <w:b/>
        </w:rPr>
        <w:t>Fistule</w:t>
      </w:r>
      <w:r>
        <w:t xml:space="preserve"> ou collection locale (rare, en particulier en chirurgie digestive).</w:t>
      </w:r>
    </w:p>
    <w:p>
      <w:r/>
      <w:r>
        <w:rPr>
          <w:b/>
        </w:rPr>
        <w:t>Effets indésirables peu fréquents (≥ 1/1000)</w:t>
      </w:r>
      <w:r>
        <w:t xml:space="preserve"> :</w:t>
      </w:r>
    </w:p>
    <w:p>
      <w:pPr>
        <w:pStyle w:val="ListBullet"/>
      </w:pPr>
      <w:r/>
      <w:r>
        <w:rPr>
          <w:b/>
        </w:rPr>
        <w:t>Réactions anaphylactiques systémiques</w:t>
      </w:r>
      <w:r>
        <w:t xml:space="preserve"> (bronchospasme, hypotension, choc) — risque majoré chez les patients IgA-déficients ou avec anticorps anti-aprotinine.</w:t>
      </w:r>
    </w:p>
    <w:p>
      <w:pPr>
        <w:pStyle w:val="ListBullet"/>
      </w:pPr>
      <w:r/>
      <w:r>
        <w:rPr>
          <w:b/>
        </w:rPr>
        <w:t>Anticorps anti-aprotinine</w:t>
      </w:r>
      <w:r>
        <w:t xml:space="preserve"> — en cas d'exposition répétée, risque de réaction allergique croisée.</w:t>
      </w:r>
    </w:p>
    <w:p>
      <w:pPr>
        <w:pStyle w:val="ListBullet"/>
      </w:pPr>
      <w:r/>
      <w:r>
        <w:rPr>
          <w:b/>
        </w:rPr>
        <w:t>Thrombose systémique</w:t>
      </w:r>
      <w:r>
        <w:t xml:space="preserve"> (en cas d'injection intravasculaire accidentelle) — CIVD, embolie pulmonaire, infarctus.</w:t>
      </w:r>
    </w:p>
    <w:p>
      <w:r/>
      <w:r>
        <w:rPr>
          <w:b/>
        </w:rPr>
        <w:t>Effets indésirables rares (≥ 1/10 000)</w:t>
      </w:r>
      <w:r>
        <w:t xml:space="preserve"> :</w:t>
      </w:r>
    </w:p>
    <w:p>
      <w:pPr>
        <w:pStyle w:val="ListBullet"/>
      </w:pPr>
      <w:r/>
      <w:r>
        <w:rPr>
          <w:b/>
        </w:rPr>
        <w:t>Transmission d'agents infectieux</w:t>
      </w:r>
      <w:r>
        <w:t xml:space="preserve"> (VIH, VHB, VHC, Parvovirus B19 — risque résiduel théorique très faible en raison de la double inactivation virale).</w:t>
      </w:r>
    </w:p>
    <w:p>
      <w:pPr>
        <w:pStyle w:val="ListBullet"/>
      </w:pPr>
      <w:r/>
      <w:r>
        <w:rPr>
          <w:b/>
        </w:rPr>
        <w:t>Transmission de prions</w:t>
      </w:r>
      <w:r>
        <w:t xml:space="preserve"> (variant de Creutzfeldt-Jakob) — risque théorique non documenté.</w:t>
      </w:r>
    </w:p>
    <w:p>
      <w:pPr>
        <w:pStyle w:val="ListBullet"/>
      </w:pPr>
      <w:r/>
      <w:r>
        <w:rPr>
          <w:b/>
        </w:rPr>
        <w:t>Réaction d'hypersensibilité retardée</w:t>
      </w:r>
      <w:r>
        <w:t xml:space="preserve"> (maladie sérique).</w:t>
      </w:r>
    </w:p>
    <w:p>
      <w:pPr>
        <w:pStyle w:val="Heading3"/>
      </w:pPr>
      <w:r>
        <w:t>Sous-section 5 — Prévention et gestion des effets indésirables</w:t>
      </w:r>
    </w:p>
    <w:p>
      <w:pPr>
        <w:pStyle w:val="Heading4"/>
      </w:pPr>
      <w:r>
        <w:t>Prévention des réactions d'hypersensibilité</w:t>
      </w:r>
    </w:p>
    <w:p>
      <w:pPr>
        <w:pStyle w:val="ListBullet"/>
      </w:pPr>
      <w:r/>
      <w:r>
        <w:rPr>
          <w:b/>
        </w:rPr>
        <w:t>Interrogatoire allergologique</w:t>
      </w:r>
      <w:r>
        <w:t xml:space="preserve"> préalable : antécédents d'allergie aux protéines bovines (aprotinine d'origine bovine historique), déficit en IgA, antécédents de réaction à un PSS.</w:t>
      </w:r>
    </w:p>
    <w:p>
      <w:pPr>
        <w:pStyle w:val="ListBullet"/>
      </w:pPr>
      <w:r/>
      <w:r>
        <w:rPr>
          <w:b/>
        </w:rPr>
        <w:t>Disponibilité du matériel de réanimation anaphylactique</w:t>
      </w:r>
      <w:r>
        <w:t xml:space="preserve"> à proximité (adrénaline IM 0,5 mg, antihistaminique IV, corticoïde IV, oxygène, intubation).</w:t>
      </w:r>
    </w:p>
    <w:p>
      <w:pPr>
        <w:pStyle w:val="ListBullet"/>
      </w:pPr>
      <w:r/>
      <w:r>
        <w:rPr>
          <w:b/>
        </w:rPr>
        <w:t>Application stricte sur la zone hémorragique</w:t>
      </w:r>
      <w:r>
        <w:t xml:space="preserve"> — ne jamais injecter intravasculaire (risque de thrombose systémique).</w:t>
      </w:r>
    </w:p>
    <w:p>
      <w:pPr>
        <w:pStyle w:val="ListBullet"/>
      </w:pPr>
      <w:r/>
      <w:r>
        <w:rPr>
          <w:b/>
        </w:rPr>
        <w:t>Surveillance</w:t>
      </w:r>
      <w:r>
        <w:t xml:space="preserve"> : observation 30-60 min après la première application chez tout patient naïf.</w:t>
      </w:r>
    </w:p>
    <w:p>
      <w:pPr>
        <w:pStyle w:val="Heading4"/>
      </w:pPr>
      <w:r>
        <w:t>Prévention de l'injection intravasculaire accidentelle</w:t>
      </w:r>
    </w:p>
    <w:p>
      <w:pPr>
        <w:pStyle w:val="ListBullet"/>
      </w:pPr>
      <w:r/>
      <w:r>
        <w:rPr>
          <w:b/>
        </w:rPr>
        <w:t>Application topique stricte</w:t>
      </w:r>
      <w:r>
        <w:t xml:space="preserve"> — ne jamais injecter dans un vaisseau.</w:t>
      </w:r>
    </w:p>
    <w:p>
      <w:pPr>
        <w:pStyle w:val="ListBullet"/>
      </w:pPr>
      <w:r/>
      <w:r>
        <w:rPr>
          <w:b/>
        </w:rPr>
        <w:t>Vérification visuelle</w:t>
      </w:r>
      <w:r>
        <w:t xml:space="preserve"> : la colle ne doit pas pénétrer dans un vaisseau ouvert.</w:t>
      </w:r>
    </w:p>
    <w:p>
      <w:pPr>
        <w:pStyle w:val="ListBullet"/>
      </w:pPr>
      <w:r/>
      <w:r>
        <w:rPr>
          <w:b/>
        </w:rPr>
        <w:t>Aspiration</w:t>
      </w:r>
      <w:r>
        <w:t xml:space="preserve"> préalable si application par injection (rare — application topique préférentielle).</w:t>
      </w:r>
    </w:p>
    <w:p>
      <w:pPr>
        <w:pStyle w:val="Heading4"/>
      </w:pPr>
      <w:r>
        <w:t>Prévention de la transmission virale</w:t>
      </w:r>
    </w:p>
    <w:p>
      <w:pPr>
        <w:pStyle w:val="ListBullet"/>
      </w:pPr>
      <w:r/>
      <w:r>
        <w:rPr>
          <w:b/>
        </w:rPr>
        <w:t>Vaccination hépatite A et B</w:t>
      </w:r>
      <w:r>
        <w:t xml:space="preserve"> systématique chez tout patient pouvant nécessiter une colle biologique à répétition.</w:t>
      </w:r>
    </w:p>
    <w:p>
      <w:pPr>
        <w:pStyle w:val="ListBullet"/>
      </w:pPr>
      <w:r/>
      <w:r>
        <w:rPr>
          <w:b/>
        </w:rPr>
        <w:t>Dépistage viral</w:t>
      </w:r>
      <w:r>
        <w:t xml:space="preserve"> systématique en cas d'exposition répétée.</w:t>
      </w:r>
    </w:p>
    <w:p>
      <w:pPr>
        <w:pStyle w:val="ListBullet"/>
      </w:pPr>
      <w:r/>
      <w:r>
        <w:rPr>
          <w:b/>
        </w:rPr>
        <w:t>Pharmacovigilance</w:t>
      </w:r>
      <w:r>
        <w:t xml:space="preserve"> : notification de toute infection virale survenant dans les 6 mois suivant l'application de colle biologique.</w:t>
      </w:r>
    </w:p>
    <w:p>
      <w:pPr>
        <w:pStyle w:val="Heading4"/>
      </w:pPr>
      <w:r>
        <w:t>Gestion des EI aigus</w:t>
      </w:r>
    </w:p>
    <w:p>
      <w:pPr>
        <w:pStyle w:val="ListBullet"/>
      </w:pPr>
      <w:r/>
      <w:r>
        <w:rPr>
          <w:b/>
        </w:rPr>
        <w:t>Choc anaphylactique</w:t>
      </w:r>
      <w:r>
        <w:t xml:space="preserve"> : arrêt immédiat de l'application, adrénaline IM 0,5 mg, antihistaminique IV, corticoïde IV, oxygénothérapie, appel réanimateur.</w:t>
      </w:r>
    </w:p>
    <w:p>
      <w:pPr>
        <w:pStyle w:val="ListBullet"/>
      </w:pPr>
      <w:r/>
      <w:r>
        <w:rPr>
          <w:b/>
        </w:rPr>
        <w:t>Thrombose systémique</w:t>
      </w:r>
      <w:r>
        <w:t xml:space="preserve"> (en cas d'injection intravasculaire accidentelle) : arrêt immédiat, héparine à dose curative, surveillance CIVD (D-dimères, fibrinogène, NFS-plaquettes), appel réanimateur.</w:t>
      </w:r>
    </w:p>
    <w:p>
      <w:pPr>
        <w:pStyle w:val="ListBullet"/>
      </w:pPr>
      <w:r/>
      <w:r>
        <w:rPr>
          <w:b/>
        </w:rPr>
        <w:t>Fistule ou collection locale</w:t>
      </w:r>
      <w:r>
        <w:t xml:space="preserve"> : drainage chirurgical, antibiothérapie si infection.</w:t>
      </w:r>
    </w:p>
    <w:p>
      <w:pPr>
        <w:pStyle w:val="Heading3"/>
      </w:pPr>
      <w:r>
        <w:t>Sous-section 6 — Interactions médicamenteuses</w:t>
      </w:r>
    </w:p>
    <w:p>
      <w:pPr>
        <w:pStyle w:val="Heading4"/>
      </w:pPr>
      <w:r>
        <w:t>Interactions pharmacodynamiques</w:t>
      </w:r>
    </w:p>
    <w:p>
      <w:pPr>
        <w:pStyle w:val="ListBullet"/>
      </w:pPr>
      <w:r/>
      <w:r>
        <w:rPr>
          <w:b/>
        </w:rPr>
        <w:t>Acide tranexamique</w:t>
      </w:r>
      <w:r>
        <w:t xml:space="preserve"> (antifibrinolytique systémique) : synergie bénéfique — l'acide tranexamique potentialise l'effet de l'aprotinine de la colle en inhibant la plasmine systémique. Association recommandée en chirurgie lourde.</w:t>
      </w:r>
    </w:p>
    <w:p>
      <w:pPr>
        <w:pStyle w:val="ListBullet"/>
      </w:pPr>
      <w:r/>
      <w:r>
        <w:rPr>
          <w:b/>
        </w:rPr>
        <w:t>Héparine</w:t>
      </w:r>
      <w:r>
        <w:t xml:space="preserve"> (HBPM, HNF) : pas d'interaction directe avec la colle (la colle reste locale), mais surveillance du saignement systémique sous héparine.</w:t>
      </w:r>
    </w:p>
    <w:p>
      <w:pPr>
        <w:pStyle w:val="ListBullet"/>
      </w:pPr>
      <w:r/>
      <w:r>
        <w:rPr>
          <w:b/>
        </w:rPr>
        <w:t>Antiagrégants plaquettaires</w:t>
      </w:r>
      <w:r>
        <w:t xml:space="preserve"> (aspirine, clopidogrel) : la colle peut compenser partiellement le défaut d'agrégation plaquettaire, mais surveillance du risque hémorragique systémique.</w:t>
      </w:r>
    </w:p>
    <w:p>
      <w:pPr>
        <w:pStyle w:val="ListBullet"/>
      </w:pPr>
      <w:r/>
      <w:r>
        <w:rPr>
          <w:b/>
        </w:rPr>
        <w:t>Anticoagulants oraux</w:t>
      </w:r>
      <w:r>
        <w:t xml:space="preserve"> (AVK, AOD) : la colle peut compenser partiellement le défaut de coagulation systémique, mais surveillance du risque hémorragique systémique.</w:t>
      </w:r>
    </w:p>
    <w:p>
      <w:pPr>
        <w:pStyle w:val="Heading4"/>
      </w:pPr>
      <w:r>
        <w:t>Interactions pharmacocinétiques</w:t>
      </w:r>
    </w:p>
    <w:p>
      <w:pPr>
        <w:pStyle w:val="ListBullet"/>
      </w:pPr>
      <w:r>
        <w:t>Aucune interaction significative rapportée (la colle reste locale, pas d'absorption systémique significative).</w:t>
      </w:r>
    </w:p>
    <w:p>
      <w:pPr>
        <w:pStyle w:val="ListBullet"/>
      </w:pPr>
      <w:r/>
      <w:r>
        <w:rPr>
          <w:b/>
        </w:rPr>
        <w:t>Aprotinine</w:t>
      </w:r>
      <w:r>
        <w:t xml:space="preserve"> : potentiel d'allergie croisée avec autres inhibiteurs de protéases (aprotinine d'origine bovine historique, alpha-1-antitrypsine).</w:t>
      </w:r>
    </w:p>
    <w:p>
      <w:pPr>
        <w:pStyle w:val="Heading4"/>
      </w:pPr>
      <w:r>
        <w:t>Incompatibilités physiques</w:t>
      </w:r>
    </w:p>
    <w:p>
      <w:pPr>
        <w:pStyle w:val="ListBullet"/>
      </w:pPr>
      <w:r>
        <w:t>Ne jamais mélanger la colle avec d'autres médicaments.</w:t>
      </w:r>
    </w:p>
    <w:p>
      <w:pPr>
        <w:pStyle w:val="ListBullet"/>
      </w:pPr>
      <w:r>
        <w:t>Ne jamais injecter intravasculaire (risque de thrombose systémique).</w:t>
      </w:r>
    </w:p>
    <w:p>
      <w:pPr>
        <w:pStyle w:val="Heading3"/>
      </w:pPr>
      <w:r>
        <w:t>Sous-section 7 — Grossesse et allaitement (CRAT)</w:t>
      </w:r>
    </w:p>
    <w:p>
      <w:pPr>
        <w:pStyle w:val="Heading4"/>
      </w:pPr>
      <w:r>
        <w:t>Données CRAT</w:t>
      </w:r>
    </w:p>
    <w:p>
      <w:pPr>
        <w:pStyle w:val="ListBullet"/>
      </w:pPr>
      <w:r/>
      <w:r>
        <w:rPr>
          <w:b/>
        </w:rPr>
        <w:t>Grossesse</w:t>
      </w:r>
      <w:r>
        <w:t xml:space="preserve"> : </w:t>
      </w:r>
      <w:r>
        <w:rPr>
          <w:b/>
        </w:rPr>
        <w:t>utilisable si nécessaire</w:t>
      </w:r>
      <w:r>
        <w:t xml:space="preserve"> (CRAT). La colle reste locale, pas d'absorption systémique significative. Aucun effet tératogène documenté. La colle biologique est utilisée en chirurgie césarienne, myomectomie, hémostase utérine.</w:t>
      </w:r>
    </w:p>
    <w:p>
      <w:pPr>
        <w:pStyle w:val="ListBullet"/>
      </w:pPr>
      <w:r/>
      <w:r>
        <w:rPr>
          <w:b/>
        </w:rPr>
        <w:t>Allaitement</w:t>
      </w:r>
      <w:r>
        <w:t xml:space="preserve"> : </w:t>
      </w:r>
      <w:r>
        <w:rPr>
          <w:b/>
        </w:rPr>
        <w:t>compatible</w:t>
      </w:r>
      <w:r>
        <w:t xml:space="preserve"> (CRAT). Aucune absorption systémique significative.</w:t>
      </w:r>
    </w:p>
    <w:p>
      <w:pPr>
        <w:pStyle w:val="Heading4"/>
      </w:pPr>
      <w:r>
        <w:t>Indications chez la femme enceinte</w:t>
      </w:r>
    </w:p>
    <w:p>
      <w:pPr>
        <w:pStyle w:val="ListBullet"/>
      </w:pPr>
      <w:r/>
      <w:r>
        <w:rPr>
          <w:b/>
        </w:rPr>
        <w:t>Chirurgie césarienne</w:t>
      </w:r>
      <w:r>
        <w:t xml:space="preserve"> : hémostase de l'hystérotomie, prévention des adhérences.</w:t>
      </w:r>
    </w:p>
    <w:p>
      <w:pPr>
        <w:pStyle w:val="ListBullet"/>
      </w:pPr>
      <w:r/>
      <w:r>
        <w:rPr>
          <w:b/>
        </w:rPr>
        <w:t>Myomectomie</w:t>
      </w:r>
      <w:r>
        <w:t xml:space="preserve"> pendant la césarienne : hémostase de la tranche de section utérine.</w:t>
      </w:r>
    </w:p>
    <w:p>
      <w:pPr>
        <w:pStyle w:val="ListBullet"/>
      </w:pPr>
      <w:r/>
      <w:r>
        <w:rPr>
          <w:b/>
        </w:rPr>
        <w:t>Hémostase utérine</w:t>
      </w:r>
      <w:r>
        <w:t xml:space="preserve"> en cas d'HPP réfractaire (atonic utérine, placenta accreta) — application topique en complément des techniques mécaniques.</w:t>
      </w:r>
    </w:p>
    <w:p>
      <w:pPr>
        <w:pStyle w:val="Heading4"/>
      </w:pPr>
      <w:r>
        <w:t>Posologie chez la femme enceinte</w:t>
      </w:r>
    </w:p>
    <w:p>
      <w:pPr>
        <w:pStyle w:val="ListBullet"/>
      </w:pPr>
      <w:r>
        <w:t>Identique à l'adulte non enceinte : 2-10 mL selon la taille de la zone hémorragique.</w:t>
      </w:r>
    </w:p>
    <w:p>
      <w:pPr>
        <w:pStyle w:val="ListBullet"/>
      </w:pPr>
      <w:r>
        <w:t>Application topique stricte — ne jamais injecter intravasculaire.</w:t>
      </w:r>
    </w:p>
    <w:p>
      <w:pPr>
        <w:pStyle w:val="Heading4"/>
      </w:pPr>
      <w:r>
        <w:t>Allaitement</w:t>
      </w:r>
    </w:p>
    <w:p>
      <w:pPr>
        <w:pStyle w:val="ListBullet"/>
      </w:pPr>
      <w:r>
        <w:t>Compatible, sans restriction.</w:t>
      </w:r>
    </w:p>
    <w:p>
      <w:pPr>
        <w:pStyle w:val="Heading3"/>
      </w:pPr>
      <w:r>
        <w:t>Sous-section 8 — Posologie et mode d'administration</w:t>
      </w:r>
    </w:p>
    <w:p>
      <w:pPr>
        <w:pStyle w:val="Heading4"/>
      </w:pPr>
      <w:r>
        <w:t>Calcul de la dose</w:t>
      </w:r>
    </w:p>
    <w:p>
      <w:r>
        <w:t>La dose de TISSEEL LYO (en mL) est calculée selon la taille de la zone hémorragique :</w:t>
      </w:r>
    </w:p>
    <w:p>
      <w:pPr>
        <w:pStyle w:val="ListBullet"/>
      </w:pPr>
      <w:r/>
      <w:r>
        <w:rPr>
          <w:b/>
        </w:rPr>
        <w:t>Zone &lt; 10 cm²</w:t>
      </w:r>
      <w:r>
        <w:t xml:space="preserve"> : TISSEEL LYO 2 mL.</w:t>
      </w:r>
    </w:p>
    <w:p>
      <w:pPr>
        <w:pStyle w:val="ListBullet"/>
      </w:pPr>
      <w:r/>
      <w:r>
        <w:rPr>
          <w:b/>
        </w:rPr>
        <w:t>Zone 10-25 cm²</w:t>
      </w:r>
      <w:r>
        <w:t xml:space="preserve"> : TISSEEL LYO 4 mL.</w:t>
      </w:r>
    </w:p>
    <w:p>
      <w:pPr>
        <w:pStyle w:val="ListBullet"/>
      </w:pPr>
      <w:r/>
      <w:r>
        <w:rPr>
          <w:b/>
        </w:rPr>
        <w:t>Zone 25-100 cm²</w:t>
      </w:r>
      <w:r>
        <w:t xml:space="preserve"> : TISSEEL LYO 10 mL.</w:t>
      </w:r>
    </w:p>
    <w:p>
      <w:pPr>
        <w:pStyle w:val="ListBullet"/>
      </w:pPr>
      <w:r/>
      <w:r>
        <w:rPr>
          <w:b/>
        </w:rPr>
        <w:t>Zone &gt; 100 cm²</w:t>
      </w:r>
      <w:r>
        <w:t xml:space="preserve"> : plusieurs flacons de TISSEEL LYO 10 mL (ou application en couches successives).</w:t>
      </w:r>
    </w:p>
    <w:p>
      <w:r/>
      <w:r>
        <w:rPr>
          <w:b/>
        </w:rPr>
        <w:t>Calcul approximatif</w:t>
      </w:r>
      <w:r>
        <w:t xml:space="preserve"> : 1 mL de TISSEEL LYO couvre ~10 cm² de zone hémorragique.</w:t>
      </w:r>
    </w:p>
    <w:p>
      <w:pPr>
        <w:pStyle w:val="Heading4"/>
      </w:pPr>
      <w:r>
        <w:t>Mode d'administration</w:t>
      </w:r>
    </w:p>
    <w:p>
      <w:pPr>
        <w:pStyle w:val="ListBullet"/>
      </w:pPr>
      <w:r/>
      <w:r>
        <w:rPr>
          <w:b/>
        </w:rPr>
        <w:t>Application topique stricte</w:t>
      </w:r>
      <w:r>
        <w:t xml:space="preserve"> sur la zone hémorragique — ne jamais injecter intravasculaire.</w:t>
      </w:r>
    </w:p>
    <w:p>
      <w:pPr>
        <w:pStyle w:val="ListBullet"/>
      </w:pPr>
      <w:r/>
      <w:r>
        <w:rPr>
          <w:b/>
        </w:rPr>
        <w:t>Reconstitution</w:t>
      </w:r>
      <w:r>
        <w:t xml:space="preserve"> :</w:t>
      </w:r>
    </w:p>
    <w:p>
      <w:pPr>
        <w:pStyle w:val="ListBullet"/>
      </w:pPr>
      <w:r>
        <w:t>Réchauffer les flacons à température ambiante (≤ 25 °C) avant reconstitution.</w:t>
      </w:r>
    </w:p>
    <w:p>
      <w:pPr>
        <w:pStyle w:val="ListBullet"/>
      </w:pPr>
      <w:r>
        <w:t>Reconstituer le Composant 1 (fibrinogène + aprotinine) avec le solvant fourni (aprotinine-solvant).</w:t>
      </w:r>
    </w:p>
    <w:p>
      <w:pPr>
        <w:pStyle w:val="ListBullet"/>
      </w:pPr>
      <w:r>
        <w:t>Reconstituer le Composant 2 (thrombine + CaCl₂) avec le solvant fourni (CaCl₂-solvant).</w:t>
      </w:r>
    </w:p>
    <w:p>
      <w:pPr>
        <w:pStyle w:val="ListBullet"/>
      </w:pPr>
      <w:r>
        <w:t>Mouvement rotatif doux (ne pas agiter vigoureusement — formation de mousse = dénaturation protéique).</w:t>
      </w:r>
    </w:p>
    <w:p>
      <w:pPr>
        <w:pStyle w:val="ListBullet"/>
      </w:pPr>
      <w:r>
        <w:t>Vérifier que les solutions sont limpides, incolores à légèrement opalescentes, sans particules ni filaments.</w:t>
      </w:r>
    </w:p>
    <w:p>
      <w:pPr>
        <w:pStyle w:val="ListBullet"/>
      </w:pPr>
      <w:r/>
      <w:r>
        <w:rPr>
          <w:b/>
        </w:rPr>
        <w:t>Application</w:t>
      </w:r>
      <w:r>
        <w:t xml:space="preserve"> :</w:t>
      </w:r>
    </w:p>
    <w:p>
      <w:pPr>
        <w:pStyle w:val="ListBullet"/>
      </w:pPr>
      <w:r>
        <w:t xml:space="preserve">Aspirer les deux composants dans une </w:t>
      </w:r>
      <w:r>
        <w:rPr>
          <w:b/>
        </w:rPr>
        <w:t>seringue double (dual-syringe)</w:t>
      </w:r>
      <w:r>
        <w:t xml:space="preserve"> fournie dans le kit.</w:t>
      </w:r>
    </w:p>
    <w:p>
      <w:pPr>
        <w:pStyle w:val="ListBullet"/>
      </w:pPr>
      <w:r>
        <w:t xml:space="preserve">Connecter la seringue double à un </w:t>
      </w:r>
      <w:r>
        <w:rPr>
          <w:b/>
        </w:rPr>
        <w:t>applicateur</w:t>
      </w:r>
      <w:r>
        <w:t xml:space="preserve"> (applicateur spray pour surfaces larges, applicateur cathéter pour cavités profondes, applicateur needle pour fissures étroites).</w:t>
      </w:r>
    </w:p>
    <w:p>
      <w:pPr>
        <w:pStyle w:val="ListBullet"/>
      </w:pPr>
      <w:r/>
      <w:r>
        <w:rPr>
          <w:b/>
        </w:rPr>
        <w:t>Appliquer sur la zone hémorragique préalablement séchée</w:t>
      </w:r>
      <w:r>
        <w:t xml:space="preserve"> (essuyer le sang avec une compresse stérile).</w:t>
      </w:r>
    </w:p>
    <w:p>
      <w:pPr>
        <w:pStyle w:val="ListBullet"/>
      </w:pPr>
      <w:r/>
      <w:r>
        <w:rPr>
          <w:b/>
        </w:rPr>
        <w:t>Maintenir en compression</w:t>
      </w:r>
      <w:r>
        <w:t xml:space="preserve"> pendant 3-5 minutes pour permettre la polymérisation complète.</w:t>
      </w:r>
    </w:p>
    <w:p>
      <w:pPr>
        <w:pStyle w:val="ListBullet"/>
      </w:pPr>
      <w:r/>
      <w:r>
        <w:rPr>
          <w:b/>
        </w:rPr>
        <w:t>Surveillance</w:t>
      </w:r>
      <w:r>
        <w:t xml:space="preserve"> : hémostase immédiate en 10-30 secondes. Vérification de l'absence de saignement résiduel après 1-2 minutes.</w:t>
      </w:r>
    </w:p>
    <w:p>
      <w:pPr>
        <w:pStyle w:val="Heading4"/>
      </w:pPr>
      <w:r>
        <w:t>Préparation pré-opératoire</w:t>
      </w:r>
    </w:p>
    <w:p>
      <w:pPr>
        <w:pStyle w:val="ListBullet"/>
      </w:pPr>
      <w:r>
        <w:t>Sortir les flacons du réfrigérateur 30-60 min avant (température ambiante ≤ 25 °C).</w:t>
      </w:r>
    </w:p>
    <w:p>
      <w:pPr>
        <w:pStyle w:val="ListBullet"/>
      </w:pPr>
      <w:r>
        <w:t>Ne pas chauffer (la chaleur dénature les protéines).</w:t>
      </w:r>
    </w:p>
    <w:p>
      <w:pPr>
        <w:pStyle w:val="ListBullet"/>
      </w:pPr>
      <w:r>
        <w:t>Reconstituer extemporanément, juste avant l'application (stabilité 4 h après reconstitution à température ambiante).</w:t>
      </w:r>
    </w:p>
    <w:p>
      <w:pPr>
        <w:pStyle w:val="ListBullet"/>
      </w:pPr>
      <w:r>
        <w:t>Ne jamais recongeler les solutions reconstituées.</w:t>
      </w:r>
    </w:p>
    <w:p>
      <w:pPr>
        <w:pStyle w:val="Heading4"/>
      </w:pPr>
      <w:r>
        <w:t>Surveillance post-application</w:t>
      </w:r>
    </w:p>
    <w:p>
      <w:pPr>
        <w:pStyle w:val="ListBullet"/>
      </w:pPr>
      <w:r/>
      <w:r>
        <w:rPr>
          <w:b/>
        </w:rPr>
        <w:t>Surveillance hémostatique</w:t>
      </w:r>
      <w:r>
        <w:t xml:space="preserve"> : vérifier l'absence de saignement résiduel après 1-2 minutes. Si saignement persiste, appliquer une seconde couche de TISSEEL LYO.</w:t>
      </w:r>
    </w:p>
    <w:p>
      <w:pPr>
        <w:pStyle w:val="ListBullet"/>
      </w:pPr>
      <w:r/>
      <w:r>
        <w:rPr>
          <w:b/>
        </w:rPr>
        <w:t>Surveillance clinique</w:t>
      </w:r>
      <w:r>
        <w:t xml:space="preserve"> : douleur, infection locale, fistule, collection locale à H+24, H+48.</w:t>
      </w:r>
    </w:p>
    <w:p>
      <w:pPr>
        <w:pStyle w:val="ListBullet"/>
      </w:pPr>
      <w:r/>
      <w:r>
        <w:rPr>
          <w:b/>
        </w:rPr>
        <w:t>Surveillance biologique</w:t>
      </w:r>
      <w:r>
        <w:t xml:space="preserve"> : NFS-plaquettes, CRP à H+24 (recherche infection).</w:t>
      </w:r>
    </w:p>
    <w:p>
      <w:pPr>
        <w:pStyle w:val="ListBullet"/>
      </w:pPr>
      <w:r/>
      <w:r>
        <w:rPr>
          <w:b/>
        </w:rPr>
        <w:t>Abstention de lavage</w:t>
      </w:r>
      <w:r>
        <w:t xml:space="preserve"> : ne pas laver la zone opératoire dans les 24 h post-application (risque de décollement du caillot).</w:t>
      </w:r>
    </w:p>
    <w:p>
      <w:pPr>
        <w:pStyle w:val="Heading3"/>
      </w:pPr>
      <w:r>
        <w:t>Sous-section 9 — Arbitrage et bénéfices des formes galéniques</w:t>
      </w:r>
    </w:p>
    <w:p>
      <w:pPr>
        <w:pStyle w:val="Heading4"/>
      </w:pPr>
      <w:r>
        <w:t>TISSEEL LYO vs autres colles biologiques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Critère</w:t>
            </w:r>
          </w:p>
        </w:tc>
        <w:tc>
          <w:tcPr>
            <w:tcW w:type="dxa" w:w="1662"/>
            <w:shd w:val="clear" w:color="auto" w:fill="F2F2F2"/>
          </w:tcPr>
          <w:p>
            <w:r>
              <w:rPr>
                <w:rFonts w:ascii="Times New Roman" w:hAnsi="Times New Roman"/>
                <w:b/>
                <w:sz w:val="20"/>
              </w:rPr>
              <w:t>TISSEEL LYO</w:t>
            </w:r>
          </w:p>
        </w:tc>
        <w:tc>
          <w:tcPr>
            <w:tcW w:type="dxa" w:w="1662"/>
            <w:shd w:val="clear" w:color="auto" w:fill="F2F2F2"/>
          </w:tcPr>
          <w:p>
            <w:r>
              <w:rPr>
                <w:rFonts w:ascii="Times New Roman" w:hAnsi="Times New Roman"/>
                <w:b/>
                <w:sz w:val="20"/>
              </w:rPr>
              <w:t>EVICEL</w:t>
            </w:r>
          </w:p>
        </w:tc>
        <w:tc>
          <w:tcPr>
            <w:tcW w:type="dxa" w:w="1662"/>
            <w:shd w:val="clear" w:color="auto" w:fill="F2F2F2"/>
          </w:tcPr>
          <w:p>
            <w:r>
              <w:rPr>
                <w:rFonts w:ascii="Times New Roman" w:hAnsi="Times New Roman"/>
                <w:b/>
                <w:sz w:val="20"/>
              </w:rPr>
              <w:t>BERIPLAST P</w:t>
            </w:r>
          </w:p>
        </w:tc>
        <w:tc>
          <w:tcPr>
            <w:tcW w:type="dxa" w:w="1662"/>
            <w:shd w:val="clear" w:color="auto" w:fill="F2F2F2"/>
          </w:tcPr>
          <w:p>
            <w:r>
              <w:rPr>
                <w:rFonts w:ascii="Times New Roman" w:hAnsi="Times New Roman"/>
                <w:b/>
                <w:sz w:val="20"/>
              </w:rPr>
              <w:t>COLLES NON BIOLOGIQUES</w:t>
            </w:r>
          </w:p>
        </w:tc>
      </w:tr>
      <w:tr>
        <w:tc>
          <w:tcPr>
            <w:tcW w:type="dxa" w:w="1662"/>
          </w:tcPr>
          <w:p>
            <w:r>
              <w:rPr>
                <w:rFonts w:ascii="Times New Roman" w:hAnsi="Times New Roman"/>
                <w:sz w:val="20"/>
              </w:rPr>
              <w:t>Laboratoire</w:t>
            </w:r>
          </w:p>
        </w:tc>
        <w:tc>
          <w:tcPr>
            <w:tcW w:type="dxa" w:w="1662"/>
          </w:tcPr>
          <w:p>
            <w:r>
              <w:rPr>
                <w:rFonts w:ascii="Times New Roman" w:hAnsi="Times New Roman"/>
                <w:sz w:val="20"/>
              </w:rPr>
              <w:t>Baxter Medical Products (Allemagne)</w:t>
            </w:r>
          </w:p>
        </w:tc>
        <w:tc>
          <w:tcPr>
            <w:tcW w:type="dxa" w:w="1662"/>
          </w:tcPr>
          <w:p>
            <w:r>
              <w:rPr>
                <w:rFonts w:ascii="Times New Roman" w:hAnsi="Times New Roman"/>
                <w:sz w:val="20"/>
              </w:rPr>
              <w:t>Ethicon (USA)</w:t>
            </w:r>
          </w:p>
        </w:tc>
        <w:tc>
          <w:tcPr>
            <w:tcW w:type="dxa" w:w="1662"/>
          </w:tcPr>
          <w:p>
            <w:r>
              <w:rPr>
                <w:rFonts w:ascii="Times New Roman" w:hAnsi="Times New Roman"/>
                <w:sz w:val="20"/>
              </w:rPr>
              <w:t>CSL Behring (Allemagne)</w:t>
            </w:r>
          </w:p>
        </w:tc>
        <w:tc>
          <w:tcPr>
            <w:tcW w:type="dxa" w:w="1662"/>
          </w:tcPr>
          <w:p>
            <w:r>
              <w:rPr>
                <w:rFonts w:ascii="Times New Roman" w:hAnsi="Times New Roman"/>
                <w:sz w:val="20"/>
              </w:rPr>
              <w:t>Divers</w:t>
            </w:r>
          </w:p>
        </w:tc>
      </w:tr>
      <w:tr>
        <w:tc>
          <w:tcPr>
            <w:tcW w:type="dxa" w:w="1662"/>
          </w:tcPr>
          <w:p>
            <w:r>
              <w:rPr>
                <w:rFonts w:ascii="Times New Roman" w:hAnsi="Times New Roman"/>
                <w:sz w:val="20"/>
              </w:rPr>
              <w:t>Composition</w:t>
            </w:r>
          </w:p>
        </w:tc>
        <w:tc>
          <w:tcPr>
            <w:tcW w:type="dxa" w:w="1662"/>
          </w:tcPr>
          <w:p>
            <w:r>
              <w:rPr>
                <w:rFonts w:ascii="Times New Roman" w:hAnsi="Times New Roman"/>
                <w:sz w:val="20"/>
              </w:rPr>
              <w:t>Fibrinogène + Aprotinine + Thrombine + CaCl₂</w:t>
            </w:r>
          </w:p>
        </w:tc>
        <w:tc>
          <w:tcPr>
            <w:tcW w:type="dxa" w:w="1662"/>
          </w:tcPr>
          <w:p>
            <w:r>
              <w:rPr>
                <w:rFonts w:ascii="Times New Roman" w:hAnsi="Times New Roman"/>
                <w:sz w:val="20"/>
              </w:rPr>
              <w:t>Fibrinogène + Thrombine (sans aprotinine)</w:t>
            </w:r>
          </w:p>
        </w:tc>
        <w:tc>
          <w:tcPr>
            <w:tcW w:type="dxa" w:w="1662"/>
          </w:tcPr>
          <w:p>
            <w:r>
              <w:rPr>
                <w:rFonts w:ascii="Times New Roman" w:hAnsi="Times New Roman"/>
                <w:sz w:val="20"/>
              </w:rPr>
              <w:t>Fibrinogène + Aprotinine + Thrombine + CaCl₂</w:t>
            </w:r>
          </w:p>
        </w:tc>
        <w:tc>
          <w:tcPr>
            <w:tcW w:type="dxa" w:w="1662"/>
          </w:tcPr>
          <w:p>
            <w:r>
              <w:rPr>
                <w:rFonts w:ascii="Times New Roman" w:hAnsi="Times New Roman"/>
                <w:sz w:val="20"/>
              </w:rPr>
              <w:t>Cyanoacrylates, gélatine, collagène</w:t>
            </w:r>
          </w:p>
        </w:tc>
      </w:tr>
      <w:tr>
        <w:tc>
          <w:tcPr>
            <w:tcW w:type="dxa" w:w="1662"/>
          </w:tcPr>
          <w:p>
            <w:r>
              <w:rPr>
                <w:rFonts w:ascii="Times New Roman" w:hAnsi="Times New Roman"/>
                <w:sz w:val="20"/>
              </w:rPr>
              <w:t>Origine</w:t>
            </w:r>
          </w:p>
        </w:tc>
        <w:tc>
          <w:tcPr>
            <w:tcW w:type="dxa" w:w="1662"/>
          </w:tcPr>
          <w:p>
            <w:r>
              <w:rPr>
                <w:rFonts w:ascii="Times New Roman" w:hAnsi="Times New Roman"/>
                <w:sz w:val="20"/>
              </w:rPr>
              <w:t>Plasma humain</w:t>
            </w:r>
          </w:p>
        </w:tc>
        <w:tc>
          <w:tcPr>
            <w:tcW w:type="dxa" w:w="1662"/>
          </w:tcPr>
          <w:p>
            <w:r>
              <w:rPr>
                <w:rFonts w:ascii="Times New Roman" w:hAnsi="Times New Roman"/>
                <w:sz w:val="20"/>
              </w:rPr>
              <w:t>Plasma humain</w:t>
            </w:r>
          </w:p>
        </w:tc>
        <w:tc>
          <w:tcPr>
            <w:tcW w:type="dxa" w:w="1662"/>
          </w:tcPr>
          <w:p>
            <w:r>
              <w:rPr>
                <w:rFonts w:ascii="Times New Roman" w:hAnsi="Times New Roman"/>
                <w:sz w:val="20"/>
              </w:rPr>
              <w:t>Plasma humain</w:t>
            </w:r>
          </w:p>
        </w:tc>
        <w:tc>
          <w:tcPr>
            <w:tcW w:type="dxa" w:w="1662"/>
          </w:tcPr>
          <w:p>
            <w:r>
              <w:rPr>
                <w:rFonts w:ascii="Times New Roman" w:hAnsi="Times New Roman"/>
                <w:sz w:val="20"/>
              </w:rPr>
              <w:t>Synthétique</w:t>
            </w:r>
          </w:p>
        </w:tc>
      </w:tr>
      <w:tr>
        <w:tc>
          <w:tcPr>
            <w:tcW w:type="dxa" w:w="1662"/>
          </w:tcPr>
          <w:p>
            <w:r>
              <w:rPr>
                <w:rFonts w:ascii="Times New Roman" w:hAnsi="Times New Roman"/>
                <w:sz w:val="20"/>
              </w:rPr>
              <w:t>Temps de polymérisation</w:t>
            </w:r>
          </w:p>
        </w:tc>
        <w:tc>
          <w:tcPr>
            <w:tcW w:type="dxa" w:w="1662"/>
          </w:tcPr>
          <w:p>
            <w:r>
              <w:rPr>
                <w:rFonts w:ascii="Times New Roman" w:hAnsi="Times New Roman"/>
                <w:sz w:val="20"/>
              </w:rPr>
              <w:t>10-30 sec</w:t>
            </w:r>
          </w:p>
        </w:tc>
        <w:tc>
          <w:tcPr>
            <w:tcW w:type="dxa" w:w="1662"/>
          </w:tcPr>
          <w:p>
            <w:r>
              <w:rPr>
                <w:rFonts w:ascii="Times New Roman" w:hAnsi="Times New Roman"/>
                <w:sz w:val="20"/>
              </w:rPr>
              <w:t>10-30 sec</w:t>
            </w:r>
          </w:p>
        </w:tc>
        <w:tc>
          <w:tcPr>
            <w:tcW w:type="dxa" w:w="1662"/>
          </w:tcPr>
          <w:p>
            <w:r>
              <w:rPr>
                <w:rFonts w:ascii="Times New Roman" w:hAnsi="Times New Roman"/>
                <w:sz w:val="20"/>
              </w:rPr>
              <w:t>10-30 sec</w:t>
            </w:r>
          </w:p>
        </w:tc>
        <w:tc>
          <w:tcPr>
            <w:tcW w:type="dxa" w:w="1662"/>
          </w:tcPr>
          <w:p>
            <w:r>
              <w:rPr>
                <w:rFonts w:ascii="Times New Roman" w:hAnsi="Times New Roman"/>
                <w:sz w:val="20"/>
              </w:rPr>
              <w:t>5-60 sec</w:t>
            </w:r>
          </w:p>
        </w:tc>
      </w:tr>
      <w:tr>
        <w:tc>
          <w:tcPr>
            <w:tcW w:type="dxa" w:w="1662"/>
          </w:tcPr>
          <w:p>
            <w:r>
              <w:rPr>
                <w:rFonts w:ascii="Times New Roman" w:hAnsi="Times New Roman"/>
                <w:sz w:val="20"/>
              </w:rPr>
              <w:t>Adhérence</w:t>
            </w:r>
          </w:p>
        </w:tc>
        <w:tc>
          <w:tcPr>
            <w:tcW w:type="dxa" w:w="1662"/>
          </w:tcPr>
          <w:p>
            <w:r>
              <w:rPr>
                <w:rFonts w:ascii="Times New Roman" w:hAnsi="Times New Roman"/>
                <w:sz w:val="20"/>
              </w:rPr>
              <w:t>Forte</w:t>
            </w:r>
          </w:p>
        </w:tc>
        <w:tc>
          <w:tcPr>
            <w:tcW w:type="dxa" w:w="1662"/>
          </w:tcPr>
          <w:p>
            <w:r>
              <w:rPr>
                <w:rFonts w:ascii="Times New Roman" w:hAnsi="Times New Roman"/>
                <w:sz w:val="20"/>
              </w:rPr>
              <w:t>Forte</w:t>
            </w:r>
          </w:p>
        </w:tc>
        <w:tc>
          <w:tcPr>
            <w:tcW w:type="dxa" w:w="1662"/>
          </w:tcPr>
          <w:p>
            <w:r>
              <w:rPr>
                <w:rFonts w:ascii="Times New Roman" w:hAnsi="Times New Roman"/>
                <w:sz w:val="20"/>
              </w:rPr>
              <w:t>Forte</w:t>
            </w:r>
          </w:p>
        </w:tc>
        <w:tc>
          <w:tcPr>
            <w:tcW w:type="dxa" w:w="1662"/>
          </w:tcPr>
          <w:p>
            <w:r>
              <w:rPr>
                <w:rFonts w:ascii="Times New Roman" w:hAnsi="Times New Roman"/>
                <w:sz w:val="20"/>
              </w:rPr>
              <w:t>Variable</w:t>
            </w:r>
          </w:p>
        </w:tc>
      </w:tr>
      <w:tr>
        <w:tc>
          <w:tcPr>
            <w:tcW w:type="dxa" w:w="1662"/>
          </w:tcPr>
          <w:p>
            <w:r>
              <w:rPr>
                <w:rFonts w:ascii="Times New Roman" w:hAnsi="Times New Roman"/>
                <w:sz w:val="20"/>
              </w:rPr>
              <w:t>Risque allergique</w:t>
            </w:r>
          </w:p>
        </w:tc>
        <w:tc>
          <w:tcPr>
            <w:tcW w:type="dxa" w:w="1662"/>
          </w:tcPr>
          <w:p>
            <w:r>
              <w:rPr>
                <w:rFonts w:ascii="Times New Roman" w:hAnsi="Times New Roman"/>
                <w:sz w:val="20"/>
              </w:rPr>
              <w:t>Modéré (aprotinine)</w:t>
            </w:r>
          </w:p>
        </w:tc>
        <w:tc>
          <w:tcPr>
            <w:tcW w:type="dxa" w:w="1662"/>
          </w:tcPr>
          <w:p>
            <w:r>
              <w:rPr>
                <w:rFonts w:ascii="Times New Roman" w:hAnsi="Times New Roman"/>
                <w:sz w:val="20"/>
              </w:rPr>
              <w:t>Faible (pas d'aprotinine)</w:t>
            </w:r>
          </w:p>
        </w:tc>
        <w:tc>
          <w:tcPr>
            <w:tcW w:type="dxa" w:w="1662"/>
          </w:tcPr>
          <w:p>
            <w:r>
              <w:rPr>
                <w:rFonts w:ascii="Times New Roman" w:hAnsi="Times New Roman"/>
                <w:sz w:val="20"/>
              </w:rPr>
              <w:t>Modéré (aprotinine)</w:t>
            </w:r>
          </w:p>
        </w:tc>
        <w:tc>
          <w:tcPr>
            <w:tcW w:type="dxa" w:w="1662"/>
          </w:tcPr>
          <w:p>
            <w:r>
              <w:rPr>
                <w:rFonts w:ascii="Times New Roman" w:hAnsi="Times New Roman"/>
                <w:sz w:val="20"/>
              </w:rPr>
              <w:t>Faible</w:t>
            </w:r>
          </w:p>
        </w:tc>
      </w:tr>
      <w:tr>
        <w:tc>
          <w:tcPr>
            <w:tcW w:type="dxa" w:w="1662"/>
          </w:tcPr>
          <w:p>
            <w:r>
              <w:rPr>
                <w:rFonts w:ascii="Times New Roman" w:hAnsi="Times New Roman"/>
                <w:sz w:val="20"/>
              </w:rPr>
              <w:t>Statut Algérie</w:t>
            </w:r>
          </w:p>
        </w:tc>
        <w:tc>
          <w:tcPr>
            <w:tcW w:type="dxa" w:w="1662"/>
          </w:tcPr>
          <w:p>
            <w:r>
              <w:rPr>
                <w:rFonts w:ascii="Times New Roman" w:hAnsi="Times New Roman"/>
                <w:sz w:val="20"/>
              </w:rPr>
              <w:t>Actif</w:t>
            </w:r>
          </w:p>
        </w:tc>
        <w:tc>
          <w:tcPr>
            <w:tcW w:type="dxa" w:w="1662"/>
          </w:tcPr>
          <w:p>
            <w:r>
              <w:rPr>
                <w:rFonts w:ascii="Times New Roman" w:hAnsi="Times New Roman"/>
                <w:sz w:val="20"/>
              </w:rPr>
              <w:t>Non disponible</w:t>
            </w:r>
          </w:p>
        </w:tc>
        <w:tc>
          <w:tcPr>
            <w:tcW w:type="dxa" w:w="1662"/>
          </w:tcPr>
          <w:p>
            <w:r>
              <w:rPr>
                <w:rFonts w:ascii="Times New Roman" w:hAnsi="Times New Roman"/>
                <w:sz w:val="20"/>
              </w:rPr>
              <w:t>Non disponible</w:t>
            </w:r>
          </w:p>
        </w:tc>
        <w:tc>
          <w:tcPr>
            <w:tcW w:type="dxa" w:w="1662"/>
          </w:tcPr>
          <w:p>
            <w:r>
              <w:rPr>
                <w:rFonts w:ascii="Times New Roman" w:hAnsi="Times New Roman"/>
                <w:sz w:val="20"/>
              </w:rPr>
              <w:t>Disponible (colles synthétiques)</w:t>
            </w:r>
          </w:p>
        </w:tc>
      </w:tr>
    </w:tbl>
    <w:p/>
    <w:p>
      <w:r/>
      <w:r>
        <w:rPr>
          <w:b/>
        </w:rPr>
        <w:t>Arbitrage clinique</w:t>
      </w:r>
      <w:r>
        <w:t xml:space="preserve"> :</w:t>
      </w:r>
    </w:p>
    <w:p>
      <w:pPr>
        <w:pStyle w:val="ListBullet"/>
      </w:pPr>
      <w:r>
        <w:t>TISSEEL LYO est la seule colle biologique disponible en Algérie.</w:t>
      </w:r>
    </w:p>
    <w:p>
      <w:pPr>
        <w:pStyle w:val="ListBullet"/>
      </w:pPr>
      <w:r>
        <w:t>Les colles synthétiques (cyanoacrylates, gélatine) sont des alternatives pour les saignements mineurs, mais avec une moins bonne adhérence et un risque de réaction inflammatoire locale.</w:t>
      </w:r>
    </w:p>
    <w:p>
      <w:pPr>
        <w:pStyle w:val="ListBullet"/>
      </w:pPr>
      <w:r>
        <w:t>Les colles biologiques sans aprotinine (EVICEL) ne sont pas disponibles en Algérie — utile en cas d'allergie à l'aprotinine.</w:t>
      </w:r>
    </w:p>
    <w:p>
      <w:pPr>
        <w:pStyle w:val="Heading4"/>
      </w:pPr>
      <w:r>
        <w:t>Colle biologique vs fibrinogène humain IV</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Critère</w:t>
            </w:r>
          </w:p>
        </w:tc>
        <w:tc>
          <w:tcPr>
            <w:tcW w:type="dxa" w:w="2771"/>
            <w:shd w:val="clear" w:color="auto" w:fill="F2F2F2"/>
          </w:tcPr>
          <w:p>
            <w:r>
              <w:rPr>
                <w:rFonts w:ascii="Times New Roman" w:hAnsi="Times New Roman"/>
                <w:b/>
                <w:sz w:val="20"/>
              </w:rPr>
              <w:t>Colle biologique (TISSEEL LYO)</w:t>
            </w:r>
          </w:p>
        </w:tc>
        <w:tc>
          <w:tcPr>
            <w:tcW w:type="dxa" w:w="2771"/>
            <w:shd w:val="clear" w:color="auto" w:fill="F2F2F2"/>
          </w:tcPr>
          <w:p>
            <w:r>
              <w:rPr>
                <w:rFonts w:ascii="Times New Roman" w:hAnsi="Times New Roman"/>
                <w:b/>
                <w:sz w:val="20"/>
              </w:rPr>
              <w:t>Fibrinogène humain IV</w:t>
            </w:r>
          </w:p>
        </w:tc>
      </w:tr>
      <w:tr>
        <w:tc>
          <w:tcPr>
            <w:tcW w:type="dxa" w:w="2771"/>
          </w:tcPr>
          <w:p>
            <w:r>
              <w:rPr>
                <w:rFonts w:ascii="Times New Roman" w:hAnsi="Times New Roman"/>
                <w:sz w:val="20"/>
              </w:rPr>
              <w:t>Voie d'administration</w:t>
            </w:r>
          </w:p>
        </w:tc>
        <w:tc>
          <w:tcPr>
            <w:tcW w:type="dxa" w:w="2771"/>
          </w:tcPr>
          <w:p>
            <w:r>
              <w:rPr>
                <w:rFonts w:ascii="Times New Roman" w:hAnsi="Times New Roman"/>
                <w:sz w:val="20"/>
              </w:rPr>
              <w:t>Topique stricte</w:t>
            </w:r>
          </w:p>
        </w:tc>
        <w:tc>
          <w:tcPr>
            <w:tcW w:type="dxa" w:w="2771"/>
          </w:tcPr>
          <w:p>
            <w:r>
              <w:rPr>
                <w:rFonts w:ascii="Times New Roman" w:hAnsi="Times New Roman"/>
                <w:sz w:val="20"/>
              </w:rPr>
              <w:t>IV stricte</w:t>
            </w:r>
          </w:p>
        </w:tc>
      </w:tr>
      <w:tr>
        <w:tc>
          <w:tcPr>
            <w:tcW w:type="dxa" w:w="2771"/>
          </w:tcPr>
          <w:p>
            <w:r>
              <w:rPr>
                <w:rFonts w:ascii="Times New Roman" w:hAnsi="Times New Roman"/>
                <w:sz w:val="20"/>
              </w:rPr>
              <w:t>Indication</w:t>
            </w:r>
          </w:p>
        </w:tc>
        <w:tc>
          <w:tcPr>
            <w:tcW w:type="dxa" w:w="2771"/>
          </w:tcPr>
          <w:p>
            <w:r>
              <w:rPr>
                <w:rFonts w:ascii="Times New Roman" w:hAnsi="Times New Roman"/>
                <w:sz w:val="20"/>
              </w:rPr>
              <w:t>Hémostase locale chirurgicale</w:t>
            </w:r>
          </w:p>
        </w:tc>
        <w:tc>
          <w:tcPr>
            <w:tcW w:type="dxa" w:w="2771"/>
          </w:tcPr>
          <w:p>
            <w:r>
              <w:rPr>
                <w:rFonts w:ascii="Times New Roman" w:hAnsi="Times New Roman"/>
                <w:sz w:val="20"/>
              </w:rPr>
              <w:t>Hypofibrinogénémie systémique (hémorragie massive, CIVD, HPP)</w:t>
            </w:r>
          </w:p>
        </w:tc>
      </w:tr>
      <w:tr>
        <w:tc>
          <w:tcPr>
            <w:tcW w:type="dxa" w:w="2771"/>
          </w:tcPr>
          <w:p>
            <w:r>
              <w:rPr>
                <w:rFonts w:ascii="Times New Roman" w:hAnsi="Times New Roman"/>
                <w:sz w:val="20"/>
              </w:rPr>
              <w:t>Composition</w:t>
            </w:r>
          </w:p>
        </w:tc>
        <w:tc>
          <w:tcPr>
            <w:tcW w:type="dxa" w:w="2771"/>
          </w:tcPr>
          <w:p>
            <w:r>
              <w:rPr>
                <w:rFonts w:ascii="Times New Roman" w:hAnsi="Times New Roman"/>
                <w:sz w:val="20"/>
              </w:rPr>
              <w:t>Fibrinogène + Aprotinine + Thrombine + CaCl₂</w:t>
            </w:r>
          </w:p>
        </w:tc>
        <w:tc>
          <w:tcPr>
            <w:tcW w:type="dxa" w:w="2771"/>
          </w:tcPr>
          <w:p>
            <w:r>
              <w:rPr>
                <w:rFonts w:ascii="Times New Roman" w:hAnsi="Times New Roman"/>
                <w:sz w:val="20"/>
              </w:rPr>
              <w:t>Fibrinogène pur</w:t>
            </w:r>
          </w:p>
        </w:tc>
      </w:tr>
      <w:tr>
        <w:tc>
          <w:tcPr>
            <w:tcW w:type="dxa" w:w="2771"/>
          </w:tcPr>
          <w:p>
            <w:r>
              <w:rPr>
                <w:rFonts w:ascii="Times New Roman" w:hAnsi="Times New Roman"/>
                <w:sz w:val="20"/>
              </w:rPr>
              <w:t>Effet</w:t>
            </w:r>
          </w:p>
        </w:tc>
        <w:tc>
          <w:tcPr>
            <w:tcW w:type="dxa" w:w="2771"/>
          </w:tcPr>
          <w:p>
            <w:r>
              <w:rPr>
                <w:rFonts w:ascii="Times New Roman" w:hAnsi="Times New Roman"/>
                <w:sz w:val="20"/>
              </w:rPr>
              <w:t>Hémostate locale immédiate (10-30 sec)</w:t>
            </w:r>
          </w:p>
        </w:tc>
        <w:tc>
          <w:tcPr>
            <w:tcW w:type="dxa" w:w="2771"/>
          </w:tcPr>
          <w:p>
            <w:r>
              <w:rPr>
                <w:rFonts w:ascii="Times New Roman" w:hAnsi="Times New Roman"/>
                <w:sz w:val="20"/>
              </w:rPr>
              <w:t>Correction de la fibrinogénémie (15-30 min)</w:t>
            </w:r>
          </w:p>
        </w:tc>
      </w:tr>
      <w:tr>
        <w:tc>
          <w:tcPr>
            <w:tcW w:type="dxa" w:w="2771"/>
          </w:tcPr>
          <w:p>
            <w:r>
              <w:rPr>
                <w:rFonts w:ascii="Times New Roman" w:hAnsi="Times New Roman"/>
                <w:sz w:val="20"/>
              </w:rPr>
              <w:t>Risque thrombotique</w:t>
            </w:r>
          </w:p>
        </w:tc>
        <w:tc>
          <w:tcPr>
            <w:tcW w:type="dxa" w:w="2771"/>
          </w:tcPr>
          <w:p>
            <w:r>
              <w:rPr>
                <w:rFonts w:ascii="Times New Roman" w:hAnsi="Times New Roman"/>
                <w:sz w:val="20"/>
              </w:rPr>
              <w:t>Nul (local)</w:t>
            </w:r>
          </w:p>
        </w:tc>
        <w:tc>
          <w:tcPr>
            <w:tcW w:type="dxa" w:w="2771"/>
          </w:tcPr>
          <w:p>
            <w:r>
              <w:rPr>
                <w:rFonts w:ascii="Times New Roman" w:hAnsi="Times New Roman"/>
                <w:sz w:val="20"/>
              </w:rPr>
              <w:t>Modéré à doses élevées</w:t>
            </w:r>
          </w:p>
        </w:tc>
      </w:tr>
      <w:tr>
        <w:tc>
          <w:tcPr>
            <w:tcW w:type="dxa" w:w="2771"/>
          </w:tcPr>
          <w:p>
            <w:r>
              <w:rPr>
                <w:rFonts w:ascii="Times New Roman" w:hAnsi="Times New Roman"/>
                <w:sz w:val="20"/>
              </w:rPr>
              <w:t>Risque allergique</w:t>
            </w:r>
          </w:p>
        </w:tc>
        <w:tc>
          <w:tcPr>
            <w:tcW w:type="dxa" w:w="2771"/>
          </w:tcPr>
          <w:p>
            <w:r>
              <w:rPr>
                <w:rFonts w:ascii="Times New Roman" w:hAnsi="Times New Roman"/>
                <w:sz w:val="20"/>
              </w:rPr>
              <w:t>Modéré (aprotinine, IgA-déficient)</w:t>
            </w:r>
          </w:p>
        </w:tc>
        <w:tc>
          <w:tcPr>
            <w:tcW w:type="dxa" w:w="2771"/>
          </w:tcPr>
          <w:p>
            <w:r>
              <w:rPr>
                <w:rFonts w:ascii="Times New Roman" w:hAnsi="Times New Roman"/>
                <w:sz w:val="20"/>
              </w:rPr>
              <w:t>Faible</w:t>
            </w:r>
          </w:p>
        </w:tc>
      </w:tr>
      <w:tr>
        <w:tc>
          <w:tcPr>
            <w:tcW w:type="dxa" w:w="2771"/>
          </w:tcPr>
          <w:p>
            <w:r>
              <w:rPr>
                <w:rFonts w:ascii="Times New Roman" w:hAnsi="Times New Roman"/>
                <w:sz w:val="20"/>
              </w:rPr>
              <w:t>Coût</w:t>
            </w:r>
          </w:p>
        </w:tc>
        <w:tc>
          <w:tcPr>
            <w:tcW w:type="dxa" w:w="2771"/>
          </w:tcPr>
          <w:p>
            <w:r>
              <w:rPr>
                <w:rFonts w:ascii="Times New Roman" w:hAnsi="Times New Roman"/>
                <w:sz w:val="20"/>
              </w:rPr>
              <w:t>Très élevé (~150-300 €/flacon)</w:t>
            </w:r>
          </w:p>
        </w:tc>
        <w:tc>
          <w:tcPr>
            <w:tcW w:type="dxa" w:w="2771"/>
          </w:tcPr>
          <w:p>
            <w:r>
              <w:rPr>
                <w:rFonts w:ascii="Times New Roman" w:hAnsi="Times New Roman"/>
                <w:sz w:val="20"/>
              </w:rPr>
              <w:t>Élevé (~150-250 €/g)</w:t>
            </w:r>
          </w:p>
        </w:tc>
      </w:tr>
      <w:tr>
        <w:tc>
          <w:tcPr>
            <w:tcW w:type="dxa" w:w="2771"/>
          </w:tcPr>
          <w:p>
            <w:r>
              <w:rPr>
                <w:rFonts w:ascii="Times New Roman" w:hAnsi="Times New Roman"/>
                <w:sz w:val="20"/>
              </w:rPr>
              <w:t>Statut Algérie</w:t>
            </w:r>
          </w:p>
        </w:tc>
        <w:tc>
          <w:tcPr>
            <w:tcW w:type="dxa" w:w="2771"/>
          </w:tcPr>
          <w:p>
            <w:r>
              <w:rPr>
                <w:rFonts w:ascii="Times New Roman" w:hAnsi="Times New Roman"/>
                <w:sz w:val="20"/>
              </w:rPr>
              <w:t>Actif (TISSEEL LYO)</w:t>
            </w:r>
          </w:p>
        </w:tc>
        <w:tc>
          <w:tcPr>
            <w:tcW w:type="dxa" w:w="2771"/>
          </w:tcPr>
          <w:p>
            <w:r>
              <w:rPr>
                <w:rFonts w:ascii="Times New Roman" w:hAnsi="Times New Roman"/>
                <w:sz w:val="20"/>
              </w:rPr>
              <w:t>Actif (HEAMOCOMPLETTAN P, CLOTTAFACT)</w:t>
            </w:r>
          </w:p>
        </w:tc>
      </w:tr>
    </w:tbl>
    <w:p/>
    <w:p>
      <w:r/>
      <w:r>
        <w:rPr>
          <w:b/>
        </w:rPr>
        <w:t>Arbitrage clinique</w:t>
      </w:r>
      <w:r>
        <w:t xml:space="preserve"> :</w:t>
      </w:r>
    </w:p>
    <w:p>
      <w:pPr>
        <w:pStyle w:val="ListBullet"/>
      </w:pPr>
      <w:r/>
      <w:r>
        <w:rPr>
          <w:b/>
        </w:rPr>
        <w:t>Complémentarité</w:t>
      </w:r>
      <w:r>
        <w:t xml:space="preserve"> : la colle biologique est utilisée pour l'hémostase locale chirurgicale, le fibrinogène humain IV pour l'hypofibrinogénémie systémique.</w:t>
      </w:r>
    </w:p>
    <w:p>
      <w:pPr>
        <w:pStyle w:val="ListBullet"/>
      </w:pPr>
      <w:r>
        <w:t xml:space="preserve">En cas d'hémorragie massive avec hypofibrinogénémie ET saignement local, </w:t>
      </w:r>
      <w:r>
        <w:rPr>
          <w:b/>
        </w:rPr>
        <w:t>combinaison</w:t>
      </w:r>
      <w:r>
        <w:t xml:space="preserve"> fibrinogène IV + colle biologique.</w:t>
      </w:r>
    </w:p>
    <w:p>
      <w:pPr>
        <w:pStyle w:val="Heading3"/>
      </w:pPr>
      <w:r>
        <w:t>Sous-section 10 — Instructions et conseils au patient</w:t>
      </w:r>
    </w:p>
    <w:p>
      <w:pPr>
        <w:pStyle w:val="Heading4"/>
      </w:pPr>
      <w:r>
        <w:t>Information patient</w:t>
      </w:r>
    </w:p>
    <w:p>
      <w:pPr>
        <w:pStyle w:val="ListBullet"/>
      </w:pPr>
      <w:r>
        <w:t xml:space="preserve">La colle biologique est un médicament </w:t>
      </w:r>
      <w:r>
        <w:rPr>
          <w:b/>
        </w:rPr>
        <w:t>hospitalier</w:t>
      </w:r>
      <w:r>
        <w:t xml:space="preserve"> appliqué pendant la chirurgie par le chirurgien. Le patient n'a pas à l'auto-administrer.</w:t>
      </w:r>
    </w:p>
    <w:p>
      <w:pPr>
        <w:pStyle w:val="ListBullet"/>
      </w:pPr>
      <w:r>
        <w:t>Le patient doit être informé de la nécessité du traitement (hémostase locale en complément des techniques mécaniques), des risques (allergie, infection locale) et de la surveillance post-opératoire.</w:t>
      </w:r>
    </w:p>
    <w:p>
      <w:pPr>
        <w:pStyle w:val="Heading4"/>
      </w:pPr>
      <w:r>
        <w:t>Suivi post-opératoire</w:t>
      </w:r>
    </w:p>
    <w:p>
      <w:pPr>
        <w:pStyle w:val="ListBullet"/>
      </w:pPr>
      <w:r>
        <w:t>Surveillance hémostatique : vérifier l'absence de saignement résiduel après 1-2 minutes (par le chirurgien).</w:t>
      </w:r>
    </w:p>
    <w:p>
      <w:pPr>
        <w:pStyle w:val="ListBullet"/>
      </w:pPr>
      <w:r>
        <w:t>Surveillance clinique : douleur, infection locale, fistule, collection locale à H+24, H+48.</w:t>
      </w:r>
    </w:p>
    <w:p>
      <w:pPr>
        <w:pStyle w:val="ListBullet"/>
      </w:pPr>
      <w:r>
        <w:t>Surveillance biologique : NFS-plaquettes, CRP à H+24 (recherche infection).</w:t>
      </w:r>
    </w:p>
    <w:p>
      <w:pPr>
        <w:pStyle w:val="ListBullet"/>
      </w:pPr>
      <w:r>
        <w:t>Abstention de lavage : ne pas laver la zone opératoire dans les 24 h post-application (risque de décollement du caillot).</w:t>
      </w:r>
    </w:p>
    <w:p>
      <w:pPr>
        <w:pStyle w:val="Heading4"/>
      </w:pPr>
      <w:r>
        <w:t>Vaccinations</w:t>
      </w:r>
    </w:p>
    <w:p>
      <w:pPr>
        <w:pStyle w:val="ListBullet"/>
      </w:pPr>
      <w:r>
        <w:t>Vaccination hépatite A et B systématique chez tout patient pouvant nécessiter une colle biologique à répétition (en particulier chirurgies itératives).</w:t>
      </w:r>
    </w:p>
    <w:p>
      <w:pPr>
        <w:pStyle w:val="Heading4"/>
      </w:pPr>
      <w:r>
        <w:t>Carte de patient</w:t>
      </w:r>
    </w:p>
    <w:p>
      <w:pPr>
        <w:pStyle w:val="ListBullet"/>
      </w:pPr>
      <w:r>
        <w:t xml:space="preserve">Tout patient recevant une colle biologique doit avoir sur soi une </w:t>
      </w:r>
      <w:r>
        <w:rPr>
          <w:b/>
        </w:rPr>
        <w:t>carte d'information</w:t>
      </w:r>
      <w:r>
        <w:t xml:space="preserve"> précisant :</w:t>
      </w:r>
    </w:p>
    <w:p>
      <w:pPr>
        <w:pStyle w:val="ListBullet"/>
      </w:pPr>
      <w:r>
        <w:t>Type de traitement (colle biologique TISSEEL LYO).</w:t>
      </w:r>
    </w:p>
    <w:p>
      <w:pPr>
        <w:pStyle w:val="ListBullet"/>
      </w:pPr>
      <w:r>
        <w:t>Date et dose de la dernière application.</w:t>
      </w:r>
    </w:p>
    <w:p>
      <w:pPr>
        <w:pStyle w:val="ListBullet"/>
      </w:pPr>
      <w:r>
        <w:t>Indication (chirurgie cardiaque, hépatique, etc.).</w:t>
      </w:r>
    </w:p>
    <w:p>
      <w:pPr>
        <w:pStyle w:val="ListBullet"/>
      </w:pPr>
      <w:r>
        <w:t>Centre de référence (chirurgien).</w:t>
      </w:r>
    </w:p>
    <w:p>
      <w:pPr>
        <w:pStyle w:val="ListBullet"/>
      </w:pPr>
      <w:r>
        <w:t>Contact du patient (nom, téléphone).</w:t>
      </w:r>
    </w:p>
    <w:p>
      <w:pPr>
        <w:pStyle w:val="ListBullet"/>
      </w:pPr>
      <w:r>
        <w:t>Statut vaccinal (hépatite A, B).</w:t>
      </w:r>
    </w:p>
    <w:p>
      <w:pPr>
        <w:pStyle w:val="Heading3"/>
      </w:pPr>
      <w:r>
        <w:t>Sous-section 11 — Notes, règles d'or et pièges au comptoir</w:t>
      </w:r>
    </w:p>
    <w:p>
      <w:pPr>
        <w:pStyle w:val="ListNumber"/>
      </w:pPr>
      <w:r/>
      <w:r>
        <w:rPr>
          <w:b/>
        </w:rPr>
        <w:t>La colle biologique TISSEEL LYO est un hémostatique local</w:t>
      </w:r>
      <w:r>
        <w:t xml:space="preserve"> — application topique stricte, ne jamais injecter intravasculaire (risque de thrombose systémique massive : CIVD, embolie pulmonaire, infarctus).</w:t>
      </w:r>
    </w:p>
    <w:p>
      <w:pPr>
        <w:pStyle w:val="ListNumber"/>
      </w:pPr>
      <w:r/>
      <w:r>
        <w:rPr>
          <w:b/>
        </w:rPr>
        <w:t>Composition</w:t>
      </w:r>
      <w:r>
        <w:t xml:space="preserve"> : deux composants séparés — (1) fibrinogène humain + aprotinine ; (2) thrombine humaine + CaCl₂. Mélangés au moment de l'application par une seringue double (dual-syringe).</w:t>
      </w:r>
    </w:p>
    <w:p>
      <w:pPr>
        <w:pStyle w:val="ListNumber"/>
      </w:pPr>
      <w:r/>
      <w:r>
        <w:rPr>
          <w:b/>
        </w:rPr>
        <w:t>Temps de polymérisation</w:t>
      </w:r>
      <w:r>
        <w:t xml:space="preserve"> : 10-30 secondes — hémostate locale immédiate. Maintenir en compression 3-5 minutes pour permettre la polymérisation complète.</w:t>
      </w:r>
    </w:p>
    <w:p>
      <w:pPr>
        <w:pStyle w:val="ListNumber"/>
      </w:pPr>
      <w:r/>
      <w:r>
        <w:rPr>
          <w:b/>
        </w:rPr>
        <w:t>Dose</w:t>
      </w:r>
      <w:r>
        <w:t xml:space="preserve"> : 1 mL de TISSEEL LYO couvre ~10 cm² de zone hémorragique. Adapter la dose à la taille de la zone (2 mL, 4 mL, 10 mL).</w:t>
      </w:r>
    </w:p>
    <w:p>
      <w:pPr>
        <w:pStyle w:val="ListNumber"/>
      </w:pPr>
      <w:r/>
      <w:r>
        <w:rPr>
          <w:b/>
        </w:rPr>
        <w:t>Application sur zone préalablement séchée</w:t>
      </w:r>
      <w:r>
        <w:t xml:space="preserve"> — essuyer le sang avec une compresse stérile avant l'application. Ne pas laver la zone opératoire dans les 24 h post-application.</w:t>
      </w:r>
    </w:p>
    <w:p>
      <w:pPr>
        <w:pStyle w:val="ListNumber"/>
      </w:pPr>
      <w:r/>
      <w:r>
        <w:rPr>
          <w:b/>
        </w:rPr>
        <w:t>Risque allergique</w:t>
      </w:r>
      <w:r>
        <w:t xml:space="preserve"> : aprotinine (protéine bovine historique, maintenant synthétique) et protéines humaines (fibrinogène, thrombine). Interrogatoire allergologique préalable obligatoire.</w:t>
      </w:r>
    </w:p>
    <w:p>
      <w:pPr>
        <w:pStyle w:val="ListNumber"/>
      </w:pPr>
      <w:r/>
      <w:r>
        <w:rPr>
          <w:b/>
        </w:rPr>
        <w:t>Patients IgA-déficients avec anti-IgA</w:t>
      </w:r>
      <w:r>
        <w:t xml:space="preserve"> : risque majeur d'anaphylaxie. Dosage pondéral IgA systématique avant la première application.</w:t>
      </w:r>
    </w:p>
    <w:p>
      <w:pPr>
        <w:pStyle w:val="ListNumber"/>
      </w:pPr>
      <w:r/>
      <w:r>
        <w:rPr>
          <w:b/>
        </w:rPr>
        <w:t>Vaccination hépatite A et B</w:t>
      </w:r>
      <w:r>
        <w:t xml:space="preserve"> systématique chez tout patient pouvant nécessiter une colle biologique à répétition.</w:t>
      </w:r>
    </w:p>
    <w:p>
      <w:pPr>
        <w:pStyle w:val="ListNumber"/>
      </w:pPr>
      <w:r/>
      <w:r>
        <w:rPr>
          <w:b/>
        </w:rPr>
        <w:t>Chaîne du froid +2 °C à +8 °C</w:t>
      </w:r>
      <w:r>
        <w:t xml:space="preserve"> stricte ; reconstitution douce ; utilisation dans les 4 h après reconstitution.</w:t>
      </w:r>
    </w:p>
    <w:p>
      <w:pPr>
        <w:pStyle w:val="ListNumber"/>
      </w:pPr>
      <w:r/>
      <w:r>
        <w:rPr>
          <w:b/>
        </w:rPr>
        <w:t>Grossesse et allaitement</w:t>
      </w:r>
      <w:r>
        <w:t xml:space="preserve"> : colle biologique utilisable (CRAT), appliquée pendant la chirurgie césarienne, myomectomie, hémostase utérine.</w:t>
      </w:r>
    </w:p>
    <w:p>
      <w:pPr>
        <w:pStyle w:val="ListNumber"/>
      </w:pPr>
      <w:r/>
      <w:r>
        <w:rPr>
          <w:b/>
        </w:rPr>
        <w:t>Complémentarité avec le fibrinogène humain IV</w:t>
      </w:r>
      <w:r>
        <w:t xml:space="preserve"> : la colle biologique pour l'hémostase locale, le fibrinogène humain IV pour l'hypofibrinogénémie systémique. Combinaison possible en cas d'hémorragie massive avec saignement local.</w:t>
      </w:r>
    </w:p>
    <w:p>
      <w:pPr>
        <w:pStyle w:val="ListNumber"/>
      </w:pPr>
      <w:r/>
      <w:r>
        <w:rPr>
          <w:b/>
        </w:rPr>
        <w:t>TISSEEL LYO est la seule colle biologique disponible en Algérie</w:t>
      </w:r>
      <w:r>
        <w:t xml:space="preserve"> — les alternatives (EVICEL, BERIPLAST P) ne sont pas disponibles.</w:t>
      </w:r>
    </w:p>
    <w:p>
      <w:pPr>
        <w:pStyle w:val="ListNumber"/>
      </w:pPr>
      <w:r/>
      <w:r>
        <w:rPr>
          <w:b/>
        </w:rPr>
        <w:t>Ne pas appliquer sur un cancer non réséqué</w:t>
      </w:r>
      <w:r>
        <w:t xml:space="preserve"> (risque théorique de dissémination tumorale).</w:t>
      </w:r>
    </w:p>
    <w:p>
      <w:pPr>
        <w:pStyle w:val="ListNumber"/>
      </w:pPr>
      <w:r/>
      <w:r>
        <w:rPr>
          <w:b/>
        </w:rPr>
        <w:t>Ne pas appliquer en cas d'infection locale active</w:t>
      </w:r>
      <w:r>
        <w:t xml:space="preserve"> (la colle peut encapsuler l'infection — abcès, péritonite).</w:t>
      </w:r>
    </w:p>
    <w:p>
      <w:pPr>
        <w:pStyle w:val="ListNumber"/>
      </w:pPr>
      <w:r/>
      <w:r>
        <w:rPr>
          <w:b/>
        </w:rPr>
        <w:t>Pharmacovigilance virale</w:t>
      </w:r>
      <w:r>
        <w:t xml:space="preserve"> : tout épisode viral dans les 6 mois suivant l'application de colle biologique doit être notifié au CNPV.</w:t>
      </w:r>
    </w:p>
    <w:p>
      <w:pPr>
        <w:pStyle w:val="ListNumber"/>
      </w:pPr>
      <w:r/>
      <w:r>
        <w:rPr>
          <w:b/>
        </w:rPr>
        <w:t>Information patient</w:t>
      </w:r>
      <w:r>
        <w:t xml:space="preserve"> : carte d'information, carnet de suivi patient.</w:t>
      </w:r>
    </w:p>
    <w:p>
      <w:pPr>
        <w:pStyle w:val="Heading3"/>
      </w:pPr>
      <w:r>
        <w:t>Sous-section 12 — Tableau comparatif de sous-classe (Colles biologiques)</w:t>
      </w:r>
    </w:p>
    <w:tbl>
      <w:tblPr>
        <w:tblStyle w:val="LightGrid-Accent1"/>
        <w:tblW w:type="auto" w:w="0"/>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F2F2F2"/>
          </w:tcPr>
          <w:p>
            <w:r>
              <w:rPr>
                <w:rFonts w:ascii="Times New Roman" w:hAnsi="Times New Roman"/>
                <w:b/>
                <w:sz w:val="20"/>
              </w:rPr>
              <w:t>Spécialité</w:t>
            </w:r>
          </w:p>
        </w:tc>
        <w:tc>
          <w:tcPr>
            <w:tcW w:type="dxa" w:w="1039"/>
            <w:shd w:val="clear" w:color="auto" w:fill="F2F2F2"/>
          </w:tcPr>
          <w:p>
            <w:r>
              <w:rPr>
                <w:rFonts w:ascii="Times New Roman" w:hAnsi="Times New Roman"/>
                <w:b/>
                <w:sz w:val="20"/>
              </w:rPr>
              <w:t>Laboratoire</w:t>
            </w:r>
          </w:p>
        </w:tc>
        <w:tc>
          <w:tcPr>
            <w:tcW w:type="dxa" w:w="1039"/>
            <w:shd w:val="clear" w:color="auto" w:fill="F2F2F2"/>
          </w:tcPr>
          <w:p>
            <w:r>
              <w:rPr>
                <w:rFonts w:ascii="Times New Roman" w:hAnsi="Times New Roman"/>
                <w:b/>
                <w:sz w:val="20"/>
              </w:rPr>
              <w:t>Composition</w:t>
            </w:r>
          </w:p>
        </w:tc>
        <w:tc>
          <w:tcPr>
            <w:tcW w:type="dxa" w:w="1039"/>
            <w:shd w:val="clear" w:color="auto" w:fill="F2F2F2"/>
          </w:tcPr>
          <w:p>
            <w:r>
              <w:rPr>
                <w:rFonts w:ascii="Times New Roman" w:hAnsi="Times New Roman"/>
                <w:b/>
                <w:sz w:val="20"/>
              </w:rPr>
              <w:t>Voie</w:t>
            </w:r>
          </w:p>
        </w:tc>
        <w:tc>
          <w:tcPr>
            <w:tcW w:type="dxa" w:w="1039"/>
            <w:shd w:val="clear" w:color="auto" w:fill="F2F2F2"/>
          </w:tcPr>
          <w:p>
            <w:r>
              <w:rPr>
                <w:rFonts w:ascii="Times New Roman" w:hAnsi="Times New Roman"/>
                <w:b/>
                <w:sz w:val="20"/>
              </w:rPr>
              <w:t>Temps de polymérisation</w:t>
            </w:r>
          </w:p>
        </w:tc>
        <w:tc>
          <w:tcPr>
            <w:tcW w:type="dxa" w:w="1039"/>
            <w:shd w:val="clear" w:color="auto" w:fill="F2F2F2"/>
          </w:tcPr>
          <w:p>
            <w:r>
              <w:rPr>
                <w:rFonts w:ascii="Times New Roman" w:hAnsi="Times New Roman"/>
                <w:b/>
                <w:sz w:val="20"/>
              </w:rPr>
              <w:t>Risque allergique</w:t>
            </w:r>
          </w:p>
        </w:tc>
        <w:tc>
          <w:tcPr>
            <w:tcW w:type="dxa" w:w="1039"/>
            <w:shd w:val="clear" w:color="auto" w:fill="F2F2F2"/>
          </w:tcPr>
          <w:p>
            <w:r>
              <w:rPr>
                <w:rFonts w:ascii="Times New Roman" w:hAnsi="Times New Roman"/>
                <w:b/>
                <w:sz w:val="20"/>
              </w:rPr>
              <w:t>Statut Algérie</w:t>
            </w:r>
          </w:p>
        </w:tc>
        <w:tc>
          <w:tcPr>
            <w:tcW w:type="dxa" w:w="1039"/>
            <w:shd w:val="clear" w:color="auto" w:fill="F2F2F2"/>
          </w:tcPr>
          <w:p>
            <w:r>
              <w:rPr>
                <w:rFonts w:ascii="Times New Roman" w:hAnsi="Times New Roman"/>
                <w:b/>
                <w:sz w:val="20"/>
              </w:rPr>
              <w:t>Code ATC</w:t>
            </w:r>
          </w:p>
        </w:tc>
      </w:tr>
      <w:tr>
        <w:tc>
          <w:tcPr>
            <w:tcW w:type="dxa" w:w="1039"/>
          </w:tcPr>
          <w:p>
            <w:r>
              <w:rPr>
                <w:rFonts w:ascii="Times New Roman" w:hAnsi="Times New Roman"/>
                <w:sz w:val="20"/>
              </w:rPr>
              <w:t>TISSEEL LYO</w:t>
            </w:r>
          </w:p>
        </w:tc>
        <w:tc>
          <w:tcPr>
            <w:tcW w:type="dxa" w:w="1039"/>
          </w:tcPr>
          <w:p>
            <w:r>
              <w:rPr>
                <w:rFonts w:ascii="Times New Roman" w:hAnsi="Times New Roman"/>
                <w:sz w:val="20"/>
              </w:rPr>
              <w:t>Baxter Medical Products (Allemagne)</w:t>
            </w:r>
          </w:p>
        </w:tc>
        <w:tc>
          <w:tcPr>
            <w:tcW w:type="dxa" w:w="1039"/>
          </w:tcPr>
          <w:p>
            <w:r>
              <w:rPr>
                <w:rFonts w:ascii="Times New Roman" w:hAnsi="Times New Roman"/>
                <w:sz w:val="20"/>
              </w:rPr>
              <w:t>Fibrinogène + Aprotinine + Thrombine + CaCl₂</w:t>
            </w:r>
          </w:p>
        </w:tc>
        <w:tc>
          <w:tcPr>
            <w:tcW w:type="dxa" w:w="1039"/>
          </w:tcPr>
          <w:p>
            <w:r>
              <w:rPr>
                <w:rFonts w:ascii="Times New Roman" w:hAnsi="Times New Roman"/>
                <w:sz w:val="20"/>
              </w:rPr>
              <w:t>Topique stricte</w:t>
            </w:r>
          </w:p>
        </w:tc>
        <w:tc>
          <w:tcPr>
            <w:tcW w:type="dxa" w:w="1039"/>
          </w:tcPr>
          <w:p>
            <w:r>
              <w:rPr>
                <w:rFonts w:ascii="Times New Roman" w:hAnsi="Times New Roman"/>
                <w:sz w:val="20"/>
              </w:rPr>
              <w:t>10-30 sec</w:t>
            </w:r>
          </w:p>
        </w:tc>
        <w:tc>
          <w:tcPr>
            <w:tcW w:type="dxa" w:w="1039"/>
          </w:tcPr>
          <w:p>
            <w:r>
              <w:rPr>
                <w:rFonts w:ascii="Times New Roman" w:hAnsi="Times New Roman"/>
                <w:sz w:val="20"/>
              </w:rPr>
              <w:t>Modéré (aprotinine)</w:t>
            </w:r>
          </w:p>
        </w:tc>
        <w:tc>
          <w:tcPr>
            <w:tcW w:type="dxa" w:w="1039"/>
          </w:tcPr>
          <w:p>
            <w:r>
              <w:rPr>
                <w:rFonts w:ascii="Times New Roman" w:hAnsi="Times New Roman"/>
                <w:sz w:val="20"/>
              </w:rPr>
              <w:t>Actif</w:t>
            </w:r>
          </w:p>
        </w:tc>
        <w:tc>
          <w:tcPr>
            <w:tcW w:type="dxa" w:w="1039"/>
          </w:tcPr>
          <w:p>
            <w:r>
              <w:rPr>
                <w:rFonts w:ascii="Times New Roman" w:hAnsi="Times New Roman"/>
                <w:sz w:val="20"/>
              </w:rPr>
              <w:t>B02BC01</w:t>
            </w:r>
          </w:p>
        </w:tc>
      </w:tr>
      <w:tr>
        <w:tc>
          <w:tcPr>
            <w:tcW w:type="dxa" w:w="1039"/>
          </w:tcPr>
          <w:p>
            <w:r>
              <w:rPr>
                <w:rFonts w:ascii="Times New Roman" w:hAnsi="Times New Roman"/>
                <w:sz w:val="20"/>
              </w:rPr>
              <w:t>EVICEL</w:t>
            </w:r>
          </w:p>
        </w:tc>
        <w:tc>
          <w:tcPr>
            <w:tcW w:type="dxa" w:w="1039"/>
          </w:tcPr>
          <w:p>
            <w:r>
              <w:rPr>
                <w:rFonts w:ascii="Times New Roman" w:hAnsi="Times New Roman"/>
                <w:sz w:val="20"/>
              </w:rPr>
              <w:t>Ethicon (USA)</w:t>
            </w:r>
          </w:p>
        </w:tc>
        <w:tc>
          <w:tcPr>
            <w:tcW w:type="dxa" w:w="1039"/>
          </w:tcPr>
          <w:p>
            <w:r>
              <w:rPr>
                <w:rFonts w:ascii="Times New Roman" w:hAnsi="Times New Roman"/>
                <w:sz w:val="20"/>
              </w:rPr>
              <w:t>Fibrinogène + Thrombine (sans aprotinine)</w:t>
            </w:r>
          </w:p>
        </w:tc>
        <w:tc>
          <w:tcPr>
            <w:tcW w:type="dxa" w:w="1039"/>
          </w:tcPr>
          <w:p>
            <w:r>
              <w:rPr>
                <w:rFonts w:ascii="Times New Roman" w:hAnsi="Times New Roman"/>
                <w:sz w:val="20"/>
              </w:rPr>
              <w:t>Topique stricte</w:t>
            </w:r>
          </w:p>
        </w:tc>
        <w:tc>
          <w:tcPr>
            <w:tcW w:type="dxa" w:w="1039"/>
          </w:tcPr>
          <w:p>
            <w:r>
              <w:rPr>
                <w:rFonts w:ascii="Times New Roman" w:hAnsi="Times New Roman"/>
                <w:sz w:val="20"/>
              </w:rPr>
              <w:t>10-30 sec</w:t>
            </w:r>
          </w:p>
        </w:tc>
        <w:tc>
          <w:tcPr>
            <w:tcW w:type="dxa" w:w="1039"/>
          </w:tcPr>
          <w:p>
            <w:r>
              <w:rPr>
                <w:rFonts w:ascii="Times New Roman" w:hAnsi="Times New Roman"/>
                <w:sz w:val="20"/>
              </w:rPr>
              <w:t>Faible</w:t>
            </w:r>
          </w:p>
        </w:tc>
        <w:tc>
          <w:tcPr>
            <w:tcW w:type="dxa" w:w="1039"/>
          </w:tcPr>
          <w:p>
            <w:r>
              <w:rPr>
                <w:rFonts w:ascii="Times New Roman" w:hAnsi="Times New Roman"/>
                <w:sz w:val="20"/>
              </w:rPr>
              <w:t>Non disponible</w:t>
            </w:r>
          </w:p>
        </w:tc>
        <w:tc>
          <w:tcPr>
            <w:tcW w:type="dxa" w:w="1039"/>
          </w:tcPr>
          <w:p>
            <w:r>
              <w:rPr>
                <w:rFonts w:ascii="Times New Roman" w:hAnsi="Times New Roman"/>
                <w:sz w:val="20"/>
              </w:rPr>
              <w:t>B02BC01</w:t>
            </w:r>
          </w:p>
        </w:tc>
      </w:tr>
      <w:tr>
        <w:tc>
          <w:tcPr>
            <w:tcW w:type="dxa" w:w="1039"/>
          </w:tcPr>
          <w:p>
            <w:r>
              <w:rPr>
                <w:rFonts w:ascii="Times New Roman" w:hAnsi="Times New Roman"/>
                <w:sz w:val="20"/>
              </w:rPr>
              <w:t>BERIPLAST P</w:t>
            </w:r>
          </w:p>
        </w:tc>
        <w:tc>
          <w:tcPr>
            <w:tcW w:type="dxa" w:w="1039"/>
          </w:tcPr>
          <w:p>
            <w:r>
              <w:rPr>
                <w:rFonts w:ascii="Times New Roman" w:hAnsi="Times New Roman"/>
                <w:sz w:val="20"/>
              </w:rPr>
              <w:t>CSL Behring (Allemagne)</w:t>
            </w:r>
          </w:p>
        </w:tc>
        <w:tc>
          <w:tcPr>
            <w:tcW w:type="dxa" w:w="1039"/>
          </w:tcPr>
          <w:p>
            <w:r>
              <w:rPr>
                <w:rFonts w:ascii="Times New Roman" w:hAnsi="Times New Roman"/>
                <w:sz w:val="20"/>
              </w:rPr>
              <w:t>Fibrinogène + Aprotinine + Thrombine + CaCl₂</w:t>
            </w:r>
          </w:p>
        </w:tc>
        <w:tc>
          <w:tcPr>
            <w:tcW w:type="dxa" w:w="1039"/>
          </w:tcPr>
          <w:p>
            <w:r>
              <w:rPr>
                <w:rFonts w:ascii="Times New Roman" w:hAnsi="Times New Roman"/>
                <w:sz w:val="20"/>
              </w:rPr>
              <w:t>Topique stricte</w:t>
            </w:r>
          </w:p>
        </w:tc>
        <w:tc>
          <w:tcPr>
            <w:tcW w:type="dxa" w:w="1039"/>
          </w:tcPr>
          <w:p>
            <w:r>
              <w:rPr>
                <w:rFonts w:ascii="Times New Roman" w:hAnsi="Times New Roman"/>
                <w:sz w:val="20"/>
              </w:rPr>
              <w:t>10-30 sec</w:t>
            </w:r>
          </w:p>
        </w:tc>
        <w:tc>
          <w:tcPr>
            <w:tcW w:type="dxa" w:w="1039"/>
          </w:tcPr>
          <w:p>
            <w:r>
              <w:rPr>
                <w:rFonts w:ascii="Times New Roman" w:hAnsi="Times New Roman"/>
                <w:sz w:val="20"/>
              </w:rPr>
              <w:t>Modéré (aprotinine)</w:t>
            </w:r>
          </w:p>
        </w:tc>
        <w:tc>
          <w:tcPr>
            <w:tcW w:type="dxa" w:w="1039"/>
          </w:tcPr>
          <w:p>
            <w:r>
              <w:rPr>
                <w:rFonts w:ascii="Times New Roman" w:hAnsi="Times New Roman"/>
                <w:sz w:val="20"/>
              </w:rPr>
              <w:t>Non disponible</w:t>
            </w:r>
          </w:p>
        </w:tc>
        <w:tc>
          <w:tcPr>
            <w:tcW w:type="dxa" w:w="1039"/>
          </w:tcPr>
          <w:p>
            <w:r>
              <w:rPr>
                <w:rFonts w:ascii="Times New Roman" w:hAnsi="Times New Roman"/>
                <w:sz w:val="20"/>
              </w:rPr>
              <w:t>B02BC01</w:t>
            </w:r>
          </w:p>
        </w:tc>
      </w:tr>
    </w:tbl>
    <w:p/>
    <w:p>
      <w:pPr>
        <w:pStyle w:val="Heading2"/>
      </w:pPr>
      <w:r>
        <w:t>236.3. Tableau comparatif de sous-classe (Fibrinogène humain vs Colle biologique)</w:t>
      </w:r>
    </w:p>
    <w:tbl>
      <w:tblPr>
        <w:tblStyle w:val="LightGrid-Accent1"/>
        <w:tblW w:type="auto" w:w="0"/>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shd w:val="clear" w:color="auto" w:fill="F2F2F2"/>
          </w:tcPr>
          <w:p>
            <w:r>
              <w:rPr>
                <w:rFonts w:ascii="Times New Roman" w:hAnsi="Times New Roman"/>
                <w:b/>
                <w:sz w:val="20"/>
              </w:rPr>
              <w:t>#</w:t>
            </w:r>
          </w:p>
        </w:tc>
        <w:tc>
          <w:tcPr>
            <w:tcW w:type="dxa" w:w="831"/>
            <w:shd w:val="clear" w:color="auto" w:fill="F2F2F2"/>
          </w:tcPr>
          <w:p>
            <w:r>
              <w:rPr>
                <w:rFonts w:ascii="Times New Roman" w:hAnsi="Times New Roman"/>
                <w:b/>
                <w:sz w:val="20"/>
              </w:rPr>
              <w:t>DCI</w:t>
            </w:r>
          </w:p>
        </w:tc>
        <w:tc>
          <w:tcPr>
            <w:tcW w:type="dxa" w:w="831"/>
            <w:shd w:val="clear" w:color="auto" w:fill="F2F2F2"/>
          </w:tcPr>
          <w:p>
            <w:r>
              <w:rPr>
                <w:rFonts w:ascii="Times New Roman" w:hAnsi="Times New Roman"/>
                <w:b/>
                <w:sz w:val="20"/>
              </w:rPr>
              <w:t>Spécialité</w:t>
            </w:r>
          </w:p>
        </w:tc>
        <w:tc>
          <w:tcPr>
            <w:tcW w:type="dxa" w:w="831"/>
            <w:shd w:val="clear" w:color="auto" w:fill="F2F2F2"/>
          </w:tcPr>
          <w:p>
            <w:r>
              <w:rPr>
                <w:rFonts w:ascii="Times New Roman" w:hAnsi="Times New Roman"/>
                <w:b/>
                <w:sz w:val="20"/>
              </w:rPr>
              <w:t>Voie</w:t>
            </w:r>
          </w:p>
        </w:tc>
        <w:tc>
          <w:tcPr>
            <w:tcW w:type="dxa" w:w="831"/>
            <w:shd w:val="clear" w:color="auto" w:fill="F2F2F2"/>
          </w:tcPr>
          <w:p>
            <w:r>
              <w:rPr>
                <w:rFonts w:ascii="Times New Roman" w:hAnsi="Times New Roman"/>
                <w:b/>
                <w:sz w:val="20"/>
              </w:rPr>
              <w:t>Indication principale</w:t>
            </w:r>
          </w:p>
        </w:tc>
        <w:tc>
          <w:tcPr>
            <w:tcW w:type="dxa" w:w="831"/>
            <w:shd w:val="clear" w:color="auto" w:fill="F2F2F2"/>
          </w:tcPr>
          <w:p>
            <w:r>
              <w:rPr>
                <w:rFonts w:ascii="Times New Roman" w:hAnsi="Times New Roman"/>
                <w:b/>
                <w:sz w:val="20"/>
              </w:rPr>
              <w:t>Composition</w:t>
            </w:r>
          </w:p>
        </w:tc>
        <w:tc>
          <w:tcPr>
            <w:tcW w:type="dxa" w:w="831"/>
            <w:shd w:val="clear" w:color="auto" w:fill="F2F2F2"/>
          </w:tcPr>
          <w:p>
            <w:r>
              <w:rPr>
                <w:rFonts w:ascii="Times New Roman" w:hAnsi="Times New Roman"/>
                <w:b/>
                <w:sz w:val="20"/>
              </w:rPr>
              <w:t>Temps d'action</w:t>
            </w:r>
          </w:p>
        </w:tc>
        <w:tc>
          <w:tcPr>
            <w:tcW w:type="dxa" w:w="831"/>
            <w:shd w:val="clear" w:color="auto" w:fill="F2F2F2"/>
          </w:tcPr>
          <w:p>
            <w:r>
              <w:rPr>
                <w:rFonts w:ascii="Times New Roman" w:hAnsi="Times New Roman"/>
                <w:b/>
                <w:sz w:val="20"/>
              </w:rPr>
              <w:t>Risque thrombotique</w:t>
            </w:r>
          </w:p>
        </w:tc>
        <w:tc>
          <w:tcPr>
            <w:tcW w:type="dxa" w:w="831"/>
            <w:shd w:val="clear" w:color="auto" w:fill="F2F2F2"/>
          </w:tcPr>
          <w:p>
            <w:r>
              <w:rPr>
                <w:rFonts w:ascii="Times New Roman" w:hAnsi="Times New Roman"/>
                <w:b/>
                <w:sz w:val="20"/>
              </w:rPr>
              <w:t>Statut Algérie</w:t>
            </w:r>
          </w:p>
        </w:tc>
        <w:tc>
          <w:tcPr>
            <w:tcW w:type="dxa" w:w="831"/>
            <w:shd w:val="clear" w:color="auto" w:fill="F2F2F2"/>
          </w:tcPr>
          <w:p>
            <w:r>
              <w:rPr>
                <w:rFonts w:ascii="Times New Roman" w:hAnsi="Times New Roman"/>
                <w:b/>
                <w:sz w:val="20"/>
              </w:rPr>
              <w:t>Code ATC</w:t>
            </w:r>
          </w:p>
        </w:tc>
      </w:tr>
      <w:tr>
        <w:tc>
          <w:tcPr>
            <w:tcW w:type="dxa" w:w="831"/>
          </w:tcPr>
          <w:p>
            <w:r>
              <w:rPr>
                <w:rFonts w:ascii="Times New Roman" w:hAnsi="Times New Roman"/>
                <w:sz w:val="20"/>
              </w:rPr>
              <w:t>1</w:t>
            </w:r>
          </w:p>
        </w:tc>
        <w:tc>
          <w:tcPr>
            <w:tcW w:type="dxa" w:w="831"/>
          </w:tcPr>
          <w:p>
            <w:r>
              <w:rPr>
                <w:rFonts w:ascii="Times New Roman" w:hAnsi="Times New Roman"/>
                <w:sz w:val="20"/>
              </w:rPr>
              <w:t>Fibrinogène humain</w:t>
            </w:r>
          </w:p>
        </w:tc>
        <w:tc>
          <w:tcPr>
            <w:tcW w:type="dxa" w:w="831"/>
          </w:tcPr>
          <w:p>
            <w:r>
              <w:rPr>
                <w:rFonts w:ascii="Times New Roman" w:hAnsi="Times New Roman"/>
                <w:sz w:val="20"/>
              </w:rPr>
              <w:t>HEAMOCOMPLETTAN P</w:t>
            </w:r>
          </w:p>
        </w:tc>
        <w:tc>
          <w:tcPr>
            <w:tcW w:type="dxa" w:w="831"/>
          </w:tcPr>
          <w:p>
            <w:r>
              <w:rPr>
                <w:rFonts w:ascii="Times New Roman" w:hAnsi="Times New Roman"/>
                <w:sz w:val="20"/>
              </w:rPr>
              <w:t>IV stricte</w:t>
            </w:r>
          </w:p>
        </w:tc>
        <w:tc>
          <w:tcPr>
            <w:tcW w:type="dxa" w:w="831"/>
          </w:tcPr>
          <w:p>
            <w:r>
              <w:rPr>
                <w:rFonts w:ascii="Times New Roman" w:hAnsi="Times New Roman"/>
                <w:sz w:val="20"/>
              </w:rPr>
              <w:t>Hypofibrinogénémie systémique (hémorragie massive, CIVD, HPP, afibrinogénémie congénitale)</w:t>
            </w:r>
          </w:p>
        </w:tc>
        <w:tc>
          <w:tcPr>
            <w:tcW w:type="dxa" w:w="831"/>
          </w:tcPr>
          <w:p>
            <w:r>
              <w:rPr>
                <w:rFonts w:ascii="Times New Roman" w:hAnsi="Times New Roman"/>
                <w:sz w:val="20"/>
              </w:rPr>
              <w:t>Fibrinogène humain pur 1 g</w:t>
            </w:r>
          </w:p>
        </w:tc>
        <w:tc>
          <w:tcPr>
            <w:tcW w:type="dxa" w:w="831"/>
          </w:tcPr>
          <w:p>
            <w:r>
              <w:rPr>
                <w:rFonts w:ascii="Times New Roman" w:hAnsi="Times New Roman"/>
                <w:sz w:val="20"/>
              </w:rPr>
              <w:t>15-30 min</w:t>
            </w:r>
          </w:p>
        </w:tc>
        <w:tc>
          <w:tcPr>
            <w:tcW w:type="dxa" w:w="831"/>
          </w:tcPr>
          <w:p>
            <w:r>
              <w:rPr>
                <w:rFonts w:ascii="Times New Roman" w:hAnsi="Times New Roman"/>
                <w:sz w:val="20"/>
              </w:rPr>
              <w:t>Modéré à doses élevées</w:t>
            </w:r>
          </w:p>
        </w:tc>
        <w:tc>
          <w:tcPr>
            <w:tcW w:type="dxa" w:w="831"/>
          </w:tcPr>
          <w:p>
            <w:r>
              <w:rPr>
                <w:rFonts w:ascii="Times New Roman" w:hAnsi="Times New Roman"/>
                <w:sz w:val="20"/>
              </w:rPr>
              <w:t>Actif</w:t>
            </w:r>
          </w:p>
        </w:tc>
        <w:tc>
          <w:tcPr>
            <w:tcW w:type="dxa" w:w="831"/>
          </w:tcPr>
          <w:p>
            <w:r>
              <w:rPr>
                <w:rFonts w:ascii="Times New Roman" w:hAnsi="Times New Roman"/>
                <w:sz w:val="20"/>
              </w:rPr>
              <w:t>B02BB01</w:t>
            </w:r>
          </w:p>
        </w:tc>
      </w:tr>
      <w:tr>
        <w:tc>
          <w:tcPr>
            <w:tcW w:type="dxa" w:w="831"/>
          </w:tcPr>
          <w:p>
            <w:r>
              <w:rPr>
                <w:rFonts w:ascii="Times New Roman" w:hAnsi="Times New Roman"/>
                <w:sz w:val="20"/>
              </w:rPr>
              <w:t>2</w:t>
            </w:r>
          </w:p>
        </w:tc>
        <w:tc>
          <w:tcPr>
            <w:tcW w:type="dxa" w:w="831"/>
          </w:tcPr>
          <w:p>
            <w:r>
              <w:rPr>
                <w:rFonts w:ascii="Times New Roman" w:hAnsi="Times New Roman"/>
                <w:sz w:val="20"/>
              </w:rPr>
              <w:t>Fibrinogène humain</w:t>
            </w:r>
          </w:p>
        </w:tc>
        <w:tc>
          <w:tcPr>
            <w:tcW w:type="dxa" w:w="831"/>
          </w:tcPr>
          <w:p>
            <w:r>
              <w:rPr>
                <w:rFonts w:ascii="Times New Roman" w:hAnsi="Times New Roman"/>
                <w:sz w:val="20"/>
              </w:rPr>
              <w:t>CLOTTAFACT</w:t>
            </w:r>
          </w:p>
        </w:tc>
        <w:tc>
          <w:tcPr>
            <w:tcW w:type="dxa" w:w="831"/>
          </w:tcPr>
          <w:p>
            <w:r>
              <w:rPr>
                <w:rFonts w:ascii="Times New Roman" w:hAnsi="Times New Roman"/>
                <w:sz w:val="20"/>
              </w:rPr>
              <w:t>IV stricte</w:t>
            </w:r>
          </w:p>
        </w:tc>
        <w:tc>
          <w:tcPr>
            <w:tcW w:type="dxa" w:w="831"/>
          </w:tcPr>
          <w:p>
            <w:r>
              <w:rPr>
                <w:rFonts w:ascii="Times New Roman" w:hAnsi="Times New Roman"/>
                <w:sz w:val="20"/>
              </w:rPr>
              <w:t>Hypofibrinogénémie systémique</w:t>
            </w:r>
          </w:p>
        </w:tc>
        <w:tc>
          <w:tcPr>
            <w:tcW w:type="dxa" w:w="831"/>
          </w:tcPr>
          <w:p>
            <w:r>
              <w:rPr>
                <w:rFonts w:ascii="Times New Roman" w:hAnsi="Times New Roman"/>
                <w:sz w:val="20"/>
              </w:rPr>
              <w:t>Fibrinogène humain pur 1,5 g</w:t>
            </w:r>
          </w:p>
        </w:tc>
        <w:tc>
          <w:tcPr>
            <w:tcW w:type="dxa" w:w="831"/>
          </w:tcPr>
          <w:p>
            <w:r>
              <w:rPr>
                <w:rFonts w:ascii="Times New Roman" w:hAnsi="Times New Roman"/>
                <w:sz w:val="20"/>
              </w:rPr>
              <w:t>15-30 min</w:t>
            </w:r>
          </w:p>
        </w:tc>
        <w:tc>
          <w:tcPr>
            <w:tcW w:type="dxa" w:w="831"/>
          </w:tcPr>
          <w:p>
            <w:r>
              <w:rPr>
                <w:rFonts w:ascii="Times New Roman" w:hAnsi="Times New Roman"/>
                <w:sz w:val="20"/>
              </w:rPr>
              <w:t>Modéré à doses élevées</w:t>
            </w:r>
          </w:p>
        </w:tc>
        <w:tc>
          <w:tcPr>
            <w:tcW w:type="dxa" w:w="831"/>
          </w:tcPr>
          <w:p>
            <w:r>
              <w:rPr>
                <w:rFonts w:ascii="Times New Roman" w:hAnsi="Times New Roman"/>
                <w:sz w:val="20"/>
              </w:rPr>
              <w:t>Actif</w:t>
            </w:r>
          </w:p>
        </w:tc>
        <w:tc>
          <w:tcPr>
            <w:tcW w:type="dxa" w:w="831"/>
          </w:tcPr>
          <w:p>
            <w:r>
              <w:rPr>
                <w:rFonts w:ascii="Times New Roman" w:hAnsi="Times New Roman"/>
                <w:sz w:val="20"/>
              </w:rPr>
              <w:t>B02BB01</w:t>
            </w:r>
          </w:p>
        </w:tc>
      </w:tr>
      <w:tr>
        <w:tc>
          <w:tcPr>
            <w:tcW w:type="dxa" w:w="831"/>
          </w:tcPr>
          <w:p>
            <w:r>
              <w:rPr>
                <w:rFonts w:ascii="Times New Roman" w:hAnsi="Times New Roman"/>
                <w:sz w:val="20"/>
              </w:rPr>
              <w:t>3</w:t>
            </w:r>
          </w:p>
        </w:tc>
        <w:tc>
          <w:tcPr>
            <w:tcW w:type="dxa" w:w="831"/>
          </w:tcPr>
          <w:p>
            <w:r>
              <w:rPr>
                <w:rFonts w:ascii="Times New Roman" w:hAnsi="Times New Roman"/>
                <w:sz w:val="20"/>
              </w:rPr>
              <w:t>Composant 1 : Fibrinogène humain + Aprotinine &amp; Composant 2 : Thrombine humaine + CaCl₂</w:t>
            </w:r>
          </w:p>
        </w:tc>
        <w:tc>
          <w:tcPr>
            <w:tcW w:type="dxa" w:w="831"/>
          </w:tcPr>
          <w:p>
            <w:r>
              <w:rPr>
                <w:rFonts w:ascii="Times New Roman" w:hAnsi="Times New Roman"/>
                <w:sz w:val="20"/>
              </w:rPr>
              <w:t>TISSEEL LYO</w:t>
            </w:r>
          </w:p>
        </w:tc>
        <w:tc>
          <w:tcPr>
            <w:tcW w:type="dxa" w:w="831"/>
          </w:tcPr>
          <w:p>
            <w:r>
              <w:rPr>
                <w:rFonts w:ascii="Times New Roman" w:hAnsi="Times New Roman"/>
                <w:sz w:val="20"/>
              </w:rPr>
              <w:t>Topique stricte</w:t>
            </w:r>
          </w:p>
        </w:tc>
        <w:tc>
          <w:tcPr>
            <w:tcW w:type="dxa" w:w="831"/>
          </w:tcPr>
          <w:p>
            <w:r>
              <w:rPr>
                <w:rFonts w:ascii="Times New Roman" w:hAnsi="Times New Roman"/>
                <w:sz w:val="20"/>
              </w:rPr>
              <w:t>Hémostase locale chirurgicale</w:t>
            </w:r>
          </w:p>
        </w:tc>
        <w:tc>
          <w:tcPr>
            <w:tcW w:type="dxa" w:w="831"/>
          </w:tcPr>
          <w:p>
            <w:r>
              <w:rPr>
                <w:rFonts w:ascii="Times New Roman" w:hAnsi="Times New Roman"/>
                <w:sz w:val="20"/>
              </w:rPr>
              <w:t>Fibrinogène + Aprotinine + Thrombine + CaCl₂</w:t>
            </w:r>
          </w:p>
        </w:tc>
        <w:tc>
          <w:tcPr>
            <w:tcW w:type="dxa" w:w="831"/>
          </w:tcPr>
          <w:p>
            <w:r>
              <w:rPr>
                <w:rFonts w:ascii="Times New Roman" w:hAnsi="Times New Roman"/>
                <w:sz w:val="20"/>
              </w:rPr>
              <w:t>10-30 sec</w:t>
            </w:r>
          </w:p>
        </w:tc>
        <w:tc>
          <w:tcPr>
            <w:tcW w:type="dxa" w:w="831"/>
          </w:tcPr>
          <w:p>
            <w:r>
              <w:rPr>
                <w:rFonts w:ascii="Times New Roman" w:hAnsi="Times New Roman"/>
                <w:sz w:val="20"/>
              </w:rPr>
              <w:t>Nul (local)</w:t>
            </w:r>
          </w:p>
        </w:tc>
        <w:tc>
          <w:tcPr>
            <w:tcW w:type="dxa" w:w="831"/>
          </w:tcPr>
          <w:p>
            <w:r>
              <w:rPr>
                <w:rFonts w:ascii="Times New Roman" w:hAnsi="Times New Roman"/>
                <w:sz w:val="20"/>
              </w:rPr>
              <w:t>Actif</w:t>
            </w:r>
          </w:p>
        </w:tc>
        <w:tc>
          <w:tcPr>
            <w:tcW w:type="dxa" w:w="831"/>
          </w:tcPr>
          <w:p>
            <w:r>
              <w:rPr>
                <w:rFonts w:ascii="Times New Roman" w:hAnsi="Times New Roman"/>
                <w:sz w:val="20"/>
              </w:rPr>
              <w:t>B02BC01</w:t>
            </w:r>
          </w:p>
        </w:tc>
      </w:tr>
    </w:tbl>
    <w:p/>
    <w:p>
      <w:pPr>
        <w:pStyle w:val="Heading2"/>
      </w:pPr>
      <w:r>
        <w:t>236.4. Synthèse pédagogique et particularités algériennes</w:t>
      </w:r>
    </w:p>
    <w:p>
      <w:pPr>
        <w:pStyle w:val="Heading3"/>
      </w:pPr>
      <w:r>
        <w:t>Messages-clés pour la pratique</w:t>
      </w:r>
    </w:p>
    <w:p>
      <w:pPr>
        <w:pStyle w:val="ListNumber"/>
      </w:pPr>
      <w:r/>
      <w:r>
        <w:rPr>
          <w:b/>
        </w:rPr>
        <w:t>Le fibrinogène humain est le facteur de coagulation le plus critique en hémorragie massive</w:t>
      </w:r>
      <w:r>
        <w:t xml:space="preserve"> — c'est le premier facteur à devenir déficitaire (seuil &lt; 1,5 g/L). Correction prioritaire par rapport aux autres facteurs.</w:t>
      </w:r>
    </w:p>
    <w:p>
      <w:pPr>
        <w:pStyle w:val="ListNumber"/>
      </w:pPr>
      <w:r/>
      <w:r>
        <w:rPr>
          <w:b/>
        </w:rPr>
        <w:t>Dose standard adulte de fibrinogène humain</w:t>
      </w:r>
      <w:r>
        <w:t xml:space="preserve"> : 3-4 g IV (ou 30-60 mg/kg). </w:t>
      </w:r>
      <w:r>
        <w:rPr>
          <w:b/>
        </w:rPr>
        <w:t>Dose maximale</w:t>
      </w:r>
      <w:r>
        <w:t xml:space="preserve"> : 8-10 g/24 h ou 100 mg/kg/24 h — au-delà, risque thrombotique majeur.</w:t>
      </w:r>
    </w:p>
    <w:p>
      <w:pPr>
        <w:pStyle w:val="ListNumber"/>
      </w:pPr>
      <w:r/>
      <w:r>
        <w:rPr>
          <w:b/>
        </w:rPr>
        <w:t>Seuil d'intervention plus élevé en obstétrique</w:t>
      </w:r>
      <w:r>
        <w:t xml:space="preserve"> : fibrinogène &lt; 2,0 g/L en HPP (car la fibrinogène est physiologiquement augmentée en fin de grossesse ~4-6 g/L).</w:t>
      </w:r>
    </w:p>
    <w:p>
      <w:pPr>
        <w:pStyle w:val="ListNumber"/>
      </w:pPr>
      <w:r/>
      <w:r>
        <w:rPr>
          <w:b/>
        </w:rPr>
        <w:t>Association systématique avec acide tranexamique</w:t>
      </w:r>
      <w:r>
        <w:t xml:space="preserve"> (1 g IV bolus puis 1 g/8 h × 24 h) en cas d'hémorragie massive — pour prévenir la fibrinolyse et stabiliser le caillot.</w:t>
      </w:r>
    </w:p>
    <w:p>
      <w:pPr>
        <w:pStyle w:val="ListNumber"/>
      </w:pPr>
      <w:r/>
      <w:r>
        <w:rPr>
          <w:b/>
        </w:rPr>
        <w:t>HEAMOCOMPLETTAN P vs CLOTTAFACT</w:t>
      </w:r>
      <w:r>
        <w:t xml:space="preserve"> : équivalents en termes d'efficacité. HEAMOCOMPLETTAN P (1 g/flacon) plus pratique pour les faibles doses ; CLOTTAFACT (1,5 g/flacon) plus pratique pour les fortes doses.</w:t>
      </w:r>
    </w:p>
    <w:p>
      <w:pPr>
        <w:pStyle w:val="ListNumber"/>
      </w:pPr>
      <w:r/>
      <w:r>
        <w:rPr>
          <w:b/>
        </w:rPr>
        <w:t>La colle biologique TISSEEL LYO est un hémostatique local</w:t>
      </w:r>
      <w:r>
        <w:t xml:space="preserve"> — application topique stricte, ne jamais injecter intravasculaire (risque de thrombose systémique massive).</w:t>
      </w:r>
    </w:p>
    <w:p>
      <w:pPr>
        <w:pStyle w:val="ListNumber"/>
      </w:pPr>
      <w:r/>
      <w:r>
        <w:rPr>
          <w:b/>
        </w:rPr>
        <w:t>Composition de TISSEEL LYO</w:t>
      </w:r>
      <w:r>
        <w:t xml:space="preserve"> : deux composants séparés — (1) fibrinogène humain + aprotinine ; (2) thrombine humaine + CaCl₂. Mélangés au moment de l'application par une seringue double (dual-syringe).</w:t>
      </w:r>
    </w:p>
    <w:p>
      <w:pPr>
        <w:pStyle w:val="ListNumber"/>
      </w:pPr>
      <w:r/>
      <w:r>
        <w:rPr>
          <w:b/>
        </w:rPr>
        <w:t>Temps de polymérisation de TISSEEL LYO</w:t>
      </w:r>
      <w:r>
        <w:t xml:space="preserve"> : 10-30 secondes — hémostate locale immédiate. Maintenir en compression 3-5 minutes pour permettre la polymérisation complète.</w:t>
      </w:r>
    </w:p>
    <w:p>
      <w:pPr>
        <w:pStyle w:val="ListNumber"/>
      </w:pPr>
      <w:r/>
      <w:r>
        <w:rPr>
          <w:b/>
        </w:rPr>
        <w:t>Dose de TISSEEL LYO</w:t>
      </w:r>
      <w:r>
        <w:t xml:space="preserve"> : 1 mL couvre ~10 cm² de zone hémorragique. Adapter la dose à la taille de la zone (2 mL, 4 mL, 10 mL).</w:t>
      </w:r>
    </w:p>
    <w:p>
      <w:pPr>
        <w:pStyle w:val="ListNumber"/>
      </w:pPr>
      <w:r/>
      <w:r>
        <w:rPr>
          <w:b/>
        </w:rPr>
        <w:t>Complémentarité</w:t>
      </w:r>
      <w:r>
        <w:t xml:space="preserve"> : la colle biologique pour l'hémostase locale, le fibrinogène humain IV pour l'hypofibrinogénémie systémique. Combinaison possible en cas d'hémorragie massive avec saignement local.</w:t>
      </w:r>
    </w:p>
    <w:p>
      <w:pPr>
        <w:pStyle w:val="ListNumber"/>
      </w:pPr>
      <w:r/>
      <w:r>
        <w:rPr>
          <w:b/>
        </w:rPr>
        <w:t>Risque thrombotique majeur</w:t>
      </w:r>
      <w:r>
        <w:t xml:space="preserve"> (fibrinogène humain IV à doses cumulées &gt; 8 g/24 h) — surveillance clinique et biologique (D-dimères, fibrinogène, NFS-plaquettes).</w:t>
      </w:r>
    </w:p>
    <w:p>
      <w:pPr>
        <w:pStyle w:val="ListNumber"/>
      </w:pPr>
      <w:r/>
      <w:r>
        <w:rPr>
          <w:b/>
        </w:rPr>
        <w:t>Patients IgA-déficients avec anti-IgA</w:t>
      </w:r>
      <w:r>
        <w:t xml:space="preserve"> : risque majeur d'anaphylaxie. Dosage pondéral IgA systématique avant la première administration (fibrinogène IV et colle biologique).</w:t>
      </w:r>
    </w:p>
    <w:p>
      <w:pPr>
        <w:pStyle w:val="ListNumber"/>
      </w:pPr>
      <w:r/>
      <w:r>
        <w:rPr>
          <w:b/>
        </w:rPr>
        <w:t>Hémolyse chez les patients de groupe A, B, AB</w:t>
      </w:r>
      <w:r>
        <w:t xml:space="preserve"> : fibrinogène humain contient des isohémagglutinines anti-A et anti-B résiduelles. Surveillance clinique et biologique.</w:t>
      </w:r>
    </w:p>
    <w:p>
      <w:pPr>
        <w:pStyle w:val="ListNumber"/>
      </w:pPr>
      <w:r/>
      <w:r>
        <w:rPr>
          <w:b/>
        </w:rPr>
        <w:t>Vaccination hépatite A et B</w:t>
      </w:r>
      <w:r>
        <w:t xml:space="preserve"> systématique chez tout patient pouvant nécessiter un PSS à répétition (fibrinogène humain IV ou colle biologique).</w:t>
      </w:r>
    </w:p>
    <w:p>
      <w:pPr>
        <w:pStyle w:val="ListNumber"/>
      </w:pPr>
      <w:r/>
      <w:r>
        <w:rPr>
          <w:b/>
        </w:rPr>
        <w:t>Chaîne du froid +2 °C à +8 °C</w:t>
      </w:r>
      <w:r>
        <w:t xml:space="preserve"> stricte ; reconstitution douce ; utilisation dans les 3-4 h après reconstitution.</w:t>
      </w:r>
    </w:p>
    <w:p>
      <w:pPr>
        <w:pStyle w:val="ListNumber"/>
      </w:pPr>
      <w:r/>
      <w:r>
        <w:rPr>
          <w:b/>
        </w:rPr>
        <w:t>Grossesse et allaitement</w:t>
      </w:r>
      <w:r>
        <w:t xml:space="preserve"> : fibrinogène humain IV et colle biologique utilisables (CRAT). Le fibrinogène humain IV est le traitement de référence de l'HPP avec fibrinogène &lt; 2,0 g/L.</w:t>
      </w:r>
    </w:p>
    <w:p>
      <w:pPr>
        <w:pStyle w:val="ListNumber"/>
      </w:pPr>
      <w:r/>
      <w:r>
        <w:rPr>
          <w:b/>
        </w:rPr>
        <w:t>Afibrinogénémie congénitale</w:t>
      </w:r>
      <w:r>
        <w:t xml:space="preserve"> : prophylaxie lifelong (30-50 mg/kg 1-2x/semaine), surveillance anticorps anti-fibrinogène annuel.</w:t>
      </w:r>
    </w:p>
    <w:p>
      <w:pPr>
        <w:pStyle w:val="ListNumber"/>
      </w:pPr>
      <w:r/>
      <w:r>
        <w:rPr>
          <w:b/>
        </w:rPr>
        <w:t>TISSEEL LYO est la seule colle biologique disponible en Algérie</w:t>
      </w:r>
      <w:r>
        <w:t xml:space="preserve"> — les alternatives (EVICEL, BERIPLAST P) ne sont pas disponibles.</w:t>
      </w:r>
    </w:p>
    <w:p>
      <w:pPr>
        <w:pStyle w:val="ListNumber"/>
      </w:pPr>
      <w:r/>
      <w:r>
        <w:rPr>
          <w:b/>
        </w:rPr>
        <w:t>Ne pas appliquer TISSEEL LYO sur un cancer non réséqué</w:t>
      </w:r>
      <w:r>
        <w:t xml:space="preserve"> (risque théorique de dissémination tumorale) ou en cas d'infection locale active (risque d'encapsulation de l'infection).</w:t>
      </w:r>
    </w:p>
    <w:p>
      <w:pPr>
        <w:pStyle w:val="ListNumber"/>
      </w:pPr>
      <w:r/>
      <w:r>
        <w:rPr>
          <w:b/>
        </w:rPr>
        <w:t>Information patient</w:t>
      </w:r>
      <w:r>
        <w:t xml:space="preserve"> : carte d'information, carnet de suivi patient, numéro d'urgence 24/7 du centre de référence.</w:t>
      </w:r>
    </w:p>
    <w:p>
      <w:pPr>
        <w:pStyle w:val="Heading3"/>
      </w:pPr>
      <w:r>
        <w:t>Particularités algériennes</w:t>
      </w:r>
    </w:p>
    <w:p>
      <w:pPr>
        <w:pStyle w:val="ListBullet"/>
      </w:pPr>
      <w:r/>
      <w:r>
        <w:rPr>
          <w:b/>
        </w:rPr>
        <w:t>Disponibilité du fibrinogène humain IV</w:t>
      </w:r>
      <w:r>
        <w:t xml:space="preserve"> : deux spécialités actives — HEAMOCOMPLETTAN P (CSL Behring GmbH, Allemagne) et CLOTTAFACT (SARL Accentis Pharma Algérie, distribution).</w:t>
      </w:r>
    </w:p>
    <w:p>
      <w:pPr>
        <w:pStyle w:val="ListBullet"/>
      </w:pPr>
      <w:r/>
      <w:r>
        <w:rPr>
          <w:b/>
        </w:rPr>
        <w:t>Disponibilité de la colle biologique</w:t>
      </w:r>
      <w:r>
        <w:t xml:space="preserve"> : TISSEEL LYO (Baxter Medical Products GmbH, Allemagne) en 3 dosages (2 mL, 4 mL, 10 mL).</w:t>
      </w:r>
    </w:p>
    <w:p>
      <w:pPr>
        <w:pStyle w:val="ListBullet"/>
      </w:pPr>
      <w:r/>
      <w:r>
        <w:rPr>
          <w:b/>
        </w:rPr>
        <w:t>Tarification CNAS indicative</w:t>
      </w:r>
      <w:r>
        <w:t xml:space="preserve"> :</w:t>
      </w:r>
    </w:p>
    <w:p>
      <w:pPr>
        <w:pStyle w:val="ListBullet"/>
      </w:pPr>
      <w:r>
        <w:t>HEAMOCOMPLETTAN P 1 g : ~3 500 DA/flacon.</w:t>
      </w:r>
    </w:p>
    <w:p>
      <w:pPr>
        <w:pStyle w:val="ListBullet"/>
      </w:pPr>
      <w:r>
        <w:t>CLOTTAFACT 1,5 g : ~4 500 DA/flacon.</w:t>
      </w:r>
    </w:p>
    <w:p>
      <w:pPr>
        <w:pStyle w:val="ListBullet"/>
      </w:pPr>
      <w:r>
        <w:t>TISSEEL LYO 2 mL : ~8 000 DA/flacon.</w:t>
      </w:r>
    </w:p>
    <w:p>
      <w:pPr>
        <w:pStyle w:val="ListBullet"/>
      </w:pPr>
      <w:r>
        <w:t>TISSEEL LYO 10 mL : ~30 000 DA/flacon.</w:t>
      </w:r>
    </w:p>
    <w:p>
      <w:pPr>
        <w:pStyle w:val="ListBullet"/>
      </w:pPr>
      <w:r/>
      <w:r>
        <w:rPr>
          <w:b/>
        </w:rPr>
        <w:t>Stratégie algérienne</w:t>
      </w:r>
      <w:r>
        <w:t xml:space="preserve"> : association fibrinogène humain IV + acide tranexamique en cas d'hémorragie massive avec hypofibrinogénémie ; colle biologique TISSEEL LYO en complément des techniques mécaniques en chirurgie lourde.</w:t>
      </w:r>
    </w:p>
    <w:p>
      <w:pPr>
        <w:pStyle w:val="ListBullet"/>
      </w:pPr>
      <w:r/>
      <w:r>
        <w:rPr>
          <w:b/>
        </w:rPr>
        <w:t>Recommandations SAHT</w:t>
      </w:r>
      <w:r>
        <w:t xml:space="preserve"> (Société Algérienne d'Hémostase et de Thrombose) — protocole national de prise en charge de l'hémorragie massive et de l'HPP.</w:t>
      </w:r>
    </w:p>
    <w:p>
      <w:pPr>
        <w:pStyle w:val="Heading3"/>
      </w:pPr>
      <w:r>
        <w:t>Références bibliographiques spécifiques</w:t>
      </w:r>
    </w:p>
    <w:p>
      <w:pPr>
        <w:pStyle w:val="ListNumber"/>
      </w:pPr>
      <w:r>
        <w:t>HAS — Recommandations « Prise en charge de l'hémorragie massive » (2008, mises à jour 2017).</w:t>
      </w:r>
    </w:p>
    <w:p>
      <w:pPr>
        <w:pStyle w:val="ListNumber"/>
      </w:pPr>
      <w:r>
        <w:t>SFAR — Recommandations « Prise en charge de l'hémorragie massive » (2015, mises à jour 2022).</w:t>
      </w:r>
    </w:p>
    <w:p>
      <w:pPr>
        <w:pStyle w:val="ListNumber"/>
      </w:pPr>
      <w:r>
        <w:t>European guideline on management of major bleeding and coagulopathy following trauma (2019, 5th edition).</w:t>
      </w:r>
    </w:p>
    <w:p>
      <w:pPr>
        <w:pStyle w:val="ListNumber"/>
      </w:pPr>
      <w:r>
        <w:t>RCOG (Royal College of Obstetricians and Gynaecologists) — Green-top Guideline n°47 « Prevention and management of postpartum haemorrhage » (2016).</w:t>
      </w:r>
    </w:p>
    <w:p>
      <w:pPr>
        <w:pStyle w:val="ListNumber"/>
      </w:pPr>
      <w:r>
        <w:t>EMA — EPAR HEAMOCOMPLETTAN P, CLOTTAFACT, TISSEEL LYO.</w:t>
      </w:r>
    </w:p>
    <w:p>
      <w:pPr>
        <w:pStyle w:val="ListNumber"/>
      </w:pPr>
      <w:r>
        <w:t>ANSM — RCP français de chaque spécialité.</w:t>
      </w:r>
    </w:p>
    <w:p>
      <w:pPr>
        <w:pStyle w:val="ListNumber"/>
      </w:pPr>
      <w:r>
        <w:t>Rossaint R et al. — « The European guideline on management of major bleeding and coagulopathy following trauma » (Crit Care 2019).</w:t>
      </w:r>
    </w:p>
    <w:p>
      <w:pPr>
        <w:pStyle w:val="ListNumber"/>
      </w:pPr>
      <w:r>
        <w:t>Collins PW et al. — « Fibrin-based clot formation as an early predictor of postpartum hemorrhage » (Thromb Res 2014).</w:t>
      </w:r>
    </w:p>
    <w:p>
      <w:pPr>
        <w:pStyle w:val="ListNumber"/>
      </w:pPr>
      <w:r>
        <w:t>Wikkelsoe AJ et al. — « Fibrinogen in postpartum haemorrhage » (BJOG 2012).</w:t>
      </w:r>
    </w:p>
    <w:p>
      <w:pPr>
        <w:pStyle w:val="ListNumber"/>
      </w:pPr>
      <w:r>
        <w:t>CRAT — Fiches « Fibrinogène humain », « Acide tranexamique », « Tisseel ».</w:t>
      </w:r>
    </w:p>
    <w:p>
      <w:pPr>
        <w:pStyle w:val="ListNumber"/>
      </w:pPr>
      <w:r>
        <w:t>Levy JH et al. — « Fibrinogen in cardiac surgery » (Anesth Analg 2014).</w:t>
      </w:r>
    </w:p>
    <w:p>
      <w:pPr>
        <w:pStyle w:val="ListNumber"/>
      </w:pPr>
      <w:r>
        <w:t>SAHT (Société Algérienne d'Hémostase et de Thrombose) — Recommandations nationales.</w:t>
      </w:r>
    </w:p>
    <w:p>
      <w:pPr>
        <w:pStyle w:val="ListNumber"/>
      </w:pPr>
      <w:r>
        <w:t>Schöchl H et al. — « Fibrinogen in trauma » (Crit Care 2014).</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606060"/>
        <w:sz w:val="18"/>
      </w:rPr>
      <w:t xml:space="preserve">Page </w:t>
    </w:r>
    <w:r>
      <w:rPr>
        <w:rFonts w:ascii="Times New Roman" w:hAnsi="Times New Roman"/>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B1A1A"/>
      </w:pBdr>
    </w:pPr>
    <w:r>
      <w:rPr>
        <w:rFonts w:ascii="Times New Roman" w:hAnsi="Times New Roman"/>
        <w:i/>
        <w:color w:val="606060"/>
        <w:sz w:val="18"/>
      </w:rPr>
      <w:t>Livre Technique de Pharmacologie Clinique — Produits Sanguins, Facteurs de Coagulation &amp; Dérivés Sanguins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8B1A1A"/>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B22222"/>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B2222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